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6FE7" w14:textId="53944090" w:rsidR="004C034F" w:rsidRPr="00E83717" w:rsidRDefault="004C034F" w:rsidP="00E41377">
      <w:pPr>
        <w:pStyle w:val="MonthDayYear"/>
        <w:tabs>
          <w:tab w:val="left" w:pos="7513"/>
        </w:tabs>
        <w:jc w:val="left"/>
        <w:rPr>
          <w:sz w:val="20"/>
          <w:szCs w:val="18"/>
        </w:rPr>
      </w:pPr>
    </w:p>
    <w:p w14:paraId="55D5E39A" w14:textId="517F369C" w:rsidR="00B422EC" w:rsidRPr="00E83717" w:rsidRDefault="00E41377" w:rsidP="00E83717">
      <w:pPr>
        <w:pStyle w:val="MonthDayYear"/>
        <w:tabs>
          <w:tab w:val="left" w:pos="7230"/>
        </w:tabs>
        <w:jc w:val="left"/>
        <w:rPr>
          <w:sz w:val="20"/>
          <w:szCs w:val="18"/>
        </w:rPr>
      </w:pPr>
      <w:r w:rsidRPr="00E83717">
        <w:rPr>
          <w:sz w:val="20"/>
          <w:szCs w:val="18"/>
        </w:rPr>
        <w:tab/>
        <w:t>15 серпня 2022 р.</w:t>
      </w:r>
    </w:p>
    <w:p w14:paraId="09896324" w14:textId="358F3D11" w:rsidR="007F0F63" w:rsidRPr="00E83717" w:rsidRDefault="004B7CCC" w:rsidP="00635616">
      <w:pPr>
        <w:pStyle w:val="Topline"/>
        <w:spacing w:after="360"/>
        <w:rPr>
          <w:rFonts w:asciiTheme="majorHAnsi" w:hAnsiTheme="majorHAnsi" w:cstheme="majorHAnsi"/>
          <w:sz w:val="20"/>
          <w:szCs w:val="20"/>
        </w:rPr>
      </w:pPr>
      <w:r w:rsidRPr="00E83717">
        <w:rPr>
          <w:rFonts w:asciiTheme="majorHAnsi" w:hAnsiTheme="majorHAnsi"/>
          <w:sz w:val="20"/>
          <w:szCs w:val="20"/>
        </w:rPr>
        <w:t>Компанія «</w:t>
      </w:r>
      <w:proofErr w:type="spellStart"/>
      <w:r w:rsidRPr="00E83717">
        <w:rPr>
          <w:rFonts w:asciiTheme="majorHAnsi" w:hAnsiTheme="majorHAnsi"/>
          <w:sz w:val="20"/>
          <w:szCs w:val="20"/>
        </w:rPr>
        <w:t>Хенкель</w:t>
      </w:r>
      <w:proofErr w:type="spellEnd"/>
      <w:r w:rsidRPr="00E83717">
        <w:rPr>
          <w:rFonts w:asciiTheme="majorHAnsi" w:hAnsiTheme="majorHAnsi"/>
          <w:sz w:val="20"/>
          <w:szCs w:val="20"/>
        </w:rPr>
        <w:t>» повідомляє про результати своєї діяльності за перше півріччя</w:t>
      </w:r>
    </w:p>
    <w:p w14:paraId="76AD0789" w14:textId="34C14326" w:rsidR="007F0F63" w:rsidRPr="00E83717" w:rsidRDefault="00306747" w:rsidP="00635616">
      <w:pPr>
        <w:jc w:val="left"/>
        <w:rPr>
          <w:rStyle w:val="Headline"/>
          <w:rFonts w:asciiTheme="majorHAnsi" w:hAnsiTheme="majorHAnsi" w:cstheme="majorHAnsi"/>
          <w:sz w:val="28"/>
          <w:szCs w:val="22"/>
        </w:rPr>
      </w:pPr>
      <w:r>
        <w:rPr>
          <w:rStyle w:val="Headline"/>
          <w:rFonts w:asciiTheme="majorHAnsi" w:hAnsiTheme="majorHAnsi"/>
          <w:sz w:val="28"/>
          <w:szCs w:val="22"/>
        </w:rPr>
        <w:t xml:space="preserve">Компанія </w:t>
      </w:r>
      <w:r w:rsidR="00A16FC1" w:rsidRPr="00E83717">
        <w:rPr>
          <w:rStyle w:val="Headline"/>
          <w:rFonts w:asciiTheme="majorHAnsi" w:hAnsiTheme="majorHAnsi"/>
          <w:sz w:val="28"/>
          <w:szCs w:val="22"/>
        </w:rPr>
        <w:t>«</w:t>
      </w:r>
      <w:proofErr w:type="spellStart"/>
      <w:r w:rsidR="00A16FC1" w:rsidRPr="00E83717">
        <w:rPr>
          <w:rStyle w:val="Headline"/>
          <w:rFonts w:asciiTheme="majorHAnsi" w:hAnsiTheme="majorHAnsi"/>
          <w:sz w:val="28"/>
          <w:szCs w:val="22"/>
        </w:rPr>
        <w:t>Хенкель</w:t>
      </w:r>
      <w:proofErr w:type="spellEnd"/>
      <w:r w:rsidR="00A16FC1" w:rsidRPr="00E83717">
        <w:rPr>
          <w:rStyle w:val="Headline"/>
          <w:rFonts w:asciiTheme="majorHAnsi" w:hAnsiTheme="majorHAnsi"/>
          <w:sz w:val="28"/>
          <w:szCs w:val="22"/>
        </w:rPr>
        <w:t>» значно збільшує обсяг продажів, реалізує стратегічну програму і підвищує прогноз продажів на 2022 рік</w:t>
      </w:r>
    </w:p>
    <w:p w14:paraId="6706FA18" w14:textId="77777777" w:rsidR="00852511" w:rsidRPr="00E83717" w:rsidRDefault="00852511" w:rsidP="00365E44">
      <w:pPr>
        <w:rPr>
          <w:sz w:val="20"/>
          <w:szCs w:val="22"/>
        </w:rPr>
      </w:pPr>
    </w:p>
    <w:p w14:paraId="016710F2" w14:textId="286B8A99" w:rsidR="0001002C" w:rsidRPr="00E83717" w:rsidRDefault="00A16FC1" w:rsidP="006655D3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 w:val="20"/>
          <w:szCs w:val="20"/>
        </w:rPr>
      </w:pPr>
      <w:bookmarkStart w:id="0" w:name="_Hlk43712519"/>
      <w:r w:rsidRPr="00E83717">
        <w:rPr>
          <w:rFonts w:asciiTheme="majorHAnsi" w:hAnsiTheme="majorHAnsi"/>
          <w:b/>
          <w:sz w:val="20"/>
          <w:szCs w:val="20"/>
        </w:rPr>
        <w:t>Продаж</w:t>
      </w:r>
      <w:r w:rsidR="00306747">
        <w:rPr>
          <w:rFonts w:asciiTheme="majorHAnsi" w:hAnsiTheme="majorHAnsi"/>
          <w:b/>
          <w:sz w:val="20"/>
          <w:szCs w:val="20"/>
        </w:rPr>
        <w:t>і</w:t>
      </w:r>
      <w:r w:rsidRPr="00E83717">
        <w:rPr>
          <w:rFonts w:asciiTheme="majorHAnsi" w:hAnsiTheme="majorHAnsi"/>
          <w:b/>
          <w:sz w:val="20"/>
          <w:szCs w:val="20"/>
        </w:rPr>
        <w:t xml:space="preserve"> Групи в першому півріччі 2022 року в </w:t>
      </w:r>
      <w:r w:rsidRPr="00C51E7D">
        <w:rPr>
          <w:rFonts w:asciiTheme="majorHAnsi" w:hAnsiTheme="majorHAnsi"/>
          <w:b/>
          <w:sz w:val="20"/>
          <w:szCs w:val="20"/>
        </w:rPr>
        <w:t>органічному</w:t>
      </w:r>
      <w:r w:rsidRPr="00E83717">
        <w:rPr>
          <w:rFonts w:asciiTheme="majorHAnsi" w:hAnsiTheme="majorHAnsi"/>
          <w:b/>
          <w:sz w:val="20"/>
          <w:szCs w:val="20"/>
        </w:rPr>
        <w:t xml:space="preserve"> вираженні зросли на +8,9% і </w:t>
      </w:r>
      <w:r w:rsidR="00C51E7D" w:rsidRPr="00C51E7D">
        <w:rPr>
          <w:rFonts w:asciiTheme="majorHAnsi" w:hAnsiTheme="majorHAnsi"/>
          <w:b/>
          <w:sz w:val="20"/>
          <w:szCs w:val="20"/>
        </w:rPr>
        <w:t>наблизилися</w:t>
      </w:r>
      <w:r w:rsidR="00C51E7D">
        <w:rPr>
          <w:rFonts w:asciiTheme="majorHAnsi" w:hAnsiTheme="majorHAnsi"/>
          <w:b/>
          <w:sz w:val="20"/>
          <w:szCs w:val="20"/>
        </w:rPr>
        <w:t xml:space="preserve"> до</w:t>
      </w:r>
      <w:r w:rsidRPr="00E83717">
        <w:rPr>
          <w:rFonts w:asciiTheme="majorHAnsi" w:hAnsiTheme="majorHAnsi"/>
          <w:b/>
          <w:sz w:val="20"/>
          <w:szCs w:val="20"/>
        </w:rPr>
        <w:t xml:space="preserve"> 10,9 млрд євро (</w:t>
      </w:r>
      <w:r w:rsidR="00306747">
        <w:rPr>
          <w:rFonts w:asciiTheme="majorHAnsi" w:hAnsiTheme="majorHAnsi"/>
          <w:b/>
          <w:sz w:val="20"/>
          <w:szCs w:val="20"/>
        </w:rPr>
        <w:t>у</w:t>
      </w:r>
      <w:r w:rsidR="00306747" w:rsidRPr="00E83717">
        <w:rPr>
          <w:rFonts w:asciiTheme="majorHAnsi" w:hAnsiTheme="majorHAnsi"/>
          <w:b/>
          <w:sz w:val="20"/>
          <w:szCs w:val="20"/>
        </w:rPr>
        <w:t xml:space="preserve"> </w:t>
      </w:r>
      <w:r w:rsidRPr="00E83717">
        <w:rPr>
          <w:rFonts w:asciiTheme="majorHAnsi" w:hAnsiTheme="majorHAnsi"/>
          <w:b/>
          <w:sz w:val="20"/>
          <w:szCs w:val="20"/>
        </w:rPr>
        <w:t xml:space="preserve">номінальному вираженні +9,9%), причому зростання зафіксовано в усіх бізнес-підрозділах </w:t>
      </w:r>
      <w:r w:rsidR="00306747">
        <w:rPr>
          <w:rFonts w:asciiTheme="majorHAnsi" w:hAnsiTheme="majorHAnsi"/>
          <w:b/>
          <w:sz w:val="20"/>
          <w:szCs w:val="20"/>
        </w:rPr>
        <w:t>і</w:t>
      </w:r>
      <w:r w:rsidR="00306747" w:rsidRPr="00E83717">
        <w:rPr>
          <w:rFonts w:asciiTheme="majorHAnsi" w:hAnsiTheme="majorHAnsi"/>
          <w:b/>
          <w:sz w:val="20"/>
          <w:szCs w:val="20"/>
        </w:rPr>
        <w:t xml:space="preserve"> </w:t>
      </w:r>
      <w:r w:rsidRPr="00E83717">
        <w:rPr>
          <w:rFonts w:asciiTheme="majorHAnsi" w:hAnsiTheme="majorHAnsi"/>
          <w:b/>
          <w:sz w:val="20"/>
          <w:szCs w:val="20"/>
        </w:rPr>
        <w:t>регіонах.</w:t>
      </w:r>
    </w:p>
    <w:p w14:paraId="3B8FD12B" w14:textId="5C7F16D9" w:rsidR="00793A4C" w:rsidRPr="00E83717" w:rsidRDefault="006B3A37" w:rsidP="00604E54">
      <w:pPr>
        <w:pStyle w:val="ListParagraph"/>
        <w:numPr>
          <w:ilvl w:val="0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 w:val="20"/>
          <w:szCs w:val="20"/>
        </w:rPr>
      </w:pPr>
      <w:r w:rsidRPr="00E83717">
        <w:rPr>
          <w:rFonts w:asciiTheme="majorHAnsi" w:hAnsiTheme="majorHAnsi"/>
          <w:b/>
          <w:sz w:val="20"/>
          <w:szCs w:val="20"/>
        </w:rPr>
        <w:t xml:space="preserve">На прибуток, </w:t>
      </w:r>
      <w:r w:rsidR="00DE138C">
        <w:rPr>
          <w:rFonts w:asciiTheme="majorHAnsi" w:hAnsiTheme="majorHAnsi"/>
          <w:b/>
          <w:sz w:val="20"/>
          <w:szCs w:val="20"/>
        </w:rPr>
        <w:t>за</w:t>
      </w:r>
      <w:r w:rsidRPr="00E83717">
        <w:rPr>
          <w:rFonts w:asciiTheme="majorHAnsi" w:hAnsiTheme="majorHAnsi"/>
          <w:b/>
          <w:sz w:val="20"/>
          <w:szCs w:val="20"/>
        </w:rPr>
        <w:t xml:space="preserve"> </w:t>
      </w:r>
      <w:r w:rsidR="00DE138C" w:rsidRPr="00E83717">
        <w:rPr>
          <w:rFonts w:asciiTheme="majorHAnsi" w:hAnsiTheme="majorHAnsi"/>
          <w:b/>
          <w:sz w:val="20"/>
          <w:szCs w:val="20"/>
        </w:rPr>
        <w:t>очікува</w:t>
      </w:r>
      <w:r w:rsidR="00DE138C">
        <w:rPr>
          <w:rFonts w:asciiTheme="majorHAnsi" w:hAnsiTheme="majorHAnsi"/>
          <w:b/>
          <w:sz w:val="20"/>
          <w:szCs w:val="20"/>
        </w:rPr>
        <w:t>ннями</w:t>
      </w:r>
      <w:r w:rsidRPr="00E83717">
        <w:rPr>
          <w:rFonts w:asciiTheme="majorHAnsi" w:hAnsiTheme="majorHAnsi"/>
          <w:b/>
          <w:sz w:val="20"/>
          <w:szCs w:val="20"/>
        </w:rPr>
        <w:t>, вплинуло різке скорочення виробничих витрат:</w:t>
      </w:r>
    </w:p>
    <w:p w14:paraId="58752EFB" w14:textId="4290BB7A" w:rsidR="00793A4C" w:rsidRPr="00E83717" w:rsidRDefault="006260F9" w:rsidP="00793A4C">
      <w:pPr>
        <w:pStyle w:val="ListParagraph"/>
        <w:numPr>
          <w:ilvl w:val="1"/>
          <w:numId w:val="7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 w:val="20"/>
          <w:szCs w:val="20"/>
        </w:rPr>
      </w:pPr>
      <w:r w:rsidRPr="00E83717">
        <w:rPr>
          <w:rFonts w:asciiTheme="majorHAnsi" w:hAnsiTheme="majorHAnsi"/>
          <w:b/>
          <w:sz w:val="20"/>
          <w:szCs w:val="20"/>
        </w:rPr>
        <w:t>Операційний прибуток (EBIT)* досяг 1 166 млн євро (-18,5%)</w:t>
      </w:r>
    </w:p>
    <w:p w14:paraId="229837D0" w14:textId="129C5EFF" w:rsidR="00793A4C" w:rsidRPr="00E83717" w:rsidRDefault="00793A4C" w:rsidP="00793A4C">
      <w:pPr>
        <w:pStyle w:val="ListParagraph"/>
        <w:numPr>
          <w:ilvl w:val="1"/>
          <w:numId w:val="7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 w:val="20"/>
          <w:szCs w:val="20"/>
        </w:rPr>
      </w:pPr>
      <w:r w:rsidRPr="00E83717">
        <w:rPr>
          <w:rFonts w:asciiTheme="majorHAnsi" w:hAnsiTheme="majorHAnsi"/>
          <w:b/>
          <w:sz w:val="20"/>
          <w:szCs w:val="20"/>
        </w:rPr>
        <w:t xml:space="preserve">Рентабельність EBIT* </w:t>
      </w:r>
      <w:r w:rsidR="00306747" w:rsidRPr="00E83717">
        <w:rPr>
          <w:rFonts w:asciiTheme="majorHAnsi" w:hAnsiTheme="majorHAnsi"/>
          <w:b/>
          <w:sz w:val="20"/>
          <w:szCs w:val="20"/>
        </w:rPr>
        <w:t>с</w:t>
      </w:r>
      <w:r w:rsidR="00306747">
        <w:rPr>
          <w:rFonts w:asciiTheme="majorHAnsi" w:hAnsiTheme="majorHAnsi"/>
          <w:b/>
          <w:sz w:val="20"/>
          <w:szCs w:val="20"/>
        </w:rPr>
        <w:t>танови</w:t>
      </w:r>
      <w:r w:rsidR="00306747" w:rsidRPr="00E83717">
        <w:rPr>
          <w:rFonts w:asciiTheme="majorHAnsi" w:hAnsiTheme="majorHAnsi"/>
          <w:b/>
          <w:sz w:val="20"/>
          <w:szCs w:val="20"/>
        </w:rPr>
        <w:t xml:space="preserve">ла </w:t>
      </w:r>
      <w:r w:rsidRPr="00E83717">
        <w:rPr>
          <w:rFonts w:asciiTheme="majorHAnsi" w:hAnsiTheme="majorHAnsi"/>
          <w:b/>
          <w:sz w:val="20"/>
          <w:szCs w:val="20"/>
        </w:rPr>
        <w:t>10,7% (-370 базисних пунктів)</w:t>
      </w:r>
    </w:p>
    <w:p w14:paraId="44A1FE3B" w14:textId="143F3F90" w:rsidR="00793A4C" w:rsidRPr="00E83717" w:rsidRDefault="00793A4C" w:rsidP="00793A4C">
      <w:pPr>
        <w:pStyle w:val="ListParagraph"/>
        <w:numPr>
          <w:ilvl w:val="1"/>
          <w:numId w:val="7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 w:val="20"/>
          <w:szCs w:val="20"/>
        </w:rPr>
      </w:pPr>
      <w:r w:rsidRPr="00E83717">
        <w:rPr>
          <w:rFonts w:asciiTheme="majorHAnsi" w:hAnsiTheme="majorHAnsi"/>
          <w:b/>
          <w:sz w:val="20"/>
          <w:szCs w:val="20"/>
        </w:rPr>
        <w:t xml:space="preserve">Прибуток на привілейовану акцію (EPS)* </w:t>
      </w:r>
      <w:r w:rsidR="00DE138C" w:rsidRPr="00DE138C">
        <w:rPr>
          <w:rFonts w:asciiTheme="majorHAnsi" w:hAnsiTheme="majorHAnsi"/>
          <w:b/>
          <w:sz w:val="20"/>
          <w:szCs w:val="20"/>
        </w:rPr>
        <w:t>д</w:t>
      </w:r>
      <w:r w:rsidR="00306747" w:rsidRPr="00DE138C">
        <w:rPr>
          <w:rFonts w:asciiTheme="majorHAnsi" w:hAnsiTheme="majorHAnsi"/>
          <w:b/>
          <w:sz w:val="20"/>
          <w:szCs w:val="20"/>
        </w:rPr>
        <w:t>осяг</w:t>
      </w:r>
      <w:r w:rsidR="00306747" w:rsidRPr="00E83717">
        <w:rPr>
          <w:rFonts w:asciiTheme="majorHAnsi" w:hAnsiTheme="majorHAnsi"/>
          <w:b/>
          <w:sz w:val="20"/>
          <w:szCs w:val="20"/>
        </w:rPr>
        <w:t xml:space="preserve"> </w:t>
      </w:r>
      <w:r w:rsidRPr="00E83717">
        <w:rPr>
          <w:rFonts w:asciiTheme="majorHAnsi" w:hAnsiTheme="majorHAnsi"/>
          <w:b/>
          <w:sz w:val="20"/>
          <w:szCs w:val="20"/>
        </w:rPr>
        <w:t>1,95 євро, -20,8</w:t>
      </w:r>
      <w:r w:rsidR="00306747">
        <w:rPr>
          <w:rFonts w:asciiTheme="majorHAnsi" w:hAnsiTheme="majorHAnsi"/>
          <w:b/>
          <w:sz w:val="20"/>
          <w:szCs w:val="20"/>
        </w:rPr>
        <w:t> </w:t>
      </w:r>
      <w:r w:rsidRPr="00E83717">
        <w:rPr>
          <w:rFonts w:asciiTheme="majorHAnsi" w:hAnsiTheme="majorHAnsi"/>
          <w:b/>
          <w:sz w:val="20"/>
          <w:szCs w:val="20"/>
        </w:rPr>
        <w:t xml:space="preserve">% </w:t>
      </w:r>
      <w:r w:rsidR="00306747">
        <w:rPr>
          <w:rFonts w:asciiTheme="majorHAnsi" w:hAnsiTheme="majorHAnsi"/>
          <w:b/>
          <w:sz w:val="20"/>
          <w:szCs w:val="20"/>
        </w:rPr>
        <w:t>за</w:t>
      </w:r>
      <w:r w:rsidR="00306747" w:rsidRPr="00E83717">
        <w:rPr>
          <w:rFonts w:asciiTheme="majorHAnsi" w:hAnsiTheme="majorHAnsi"/>
          <w:b/>
          <w:sz w:val="20"/>
          <w:szCs w:val="20"/>
        </w:rPr>
        <w:t xml:space="preserve"> незмінно</w:t>
      </w:r>
      <w:r w:rsidR="00306747">
        <w:rPr>
          <w:rFonts w:asciiTheme="majorHAnsi" w:hAnsiTheme="majorHAnsi"/>
          <w:b/>
          <w:sz w:val="20"/>
          <w:szCs w:val="20"/>
        </w:rPr>
        <w:t>го</w:t>
      </w:r>
      <w:r w:rsidR="00306747" w:rsidRPr="00E83717">
        <w:rPr>
          <w:rFonts w:asciiTheme="majorHAnsi" w:hAnsiTheme="majorHAnsi"/>
          <w:b/>
          <w:sz w:val="20"/>
          <w:szCs w:val="20"/>
        </w:rPr>
        <w:t xml:space="preserve"> </w:t>
      </w:r>
      <w:r w:rsidRPr="00E83717">
        <w:rPr>
          <w:rFonts w:asciiTheme="majorHAnsi" w:hAnsiTheme="majorHAnsi"/>
          <w:b/>
          <w:sz w:val="20"/>
          <w:szCs w:val="20"/>
        </w:rPr>
        <w:t>курс</w:t>
      </w:r>
      <w:r w:rsidR="00306747">
        <w:rPr>
          <w:rFonts w:asciiTheme="majorHAnsi" w:hAnsiTheme="majorHAnsi"/>
          <w:b/>
          <w:sz w:val="20"/>
          <w:szCs w:val="20"/>
        </w:rPr>
        <w:t>у</w:t>
      </w:r>
      <w:r w:rsidRPr="00E83717">
        <w:rPr>
          <w:rFonts w:asciiTheme="majorHAnsi" w:hAnsiTheme="majorHAnsi"/>
          <w:b/>
          <w:sz w:val="20"/>
          <w:szCs w:val="20"/>
        </w:rPr>
        <w:t xml:space="preserve"> валют</w:t>
      </w:r>
    </w:p>
    <w:p w14:paraId="1DCB5E20" w14:textId="254319D5" w:rsidR="00F5043C" w:rsidRPr="00E83717" w:rsidRDefault="00DE138C" w:rsidP="00DE55CF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Значн</w:t>
      </w:r>
      <w:r w:rsidRPr="00C51E7D">
        <w:rPr>
          <w:rFonts w:asciiTheme="majorHAnsi" w:hAnsiTheme="majorHAnsi"/>
          <w:b/>
          <w:sz w:val="20"/>
          <w:szCs w:val="20"/>
        </w:rPr>
        <w:t xml:space="preserve">ий </w:t>
      </w:r>
      <w:r w:rsidR="004C76C0" w:rsidRPr="00C51E7D">
        <w:rPr>
          <w:rFonts w:asciiTheme="majorHAnsi" w:hAnsiTheme="majorHAnsi"/>
          <w:b/>
          <w:sz w:val="20"/>
          <w:szCs w:val="20"/>
        </w:rPr>
        <w:t>прогрес</w:t>
      </w:r>
      <w:r w:rsidR="004C76C0" w:rsidRPr="00E83717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продемонстровано </w:t>
      </w:r>
      <w:r w:rsidR="004C76C0" w:rsidRPr="00E83717">
        <w:rPr>
          <w:rFonts w:asciiTheme="majorHAnsi" w:hAnsiTheme="majorHAnsi"/>
          <w:b/>
          <w:sz w:val="20"/>
          <w:szCs w:val="20"/>
        </w:rPr>
        <w:t xml:space="preserve">у реалізації програми цілеспрямованого зростання та в об'єднанні бізнес-підрозділів споживчих товарів </w:t>
      </w:r>
      <w:r w:rsidR="00306747">
        <w:rPr>
          <w:rFonts w:asciiTheme="majorHAnsi" w:hAnsiTheme="majorHAnsi"/>
          <w:b/>
          <w:sz w:val="20"/>
          <w:szCs w:val="20"/>
        </w:rPr>
        <w:t>у</w:t>
      </w:r>
      <w:r w:rsidR="00306747" w:rsidRPr="00E83717">
        <w:rPr>
          <w:rFonts w:asciiTheme="majorHAnsi" w:hAnsiTheme="majorHAnsi"/>
          <w:b/>
          <w:sz w:val="20"/>
          <w:szCs w:val="20"/>
        </w:rPr>
        <w:t xml:space="preserve"> </w:t>
      </w:r>
      <w:r w:rsidR="004C76C0" w:rsidRPr="00E83717">
        <w:rPr>
          <w:rFonts w:asciiTheme="majorHAnsi" w:hAnsiTheme="majorHAnsi"/>
          <w:b/>
          <w:sz w:val="20"/>
          <w:szCs w:val="20"/>
        </w:rPr>
        <w:t>єдиний бізнес-підрозділ «Споживчі бренди “</w:t>
      </w:r>
      <w:proofErr w:type="spellStart"/>
      <w:r w:rsidR="004C76C0" w:rsidRPr="00E83717">
        <w:rPr>
          <w:rFonts w:asciiTheme="majorHAnsi" w:hAnsiTheme="majorHAnsi"/>
          <w:b/>
          <w:sz w:val="20"/>
          <w:szCs w:val="20"/>
        </w:rPr>
        <w:t>Хенкель</w:t>
      </w:r>
      <w:proofErr w:type="spellEnd"/>
      <w:r w:rsidR="004C76C0" w:rsidRPr="00E83717">
        <w:rPr>
          <w:rFonts w:asciiTheme="majorHAnsi" w:hAnsiTheme="majorHAnsi"/>
          <w:b/>
          <w:sz w:val="20"/>
          <w:szCs w:val="20"/>
        </w:rPr>
        <w:t>”»</w:t>
      </w:r>
    </w:p>
    <w:p w14:paraId="1741095F" w14:textId="2FB32806" w:rsidR="00391A5F" w:rsidRPr="00E83717" w:rsidRDefault="004C76C0" w:rsidP="00391A5F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 w:val="20"/>
          <w:szCs w:val="20"/>
        </w:rPr>
      </w:pPr>
      <w:r w:rsidRPr="00E83717">
        <w:rPr>
          <w:rFonts w:asciiTheme="majorHAnsi" w:hAnsiTheme="majorHAnsi"/>
          <w:b/>
          <w:sz w:val="20"/>
          <w:szCs w:val="20"/>
        </w:rPr>
        <w:t>Оновлено прогноз на 2022 фінансовий рік:</w:t>
      </w:r>
    </w:p>
    <w:p w14:paraId="6481FFA1" w14:textId="1A42CC22" w:rsidR="00F5043C" w:rsidRPr="00E83717" w:rsidRDefault="00F5043C" w:rsidP="00F5043C">
      <w:pPr>
        <w:pStyle w:val="ListParagraph"/>
        <w:numPr>
          <w:ilvl w:val="1"/>
          <w:numId w:val="7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 w:val="20"/>
          <w:szCs w:val="20"/>
        </w:rPr>
      </w:pPr>
      <w:r w:rsidRPr="00E83717">
        <w:rPr>
          <w:rFonts w:asciiTheme="majorHAnsi" w:hAnsiTheme="majorHAnsi"/>
          <w:b/>
          <w:sz w:val="20"/>
          <w:szCs w:val="20"/>
        </w:rPr>
        <w:t xml:space="preserve">Органічне зростання продажів: збільшення до +4,5 </w:t>
      </w:r>
      <w:r w:rsidR="00306747">
        <w:rPr>
          <w:rFonts w:asciiTheme="majorHAnsi" w:hAnsiTheme="majorHAnsi"/>
          <w:b/>
          <w:sz w:val="20"/>
          <w:szCs w:val="20"/>
        </w:rPr>
        <w:t>–</w:t>
      </w:r>
      <w:r w:rsidR="00306747" w:rsidRPr="00E83717">
        <w:rPr>
          <w:rFonts w:asciiTheme="majorHAnsi" w:hAnsiTheme="majorHAnsi"/>
          <w:b/>
          <w:sz w:val="20"/>
          <w:szCs w:val="20"/>
        </w:rPr>
        <w:t xml:space="preserve"> </w:t>
      </w:r>
      <w:r w:rsidRPr="00E83717">
        <w:rPr>
          <w:rFonts w:asciiTheme="majorHAnsi" w:hAnsiTheme="majorHAnsi"/>
          <w:b/>
          <w:sz w:val="20"/>
          <w:szCs w:val="20"/>
        </w:rPr>
        <w:t xml:space="preserve">+6,5 </w:t>
      </w:r>
      <w:r w:rsidRPr="00C51E7D">
        <w:rPr>
          <w:rFonts w:asciiTheme="majorHAnsi" w:hAnsiTheme="majorHAnsi"/>
          <w:b/>
          <w:sz w:val="20"/>
          <w:szCs w:val="20"/>
        </w:rPr>
        <w:t>відсотків</w:t>
      </w:r>
    </w:p>
    <w:p w14:paraId="6A38BDFE" w14:textId="31A75EDD" w:rsidR="00F5043C" w:rsidRPr="00E83717" w:rsidRDefault="00F5043C" w:rsidP="00F5043C">
      <w:pPr>
        <w:pStyle w:val="ListParagraph"/>
        <w:numPr>
          <w:ilvl w:val="1"/>
          <w:numId w:val="7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 w:val="20"/>
          <w:szCs w:val="20"/>
        </w:rPr>
      </w:pPr>
      <w:r w:rsidRPr="00E83717">
        <w:rPr>
          <w:rFonts w:asciiTheme="majorHAnsi" w:hAnsiTheme="majorHAnsi"/>
          <w:b/>
          <w:sz w:val="20"/>
          <w:szCs w:val="20"/>
        </w:rPr>
        <w:t>Рентабельність EBIT*: не змінилася і становить від 9,0 до 11,0 відсотків</w:t>
      </w:r>
    </w:p>
    <w:p w14:paraId="34CDF95F" w14:textId="24145893" w:rsidR="0001002C" w:rsidRPr="00E83717" w:rsidRDefault="00F5043C" w:rsidP="000A23CD">
      <w:pPr>
        <w:pStyle w:val="ListParagraph"/>
        <w:numPr>
          <w:ilvl w:val="1"/>
          <w:numId w:val="7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 w:val="20"/>
          <w:szCs w:val="20"/>
        </w:rPr>
      </w:pPr>
      <w:r w:rsidRPr="00E83717">
        <w:rPr>
          <w:rFonts w:asciiTheme="majorHAnsi" w:hAnsiTheme="majorHAnsi"/>
          <w:b/>
          <w:sz w:val="20"/>
          <w:szCs w:val="20"/>
        </w:rPr>
        <w:t xml:space="preserve">Прибуток на привілейовану акцію (EPS)* </w:t>
      </w:r>
      <w:r w:rsidR="00306747">
        <w:rPr>
          <w:rFonts w:asciiTheme="majorHAnsi" w:hAnsiTheme="majorHAnsi"/>
          <w:b/>
          <w:sz w:val="20"/>
          <w:szCs w:val="20"/>
        </w:rPr>
        <w:t>за</w:t>
      </w:r>
      <w:r w:rsidR="00306747" w:rsidRPr="00E83717">
        <w:rPr>
          <w:rFonts w:asciiTheme="majorHAnsi" w:hAnsiTheme="majorHAnsi"/>
          <w:b/>
          <w:sz w:val="20"/>
          <w:szCs w:val="20"/>
        </w:rPr>
        <w:t xml:space="preserve"> незмінно</w:t>
      </w:r>
      <w:r w:rsidR="00306747">
        <w:rPr>
          <w:rFonts w:asciiTheme="majorHAnsi" w:hAnsiTheme="majorHAnsi"/>
          <w:b/>
          <w:sz w:val="20"/>
          <w:szCs w:val="20"/>
        </w:rPr>
        <w:t>го</w:t>
      </w:r>
      <w:r w:rsidR="00306747" w:rsidRPr="00E83717">
        <w:rPr>
          <w:rFonts w:asciiTheme="majorHAnsi" w:hAnsiTheme="majorHAnsi"/>
          <w:b/>
          <w:sz w:val="20"/>
          <w:szCs w:val="20"/>
        </w:rPr>
        <w:t xml:space="preserve"> курс</w:t>
      </w:r>
      <w:r w:rsidR="00306747">
        <w:rPr>
          <w:rFonts w:asciiTheme="majorHAnsi" w:hAnsiTheme="majorHAnsi"/>
          <w:b/>
          <w:sz w:val="20"/>
          <w:szCs w:val="20"/>
        </w:rPr>
        <w:t>у</w:t>
      </w:r>
      <w:r w:rsidR="00306747" w:rsidRPr="00E83717">
        <w:rPr>
          <w:rFonts w:asciiTheme="majorHAnsi" w:hAnsiTheme="majorHAnsi"/>
          <w:b/>
          <w:sz w:val="20"/>
          <w:szCs w:val="20"/>
        </w:rPr>
        <w:t xml:space="preserve"> </w:t>
      </w:r>
      <w:r w:rsidRPr="00E83717">
        <w:rPr>
          <w:rFonts w:asciiTheme="majorHAnsi" w:hAnsiTheme="majorHAnsi"/>
          <w:b/>
          <w:sz w:val="20"/>
          <w:szCs w:val="20"/>
        </w:rPr>
        <w:t xml:space="preserve">валют: без змін – зниження у діапазоні від -35 до -15 </w:t>
      </w:r>
      <w:r w:rsidRPr="00C51E7D">
        <w:rPr>
          <w:rFonts w:asciiTheme="majorHAnsi" w:hAnsiTheme="majorHAnsi"/>
          <w:b/>
          <w:sz w:val="20"/>
          <w:szCs w:val="20"/>
        </w:rPr>
        <w:t>відсотків</w:t>
      </w:r>
    </w:p>
    <w:p w14:paraId="2F609B08" w14:textId="77777777" w:rsidR="000A23CD" w:rsidRPr="00E83717" w:rsidRDefault="000A23CD" w:rsidP="00D56358">
      <w:pPr>
        <w:rPr>
          <w:rFonts w:cs="Segoe UI"/>
          <w:b/>
          <w:bCs/>
          <w:sz w:val="20"/>
          <w:szCs w:val="20"/>
        </w:rPr>
      </w:pPr>
    </w:p>
    <w:p w14:paraId="63BC1C39" w14:textId="6BEC4DCC" w:rsidR="00D56358" w:rsidRPr="00E83717" w:rsidRDefault="0001002C" w:rsidP="00D56358">
      <w:pPr>
        <w:rPr>
          <w:rFonts w:cs="Segoe UI"/>
          <w:b/>
          <w:bCs/>
          <w:sz w:val="20"/>
          <w:szCs w:val="20"/>
        </w:rPr>
      </w:pPr>
      <w:proofErr w:type="spellStart"/>
      <w:r w:rsidRPr="00E83717">
        <w:rPr>
          <w:b/>
          <w:bCs/>
          <w:sz w:val="20"/>
          <w:szCs w:val="20"/>
        </w:rPr>
        <w:t>Дюсельдорф</w:t>
      </w:r>
      <w:proofErr w:type="spellEnd"/>
      <w:r w:rsidRPr="00E83717">
        <w:rPr>
          <w:b/>
          <w:bCs/>
          <w:sz w:val="20"/>
          <w:szCs w:val="20"/>
        </w:rPr>
        <w:t xml:space="preserve"> –</w:t>
      </w:r>
      <w:bookmarkStart w:id="1" w:name="_Hlk109033326"/>
      <w:r w:rsidRPr="00E83717">
        <w:rPr>
          <w:b/>
          <w:bCs/>
          <w:sz w:val="20"/>
          <w:szCs w:val="20"/>
        </w:rPr>
        <w:t xml:space="preserve"> </w:t>
      </w:r>
      <w:bookmarkEnd w:id="0"/>
      <w:bookmarkEnd w:id="1"/>
      <w:r w:rsidRPr="00E83717">
        <w:rPr>
          <w:b/>
          <w:bCs/>
          <w:sz w:val="20"/>
          <w:szCs w:val="20"/>
        </w:rPr>
        <w:t>У першому півріччі 2022 року компанія «</w:t>
      </w:r>
      <w:proofErr w:type="spellStart"/>
      <w:r w:rsidRPr="00E83717">
        <w:rPr>
          <w:b/>
          <w:bCs/>
          <w:sz w:val="20"/>
          <w:szCs w:val="20"/>
        </w:rPr>
        <w:t>Хенкель</w:t>
      </w:r>
      <w:proofErr w:type="spellEnd"/>
      <w:r w:rsidRPr="00E83717">
        <w:rPr>
          <w:b/>
          <w:bCs/>
          <w:sz w:val="20"/>
          <w:szCs w:val="20"/>
        </w:rPr>
        <w:t xml:space="preserve">» збільшила обсяг продажів Групи до приблизно 10,9 млрд євро. Це відповідає значному органічному зростанню продажів на +8,9 </w:t>
      </w:r>
      <w:r w:rsidRPr="00DE138C">
        <w:rPr>
          <w:b/>
          <w:bCs/>
          <w:sz w:val="20"/>
          <w:szCs w:val="20"/>
        </w:rPr>
        <w:t>відсотка</w:t>
      </w:r>
      <w:r w:rsidRPr="00E83717">
        <w:rPr>
          <w:b/>
          <w:bCs/>
          <w:sz w:val="20"/>
          <w:szCs w:val="20"/>
        </w:rPr>
        <w:t xml:space="preserve">. </w:t>
      </w:r>
      <w:r w:rsidR="00DE138C">
        <w:rPr>
          <w:b/>
          <w:bCs/>
          <w:sz w:val="20"/>
          <w:szCs w:val="20"/>
        </w:rPr>
        <w:t>П</w:t>
      </w:r>
      <w:r w:rsidRPr="00E83717">
        <w:rPr>
          <w:b/>
          <w:bCs/>
          <w:sz w:val="20"/>
          <w:szCs w:val="20"/>
        </w:rPr>
        <w:t xml:space="preserve">озитивна динаміка спостерігалася у всіх бізнес-підрозділах </w:t>
      </w:r>
      <w:r w:rsidR="00306747">
        <w:rPr>
          <w:b/>
          <w:bCs/>
          <w:sz w:val="20"/>
          <w:szCs w:val="20"/>
        </w:rPr>
        <w:t>і</w:t>
      </w:r>
      <w:r w:rsidR="00306747" w:rsidRPr="00E83717">
        <w:rPr>
          <w:b/>
          <w:bCs/>
          <w:sz w:val="20"/>
          <w:szCs w:val="20"/>
        </w:rPr>
        <w:t xml:space="preserve"> </w:t>
      </w:r>
      <w:r w:rsidRPr="00E83717">
        <w:rPr>
          <w:b/>
          <w:bCs/>
          <w:sz w:val="20"/>
          <w:szCs w:val="20"/>
        </w:rPr>
        <w:t xml:space="preserve">регіонах. Як </w:t>
      </w:r>
      <w:r w:rsidR="00DE138C">
        <w:rPr>
          <w:b/>
          <w:bCs/>
          <w:sz w:val="20"/>
          <w:szCs w:val="20"/>
        </w:rPr>
        <w:t>й</w:t>
      </w:r>
      <w:r w:rsidR="00DE138C" w:rsidRPr="00E83717">
        <w:rPr>
          <w:b/>
          <w:bCs/>
          <w:sz w:val="20"/>
          <w:szCs w:val="20"/>
        </w:rPr>
        <w:t xml:space="preserve"> </w:t>
      </w:r>
      <w:r w:rsidRPr="00E83717">
        <w:rPr>
          <w:b/>
          <w:bCs/>
          <w:sz w:val="20"/>
          <w:szCs w:val="20"/>
        </w:rPr>
        <w:t>о</w:t>
      </w:r>
      <w:r w:rsidRPr="00E41FB1">
        <w:rPr>
          <w:b/>
          <w:bCs/>
          <w:sz w:val="20"/>
          <w:szCs w:val="20"/>
        </w:rPr>
        <w:t>чікувалося</w:t>
      </w:r>
      <w:r w:rsidRPr="00E83717">
        <w:rPr>
          <w:b/>
          <w:bCs/>
          <w:sz w:val="20"/>
          <w:szCs w:val="20"/>
        </w:rPr>
        <w:t xml:space="preserve">, на доходи у першому півріччі вплинуло різке зростання цін на матеріали та логістику. Незважаючи на значне </w:t>
      </w:r>
      <w:r w:rsidR="00DE138C">
        <w:rPr>
          <w:b/>
          <w:bCs/>
          <w:sz w:val="20"/>
          <w:szCs w:val="20"/>
        </w:rPr>
        <w:t>збільше</w:t>
      </w:r>
      <w:r w:rsidR="00DE138C" w:rsidRPr="00E83717">
        <w:rPr>
          <w:b/>
          <w:bCs/>
          <w:sz w:val="20"/>
          <w:szCs w:val="20"/>
        </w:rPr>
        <w:t xml:space="preserve">ння </w:t>
      </w:r>
      <w:r w:rsidRPr="00E83717">
        <w:rPr>
          <w:b/>
          <w:bCs/>
          <w:sz w:val="20"/>
          <w:szCs w:val="20"/>
        </w:rPr>
        <w:t>цін, суворе управління витратами та подальше підвищення ефективності, компенсувати ці наслідки повністю не вдалося.</w:t>
      </w:r>
    </w:p>
    <w:p w14:paraId="00BBEF75" w14:textId="13E625F0" w:rsidR="004C034F" w:rsidRPr="00E83717" w:rsidRDefault="002002AB" w:rsidP="004B7CCC">
      <w:pPr>
        <w:rPr>
          <w:rFonts w:cs="Segoe UI"/>
          <w:b/>
          <w:bCs/>
          <w:sz w:val="20"/>
          <w:szCs w:val="20"/>
        </w:rPr>
      </w:pPr>
      <w:r w:rsidRPr="00E83717">
        <w:rPr>
          <w:rFonts w:asciiTheme="majorHAnsi" w:hAnsiTheme="majorHAnsi"/>
          <w:noProof/>
          <w:szCs w:val="22"/>
          <w:lang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DC80B1" wp14:editId="0924717E">
                <wp:simplePos x="0" y="0"/>
                <wp:positionH relativeFrom="margin">
                  <wp:posOffset>-60960</wp:posOffset>
                </wp:positionH>
                <wp:positionV relativeFrom="paragraph">
                  <wp:posOffset>666750</wp:posOffset>
                </wp:positionV>
                <wp:extent cx="5375082" cy="294198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082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D2642" w14:textId="3B45C933" w:rsidR="0001002C" w:rsidRPr="006260F9" w:rsidRDefault="0001002C" w:rsidP="00044E68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* </w:t>
                            </w:r>
                            <w:r>
                              <w:rPr>
                                <w:rFonts w:ascii="SegoeUI" w:hAnsi="SegoeUI"/>
                                <w:sz w:val="16"/>
                                <w:szCs w:val="16"/>
                              </w:rPr>
                              <w:t>Скориговано з урахуванням одноразових витрат/надходжень та витрат на реструктуризацію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C80B1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-4.8pt;margin-top:52.5pt;width:423.25pt;height:23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8/U9AEAAMoDAAAOAAAAZHJzL2Uyb0RvYy54bWysU8GO0zAQvSPxD5bvNG1p2TZqulq6KkJa&#10;FqSFD3AcJ7FwPGbsNilfz9jpdgvcEDlYHo/9Zt6bl83t0Bl2VOg12ILPJlPOlJVQadsU/NvX/ZsV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" stroked="f">
                <v:textbox>
                  <w:txbxContent>
                    <w:p w14:paraId="384D2642" w14:textId="3B45C933" w:rsidR="0001002C" w:rsidRPr="006260F9" w:rsidRDefault="0001002C" w:rsidP="00044E68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* </w:t>
                      </w:r>
                      <w:r>
                        <w:rPr>
                          <w:rFonts w:ascii="SegoeUI" w:hAnsi="SegoeUI"/>
                          <w:sz w:val="16"/>
                          <w:szCs w:val="16"/>
                        </w:rPr>
                        <w:t>Скориговано з урахуванням одноразових витрат/надходжень та витрат на реструктуризацію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EA3269" w14:textId="3FBE9370" w:rsidR="004B7CCC" w:rsidRPr="00E83717" w:rsidRDefault="00435150" w:rsidP="004B7CCC">
      <w:pPr>
        <w:rPr>
          <w:rFonts w:cs="Segoe UI"/>
          <w:b/>
          <w:bCs/>
          <w:sz w:val="20"/>
          <w:szCs w:val="20"/>
        </w:rPr>
      </w:pPr>
      <w:r w:rsidRPr="00E83717">
        <w:rPr>
          <w:b/>
          <w:bCs/>
          <w:sz w:val="20"/>
          <w:szCs w:val="20"/>
        </w:rPr>
        <w:lastRenderedPageBreak/>
        <w:t xml:space="preserve">«У дуже складних умовах показники продажів за перше півріччя перевершили попередні очікування на весь рік, а рівень прибутку збігся з нашим прогнозом на 2022 фінансовий рік. </w:t>
      </w:r>
      <w:r w:rsidR="00DE138C">
        <w:rPr>
          <w:b/>
          <w:bCs/>
          <w:sz w:val="20"/>
          <w:szCs w:val="20"/>
        </w:rPr>
        <w:t>З огляду на</w:t>
      </w:r>
      <w:r w:rsidR="00306747" w:rsidRPr="00E83717">
        <w:rPr>
          <w:b/>
          <w:bCs/>
          <w:sz w:val="20"/>
          <w:szCs w:val="20"/>
        </w:rPr>
        <w:t xml:space="preserve"> </w:t>
      </w:r>
      <w:r w:rsidRPr="00E83717">
        <w:rPr>
          <w:b/>
          <w:bCs/>
          <w:sz w:val="20"/>
          <w:szCs w:val="20"/>
        </w:rPr>
        <w:t xml:space="preserve">такий стан справ, ми підвищили наш прогноз щодо органічного зростання продажів Групи на весь рік і підтвердили наші прогнози щодо рентабельності EBIT та прибутку на привілейовану акцію», – заявив </w:t>
      </w:r>
      <w:r w:rsidR="00433EB8" w:rsidRPr="00AD6A11">
        <w:rPr>
          <w:b/>
          <w:bCs/>
          <w:sz w:val="20"/>
          <w:szCs w:val="20"/>
        </w:rPr>
        <w:t>голова правління Ради директорів компанії «</w:t>
      </w:r>
      <w:proofErr w:type="spellStart"/>
      <w:r w:rsidR="00433EB8" w:rsidRPr="00AD6A11">
        <w:rPr>
          <w:b/>
          <w:bCs/>
          <w:sz w:val="20"/>
          <w:szCs w:val="20"/>
        </w:rPr>
        <w:t>Хенкель</w:t>
      </w:r>
      <w:proofErr w:type="spellEnd"/>
      <w:r w:rsidR="00433EB8" w:rsidRPr="00AD6A11">
        <w:rPr>
          <w:b/>
          <w:bCs/>
          <w:sz w:val="20"/>
          <w:szCs w:val="20"/>
        </w:rPr>
        <w:t xml:space="preserve">» </w:t>
      </w:r>
      <w:proofErr w:type="spellStart"/>
      <w:r w:rsidR="00433EB8" w:rsidRPr="00AD6A11">
        <w:rPr>
          <w:b/>
          <w:bCs/>
          <w:sz w:val="20"/>
          <w:szCs w:val="20"/>
        </w:rPr>
        <w:t>Карстен</w:t>
      </w:r>
      <w:proofErr w:type="spellEnd"/>
      <w:r w:rsidR="00433EB8" w:rsidRPr="00AD6A11">
        <w:rPr>
          <w:b/>
          <w:bCs/>
          <w:sz w:val="20"/>
          <w:szCs w:val="20"/>
        </w:rPr>
        <w:t xml:space="preserve"> </w:t>
      </w:r>
      <w:proofErr w:type="spellStart"/>
      <w:r w:rsidR="00433EB8" w:rsidRPr="00AD6A11">
        <w:rPr>
          <w:b/>
          <w:bCs/>
          <w:sz w:val="20"/>
          <w:szCs w:val="20"/>
        </w:rPr>
        <w:t>Кнобель</w:t>
      </w:r>
      <w:proofErr w:type="spellEnd"/>
      <w:r w:rsidR="00433EB8" w:rsidRPr="00AD6A11">
        <w:rPr>
          <w:b/>
          <w:bCs/>
          <w:sz w:val="20"/>
          <w:szCs w:val="20"/>
        </w:rPr>
        <w:t xml:space="preserve"> (</w:t>
      </w:r>
      <w:proofErr w:type="spellStart"/>
      <w:r w:rsidR="00433EB8" w:rsidRPr="00AD6A11">
        <w:rPr>
          <w:b/>
          <w:bCs/>
          <w:sz w:val="20"/>
          <w:szCs w:val="20"/>
        </w:rPr>
        <w:t>Carsten</w:t>
      </w:r>
      <w:proofErr w:type="spellEnd"/>
      <w:r w:rsidR="00433EB8" w:rsidRPr="00AD6A11">
        <w:rPr>
          <w:b/>
          <w:bCs/>
          <w:sz w:val="20"/>
          <w:szCs w:val="20"/>
        </w:rPr>
        <w:t xml:space="preserve"> </w:t>
      </w:r>
      <w:proofErr w:type="spellStart"/>
      <w:r w:rsidR="00433EB8" w:rsidRPr="00AD6A11">
        <w:rPr>
          <w:b/>
          <w:bCs/>
          <w:sz w:val="20"/>
          <w:szCs w:val="20"/>
        </w:rPr>
        <w:t>Knobel</w:t>
      </w:r>
      <w:proofErr w:type="spellEnd"/>
      <w:r w:rsidR="00433EB8" w:rsidRPr="00AD6A11">
        <w:rPr>
          <w:b/>
          <w:bCs/>
          <w:sz w:val="20"/>
          <w:szCs w:val="20"/>
        </w:rPr>
        <w:t>).</w:t>
      </w:r>
    </w:p>
    <w:p w14:paraId="26C96FBA" w14:textId="19D85A51" w:rsidR="004B7CCC" w:rsidRPr="00E83717" w:rsidRDefault="00DA4D27" w:rsidP="00DA4D27">
      <w:pPr>
        <w:rPr>
          <w:rFonts w:cs="Segoe UI"/>
          <w:b/>
          <w:bCs/>
          <w:sz w:val="20"/>
          <w:szCs w:val="20"/>
        </w:rPr>
      </w:pPr>
      <w:r w:rsidRPr="00E83717">
        <w:rPr>
          <w:b/>
          <w:bCs/>
          <w:sz w:val="20"/>
          <w:szCs w:val="20"/>
        </w:rPr>
        <w:t xml:space="preserve">«Ми послідовно реалізуємо нашу стратегію цілеспрямованого зростання і досягли значного прогресу в її реалізації у першій половині 2022 року – насамперед завдяки великій самовідданості наших працівників по всьому світу. Завдяки нашому бізнес-підрозділу «Клейові технології» ми є світовим лідером у забезпеченні інноваційних рішень, орієнтуючись на такі майбутні тенденції, як мобільність, зв'язок </w:t>
      </w:r>
      <w:r w:rsidR="00306747">
        <w:rPr>
          <w:b/>
          <w:bCs/>
          <w:sz w:val="20"/>
          <w:szCs w:val="20"/>
        </w:rPr>
        <w:t>і</w:t>
      </w:r>
      <w:r w:rsidR="00306747" w:rsidRPr="00E83717">
        <w:rPr>
          <w:b/>
          <w:bCs/>
          <w:sz w:val="20"/>
          <w:szCs w:val="20"/>
        </w:rPr>
        <w:t xml:space="preserve"> </w:t>
      </w:r>
      <w:r w:rsidRPr="00E83717">
        <w:rPr>
          <w:b/>
          <w:bCs/>
          <w:sz w:val="20"/>
          <w:szCs w:val="20"/>
        </w:rPr>
        <w:t xml:space="preserve">сталий розвиток. Об'єднавши наші бізнес-підрозділи споживчих товарів «Засоби для прання та догляду за оселею» і «Косметичні засоби», ми створюємо </w:t>
      </w:r>
      <w:proofErr w:type="spellStart"/>
      <w:r w:rsidRPr="00E83717">
        <w:rPr>
          <w:b/>
          <w:bCs/>
          <w:sz w:val="20"/>
          <w:szCs w:val="20"/>
        </w:rPr>
        <w:t>мультикатегорійну</w:t>
      </w:r>
      <w:proofErr w:type="spellEnd"/>
      <w:r w:rsidRPr="00E83717">
        <w:rPr>
          <w:b/>
          <w:bCs/>
          <w:sz w:val="20"/>
          <w:szCs w:val="20"/>
        </w:rPr>
        <w:t xml:space="preserve"> платформу з обсягом продажів у розмірі близько 10 мільярдів євро. Ми рухаємося </w:t>
      </w:r>
      <w:r w:rsidR="00306747">
        <w:rPr>
          <w:b/>
          <w:bCs/>
          <w:sz w:val="20"/>
          <w:szCs w:val="20"/>
        </w:rPr>
        <w:t>у</w:t>
      </w:r>
      <w:r w:rsidR="00306747" w:rsidRPr="00E83717">
        <w:rPr>
          <w:b/>
          <w:bCs/>
          <w:sz w:val="20"/>
          <w:szCs w:val="20"/>
        </w:rPr>
        <w:t xml:space="preserve"> </w:t>
      </w:r>
      <w:r w:rsidRPr="00E83717">
        <w:rPr>
          <w:b/>
          <w:bCs/>
          <w:sz w:val="20"/>
          <w:szCs w:val="20"/>
        </w:rPr>
        <w:t xml:space="preserve">правильному напрямку і маємо на меті </w:t>
      </w:r>
      <w:r w:rsidR="00DE138C" w:rsidRPr="00E83717">
        <w:rPr>
          <w:b/>
          <w:bCs/>
          <w:sz w:val="20"/>
          <w:szCs w:val="20"/>
        </w:rPr>
        <w:t>сформ</w:t>
      </w:r>
      <w:r w:rsidR="00DE138C">
        <w:rPr>
          <w:b/>
          <w:bCs/>
          <w:sz w:val="20"/>
          <w:szCs w:val="20"/>
        </w:rPr>
        <w:t>у</w:t>
      </w:r>
      <w:r w:rsidR="00DE138C" w:rsidRPr="00E83717">
        <w:rPr>
          <w:b/>
          <w:bCs/>
          <w:sz w:val="20"/>
          <w:szCs w:val="20"/>
        </w:rPr>
        <w:t>ва</w:t>
      </w:r>
      <w:r w:rsidR="00DE138C">
        <w:rPr>
          <w:b/>
          <w:bCs/>
          <w:sz w:val="20"/>
          <w:szCs w:val="20"/>
        </w:rPr>
        <w:t>ти</w:t>
      </w:r>
      <w:r w:rsidR="00DE138C" w:rsidRPr="00E83717">
        <w:rPr>
          <w:b/>
          <w:bCs/>
          <w:sz w:val="20"/>
          <w:szCs w:val="20"/>
        </w:rPr>
        <w:t xml:space="preserve"> </w:t>
      </w:r>
      <w:r w:rsidRPr="00E83717">
        <w:rPr>
          <w:b/>
          <w:bCs/>
          <w:sz w:val="20"/>
          <w:szCs w:val="20"/>
        </w:rPr>
        <w:t xml:space="preserve">наш майбутній бізнес-підрозділ «Споживчі бренди» на початку 2023 року. Об'єднаний бізнес-підрозділ забезпечить ширшу базу для </w:t>
      </w:r>
      <w:proofErr w:type="spellStart"/>
      <w:r w:rsidRPr="00E83717">
        <w:rPr>
          <w:b/>
          <w:bCs/>
          <w:sz w:val="20"/>
          <w:szCs w:val="20"/>
        </w:rPr>
        <w:t>послідовн</w:t>
      </w:r>
      <w:r w:rsidR="00306747">
        <w:rPr>
          <w:b/>
          <w:bCs/>
          <w:sz w:val="20"/>
          <w:szCs w:val="20"/>
        </w:rPr>
        <w:t>іш</w:t>
      </w:r>
      <w:r w:rsidRPr="00E83717">
        <w:rPr>
          <w:b/>
          <w:bCs/>
          <w:sz w:val="20"/>
          <w:szCs w:val="20"/>
        </w:rPr>
        <w:t>ої</w:t>
      </w:r>
      <w:proofErr w:type="spellEnd"/>
      <w:r w:rsidRPr="00E83717">
        <w:rPr>
          <w:b/>
          <w:bCs/>
          <w:sz w:val="20"/>
          <w:szCs w:val="20"/>
        </w:rPr>
        <w:t xml:space="preserve"> оптимізації нашого портфеля та виведе бізнес на вищі показники зростання та рентабельності».</w:t>
      </w:r>
    </w:p>
    <w:p w14:paraId="12C002F1" w14:textId="77777777" w:rsidR="004B7CCC" w:rsidRPr="00E83717" w:rsidRDefault="004B7CCC" w:rsidP="00E25F09">
      <w:pPr>
        <w:rPr>
          <w:rFonts w:cs="Segoe UI"/>
          <w:b/>
          <w:bCs/>
          <w:sz w:val="20"/>
          <w:szCs w:val="20"/>
        </w:rPr>
      </w:pPr>
    </w:p>
    <w:p w14:paraId="2AD961A9" w14:textId="6C1118A1" w:rsidR="004B7CCC" w:rsidRPr="00E83717" w:rsidRDefault="0084201F" w:rsidP="004B7CCC">
      <w:pPr>
        <w:spacing w:after="120"/>
        <w:ind w:right="-108"/>
        <w:jc w:val="left"/>
        <w:rPr>
          <w:rFonts w:cs="Segoe UI"/>
          <w:b/>
          <w:bCs/>
          <w:sz w:val="20"/>
          <w:szCs w:val="20"/>
        </w:rPr>
      </w:pPr>
      <w:r w:rsidRPr="00E83717">
        <w:rPr>
          <w:b/>
          <w:bCs/>
          <w:sz w:val="20"/>
          <w:szCs w:val="20"/>
        </w:rPr>
        <w:t>Оновлено прогноз на 2022 фінансовий рік</w:t>
      </w:r>
    </w:p>
    <w:p w14:paraId="708451BB" w14:textId="10A3FB34" w:rsidR="004B7CCC" w:rsidRPr="00E83717" w:rsidRDefault="00274D13" w:rsidP="00274D13">
      <w:pPr>
        <w:rPr>
          <w:rFonts w:cs="Segoe UI"/>
          <w:b/>
          <w:bCs/>
          <w:sz w:val="20"/>
          <w:szCs w:val="20"/>
        </w:rPr>
      </w:pPr>
      <w:r w:rsidRPr="00E83717">
        <w:rPr>
          <w:b/>
          <w:bCs/>
          <w:sz w:val="20"/>
          <w:szCs w:val="20"/>
        </w:rPr>
        <w:t>Тепер компанія «</w:t>
      </w:r>
      <w:proofErr w:type="spellStart"/>
      <w:r w:rsidRPr="00E83717">
        <w:rPr>
          <w:b/>
          <w:bCs/>
          <w:sz w:val="20"/>
          <w:szCs w:val="20"/>
        </w:rPr>
        <w:t>Хенкель</w:t>
      </w:r>
      <w:proofErr w:type="spellEnd"/>
      <w:r w:rsidRPr="00E83717">
        <w:rPr>
          <w:b/>
          <w:bCs/>
          <w:sz w:val="20"/>
          <w:szCs w:val="20"/>
        </w:rPr>
        <w:t xml:space="preserve">» очікує, що органічне зростання продажів у 2022 фінансовому році перебуватиме у діапазоні від +4,5 до +6,5% (попередній прогноз: від +3,5 до +5,5%). У бізнес-підрозділі «Клейові технології» органічне зростання продажів, як і раніше, </w:t>
      </w:r>
      <w:r w:rsidRPr="00A34DDF">
        <w:rPr>
          <w:b/>
          <w:bCs/>
          <w:sz w:val="20"/>
          <w:szCs w:val="20"/>
        </w:rPr>
        <w:t>о</w:t>
      </w:r>
      <w:r w:rsidRPr="006E723E">
        <w:rPr>
          <w:b/>
          <w:bCs/>
          <w:sz w:val="20"/>
          <w:szCs w:val="20"/>
        </w:rPr>
        <w:t>чікується на рівні від +8,0 до +10,0 відсотків. У бізнес-підрозділі «Косметичні засоби» компанія «</w:t>
      </w:r>
      <w:proofErr w:type="spellStart"/>
      <w:r w:rsidRPr="006E723E">
        <w:rPr>
          <w:b/>
          <w:bCs/>
          <w:sz w:val="20"/>
          <w:szCs w:val="20"/>
        </w:rPr>
        <w:t>Хенкель</w:t>
      </w:r>
      <w:proofErr w:type="spellEnd"/>
      <w:r w:rsidRPr="006E723E">
        <w:rPr>
          <w:b/>
          <w:bCs/>
          <w:sz w:val="20"/>
          <w:szCs w:val="20"/>
        </w:rPr>
        <w:t xml:space="preserve">» </w:t>
      </w:r>
      <w:r w:rsidR="006E723E" w:rsidRPr="00E41FB1">
        <w:rPr>
          <w:b/>
          <w:bCs/>
          <w:sz w:val="20"/>
          <w:szCs w:val="20"/>
        </w:rPr>
        <w:t>передбача</w:t>
      </w:r>
      <w:r w:rsidR="00A34DDF" w:rsidRPr="00E41FB1">
        <w:rPr>
          <w:b/>
          <w:bCs/>
          <w:sz w:val="20"/>
          <w:szCs w:val="20"/>
        </w:rPr>
        <w:t>є</w:t>
      </w:r>
      <w:r w:rsidRPr="006E723E">
        <w:rPr>
          <w:b/>
          <w:bCs/>
          <w:sz w:val="20"/>
          <w:szCs w:val="20"/>
        </w:rPr>
        <w:t>, що органічне зростання продажів становитиме від -3,0 до -1,0 відсотка</w:t>
      </w:r>
      <w:r w:rsidR="00306747" w:rsidRPr="006E723E">
        <w:rPr>
          <w:b/>
          <w:bCs/>
          <w:sz w:val="20"/>
          <w:szCs w:val="20"/>
        </w:rPr>
        <w:t xml:space="preserve"> </w:t>
      </w:r>
      <w:r w:rsidRPr="006E723E">
        <w:rPr>
          <w:b/>
          <w:bCs/>
          <w:sz w:val="20"/>
          <w:szCs w:val="20"/>
        </w:rPr>
        <w:t>(попередній прогноз: від -5,0 до -3,0 відсотка). У бізнес-підрозділі «Засоби для прання та догляду за оселею» компанія «</w:t>
      </w:r>
      <w:proofErr w:type="spellStart"/>
      <w:r w:rsidRPr="006E723E">
        <w:rPr>
          <w:b/>
          <w:bCs/>
          <w:sz w:val="20"/>
          <w:szCs w:val="20"/>
        </w:rPr>
        <w:t>Хенкель</w:t>
      </w:r>
      <w:proofErr w:type="spellEnd"/>
      <w:r w:rsidRPr="006E723E">
        <w:rPr>
          <w:b/>
          <w:bCs/>
          <w:sz w:val="20"/>
          <w:szCs w:val="20"/>
        </w:rPr>
        <w:t xml:space="preserve">» </w:t>
      </w:r>
      <w:r w:rsidR="006E723E">
        <w:rPr>
          <w:b/>
          <w:bCs/>
          <w:sz w:val="20"/>
          <w:szCs w:val="20"/>
        </w:rPr>
        <w:t>нині</w:t>
      </w:r>
      <w:r w:rsidR="006E723E" w:rsidRPr="006E723E">
        <w:rPr>
          <w:b/>
          <w:bCs/>
          <w:sz w:val="20"/>
          <w:szCs w:val="20"/>
        </w:rPr>
        <w:t xml:space="preserve"> </w:t>
      </w:r>
      <w:r w:rsidRPr="006E723E">
        <w:rPr>
          <w:b/>
          <w:bCs/>
          <w:sz w:val="20"/>
          <w:szCs w:val="20"/>
        </w:rPr>
        <w:t>очік</w:t>
      </w:r>
      <w:r w:rsidRPr="00A34DDF">
        <w:rPr>
          <w:b/>
          <w:bCs/>
          <w:sz w:val="20"/>
          <w:szCs w:val="20"/>
        </w:rPr>
        <w:t>ує органічне зростання продажів у діапазоні від +4,0 до +6,0</w:t>
      </w:r>
      <w:r w:rsidR="00306747" w:rsidRPr="00A34DDF">
        <w:rPr>
          <w:b/>
          <w:bCs/>
          <w:sz w:val="20"/>
          <w:szCs w:val="20"/>
        </w:rPr>
        <w:t> </w:t>
      </w:r>
      <w:r w:rsidRPr="00A34DDF">
        <w:rPr>
          <w:b/>
          <w:bCs/>
          <w:sz w:val="20"/>
          <w:szCs w:val="20"/>
        </w:rPr>
        <w:t>% (попередній прогноз: від +2,0 до +4,0</w:t>
      </w:r>
      <w:r w:rsidR="00306747" w:rsidRPr="00A34DDF">
        <w:rPr>
          <w:b/>
          <w:bCs/>
          <w:sz w:val="20"/>
          <w:szCs w:val="20"/>
        </w:rPr>
        <w:t> </w:t>
      </w:r>
      <w:r w:rsidRPr="00A34DDF">
        <w:rPr>
          <w:b/>
          <w:bCs/>
          <w:sz w:val="20"/>
          <w:szCs w:val="20"/>
        </w:rPr>
        <w:t xml:space="preserve">%). Скоригована рентабельність EBIT на рівні Групи, </w:t>
      </w:r>
      <w:r w:rsidR="00A34DDF" w:rsidRPr="00A34DDF">
        <w:rPr>
          <w:b/>
          <w:bCs/>
          <w:sz w:val="20"/>
          <w:szCs w:val="20"/>
        </w:rPr>
        <w:t>за очікуваннями</w:t>
      </w:r>
      <w:r w:rsidRPr="00A34DDF">
        <w:rPr>
          <w:b/>
          <w:bCs/>
          <w:sz w:val="20"/>
          <w:szCs w:val="20"/>
        </w:rPr>
        <w:t xml:space="preserve">, залишиться незмінною і перебуватиме в діапазоні від 9,0 до 11,0 відсотків. Що стосується скоригованого прибутку на привілейовану акцію (EPS) </w:t>
      </w:r>
      <w:r w:rsidR="00306747" w:rsidRPr="00A34DDF">
        <w:rPr>
          <w:b/>
          <w:bCs/>
          <w:sz w:val="20"/>
          <w:szCs w:val="20"/>
        </w:rPr>
        <w:t xml:space="preserve">за незмінного курсу </w:t>
      </w:r>
      <w:r w:rsidRPr="00A34DDF">
        <w:rPr>
          <w:b/>
          <w:bCs/>
          <w:sz w:val="20"/>
          <w:szCs w:val="20"/>
        </w:rPr>
        <w:t>валют, «</w:t>
      </w:r>
      <w:proofErr w:type="spellStart"/>
      <w:r w:rsidRPr="00A34DDF">
        <w:rPr>
          <w:b/>
          <w:bCs/>
          <w:sz w:val="20"/>
          <w:szCs w:val="20"/>
        </w:rPr>
        <w:t>Хенкель</w:t>
      </w:r>
      <w:proofErr w:type="spellEnd"/>
      <w:r w:rsidRPr="00A34DDF">
        <w:rPr>
          <w:b/>
          <w:bCs/>
          <w:sz w:val="20"/>
          <w:szCs w:val="20"/>
        </w:rPr>
        <w:t>»</w:t>
      </w:r>
      <w:r w:rsidR="00DE138C">
        <w:rPr>
          <w:b/>
          <w:bCs/>
          <w:sz w:val="20"/>
          <w:szCs w:val="20"/>
        </w:rPr>
        <w:t>,</w:t>
      </w:r>
      <w:r w:rsidRPr="00A34DDF">
        <w:rPr>
          <w:b/>
          <w:bCs/>
          <w:sz w:val="20"/>
          <w:szCs w:val="20"/>
        </w:rPr>
        <w:t xml:space="preserve"> як і раніше, </w:t>
      </w:r>
      <w:r w:rsidR="00A34DDF">
        <w:rPr>
          <w:b/>
          <w:bCs/>
          <w:sz w:val="20"/>
          <w:szCs w:val="20"/>
        </w:rPr>
        <w:t>прогнозує</w:t>
      </w:r>
      <w:r w:rsidRPr="00E83717">
        <w:rPr>
          <w:b/>
          <w:bCs/>
          <w:sz w:val="20"/>
          <w:szCs w:val="20"/>
        </w:rPr>
        <w:t xml:space="preserve"> зниження цього показника в діапазоні від -35 до -15 відсотків.</w:t>
      </w:r>
    </w:p>
    <w:p w14:paraId="69CC0EBD" w14:textId="489A8D3D" w:rsidR="007709ED" w:rsidRPr="00E83717" w:rsidRDefault="007709ED" w:rsidP="0094024E">
      <w:pPr>
        <w:rPr>
          <w:rFonts w:cs="Segoe UI"/>
          <w:b/>
          <w:bCs/>
          <w:sz w:val="20"/>
          <w:szCs w:val="20"/>
        </w:rPr>
      </w:pPr>
    </w:p>
    <w:p w14:paraId="6326D8AF" w14:textId="667C2305" w:rsidR="004B7CCC" w:rsidRPr="00E83717" w:rsidRDefault="0033750F" w:rsidP="006B3442">
      <w:pPr>
        <w:spacing w:after="120"/>
        <w:ind w:right="-108"/>
        <w:jc w:val="left"/>
        <w:rPr>
          <w:rFonts w:cs="Segoe UI"/>
          <w:b/>
          <w:bCs/>
          <w:sz w:val="20"/>
          <w:szCs w:val="20"/>
        </w:rPr>
      </w:pPr>
      <w:r w:rsidRPr="00E83717">
        <w:rPr>
          <w:b/>
          <w:bCs/>
          <w:sz w:val="20"/>
          <w:szCs w:val="20"/>
        </w:rPr>
        <w:t>Припинення діяльності в Росії та Білорусі</w:t>
      </w:r>
    </w:p>
    <w:p w14:paraId="44F53771" w14:textId="0BE5FC73" w:rsidR="007709ED" w:rsidRPr="00E83717" w:rsidRDefault="00D012A9" w:rsidP="0094024E">
      <w:pPr>
        <w:rPr>
          <w:rFonts w:cs="Segoe UI"/>
          <w:b/>
          <w:bCs/>
          <w:sz w:val="20"/>
          <w:szCs w:val="20"/>
        </w:rPr>
      </w:pPr>
      <w:r w:rsidRPr="00E83717">
        <w:rPr>
          <w:b/>
          <w:bCs/>
          <w:sz w:val="20"/>
          <w:szCs w:val="20"/>
        </w:rPr>
        <w:t>У квітні 2022 року компанія «</w:t>
      </w:r>
      <w:proofErr w:type="spellStart"/>
      <w:r w:rsidRPr="00E83717">
        <w:rPr>
          <w:b/>
          <w:bCs/>
          <w:sz w:val="20"/>
          <w:szCs w:val="20"/>
        </w:rPr>
        <w:t>Хенкель</w:t>
      </w:r>
      <w:proofErr w:type="spellEnd"/>
      <w:r w:rsidRPr="00E83717">
        <w:rPr>
          <w:b/>
          <w:bCs/>
          <w:sz w:val="20"/>
          <w:szCs w:val="20"/>
        </w:rPr>
        <w:t>» ухвалила рішення про припинення своєї діяльності в Росії та Білорусі. «</w:t>
      </w:r>
      <w:proofErr w:type="spellStart"/>
      <w:r w:rsidRPr="00E83717">
        <w:rPr>
          <w:b/>
          <w:bCs/>
          <w:sz w:val="20"/>
          <w:szCs w:val="20"/>
        </w:rPr>
        <w:t>Хенкель</w:t>
      </w:r>
      <w:proofErr w:type="spellEnd"/>
      <w:r w:rsidRPr="00E83717">
        <w:rPr>
          <w:b/>
          <w:bCs/>
          <w:sz w:val="20"/>
          <w:szCs w:val="20"/>
        </w:rPr>
        <w:t>» ретельно оцінює всі можливі варіанти і має намір завершити цей процес до кінця року.</w:t>
      </w:r>
    </w:p>
    <w:p w14:paraId="1B43487D" w14:textId="77777777" w:rsidR="008E5D13" w:rsidRPr="00E83717" w:rsidRDefault="008E5D13" w:rsidP="00226640">
      <w:pPr>
        <w:spacing w:after="120"/>
        <w:rPr>
          <w:rFonts w:cs="Segoe UI"/>
          <w:b/>
          <w:bCs/>
          <w:sz w:val="20"/>
          <w:szCs w:val="20"/>
        </w:rPr>
      </w:pPr>
    </w:p>
    <w:p w14:paraId="5D8D8BE2" w14:textId="77777777" w:rsidR="00B02550" w:rsidRPr="00E83717" w:rsidRDefault="00B02550">
      <w:pPr>
        <w:spacing w:line="240" w:lineRule="auto"/>
        <w:jc w:val="left"/>
        <w:rPr>
          <w:rFonts w:ascii="SegoeUI-Bold" w:hAnsi="SegoeUI-Bold" w:cs="SegoeUI-Bold"/>
          <w:b/>
          <w:bCs/>
          <w:sz w:val="20"/>
          <w:szCs w:val="20"/>
        </w:rPr>
      </w:pPr>
      <w:r w:rsidRPr="00E83717">
        <w:rPr>
          <w:sz w:val="20"/>
          <w:szCs w:val="22"/>
        </w:rPr>
        <w:br w:type="page"/>
      </w:r>
    </w:p>
    <w:p w14:paraId="4F0E1CDA" w14:textId="08E8944A" w:rsidR="00226640" w:rsidRPr="00E83717" w:rsidRDefault="00D012A9" w:rsidP="00226640">
      <w:pPr>
        <w:spacing w:after="120"/>
        <w:rPr>
          <w:rFonts w:cs="Segoe UI"/>
          <w:b/>
          <w:bCs/>
          <w:sz w:val="20"/>
          <w:szCs w:val="20"/>
        </w:rPr>
      </w:pPr>
      <w:r w:rsidRPr="00E83717">
        <w:rPr>
          <w:rFonts w:ascii="SegoeUI-Bold" w:hAnsi="SegoeUI-Bold"/>
          <w:b/>
          <w:bCs/>
          <w:sz w:val="20"/>
          <w:szCs w:val="20"/>
        </w:rPr>
        <w:lastRenderedPageBreak/>
        <w:t>Показники продажів і прибутку Групи за перше півріччя 2022 року</w:t>
      </w:r>
    </w:p>
    <w:p w14:paraId="15B12E1C" w14:textId="2E2E3B44" w:rsidR="00466B0F" w:rsidRPr="00E83717" w:rsidRDefault="006B14D8" w:rsidP="0095097D">
      <w:pPr>
        <w:rPr>
          <w:rFonts w:cs="Segoe UI"/>
          <w:sz w:val="20"/>
          <w:szCs w:val="20"/>
        </w:rPr>
      </w:pPr>
      <w:r w:rsidRPr="00E83717">
        <w:rPr>
          <w:sz w:val="20"/>
          <w:szCs w:val="22"/>
        </w:rPr>
        <w:t xml:space="preserve">Обсяг продажів </w:t>
      </w:r>
      <w:r w:rsidRPr="00E83717">
        <w:rPr>
          <w:b/>
          <w:bCs/>
          <w:sz w:val="20"/>
          <w:szCs w:val="20"/>
        </w:rPr>
        <w:t>Групи</w:t>
      </w:r>
      <w:r w:rsidRPr="00E83717">
        <w:rPr>
          <w:sz w:val="20"/>
          <w:szCs w:val="22"/>
        </w:rPr>
        <w:t xml:space="preserve"> у першому півріччі 2022 року становив 10 913 млн євро, що на +9,9 відсотка вище за рівень минулого року (2 квартал: 5 642 млн євро, +13,8 відсотка). </w:t>
      </w:r>
      <w:r w:rsidRPr="00E83717">
        <w:rPr>
          <w:b/>
          <w:bCs/>
          <w:sz w:val="20"/>
          <w:szCs w:val="20"/>
        </w:rPr>
        <w:t>Органічні показники</w:t>
      </w:r>
      <w:r w:rsidRPr="00E83717">
        <w:rPr>
          <w:sz w:val="20"/>
          <w:szCs w:val="22"/>
        </w:rPr>
        <w:t xml:space="preserve"> </w:t>
      </w:r>
      <w:r w:rsidRPr="00E83717">
        <w:rPr>
          <w:b/>
          <w:bCs/>
          <w:sz w:val="20"/>
          <w:szCs w:val="20"/>
        </w:rPr>
        <w:t>продажів</w:t>
      </w:r>
      <w:r w:rsidRPr="00E83717">
        <w:rPr>
          <w:sz w:val="20"/>
          <w:szCs w:val="22"/>
        </w:rPr>
        <w:t xml:space="preserve">, що </w:t>
      </w:r>
      <w:r w:rsidR="00DE138C">
        <w:rPr>
          <w:sz w:val="20"/>
          <w:szCs w:val="22"/>
        </w:rPr>
        <w:t xml:space="preserve">не враховують </w:t>
      </w:r>
      <w:r w:rsidRPr="00E83717">
        <w:rPr>
          <w:sz w:val="20"/>
          <w:szCs w:val="22"/>
        </w:rPr>
        <w:t xml:space="preserve">вплив курсів валют і придбання/продаж активів, продемонстрували значне зростання на рівні +8,9 відсотка (2 квартал: +10,9 відсотка). Негативний вплив придбання та продажу активів на динаміку продажів </w:t>
      </w:r>
      <w:r w:rsidR="00306747">
        <w:rPr>
          <w:sz w:val="20"/>
          <w:szCs w:val="22"/>
        </w:rPr>
        <w:t>досяг</w:t>
      </w:r>
      <w:r w:rsidR="00306747" w:rsidRPr="00E83717">
        <w:rPr>
          <w:sz w:val="20"/>
          <w:szCs w:val="22"/>
        </w:rPr>
        <w:t xml:space="preserve"> </w:t>
      </w:r>
      <w:r w:rsidRPr="00E83717">
        <w:rPr>
          <w:sz w:val="20"/>
          <w:szCs w:val="22"/>
        </w:rPr>
        <w:t xml:space="preserve">-1,4 відсотка (2 квартал: -1,8 відсотка). З початку другого кварталу сюди входять наслідки оголошеного припинення діяльності у Росії та Білорусі. Вплив курсів валют </w:t>
      </w:r>
      <w:r w:rsidR="00306747">
        <w:rPr>
          <w:sz w:val="20"/>
          <w:szCs w:val="22"/>
        </w:rPr>
        <w:t>зумовив</w:t>
      </w:r>
      <w:r w:rsidRPr="00E83717">
        <w:rPr>
          <w:sz w:val="20"/>
          <w:szCs w:val="22"/>
        </w:rPr>
        <w:t xml:space="preserve"> збільшення продажів на +2,4 відсотка (2 квартал: +4,7 відсотка). Сюди також входить вплив застосування МСБО 29 (Фінансова звітність в умовах гіперінфляції), обов'язкового для Туреччини з початку звітного періоду.</w:t>
      </w:r>
    </w:p>
    <w:p w14:paraId="79381667" w14:textId="5804D6C9" w:rsidR="004B7CCC" w:rsidRPr="00E83717" w:rsidRDefault="004B7CCC" w:rsidP="0095097D">
      <w:pPr>
        <w:rPr>
          <w:rFonts w:cs="Segoe UI"/>
          <w:sz w:val="20"/>
          <w:szCs w:val="20"/>
        </w:rPr>
      </w:pPr>
    </w:p>
    <w:p w14:paraId="50B72FBD" w14:textId="6E369AF3" w:rsidR="004B7CCC" w:rsidRPr="00E83717" w:rsidRDefault="00DE138C" w:rsidP="004B7CCC">
      <w:pPr>
        <w:rPr>
          <w:rFonts w:cs="Segoe UI"/>
          <w:sz w:val="20"/>
          <w:szCs w:val="20"/>
        </w:rPr>
      </w:pPr>
      <w:r w:rsidRPr="00E83717">
        <w:rPr>
          <w:sz w:val="20"/>
          <w:szCs w:val="22"/>
        </w:rPr>
        <w:t>З</w:t>
      </w:r>
      <w:r>
        <w:rPr>
          <w:sz w:val="20"/>
          <w:szCs w:val="22"/>
        </w:rPr>
        <w:t>більше</w:t>
      </w:r>
      <w:r w:rsidRPr="00E83717">
        <w:rPr>
          <w:sz w:val="20"/>
          <w:szCs w:val="22"/>
        </w:rPr>
        <w:t xml:space="preserve">ння </w:t>
      </w:r>
      <w:r w:rsidR="007927E2" w:rsidRPr="00E83717">
        <w:rPr>
          <w:sz w:val="20"/>
          <w:szCs w:val="22"/>
        </w:rPr>
        <w:t xml:space="preserve">продажів у першому півріччі було зумовлене головним чином бізнес-підрозділом </w:t>
      </w:r>
      <w:r w:rsidR="007927E2" w:rsidRPr="00E83717">
        <w:rPr>
          <w:b/>
          <w:bCs/>
          <w:sz w:val="20"/>
          <w:szCs w:val="20"/>
        </w:rPr>
        <w:t>«Клейові технології»</w:t>
      </w:r>
      <w:r w:rsidR="007927E2" w:rsidRPr="00E83717">
        <w:rPr>
          <w:sz w:val="20"/>
          <w:szCs w:val="22"/>
        </w:rPr>
        <w:t xml:space="preserve">, </w:t>
      </w:r>
      <w:r w:rsidR="00306747">
        <w:rPr>
          <w:sz w:val="20"/>
          <w:szCs w:val="22"/>
        </w:rPr>
        <w:t>що</w:t>
      </w:r>
      <w:r w:rsidR="00306747" w:rsidRPr="00E83717">
        <w:rPr>
          <w:sz w:val="20"/>
          <w:szCs w:val="22"/>
        </w:rPr>
        <w:t xml:space="preserve"> </w:t>
      </w:r>
      <w:r w:rsidR="007927E2" w:rsidRPr="00E83717">
        <w:rPr>
          <w:sz w:val="20"/>
          <w:szCs w:val="22"/>
        </w:rPr>
        <w:t xml:space="preserve">продемонстрував двозначне органічне зростання на рівні +12,2 відсотка. Тут усі напрями бізнесу </w:t>
      </w:r>
      <w:r w:rsidR="00E548A8">
        <w:rPr>
          <w:sz w:val="20"/>
          <w:szCs w:val="22"/>
        </w:rPr>
        <w:t xml:space="preserve">показали </w:t>
      </w:r>
      <w:r w:rsidR="007927E2" w:rsidRPr="00E83717">
        <w:rPr>
          <w:sz w:val="20"/>
          <w:szCs w:val="22"/>
        </w:rPr>
        <w:t xml:space="preserve">органічне </w:t>
      </w:r>
      <w:r w:rsidRPr="00E83717">
        <w:rPr>
          <w:sz w:val="20"/>
          <w:szCs w:val="22"/>
        </w:rPr>
        <w:t>з</w:t>
      </w:r>
      <w:r>
        <w:rPr>
          <w:sz w:val="20"/>
          <w:szCs w:val="22"/>
        </w:rPr>
        <w:t>більше</w:t>
      </w:r>
      <w:r w:rsidRPr="00E83717">
        <w:rPr>
          <w:sz w:val="20"/>
          <w:szCs w:val="22"/>
        </w:rPr>
        <w:t xml:space="preserve">ння </w:t>
      </w:r>
      <w:r w:rsidR="007927E2" w:rsidRPr="00E83717">
        <w:rPr>
          <w:sz w:val="20"/>
          <w:szCs w:val="22"/>
        </w:rPr>
        <w:t xml:space="preserve">продажів. У першому півріччі у бізнес-підрозділі </w:t>
      </w:r>
      <w:r w:rsidR="007927E2" w:rsidRPr="00E83717">
        <w:rPr>
          <w:b/>
          <w:bCs/>
          <w:sz w:val="20"/>
          <w:szCs w:val="20"/>
        </w:rPr>
        <w:t>«Косметичні засоби»</w:t>
      </w:r>
      <w:r w:rsidR="007927E2" w:rsidRPr="00E83717">
        <w:rPr>
          <w:sz w:val="20"/>
          <w:szCs w:val="22"/>
        </w:rPr>
        <w:t xml:space="preserve"> було зафіксовано органічне зростання продажів на +0,4 відсотка. У сегменті засобів для перукарень було досягнуто двозначного органічного </w:t>
      </w:r>
      <w:r w:rsidRPr="00E83717">
        <w:rPr>
          <w:sz w:val="20"/>
          <w:szCs w:val="22"/>
        </w:rPr>
        <w:t>з</w:t>
      </w:r>
      <w:r>
        <w:rPr>
          <w:sz w:val="20"/>
          <w:szCs w:val="22"/>
        </w:rPr>
        <w:t>більше</w:t>
      </w:r>
      <w:r w:rsidRPr="00E83717">
        <w:rPr>
          <w:sz w:val="20"/>
          <w:szCs w:val="22"/>
        </w:rPr>
        <w:t xml:space="preserve">ння </w:t>
      </w:r>
      <w:r w:rsidR="007927E2" w:rsidRPr="00E83717">
        <w:rPr>
          <w:sz w:val="20"/>
          <w:szCs w:val="22"/>
        </w:rPr>
        <w:t xml:space="preserve">продажів. Для порівняння, показники споживчого напряму були нижчими за рівень попереднього року, </w:t>
      </w:r>
      <w:r w:rsidR="00E548A8">
        <w:rPr>
          <w:sz w:val="20"/>
          <w:szCs w:val="22"/>
        </w:rPr>
        <w:t>насамперед</w:t>
      </w:r>
      <w:r w:rsidR="007927E2" w:rsidRPr="00E83717">
        <w:rPr>
          <w:sz w:val="20"/>
          <w:szCs w:val="22"/>
        </w:rPr>
        <w:t xml:space="preserve"> внаслідок оголошених заходів щодо вдосконалення портфеля. Бізнес-підрозділ </w:t>
      </w:r>
      <w:r w:rsidR="007927E2" w:rsidRPr="00E83717">
        <w:rPr>
          <w:b/>
          <w:bCs/>
          <w:sz w:val="20"/>
          <w:szCs w:val="20"/>
        </w:rPr>
        <w:t>«Засоби для прання та догляду за оселею»</w:t>
      </w:r>
      <w:r w:rsidR="007927E2" w:rsidRPr="00E83717">
        <w:rPr>
          <w:sz w:val="20"/>
          <w:szCs w:val="22"/>
        </w:rPr>
        <w:t xml:space="preserve"> продемонстрував значне органічне </w:t>
      </w:r>
      <w:r>
        <w:rPr>
          <w:sz w:val="20"/>
          <w:szCs w:val="22"/>
        </w:rPr>
        <w:t>збільшення</w:t>
      </w:r>
      <w:r w:rsidRPr="00E83717">
        <w:rPr>
          <w:sz w:val="20"/>
          <w:szCs w:val="22"/>
        </w:rPr>
        <w:t xml:space="preserve"> </w:t>
      </w:r>
      <w:r w:rsidR="007927E2" w:rsidRPr="00E83717">
        <w:rPr>
          <w:sz w:val="20"/>
          <w:szCs w:val="22"/>
        </w:rPr>
        <w:t>продажів на рівні +7,4%, чому сприяло значне зростання в сегменті засобів для прання. У першому півріччі у сегменті засобів для догляду за оселею спостерігалася позитивна динаміка органічних продажів.</w:t>
      </w:r>
    </w:p>
    <w:p w14:paraId="1E296B87" w14:textId="2A1209DD" w:rsidR="00226640" w:rsidRPr="00E83717" w:rsidRDefault="00226640" w:rsidP="00226640">
      <w:pPr>
        <w:rPr>
          <w:rFonts w:cs="Segoe UI"/>
          <w:sz w:val="20"/>
          <w:szCs w:val="20"/>
        </w:rPr>
      </w:pPr>
    </w:p>
    <w:p w14:paraId="360EE798" w14:textId="1537DFD0" w:rsidR="00226640" w:rsidRPr="00E83717" w:rsidRDefault="007927E2" w:rsidP="00226640">
      <w:pPr>
        <w:rPr>
          <w:rFonts w:cs="Segoe UI"/>
          <w:sz w:val="20"/>
          <w:szCs w:val="20"/>
        </w:rPr>
      </w:pPr>
      <w:r w:rsidRPr="00E83717">
        <w:rPr>
          <w:sz w:val="20"/>
          <w:szCs w:val="22"/>
        </w:rPr>
        <w:t xml:space="preserve">На </w:t>
      </w:r>
      <w:r w:rsidRPr="00E83717">
        <w:rPr>
          <w:b/>
          <w:sz w:val="20"/>
          <w:szCs w:val="20"/>
        </w:rPr>
        <w:t>ринках</w:t>
      </w:r>
      <w:r w:rsidRPr="00E83717">
        <w:rPr>
          <w:sz w:val="20"/>
          <w:szCs w:val="22"/>
        </w:rPr>
        <w:t xml:space="preserve">, що розвиваються, органічні продажі зростали двозначними темпами: +12,9 відсотка (2 квартал: +14,6 відсотка). На </w:t>
      </w:r>
      <w:r w:rsidRPr="00E83717">
        <w:rPr>
          <w:b/>
          <w:sz w:val="20"/>
          <w:szCs w:val="20"/>
        </w:rPr>
        <w:t>зрілих ринках</w:t>
      </w:r>
      <w:r w:rsidRPr="00E83717">
        <w:rPr>
          <w:sz w:val="20"/>
          <w:szCs w:val="22"/>
        </w:rPr>
        <w:t xml:space="preserve"> було досягнуто дуже високих органічних показників продажів: +5,5 відсотка (2 квартал: +7,8 відсотка).</w:t>
      </w:r>
    </w:p>
    <w:p w14:paraId="74D78BFB" w14:textId="77777777" w:rsidR="00226640" w:rsidRPr="00E83717" w:rsidRDefault="00226640" w:rsidP="00226640">
      <w:pPr>
        <w:rPr>
          <w:rFonts w:cs="Segoe UI"/>
          <w:sz w:val="20"/>
          <w:szCs w:val="20"/>
        </w:rPr>
      </w:pPr>
    </w:p>
    <w:p w14:paraId="0C220D41" w14:textId="3C0CA394" w:rsidR="00226640" w:rsidRPr="00E83717" w:rsidRDefault="007927E2" w:rsidP="007927E2">
      <w:pPr>
        <w:rPr>
          <w:rFonts w:cs="Segoe UI"/>
          <w:sz w:val="20"/>
          <w:szCs w:val="20"/>
        </w:rPr>
      </w:pPr>
      <w:r w:rsidRPr="00E83717">
        <w:rPr>
          <w:sz w:val="20"/>
          <w:szCs w:val="22"/>
        </w:rPr>
        <w:t xml:space="preserve">У першому півріччі продажі у </w:t>
      </w:r>
      <w:r w:rsidRPr="00E83717">
        <w:rPr>
          <w:b/>
          <w:bCs/>
          <w:sz w:val="20"/>
          <w:szCs w:val="20"/>
        </w:rPr>
        <w:t>Західній Європі</w:t>
      </w:r>
      <w:r w:rsidRPr="00E83717">
        <w:rPr>
          <w:sz w:val="20"/>
          <w:szCs w:val="22"/>
        </w:rPr>
        <w:t xml:space="preserve"> продемонстрували органічну динаміку на рівні +2,2 відсотка (2 квартал: +4,8 відсотка). У </w:t>
      </w:r>
      <w:r w:rsidRPr="00E83717">
        <w:rPr>
          <w:b/>
          <w:bCs/>
          <w:sz w:val="20"/>
          <w:szCs w:val="20"/>
        </w:rPr>
        <w:t>Східній Європі</w:t>
      </w:r>
      <w:r w:rsidRPr="00E83717">
        <w:rPr>
          <w:sz w:val="20"/>
          <w:szCs w:val="22"/>
        </w:rPr>
        <w:t xml:space="preserve"> органічне зростання продажів становило +23,2 відсотка (2 квартал: +26,3 відсотка). В </w:t>
      </w:r>
      <w:r w:rsidRPr="00E83717">
        <w:rPr>
          <w:b/>
          <w:bCs/>
          <w:sz w:val="20"/>
          <w:szCs w:val="20"/>
        </w:rPr>
        <w:t>Африці</w:t>
      </w:r>
      <w:r w:rsidRPr="00E83717">
        <w:rPr>
          <w:sz w:val="20"/>
          <w:szCs w:val="22"/>
        </w:rPr>
        <w:t xml:space="preserve"> продажі в органічному вираженні </w:t>
      </w:r>
      <w:r w:rsidR="00E548A8">
        <w:rPr>
          <w:sz w:val="20"/>
          <w:szCs w:val="22"/>
        </w:rPr>
        <w:t>підвищилися</w:t>
      </w:r>
      <w:r w:rsidR="00E548A8" w:rsidRPr="00E83717">
        <w:rPr>
          <w:sz w:val="20"/>
          <w:szCs w:val="22"/>
        </w:rPr>
        <w:t xml:space="preserve"> </w:t>
      </w:r>
      <w:r w:rsidRPr="00E83717">
        <w:rPr>
          <w:sz w:val="20"/>
          <w:szCs w:val="22"/>
        </w:rPr>
        <w:t xml:space="preserve">на +3,2 відсотка (2 квартал: +5,1 відсотка). Органічне зростання продажів у Північній Америці становило +9,2 відсотка (2 квартал: +11,7 відсотка). У </w:t>
      </w:r>
      <w:r w:rsidRPr="00E83717">
        <w:rPr>
          <w:b/>
          <w:bCs/>
          <w:sz w:val="20"/>
          <w:szCs w:val="20"/>
        </w:rPr>
        <w:t>Латинській Америці</w:t>
      </w:r>
      <w:r w:rsidRPr="00E83717">
        <w:rPr>
          <w:sz w:val="20"/>
          <w:szCs w:val="22"/>
        </w:rPr>
        <w:t xml:space="preserve"> зафіксовано органічне </w:t>
      </w:r>
      <w:r w:rsidR="00DE138C" w:rsidRPr="00E83717">
        <w:rPr>
          <w:sz w:val="20"/>
          <w:szCs w:val="22"/>
        </w:rPr>
        <w:t>з</w:t>
      </w:r>
      <w:r w:rsidR="00DE138C">
        <w:rPr>
          <w:sz w:val="20"/>
          <w:szCs w:val="22"/>
        </w:rPr>
        <w:t>більше</w:t>
      </w:r>
      <w:r w:rsidR="00DE138C" w:rsidRPr="00E83717">
        <w:rPr>
          <w:sz w:val="20"/>
          <w:szCs w:val="22"/>
        </w:rPr>
        <w:t xml:space="preserve">ння </w:t>
      </w:r>
      <w:r w:rsidRPr="00E83717">
        <w:rPr>
          <w:sz w:val="20"/>
          <w:szCs w:val="22"/>
        </w:rPr>
        <w:t xml:space="preserve">продажів на рівні +16,9 відсотка (2 квартал: +18,5 відсотка). В </w:t>
      </w:r>
      <w:proofErr w:type="spellStart"/>
      <w:r w:rsidRPr="00E83717">
        <w:rPr>
          <w:b/>
          <w:bCs/>
          <w:sz w:val="20"/>
          <w:szCs w:val="20"/>
        </w:rPr>
        <w:t>Азійсько</w:t>
      </w:r>
      <w:proofErr w:type="spellEnd"/>
      <w:r w:rsidRPr="00E83717">
        <w:rPr>
          <w:b/>
          <w:bCs/>
          <w:sz w:val="20"/>
          <w:szCs w:val="20"/>
        </w:rPr>
        <w:t>-Тихоокеанському регіоні</w:t>
      </w:r>
      <w:r w:rsidRPr="00E83717">
        <w:rPr>
          <w:sz w:val="20"/>
          <w:szCs w:val="22"/>
        </w:rPr>
        <w:t xml:space="preserve"> продажі в органічному вираженні </w:t>
      </w:r>
      <w:r w:rsidR="00DE138C">
        <w:rPr>
          <w:sz w:val="20"/>
          <w:szCs w:val="22"/>
        </w:rPr>
        <w:t xml:space="preserve">зросли </w:t>
      </w:r>
      <w:r w:rsidRPr="00E83717">
        <w:rPr>
          <w:sz w:val="20"/>
          <w:szCs w:val="22"/>
        </w:rPr>
        <w:t>на +6,1 відсотка (2 квартал: +6,9 відсотка).</w:t>
      </w:r>
    </w:p>
    <w:p w14:paraId="11632DD7" w14:textId="77777777" w:rsidR="00226640" w:rsidRPr="00E83717" w:rsidRDefault="00226640" w:rsidP="00226640">
      <w:pPr>
        <w:rPr>
          <w:rFonts w:cs="Segoe UI"/>
          <w:sz w:val="20"/>
          <w:szCs w:val="20"/>
        </w:rPr>
      </w:pPr>
    </w:p>
    <w:p w14:paraId="24E23F90" w14:textId="4BEC3490" w:rsidR="00226640" w:rsidRPr="00E83717" w:rsidRDefault="00752D67" w:rsidP="00226640">
      <w:pPr>
        <w:rPr>
          <w:rFonts w:cs="Segoe UI"/>
          <w:bCs/>
          <w:sz w:val="20"/>
          <w:szCs w:val="20"/>
        </w:rPr>
      </w:pPr>
      <w:bookmarkStart w:id="2" w:name="_Hlk109402106"/>
      <w:r w:rsidRPr="00E83717">
        <w:rPr>
          <w:b/>
          <w:bCs/>
          <w:sz w:val="20"/>
          <w:szCs w:val="22"/>
        </w:rPr>
        <w:t>Скоригований операційний прибуток (скоригований показник EBIT)</w:t>
      </w:r>
      <w:r w:rsidRPr="00E83717">
        <w:rPr>
          <w:sz w:val="20"/>
          <w:szCs w:val="22"/>
        </w:rPr>
        <w:t xml:space="preserve"> у першому півріччі </w:t>
      </w:r>
      <w:r w:rsidR="00E548A8" w:rsidRPr="00E83717">
        <w:rPr>
          <w:sz w:val="20"/>
          <w:szCs w:val="22"/>
        </w:rPr>
        <w:t>с</w:t>
      </w:r>
      <w:r w:rsidR="00E548A8">
        <w:rPr>
          <w:sz w:val="20"/>
          <w:szCs w:val="22"/>
        </w:rPr>
        <w:t>танови</w:t>
      </w:r>
      <w:r w:rsidR="00E548A8" w:rsidRPr="00E83717">
        <w:rPr>
          <w:sz w:val="20"/>
          <w:szCs w:val="22"/>
        </w:rPr>
        <w:t xml:space="preserve">в </w:t>
      </w:r>
      <w:r w:rsidRPr="00E83717">
        <w:rPr>
          <w:sz w:val="20"/>
          <w:szCs w:val="22"/>
        </w:rPr>
        <w:t>1 166 млн євро порівняно з 1 430 млн євро у попередньому році. Зниження обумовлено головним чином значним зростанням цін на сировинні матеріали.</w:t>
      </w:r>
    </w:p>
    <w:bookmarkEnd w:id="2"/>
    <w:p w14:paraId="16AD4278" w14:textId="77777777" w:rsidR="00226640" w:rsidRPr="00E83717" w:rsidRDefault="00226640" w:rsidP="00226640">
      <w:pPr>
        <w:rPr>
          <w:rFonts w:cs="Segoe UI"/>
          <w:bCs/>
          <w:sz w:val="20"/>
          <w:szCs w:val="20"/>
        </w:rPr>
      </w:pPr>
    </w:p>
    <w:p w14:paraId="0FDBB031" w14:textId="5334899E" w:rsidR="00226640" w:rsidRPr="00E83717" w:rsidRDefault="00752D67" w:rsidP="00226640">
      <w:pPr>
        <w:rPr>
          <w:rFonts w:cs="Segoe UI"/>
          <w:sz w:val="20"/>
          <w:szCs w:val="20"/>
        </w:rPr>
      </w:pPr>
      <w:r w:rsidRPr="00E83717">
        <w:rPr>
          <w:b/>
          <w:bCs/>
          <w:sz w:val="20"/>
          <w:szCs w:val="20"/>
        </w:rPr>
        <w:lastRenderedPageBreak/>
        <w:t>Скоригована рентабельність продажів (скоригована рентабельність EBIT)</w:t>
      </w:r>
      <w:r w:rsidRPr="00E83717">
        <w:rPr>
          <w:sz w:val="20"/>
          <w:szCs w:val="22"/>
        </w:rPr>
        <w:t xml:space="preserve"> скоротилася </w:t>
      </w:r>
      <w:r w:rsidR="00DE138C">
        <w:rPr>
          <w:sz w:val="20"/>
          <w:szCs w:val="22"/>
        </w:rPr>
        <w:t>і</w:t>
      </w:r>
      <w:r w:rsidRPr="00E83717">
        <w:rPr>
          <w:sz w:val="20"/>
          <w:szCs w:val="22"/>
        </w:rPr>
        <w:t>з 14,4 відсотка до 10,7 відсотка через значне зростання цін на сировину.</w:t>
      </w:r>
    </w:p>
    <w:p w14:paraId="5FADE19E" w14:textId="4AB3A2FF" w:rsidR="00226640" w:rsidRPr="00E83717" w:rsidRDefault="00752D67" w:rsidP="00226640">
      <w:pPr>
        <w:rPr>
          <w:rFonts w:cs="Segoe UI"/>
          <w:bCs/>
          <w:sz w:val="20"/>
          <w:szCs w:val="20"/>
        </w:rPr>
      </w:pPr>
      <w:r w:rsidRPr="00E83717">
        <w:rPr>
          <w:b/>
          <w:sz w:val="20"/>
          <w:szCs w:val="20"/>
        </w:rPr>
        <w:t>Скоригований прибуток на привілейовану акцію</w:t>
      </w:r>
      <w:r w:rsidRPr="00E83717">
        <w:rPr>
          <w:sz w:val="20"/>
          <w:szCs w:val="22"/>
        </w:rPr>
        <w:t xml:space="preserve"> у першому півріччі 2022 року </w:t>
      </w:r>
      <w:r w:rsidR="00E548A8">
        <w:rPr>
          <w:sz w:val="20"/>
          <w:szCs w:val="22"/>
        </w:rPr>
        <w:t>досяг</w:t>
      </w:r>
      <w:r w:rsidR="00E548A8" w:rsidRPr="00E83717">
        <w:rPr>
          <w:sz w:val="20"/>
          <w:szCs w:val="22"/>
        </w:rPr>
        <w:t xml:space="preserve"> </w:t>
      </w:r>
      <w:r w:rsidRPr="00E83717">
        <w:rPr>
          <w:sz w:val="20"/>
          <w:szCs w:val="22"/>
        </w:rPr>
        <w:t xml:space="preserve">1,95 євро. </w:t>
      </w:r>
      <w:r w:rsidR="00E548A8">
        <w:rPr>
          <w:sz w:val="20"/>
          <w:szCs w:val="22"/>
        </w:rPr>
        <w:t>За</w:t>
      </w:r>
      <w:r w:rsidR="00E548A8" w:rsidRPr="00E83717">
        <w:rPr>
          <w:sz w:val="20"/>
          <w:szCs w:val="22"/>
        </w:rPr>
        <w:t xml:space="preserve"> незмінно</w:t>
      </w:r>
      <w:r w:rsidR="00E548A8">
        <w:rPr>
          <w:sz w:val="20"/>
          <w:szCs w:val="22"/>
        </w:rPr>
        <w:t>го</w:t>
      </w:r>
      <w:r w:rsidR="00E548A8" w:rsidRPr="00E83717">
        <w:rPr>
          <w:sz w:val="20"/>
          <w:szCs w:val="22"/>
        </w:rPr>
        <w:t xml:space="preserve"> </w:t>
      </w:r>
      <w:r w:rsidRPr="00E83717">
        <w:rPr>
          <w:sz w:val="20"/>
          <w:szCs w:val="22"/>
        </w:rPr>
        <w:t>курс</w:t>
      </w:r>
      <w:r w:rsidR="00E548A8">
        <w:rPr>
          <w:sz w:val="20"/>
          <w:szCs w:val="22"/>
        </w:rPr>
        <w:t>у</w:t>
      </w:r>
      <w:r w:rsidRPr="00E83717">
        <w:rPr>
          <w:sz w:val="20"/>
          <w:szCs w:val="22"/>
        </w:rPr>
        <w:t xml:space="preserve"> валют це означає зниження на -20,8 відсотка порівняно з попереднім роком. </w:t>
      </w:r>
      <w:r w:rsidR="00E548A8">
        <w:rPr>
          <w:sz w:val="20"/>
          <w:szCs w:val="22"/>
        </w:rPr>
        <w:t>Така</w:t>
      </w:r>
      <w:r w:rsidR="00E548A8" w:rsidRPr="00E83717">
        <w:rPr>
          <w:sz w:val="20"/>
          <w:szCs w:val="22"/>
        </w:rPr>
        <w:t xml:space="preserve"> </w:t>
      </w:r>
      <w:r w:rsidRPr="00E83717">
        <w:rPr>
          <w:sz w:val="20"/>
          <w:szCs w:val="22"/>
        </w:rPr>
        <w:t>динаміка була також зумовлена ​​значним зростанням цін на сировинні матеріали.</w:t>
      </w:r>
    </w:p>
    <w:p w14:paraId="2CB55C37" w14:textId="77777777" w:rsidR="00226640" w:rsidRPr="00E83717" w:rsidRDefault="00226640" w:rsidP="00226640">
      <w:pPr>
        <w:rPr>
          <w:rFonts w:cs="Segoe UI"/>
          <w:sz w:val="20"/>
          <w:szCs w:val="20"/>
        </w:rPr>
      </w:pPr>
    </w:p>
    <w:p w14:paraId="449F8073" w14:textId="2FDA9E23" w:rsidR="00226640" w:rsidRPr="00E83717" w:rsidRDefault="0055121D" w:rsidP="00226640">
      <w:pPr>
        <w:rPr>
          <w:rFonts w:cs="Segoe UI"/>
          <w:sz w:val="20"/>
          <w:szCs w:val="20"/>
        </w:rPr>
      </w:pPr>
      <w:r w:rsidRPr="00E83717">
        <w:rPr>
          <w:b/>
          <w:bCs/>
          <w:sz w:val="20"/>
          <w:szCs w:val="20"/>
        </w:rPr>
        <w:t>Чистий оборотний капітал</w:t>
      </w:r>
      <w:r w:rsidRPr="00E83717">
        <w:rPr>
          <w:sz w:val="20"/>
          <w:szCs w:val="22"/>
        </w:rPr>
        <w:t xml:space="preserve"> збільшився на 1,6 відсоткового пункту до 5,2 відсотка від продажів (у попередньому періоді: 3,6 відсотка), на що також вплинуло різке зростання цін на сировину.</w:t>
      </w:r>
    </w:p>
    <w:p w14:paraId="360F86C8" w14:textId="77777777" w:rsidR="00226640" w:rsidRPr="00E83717" w:rsidRDefault="00226640" w:rsidP="00226640">
      <w:pPr>
        <w:rPr>
          <w:rFonts w:cs="Segoe UI"/>
          <w:sz w:val="20"/>
          <w:szCs w:val="20"/>
        </w:rPr>
      </w:pPr>
    </w:p>
    <w:p w14:paraId="0CB279AE" w14:textId="6A3B25A4" w:rsidR="00226640" w:rsidRPr="00E83717" w:rsidRDefault="0055121D" w:rsidP="00E95AC2">
      <w:pPr>
        <w:autoSpaceDE w:val="0"/>
        <w:autoSpaceDN w:val="0"/>
        <w:adjustRightInd w:val="0"/>
        <w:rPr>
          <w:rFonts w:cs="Segoe UI"/>
          <w:sz w:val="20"/>
          <w:szCs w:val="20"/>
        </w:rPr>
      </w:pPr>
      <w:r w:rsidRPr="00E83717">
        <w:rPr>
          <w:b/>
          <w:bCs/>
          <w:sz w:val="20"/>
          <w:szCs w:val="20"/>
        </w:rPr>
        <w:t>Вільний грошовий потік</w:t>
      </w:r>
      <w:r w:rsidRPr="00E83717">
        <w:rPr>
          <w:sz w:val="20"/>
          <w:szCs w:val="22"/>
        </w:rPr>
        <w:t xml:space="preserve"> у розмірі 46 млн євро був нижчим, ніж у першій половині 2021 року (471 млн євро) у зв'язку з</w:t>
      </w:r>
      <w:r w:rsidR="00A34DDF">
        <w:rPr>
          <w:sz w:val="20"/>
          <w:szCs w:val="22"/>
        </w:rPr>
        <w:t>і</w:t>
      </w:r>
      <w:r w:rsidRPr="00E83717">
        <w:rPr>
          <w:sz w:val="20"/>
          <w:szCs w:val="22"/>
        </w:rPr>
        <w:t xml:space="preserve"> </w:t>
      </w:r>
      <w:r w:rsidR="00A34DDF">
        <w:rPr>
          <w:sz w:val="20"/>
          <w:szCs w:val="22"/>
        </w:rPr>
        <w:t>зменшенням</w:t>
      </w:r>
      <w:r w:rsidR="00A34DDF" w:rsidRPr="00E83717">
        <w:rPr>
          <w:sz w:val="20"/>
          <w:szCs w:val="22"/>
        </w:rPr>
        <w:t xml:space="preserve"> грошов</w:t>
      </w:r>
      <w:r w:rsidR="00A34DDF">
        <w:rPr>
          <w:sz w:val="20"/>
          <w:szCs w:val="22"/>
        </w:rPr>
        <w:t>ого</w:t>
      </w:r>
      <w:r w:rsidR="00A34DDF" w:rsidRPr="00E83717">
        <w:rPr>
          <w:sz w:val="20"/>
          <w:szCs w:val="22"/>
        </w:rPr>
        <w:t xml:space="preserve"> поток</w:t>
      </w:r>
      <w:r w:rsidR="00A34DDF">
        <w:rPr>
          <w:sz w:val="20"/>
          <w:szCs w:val="22"/>
        </w:rPr>
        <w:t>у</w:t>
      </w:r>
      <w:r w:rsidR="00A34DDF" w:rsidRPr="00E83717">
        <w:rPr>
          <w:sz w:val="20"/>
          <w:szCs w:val="22"/>
        </w:rPr>
        <w:t xml:space="preserve"> </w:t>
      </w:r>
      <w:r w:rsidRPr="00E83717">
        <w:rPr>
          <w:sz w:val="20"/>
          <w:szCs w:val="22"/>
        </w:rPr>
        <w:t xml:space="preserve">від операційної діяльності внаслідок </w:t>
      </w:r>
      <w:r w:rsidRPr="00A34DDF">
        <w:rPr>
          <w:sz w:val="20"/>
          <w:szCs w:val="22"/>
        </w:rPr>
        <w:t>нижч</w:t>
      </w:r>
      <w:r w:rsidRPr="00E83717">
        <w:rPr>
          <w:sz w:val="20"/>
          <w:szCs w:val="22"/>
        </w:rPr>
        <w:t>ого операційного прибутку та збільшення чистого оборотного капіталу.</w:t>
      </w:r>
    </w:p>
    <w:p w14:paraId="35F2C594" w14:textId="77777777" w:rsidR="00226640" w:rsidRPr="00E83717" w:rsidRDefault="00226640" w:rsidP="00226640">
      <w:pPr>
        <w:rPr>
          <w:rFonts w:cs="Segoe UI"/>
          <w:sz w:val="20"/>
          <w:szCs w:val="20"/>
          <w:highlight w:val="yellow"/>
        </w:rPr>
      </w:pPr>
    </w:p>
    <w:p w14:paraId="3D928F8A" w14:textId="1173302D" w:rsidR="00226640" w:rsidRPr="00E83717" w:rsidRDefault="0055121D" w:rsidP="00226640">
      <w:pPr>
        <w:rPr>
          <w:sz w:val="20"/>
          <w:szCs w:val="22"/>
        </w:rPr>
      </w:pPr>
      <w:r w:rsidRPr="00E83717">
        <w:rPr>
          <w:sz w:val="20"/>
          <w:szCs w:val="22"/>
        </w:rPr>
        <w:t xml:space="preserve">Станом на 30 червня 2022 року </w:t>
      </w:r>
      <w:r w:rsidRPr="00E83717">
        <w:rPr>
          <w:b/>
          <w:bCs/>
          <w:sz w:val="20"/>
          <w:szCs w:val="22"/>
        </w:rPr>
        <w:t>чиста фінансова позиція</w:t>
      </w:r>
      <w:r w:rsidRPr="00E83717">
        <w:rPr>
          <w:sz w:val="20"/>
          <w:szCs w:val="22"/>
        </w:rPr>
        <w:t xml:space="preserve"> становила -1 441 млн євро (31 грудня 2021 року: -292 млн євро). Ця динаміка також </w:t>
      </w:r>
      <w:r w:rsidR="00E548A8">
        <w:rPr>
          <w:sz w:val="20"/>
          <w:szCs w:val="22"/>
        </w:rPr>
        <w:t>охоплю</w:t>
      </w:r>
      <w:r w:rsidR="00E548A8" w:rsidRPr="00E83717">
        <w:rPr>
          <w:sz w:val="20"/>
          <w:szCs w:val="22"/>
        </w:rPr>
        <w:t xml:space="preserve">є </w:t>
      </w:r>
      <w:r w:rsidRPr="00E83717">
        <w:rPr>
          <w:sz w:val="20"/>
          <w:szCs w:val="22"/>
        </w:rPr>
        <w:t xml:space="preserve">витрати у розмірі близько 430 млн євро в межах програми </w:t>
      </w:r>
      <w:proofErr w:type="spellStart"/>
      <w:r w:rsidR="00E548A8" w:rsidRPr="00E548A8">
        <w:rPr>
          <w:sz w:val="20"/>
          <w:szCs w:val="22"/>
        </w:rPr>
        <w:t>викупівлі</w:t>
      </w:r>
      <w:proofErr w:type="spellEnd"/>
      <w:r w:rsidR="00E548A8" w:rsidRPr="00E83717">
        <w:rPr>
          <w:sz w:val="20"/>
          <w:szCs w:val="22"/>
        </w:rPr>
        <w:t xml:space="preserve"> </w:t>
      </w:r>
      <w:r w:rsidRPr="00E83717">
        <w:rPr>
          <w:sz w:val="20"/>
          <w:szCs w:val="22"/>
        </w:rPr>
        <w:t xml:space="preserve">акцій, що стартувала в лютому 2022 року, а також виплати дивідендів у розмірі близько 800 млн євро </w:t>
      </w:r>
      <w:r w:rsidR="00E548A8">
        <w:rPr>
          <w:sz w:val="20"/>
          <w:szCs w:val="22"/>
        </w:rPr>
        <w:t>у</w:t>
      </w:r>
      <w:r w:rsidR="00E548A8" w:rsidRPr="00E83717">
        <w:rPr>
          <w:sz w:val="20"/>
          <w:szCs w:val="22"/>
        </w:rPr>
        <w:t xml:space="preserve"> </w:t>
      </w:r>
      <w:r w:rsidRPr="00E83717">
        <w:rPr>
          <w:sz w:val="20"/>
          <w:szCs w:val="22"/>
        </w:rPr>
        <w:t>другому кварталі.</w:t>
      </w:r>
    </w:p>
    <w:p w14:paraId="7B7F71A0" w14:textId="77777777" w:rsidR="00C44EFC" w:rsidRPr="00E83717" w:rsidRDefault="00C44EFC" w:rsidP="00226640">
      <w:pPr>
        <w:spacing w:after="120"/>
        <w:rPr>
          <w:rFonts w:cs="Segoe UI"/>
          <w:b/>
          <w:bCs/>
          <w:sz w:val="20"/>
          <w:szCs w:val="20"/>
          <w:lang w:eastAsia="de-DE"/>
        </w:rPr>
      </w:pPr>
    </w:p>
    <w:p w14:paraId="27437698" w14:textId="174BD989" w:rsidR="00226640" w:rsidRPr="00E83717" w:rsidRDefault="0055121D" w:rsidP="00226640">
      <w:pPr>
        <w:spacing w:after="120"/>
        <w:rPr>
          <w:rFonts w:cs="Segoe UI"/>
          <w:b/>
          <w:bCs/>
          <w:sz w:val="20"/>
          <w:szCs w:val="20"/>
        </w:rPr>
      </w:pPr>
      <w:r w:rsidRPr="00E83717">
        <w:rPr>
          <w:rFonts w:ascii="SegoeUI-Bold" w:hAnsi="SegoeUI-Bold"/>
          <w:b/>
          <w:bCs/>
          <w:sz w:val="20"/>
          <w:szCs w:val="20"/>
        </w:rPr>
        <w:t>Результати діяльності бізнес-підрозділів у першій половині 2022 року</w:t>
      </w:r>
    </w:p>
    <w:p w14:paraId="6B650D50" w14:textId="18EE0696" w:rsidR="005C4A5B" w:rsidRPr="00E83717" w:rsidRDefault="0055121D" w:rsidP="005C4A5B">
      <w:pPr>
        <w:rPr>
          <w:rFonts w:cs="Segoe UI"/>
          <w:sz w:val="20"/>
          <w:szCs w:val="20"/>
        </w:rPr>
      </w:pPr>
      <w:r w:rsidRPr="00E83717">
        <w:rPr>
          <w:sz w:val="20"/>
          <w:szCs w:val="22"/>
        </w:rPr>
        <w:t xml:space="preserve">За перше півріччя 2022 року </w:t>
      </w:r>
      <w:r w:rsidRPr="00E83717">
        <w:rPr>
          <w:b/>
          <w:bCs/>
          <w:sz w:val="20"/>
          <w:szCs w:val="20"/>
        </w:rPr>
        <w:t>продажі</w:t>
      </w:r>
      <w:r w:rsidRPr="00E83717">
        <w:rPr>
          <w:sz w:val="20"/>
          <w:szCs w:val="22"/>
        </w:rPr>
        <w:t xml:space="preserve"> </w:t>
      </w:r>
      <w:r w:rsidRPr="00E83717">
        <w:rPr>
          <w:b/>
          <w:bCs/>
          <w:sz w:val="20"/>
          <w:szCs w:val="20"/>
        </w:rPr>
        <w:t>бізнес-підрозділу «Клейові технології»</w:t>
      </w:r>
      <w:r w:rsidRPr="00E83717">
        <w:rPr>
          <w:sz w:val="20"/>
          <w:szCs w:val="22"/>
        </w:rPr>
        <w:t xml:space="preserve"> збільшилися в номінальному вираженні на +15,0 відсотка до 5,467 млн євро (2 квартал: 2,836 млн євро, +18,5 відсотка). </w:t>
      </w:r>
      <w:r w:rsidRPr="00E83717">
        <w:rPr>
          <w:b/>
          <w:bCs/>
          <w:sz w:val="20"/>
          <w:szCs w:val="20"/>
        </w:rPr>
        <w:t>В органічному вираженні</w:t>
      </w:r>
      <w:r w:rsidRPr="00E83717">
        <w:rPr>
          <w:sz w:val="20"/>
          <w:szCs w:val="22"/>
        </w:rPr>
        <w:t xml:space="preserve"> продажі зросли на +12,2 відсотка (2 квартал: +13,7 відсотка). </w:t>
      </w:r>
      <w:r w:rsidR="00E548A8">
        <w:rPr>
          <w:sz w:val="20"/>
          <w:szCs w:val="22"/>
        </w:rPr>
        <w:t>Така</w:t>
      </w:r>
      <w:r w:rsidR="00E548A8" w:rsidRPr="00E83717">
        <w:rPr>
          <w:sz w:val="20"/>
          <w:szCs w:val="22"/>
        </w:rPr>
        <w:t xml:space="preserve"> </w:t>
      </w:r>
      <w:r w:rsidRPr="00E83717">
        <w:rPr>
          <w:sz w:val="20"/>
          <w:szCs w:val="22"/>
        </w:rPr>
        <w:t xml:space="preserve">динаміка спостерігалася </w:t>
      </w:r>
      <w:r w:rsidR="00E548A8">
        <w:rPr>
          <w:sz w:val="20"/>
          <w:szCs w:val="22"/>
        </w:rPr>
        <w:t>в</w:t>
      </w:r>
      <w:r w:rsidR="00E548A8" w:rsidRPr="00E83717">
        <w:rPr>
          <w:sz w:val="20"/>
          <w:szCs w:val="22"/>
        </w:rPr>
        <w:t xml:space="preserve"> </w:t>
      </w:r>
      <w:r w:rsidR="00E548A8">
        <w:rPr>
          <w:sz w:val="20"/>
          <w:szCs w:val="22"/>
        </w:rPr>
        <w:t>у</w:t>
      </w:r>
      <w:r w:rsidR="00E548A8" w:rsidRPr="00E83717">
        <w:rPr>
          <w:sz w:val="20"/>
          <w:szCs w:val="22"/>
        </w:rPr>
        <w:t xml:space="preserve">сіх </w:t>
      </w:r>
      <w:r w:rsidRPr="00E83717">
        <w:rPr>
          <w:sz w:val="20"/>
          <w:szCs w:val="22"/>
        </w:rPr>
        <w:t xml:space="preserve">бізнес-підрозділах </w:t>
      </w:r>
      <w:r w:rsidR="00E548A8">
        <w:rPr>
          <w:sz w:val="20"/>
          <w:szCs w:val="22"/>
        </w:rPr>
        <w:t>і</w:t>
      </w:r>
      <w:r w:rsidR="00E548A8" w:rsidRPr="00E83717">
        <w:rPr>
          <w:sz w:val="20"/>
          <w:szCs w:val="22"/>
        </w:rPr>
        <w:t xml:space="preserve"> </w:t>
      </w:r>
      <w:r w:rsidRPr="00E83717">
        <w:rPr>
          <w:sz w:val="20"/>
          <w:szCs w:val="22"/>
        </w:rPr>
        <w:t xml:space="preserve">регіонах. </w:t>
      </w:r>
      <w:r w:rsidRPr="00E83717">
        <w:rPr>
          <w:b/>
          <w:bCs/>
          <w:sz w:val="20"/>
          <w:szCs w:val="20"/>
        </w:rPr>
        <w:t>Скоригований операційний прибуток</w:t>
      </w:r>
      <w:r w:rsidRPr="00E83717">
        <w:rPr>
          <w:sz w:val="20"/>
          <w:szCs w:val="22"/>
        </w:rPr>
        <w:t xml:space="preserve"> у першому півріччі 2022 року досяг 743 млн євро порівняно з 820 млн євро за той самий період у попередньому році. </w:t>
      </w:r>
      <w:r w:rsidRPr="00E83717">
        <w:rPr>
          <w:b/>
          <w:bCs/>
          <w:sz w:val="20"/>
          <w:szCs w:val="20"/>
        </w:rPr>
        <w:t>Скоригована рентабельність продажів</w:t>
      </w:r>
      <w:r w:rsidRPr="00E83717">
        <w:rPr>
          <w:sz w:val="20"/>
          <w:szCs w:val="22"/>
        </w:rPr>
        <w:t xml:space="preserve"> </w:t>
      </w:r>
      <w:r w:rsidR="00E548A8" w:rsidRPr="00E83717">
        <w:rPr>
          <w:sz w:val="20"/>
          <w:szCs w:val="22"/>
        </w:rPr>
        <w:t>с</w:t>
      </w:r>
      <w:r w:rsidR="00E548A8">
        <w:rPr>
          <w:sz w:val="20"/>
          <w:szCs w:val="22"/>
        </w:rPr>
        <w:t>танови</w:t>
      </w:r>
      <w:r w:rsidR="00E548A8" w:rsidRPr="00E83717">
        <w:rPr>
          <w:sz w:val="20"/>
          <w:szCs w:val="22"/>
        </w:rPr>
        <w:t xml:space="preserve">ла </w:t>
      </w:r>
      <w:r w:rsidRPr="00E83717">
        <w:rPr>
          <w:sz w:val="20"/>
          <w:szCs w:val="22"/>
        </w:rPr>
        <w:t>13,6 відсотка, що на 3,7 відсоткових пункти нижче за показник першого півріччя 2021 року</w:t>
      </w:r>
      <w:r w:rsidR="00DC718D">
        <w:rPr>
          <w:sz w:val="20"/>
          <w:szCs w:val="22"/>
        </w:rPr>
        <w:t>. Н</w:t>
      </w:r>
      <w:r w:rsidR="00DC718D" w:rsidRPr="00E83717">
        <w:rPr>
          <w:sz w:val="20"/>
          <w:szCs w:val="22"/>
        </w:rPr>
        <w:t xml:space="preserve">а </w:t>
      </w:r>
      <w:r w:rsidRPr="00E83717">
        <w:rPr>
          <w:sz w:val="20"/>
          <w:szCs w:val="22"/>
        </w:rPr>
        <w:t xml:space="preserve">показники прибутку </w:t>
      </w:r>
      <w:r w:rsidR="00DC718D">
        <w:rPr>
          <w:sz w:val="20"/>
          <w:szCs w:val="22"/>
        </w:rPr>
        <w:t xml:space="preserve">також </w:t>
      </w:r>
      <w:r w:rsidRPr="00E83717">
        <w:rPr>
          <w:sz w:val="20"/>
          <w:szCs w:val="22"/>
        </w:rPr>
        <w:t>вплинуло значне зростання цін на сировину.</w:t>
      </w:r>
    </w:p>
    <w:p w14:paraId="114A3911" w14:textId="77777777" w:rsidR="0036268A" w:rsidRPr="00E83717" w:rsidRDefault="0036268A" w:rsidP="0036268A">
      <w:pPr>
        <w:rPr>
          <w:rFonts w:cs="Segoe UI"/>
          <w:sz w:val="20"/>
          <w:szCs w:val="20"/>
        </w:rPr>
      </w:pPr>
      <w:bookmarkStart w:id="3" w:name="_Hlk78300139"/>
    </w:p>
    <w:p w14:paraId="4A25CB6D" w14:textId="76E9AB69" w:rsidR="00226640" w:rsidRPr="00E83717" w:rsidRDefault="0036268A" w:rsidP="0036268A">
      <w:pPr>
        <w:rPr>
          <w:rFonts w:cs="Segoe UI"/>
          <w:sz w:val="20"/>
          <w:szCs w:val="20"/>
        </w:rPr>
      </w:pPr>
      <w:r w:rsidRPr="00E83717">
        <w:rPr>
          <w:sz w:val="20"/>
          <w:szCs w:val="22"/>
        </w:rPr>
        <w:t xml:space="preserve">У бізнес-підрозділі </w:t>
      </w:r>
      <w:r w:rsidRPr="00E83717">
        <w:rPr>
          <w:b/>
          <w:bCs/>
          <w:sz w:val="20"/>
          <w:szCs w:val="20"/>
        </w:rPr>
        <w:t>«Косметичні засоби»</w:t>
      </w:r>
      <w:r w:rsidRPr="00E83717">
        <w:rPr>
          <w:sz w:val="20"/>
          <w:szCs w:val="22"/>
        </w:rPr>
        <w:t xml:space="preserve"> </w:t>
      </w:r>
      <w:r w:rsidRPr="00E83717">
        <w:rPr>
          <w:b/>
          <w:bCs/>
          <w:sz w:val="20"/>
          <w:szCs w:val="20"/>
        </w:rPr>
        <w:t>за перші шість місяців 2022 року зростання</w:t>
      </w:r>
      <w:r w:rsidRPr="00E83717">
        <w:rPr>
          <w:sz w:val="20"/>
          <w:szCs w:val="22"/>
        </w:rPr>
        <w:t xml:space="preserve"> </w:t>
      </w:r>
      <w:r w:rsidRPr="00E83717">
        <w:rPr>
          <w:b/>
          <w:bCs/>
          <w:sz w:val="20"/>
          <w:szCs w:val="20"/>
        </w:rPr>
        <w:t>продажів</w:t>
      </w:r>
      <w:r w:rsidRPr="00E83717">
        <w:rPr>
          <w:sz w:val="20"/>
          <w:szCs w:val="22"/>
        </w:rPr>
        <w:t xml:space="preserve"> в органічному вираженні становило +0,4 відсотка (2 квартал: +2,1 відсотка). У номінальному вираженні продажі </w:t>
      </w:r>
      <w:r w:rsidR="00DC718D" w:rsidRPr="00E83717">
        <w:rPr>
          <w:sz w:val="20"/>
          <w:szCs w:val="22"/>
        </w:rPr>
        <w:t>з</w:t>
      </w:r>
      <w:r w:rsidR="00DC718D">
        <w:rPr>
          <w:sz w:val="20"/>
          <w:szCs w:val="22"/>
        </w:rPr>
        <w:t>більшилися</w:t>
      </w:r>
      <w:r w:rsidR="00DC718D" w:rsidRPr="00E83717">
        <w:rPr>
          <w:sz w:val="20"/>
          <w:szCs w:val="22"/>
        </w:rPr>
        <w:t xml:space="preserve"> </w:t>
      </w:r>
      <w:r w:rsidRPr="00E83717">
        <w:rPr>
          <w:sz w:val="20"/>
          <w:szCs w:val="22"/>
        </w:rPr>
        <w:t>на +0,2 відсотка і досягли 1 842 млн євро (2 квартал: 950 млн євро, +3,9 відсотка). Це зростання було зумовлене</w:t>
      </w:r>
      <w:r w:rsidR="00E548A8">
        <w:rPr>
          <w:sz w:val="20"/>
          <w:szCs w:val="22"/>
        </w:rPr>
        <w:t>,</w:t>
      </w:r>
      <w:r w:rsidRPr="00E83717">
        <w:rPr>
          <w:sz w:val="20"/>
          <w:szCs w:val="22"/>
        </w:rPr>
        <w:t xml:space="preserve"> насамперед</w:t>
      </w:r>
      <w:r w:rsidR="00E548A8">
        <w:rPr>
          <w:sz w:val="20"/>
          <w:szCs w:val="22"/>
        </w:rPr>
        <w:t>,</w:t>
      </w:r>
      <w:r w:rsidRPr="00E83717">
        <w:rPr>
          <w:sz w:val="20"/>
          <w:szCs w:val="22"/>
        </w:rPr>
        <w:t xml:space="preserve"> високими показниками в сегменті засобів для перукарень, де вдалося розвинути високі результати, досягнуті в попередньому році. З іншого боку, показники споживчого бізнесу виявилися нижчими за рівень попереднього року, переважно у зв'язку з реалізацію заходів щодо вдосконалення портфеля, оголошених на 2022 рік. </w:t>
      </w:r>
      <w:r w:rsidRPr="00E83717">
        <w:rPr>
          <w:b/>
          <w:bCs/>
          <w:sz w:val="20"/>
          <w:szCs w:val="20"/>
        </w:rPr>
        <w:t>Скоригований операційний прибуток</w:t>
      </w:r>
      <w:r w:rsidRPr="00E83717">
        <w:rPr>
          <w:sz w:val="20"/>
          <w:szCs w:val="22"/>
        </w:rPr>
        <w:t xml:space="preserve"> у першому півріччі 2022 року досяг 169 млн євро порівняно зі 183 млн євро у першому півріччі 2021 року. </w:t>
      </w:r>
      <w:r w:rsidRPr="00E83717">
        <w:rPr>
          <w:b/>
          <w:bCs/>
          <w:sz w:val="20"/>
          <w:szCs w:val="20"/>
        </w:rPr>
        <w:t>Скоригована рентабельність продажів</w:t>
      </w:r>
      <w:r w:rsidRPr="00E83717">
        <w:rPr>
          <w:sz w:val="20"/>
          <w:szCs w:val="22"/>
        </w:rPr>
        <w:t xml:space="preserve"> була на 0,8 відсоткових пункти нижчою за рівень попереднього року і </w:t>
      </w:r>
      <w:r w:rsidR="00E548A8">
        <w:rPr>
          <w:sz w:val="20"/>
          <w:szCs w:val="22"/>
        </w:rPr>
        <w:t>станови</w:t>
      </w:r>
      <w:r w:rsidR="00E548A8" w:rsidRPr="00E83717">
        <w:rPr>
          <w:sz w:val="20"/>
          <w:szCs w:val="22"/>
        </w:rPr>
        <w:t xml:space="preserve">ла </w:t>
      </w:r>
      <w:r w:rsidRPr="00E83717">
        <w:rPr>
          <w:sz w:val="20"/>
          <w:szCs w:val="22"/>
        </w:rPr>
        <w:t>9,2 відсотка, на що також вплинуло підвищення цін на сировину.</w:t>
      </w:r>
    </w:p>
    <w:bookmarkEnd w:id="3"/>
    <w:p w14:paraId="26F9E872" w14:textId="77777777" w:rsidR="00226640" w:rsidRPr="00E83717" w:rsidRDefault="00226640" w:rsidP="00226640">
      <w:pPr>
        <w:rPr>
          <w:rFonts w:cs="Segoe UI"/>
          <w:sz w:val="20"/>
          <w:szCs w:val="20"/>
        </w:rPr>
      </w:pPr>
    </w:p>
    <w:p w14:paraId="406993F4" w14:textId="43404FE9" w:rsidR="00D42585" w:rsidRPr="00E83717" w:rsidRDefault="00E63F65" w:rsidP="00226640">
      <w:pPr>
        <w:rPr>
          <w:rFonts w:cs="Segoe UI"/>
          <w:sz w:val="20"/>
          <w:szCs w:val="20"/>
        </w:rPr>
      </w:pPr>
      <w:r w:rsidRPr="00E83717">
        <w:rPr>
          <w:sz w:val="20"/>
          <w:szCs w:val="22"/>
        </w:rPr>
        <w:lastRenderedPageBreak/>
        <w:t xml:space="preserve">У першому півріччі 2022 року в бізнес-підрозділі </w:t>
      </w:r>
      <w:r w:rsidRPr="00E83717">
        <w:rPr>
          <w:b/>
          <w:bCs/>
          <w:sz w:val="20"/>
          <w:szCs w:val="20"/>
        </w:rPr>
        <w:t>«Засоби для прання та догляду за оселею»</w:t>
      </w:r>
      <w:r w:rsidRPr="00E83717">
        <w:rPr>
          <w:sz w:val="20"/>
          <w:szCs w:val="22"/>
        </w:rPr>
        <w:t xml:space="preserve"> було досягнуто значного </w:t>
      </w:r>
      <w:r w:rsidRPr="00E83717">
        <w:rPr>
          <w:b/>
          <w:bCs/>
          <w:sz w:val="20"/>
          <w:szCs w:val="20"/>
        </w:rPr>
        <w:t>органічного зростання продажів</w:t>
      </w:r>
      <w:r w:rsidRPr="00E83717">
        <w:rPr>
          <w:sz w:val="20"/>
          <w:szCs w:val="22"/>
        </w:rPr>
        <w:t xml:space="preserve"> на рівні +7</w:t>
      </w:r>
      <w:r w:rsidR="00E548A8">
        <w:rPr>
          <w:sz w:val="20"/>
          <w:szCs w:val="22"/>
        </w:rPr>
        <w:t>,</w:t>
      </w:r>
      <w:r w:rsidRPr="00E83717">
        <w:rPr>
          <w:sz w:val="20"/>
          <w:szCs w:val="22"/>
        </w:rPr>
        <w:t xml:space="preserve">4 відсотка (2 квартал: +10,1 відсотка). Зростання було зумовлене, зокрема, двозначним збільшенням продажів у сегменті засобів для прання. У номінальному вираженні продажі зросли на +6,7 відсотка до 3 494 млн євро (2 квартал: 1 802 млн євро, +11,3 відсотка). </w:t>
      </w:r>
      <w:r w:rsidRPr="00E83717">
        <w:rPr>
          <w:b/>
          <w:bCs/>
          <w:sz w:val="20"/>
          <w:szCs w:val="20"/>
        </w:rPr>
        <w:t>Скоригований операційний прибуток</w:t>
      </w:r>
      <w:r w:rsidRPr="00E83717">
        <w:rPr>
          <w:sz w:val="20"/>
          <w:szCs w:val="22"/>
        </w:rPr>
        <w:t xml:space="preserve"> </w:t>
      </w:r>
      <w:r w:rsidR="00E548A8" w:rsidRPr="00E83717">
        <w:rPr>
          <w:sz w:val="20"/>
          <w:szCs w:val="22"/>
        </w:rPr>
        <w:t>с</w:t>
      </w:r>
      <w:r w:rsidR="00E548A8">
        <w:rPr>
          <w:sz w:val="20"/>
          <w:szCs w:val="22"/>
        </w:rPr>
        <w:t>танови</w:t>
      </w:r>
      <w:r w:rsidR="00E548A8" w:rsidRPr="00E83717">
        <w:rPr>
          <w:sz w:val="20"/>
          <w:szCs w:val="22"/>
        </w:rPr>
        <w:t xml:space="preserve">в </w:t>
      </w:r>
      <w:r w:rsidRPr="00E83717">
        <w:rPr>
          <w:sz w:val="20"/>
          <w:szCs w:val="22"/>
        </w:rPr>
        <w:t xml:space="preserve">313 млн євро порівняно </w:t>
      </w:r>
      <w:r w:rsidR="00E548A8">
        <w:rPr>
          <w:sz w:val="20"/>
          <w:szCs w:val="22"/>
        </w:rPr>
        <w:t>і</w:t>
      </w:r>
      <w:r w:rsidRPr="00E83717">
        <w:rPr>
          <w:sz w:val="20"/>
          <w:szCs w:val="22"/>
        </w:rPr>
        <w:t xml:space="preserve">з 490 млн євро за той самий період у попередньому році. </w:t>
      </w:r>
      <w:r w:rsidRPr="00E83717">
        <w:rPr>
          <w:b/>
          <w:bCs/>
          <w:sz w:val="20"/>
          <w:szCs w:val="20"/>
        </w:rPr>
        <w:t>Скоригована рентабельність продажів</w:t>
      </w:r>
      <w:r w:rsidRPr="00E83717">
        <w:rPr>
          <w:sz w:val="20"/>
          <w:szCs w:val="22"/>
        </w:rPr>
        <w:t xml:space="preserve"> </w:t>
      </w:r>
      <w:r w:rsidR="00DC718D" w:rsidRPr="00AD6A11">
        <w:rPr>
          <w:sz w:val="20"/>
          <w:szCs w:val="22"/>
        </w:rPr>
        <w:t>досяг</w:t>
      </w:r>
      <w:r w:rsidR="00DC718D" w:rsidRPr="00DC718D">
        <w:rPr>
          <w:sz w:val="20"/>
          <w:szCs w:val="22"/>
        </w:rPr>
        <w:t>ла</w:t>
      </w:r>
      <w:r w:rsidR="00DC718D" w:rsidRPr="00E83717">
        <w:rPr>
          <w:sz w:val="20"/>
          <w:szCs w:val="22"/>
        </w:rPr>
        <w:t xml:space="preserve"> </w:t>
      </w:r>
      <w:r w:rsidRPr="00E83717">
        <w:rPr>
          <w:sz w:val="20"/>
          <w:szCs w:val="22"/>
        </w:rPr>
        <w:t>9,0 відсотка, що також нижче за показник першого півріччя 2021 року, зокрема</w:t>
      </w:r>
      <w:r w:rsidR="00E548A8">
        <w:rPr>
          <w:sz w:val="20"/>
          <w:szCs w:val="22"/>
        </w:rPr>
        <w:t xml:space="preserve"> й</w:t>
      </w:r>
      <w:r w:rsidR="00E548A8" w:rsidRPr="00E83717">
        <w:rPr>
          <w:sz w:val="20"/>
          <w:szCs w:val="22"/>
        </w:rPr>
        <w:t xml:space="preserve"> </w:t>
      </w:r>
      <w:r w:rsidRPr="00E83717">
        <w:rPr>
          <w:sz w:val="20"/>
          <w:szCs w:val="22"/>
        </w:rPr>
        <w:t>у зв'язку зі значним зростання цін на сировину.</w:t>
      </w:r>
    </w:p>
    <w:p w14:paraId="5E99920F" w14:textId="5D266D59" w:rsidR="00BD71F4" w:rsidRPr="00E83717" w:rsidRDefault="00BD71F4" w:rsidP="005A2CCC">
      <w:pPr>
        <w:spacing w:after="120"/>
        <w:rPr>
          <w:rFonts w:cs="Segoe UI"/>
          <w:b/>
          <w:bCs/>
          <w:sz w:val="20"/>
          <w:szCs w:val="20"/>
          <w:lang w:eastAsia="de-DE"/>
        </w:rPr>
      </w:pPr>
    </w:p>
    <w:p w14:paraId="702CF48E" w14:textId="77777777" w:rsidR="005A2CCC" w:rsidRPr="00E83717" w:rsidRDefault="005A2CCC" w:rsidP="005A2CCC">
      <w:pPr>
        <w:spacing w:after="120"/>
        <w:rPr>
          <w:rFonts w:cs="Segoe UI"/>
          <w:b/>
          <w:bCs/>
          <w:sz w:val="20"/>
          <w:szCs w:val="20"/>
        </w:rPr>
      </w:pPr>
      <w:r w:rsidRPr="00E83717">
        <w:rPr>
          <w:b/>
          <w:bCs/>
          <w:sz w:val="20"/>
          <w:szCs w:val="20"/>
        </w:rPr>
        <w:t>Програма осмисленого зростання: хороші успіхи</w:t>
      </w:r>
    </w:p>
    <w:p w14:paraId="07AED038" w14:textId="372C0D42" w:rsidR="005A2CCC" w:rsidRPr="00E83717" w:rsidRDefault="005A2CCC" w:rsidP="005A2CCC">
      <w:pPr>
        <w:autoSpaceDE w:val="0"/>
        <w:autoSpaceDN w:val="0"/>
        <w:adjustRightInd w:val="0"/>
        <w:rPr>
          <w:rFonts w:cs="Segoe UI"/>
          <w:sz w:val="20"/>
          <w:szCs w:val="20"/>
        </w:rPr>
      </w:pPr>
      <w:bookmarkStart w:id="4" w:name="_Hlk109204398"/>
      <w:r w:rsidRPr="00E83717">
        <w:rPr>
          <w:sz w:val="20"/>
          <w:szCs w:val="22"/>
        </w:rPr>
        <w:t>Компанія «</w:t>
      </w:r>
      <w:proofErr w:type="spellStart"/>
      <w:r w:rsidRPr="00E83717">
        <w:rPr>
          <w:sz w:val="20"/>
          <w:szCs w:val="22"/>
        </w:rPr>
        <w:t>Хенкель</w:t>
      </w:r>
      <w:proofErr w:type="spellEnd"/>
      <w:r w:rsidRPr="00E83717">
        <w:rPr>
          <w:sz w:val="20"/>
          <w:szCs w:val="22"/>
        </w:rPr>
        <w:t xml:space="preserve">» </w:t>
      </w:r>
      <w:r w:rsidR="00E548A8">
        <w:rPr>
          <w:sz w:val="20"/>
          <w:szCs w:val="22"/>
        </w:rPr>
        <w:t>у</w:t>
      </w:r>
      <w:r w:rsidR="00E548A8" w:rsidRPr="00E83717">
        <w:rPr>
          <w:sz w:val="20"/>
          <w:szCs w:val="22"/>
        </w:rPr>
        <w:t xml:space="preserve">проваджує </w:t>
      </w:r>
      <w:r w:rsidRPr="00E83717">
        <w:rPr>
          <w:sz w:val="20"/>
          <w:szCs w:val="22"/>
        </w:rPr>
        <w:t xml:space="preserve">програму цілеспрямованого зростання і розробила для цього чітку стратегічну платформу. Ключовими елементами цієї стратегічної платформи стали успішний портфель брендів, чітка конкурентна перевага в галузі інновацій, сталого розвитку </w:t>
      </w:r>
      <w:r w:rsidR="00E548A8">
        <w:rPr>
          <w:sz w:val="20"/>
          <w:szCs w:val="22"/>
        </w:rPr>
        <w:t>й</w:t>
      </w:r>
      <w:r w:rsidR="00E548A8" w:rsidRPr="00E83717">
        <w:rPr>
          <w:sz w:val="20"/>
          <w:szCs w:val="22"/>
        </w:rPr>
        <w:t xml:space="preserve"> </w:t>
      </w:r>
      <w:r w:rsidR="00DC718D">
        <w:rPr>
          <w:sz w:val="20"/>
          <w:szCs w:val="22"/>
        </w:rPr>
        <w:t>застосува</w:t>
      </w:r>
      <w:r w:rsidR="00E548A8" w:rsidRPr="00E83717">
        <w:rPr>
          <w:sz w:val="20"/>
          <w:szCs w:val="22"/>
        </w:rPr>
        <w:t xml:space="preserve">ння </w:t>
      </w:r>
      <w:r w:rsidRPr="00E83717">
        <w:rPr>
          <w:sz w:val="20"/>
          <w:szCs w:val="22"/>
        </w:rPr>
        <w:t xml:space="preserve">цифрових технологій, а також перспективні операційні моделі, що спираються на </w:t>
      </w:r>
      <w:r w:rsidRPr="00A34DDF">
        <w:rPr>
          <w:sz w:val="20"/>
          <w:szCs w:val="22"/>
        </w:rPr>
        <w:t>сильну корпоративну культуру</w:t>
      </w:r>
      <w:r w:rsidRPr="00E83717">
        <w:rPr>
          <w:sz w:val="20"/>
          <w:szCs w:val="22"/>
        </w:rPr>
        <w:t xml:space="preserve">. </w:t>
      </w:r>
    </w:p>
    <w:p w14:paraId="5876A5B8" w14:textId="77777777" w:rsidR="005A2CCC" w:rsidRPr="00E83717" w:rsidRDefault="005A2CCC" w:rsidP="005A2CCC">
      <w:pPr>
        <w:autoSpaceDE w:val="0"/>
        <w:autoSpaceDN w:val="0"/>
        <w:adjustRightInd w:val="0"/>
        <w:rPr>
          <w:rFonts w:cs="Segoe UI"/>
          <w:sz w:val="20"/>
          <w:szCs w:val="20"/>
          <w:lang w:eastAsia="de-DE"/>
        </w:rPr>
      </w:pPr>
    </w:p>
    <w:p w14:paraId="5AC07895" w14:textId="59EA2AFF" w:rsidR="005A2CCC" w:rsidRPr="00E83717" w:rsidRDefault="005A2CCC" w:rsidP="005A2CCC">
      <w:pPr>
        <w:autoSpaceDE w:val="0"/>
        <w:autoSpaceDN w:val="0"/>
        <w:adjustRightInd w:val="0"/>
        <w:rPr>
          <w:rFonts w:cs="Segoe UI"/>
          <w:sz w:val="20"/>
          <w:szCs w:val="20"/>
        </w:rPr>
      </w:pPr>
      <w:r w:rsidRPr="00E83717">
        <w:rPr>
          <w:sz w:val="20"/>
          <w:szCs w:val="22"/>
        </w:rPr>
        <w:t>У першому півріччі 2022 року компанія «</w:t>
      </w:r>
      <w:proofErr w:type="spellStart"/>
      <w:r w:rsidRPr="00E83717">
        <w:rPr>
          <w:sz w:val="20"/>
          <w:szCs w:val="22"/>
        </w:rPr>
        <w:t>Хенкель</w:t>
      </w:r>
      <w:proofErr w:type="spellEnd"/>
      <w:r w:rsidRPr="00E83717">
        <w:rPr>
          <w:sz w:val="20"/>
          <w:szCs w:val="22"/>
        </w:rPr>
        <w:t xml:space="preserve">» продовжила послідовну роботу з реалізації програми зростання і досягла </w:t>
      </w:r>
      <w:r w:rsidR="00A34DDF" w:rsidRPr="00AD6A11">
        <w:rPr>
          <w:sz w:val="20"/>
          <w:szCs w:val="22"/>
        </w:rPr>
        <w:t>вагом</w:t>
      </w:r>
      <w:r w:rsidR="00A34DDF" w:rsidRPr="00A34DDF">
        <w:rPr>
          <w:sz w:val="20"/>
          <w:szCs w:val="22"/>
        </w:rPr>
        <w:t>их</w:t>
      </w:r>
      <w:r w:rsidR="00A34DDF" w:rsidRPr="00E83717">
        <w:rPr>
          <w:sz w:val="20"/>
          <w:szCs w:val="22"/>
        </w:rPr>
        <w:t xml:space="preserve"> </w:t>
      </w:r>
      <w:r w:rsidRPr="00E83717">
        <w:rPr>
          <w:sz w:val="20"/>
          <w:szCs w:val="22"/>
        </w:rPr>
        <w:t xml:space="preserve">успіхів за всіма основними напрямами. Завдяки об'єднанню бізнес-підрозділів «Засоби для прання та догляду за оселею» та «Косметичні засоби» у новий підрозділ </w:t>
      </w:r>
      <w:r w:rsidRPr="00E83717">
        <w:rPr>
          <w:b/>
          <w:bCs/>
          <w:sz w:val="20"/>
          <w:szCs w:val="20"/>
        </w:rPr>
        <w:t>«Споживчі бренди “</w:t>
      </w:r>
      <w:proofErr w:type="spellStart"/>
      <w:r w:rsidRPr="00E83717">
        <w:rPr>
          <w:b/>
          <w:bCs/>
          <w:sz w:val="20"/>
          <w:szCs w:val="20"/>
        </w:rPr>
        <w:t>Хенкель</w:t>
      </w:r>
      <w:proofErr w:type="spellEnd"/>
      <w:r w:rsidRPr="00E83717">
        <w:rPr>
          <w:b/>
          <w:bCs/>
          <w:sz w:val="20"/>
          <w:szCs w:val="20"/>
        </w:rPr>
        <w:t>”»</w:t>
      </w:r>
      <w:r w:rsidRPr="00E83717">
        <w:rPr>
          <w:sz w:val="20"/>
          <w:szCs w:val="22"/>
        </w:rPr>
        <w:t xml:space="preserve"> компанія "</w:t>
      </w:r>
      <w:proofErr w:type="spellStart"/>
      <w:r w:rsidRPr="00E83717">
        <w:rPr>
          <w:sz w:val="20"/>
          <w:szCs w:val="22"/>
        </w:rPr>
        <w:t>Хенкель</w:t>
      </w:r>
      <w:proofErr w:type="spellEnd"/>
      <w:r w:rsidRPr="00E83717">
        <w:rPr>
          <w:sz w:val="20"/>
          <w:szCs w:val="22"/>
        </w:rPr>
        <w:t xml:space="preserve">" виводить програму цілеспрямованого зростання на новий рівень. До структури нового бізнес-підрозділу входять дві глобальні </w:t>
      </w:r>
      <w:r w:rsidRPr="00DC718D">
        <w:rPr>
          <w:sz w:val="20"/>
          <w:szCs w:val="22"/>
        </w:rPr>
        <w:t>категорії</w:t>
      </w:r>
      <w:r w:rsidR="00DC718D" w:rsidRPr="00DC718D">
        <w:rPr>
          <w:sz w:val="20"/>
          <w:szCs w:val="22"/>
        </w:rPr>
        <w:t xml:space="preserve"> –</w:t>
      </w:r>
      <w:r w:rsidRPr="00DC718D">
        <w:rPr>
          <w:sz w:val="20"/>
          <w:szCs w:val="22"/>
        </w:rPr>
        <w:t xml:space="preserve"> «Засоби для прання та догляду за оселею» і «Засоби для догляду за волоссям»,</w:t>
      </w:r>
      <w:r w:rsidRPr="00E83717">
        <w:rPr>
          <w:sz w:val="20"/>
          <w:szCs w:val="22"/>
        </w:rPr>
        <w:t xml:space="preserve"> </w:t>
      </w:r>
      <w:r w:rsidR="00DC718D">
        <w:rPr>
          <w:sz w:val="20"/>
          <w:szCs w:val="22"/>
        </w:rPr>
        <w:t xml:space="preserve">– </w:t>
      </w:r>
      <w:r w:rsidRPr="00E83717">
        <w:rPr>
          <w:sz w:val="20"/>
          <w:szCs w:val="22"/>
        </w:rPr>
        <w:t>що підтримуються центральними функціональними підрозділами, та чотири регіони. Управління іншими категоріями здійснюватиметься під регіональним контролем. Перші чотири рівні управління вже визначено. У США, найбільшому ринку збуту компанії «</w:t>
      </w:r>
      <w:proofErr w:type="spellStart"/>
      <w:r w:rsidRPr="00E83717">
        <w:rPr>
          <w:sz w:val="20"/>
          <w:szCs w:val="22"/>
        </w:rPr>
        <w:t>Хенкель</w:t>
      </w:r>
      <w:proofErr w:type="spellEnd"/>
      <w:r w:rsidRPr="00E83717">
        <w:rPr>
          <w:sz w:val="20"/>
          <w:szCs w:val="22"/>
        </w:rPr>
        <w:t xml:space="preserve">», нову організацію, </w:t>
      </w:r>
      <w:r w:rsidR="00E548A8">
        <w:rPr>
          <w:sz w:val="20"/>
          <w:szCs w:val="22"/>
        </w:rPr>
        <w:t>за очікуваннями</w:t>
      </w:r>
      <w:r w:rsidRPr="00E83717">
        <w:rPr>
          <w:sz w:val="20"/>
          <w:szCs w:val="22"/>
        </w:rPr>
        <w:t>, буде повністю створено вже з вересня.</w:t>
      </w:r>
    </w:p>
    <w:bookmarkEnd w:id="4"/>
    <w:p w14:paraId="24DEC5D2" w14:textId="77777777" w:rsidR="005A2CCC" w:rsidRPr="00E83717" w:rsidRDefault="005A2CCC" w:rsidP="005A2CCC">
      <w:pPr>
        <w:autoSpaceDE w:val="0"/>
        <w:autoSpaceDN w:val="0"/>
        <w:adjustRightInd w:val="0"/>
        <w:rPr>
          <w:rFonts w:cs="Segoe UI"/>
          <w:sz w:val="20"/>
          <w:szCs w:val="20"/>
        </w:rPr>
      </w:pPr>
    </w:p>
    <w:p w14:paraId="1157CD07" w14:textId="44A8580C" w:rsidR="005A2CCC" w:rsidRPr="00E83717" w:rsidRDefault="005A2CCC" w:rsidP="005A2CCC">
      <w:pPr>
        <w:rPr>
          <w:rFonts w:cs="Segoe UI"/>
          <w:sz w:val="20"/>
          <w:szCs w:val="20"/>
        </w:rPr>
      </w:pPr>
      <w:r w:rsidRPr="00E83717">
        <w:rPr>
          <w:sz w:val="20"/>
          <w:szCs w:val="22"/>
        </w:rPr>
        <w:t xml:space="preserve">У контексті злиття двох бізнес-підрозділів споживчих товарів і в межах </w:t>
      </w:r>
      <w:r w:rsidRPr="00E83717">
        <w:rPr>
          <w:b/>
          <w:bCs/>
          <w:sz w:val="20"/>
          <w:szCs w:val="20"/>
        </w:rPr>
        <w:t>активного управління портфелем</w:t>
      </w:r>
      <w:r w:rsidRPr="00E83717">
        <w:rPr>
          <w:sz w:val="20"/>
          <w:szCs w:val="22"/>
        </w:rPr>
        <w:t xml:space="preserve"> </w:t>
      </w:r>
      <w:r w:rsidR="00E548A8" w:rsidRPr="00E83717">
        <w:rPr>
          <w:sz w:val="20"/>
          <w:szCs w:val="22"/>
        </w:rPr>
        <w:t>н</w:t>
      </w:r>
      <w:r w:rsidR="00E548A8">
        <w:rPr>
          <w:sz w:val="20"/>
          <w:szCs w:val="22"/>
        </w:rPr>
        <w:t>ин</w:t>
      </w:r>
      <w:r w:rsidR="00E548A8" w:rsidRPr="00E83717">
        <w:rPr>
          <w:sz w:val="20"/>
          <w:szCs w:val="22"/>
        </w:rPr>
        <w:t xml:space="preserve">і </w:t>
      </w:r>
      <w:r w:rsidR="00E548A8">
        <w:rPr>
          <w:sz w:val="20"/>
          <w:szCs w:val="22"/>
        </w:rPr>
        <w:t>здійснюється</w:t>
      </w:r>
      <w:r w:rsidR="00E548A8" w:rsidRPr="00E83717">
        <w:rPr>
          <w:sz w:val="20"/>
          <w:szCs w:val="22"/>
        </w:rPr>
        <w:t xml:space="preserve"> </w:t>
      </w:r>
      <w:r w:rsidRPr="00E83717">
        <w:rPr>
          <w:sz w:val="20"/>
          <w:szCs w:val="22"/>
        </w:rPr>
        <w:t xml:space="preserve">аналіз напрямів </w:t>
      </w:r>
      <w:r w:rsidR="00E548A8">
        <w:rPr>
          <w:sz w:val="20"/>
          <w:szCs w:val="22"/>
        </w:rPr>
        <w:t>і</w:t>
      </w:r>
      <w:r w:rsidR="00E548A8" w:rsidRPr="00E83717">
        <w:rPr>
          <w:sz w:val="20"/>
          <w:szCs w:val="22"/>
        </w:rPr>
        <w:t xml:space="preserve"> </w:t>
      </w:r>
      <w:r w:rsidRPr="00E83717">
        <w:rPr>
          <w:sz w:val="20"/>
          <w:szCs w:val="22"/>
        </w:rPr>
        <w:t xml:space="preserve">брендів, загальний обсяг продажів яких сягає 1 мільярда євро. Це передбачає, зокрема, продаж або припинення бізнесу, </w:t>
      </w:r>
      <w:r w:rsidR="00E548A8">
        <w:rPr>
          <w:sz w:val="20"/>
          <w:szCs w:val="22"/>
        </w:rPr>
        <w:t>що</w:t>
      </w:r>
      <w:r w:rsidR="00E548A8" w:rsidRPr="00E83717">
        <w:rPr>
          <w:sz w:val="20"/>
          <w:szCs w:val="22"/>
        </w:rPr>
        <w:t xml:space="preserve"> </w:t>
      </w:r>
      <w:r w:rsidRPr="00E83717">
        <w:rPr>
          <w:sz w:val="20"/>
          <w:szCs w:val="22"/>
        </w:rPr>
        <w:t>не відповідає критеріям компанії «</w:t>
      </w:r>
      <w:proofErr w:type="spellStart"/>
      <w:r w:rsidRPr="00E83717">
        <w:rPr>
          <w:sz w:val="20"/>
          <w:szCs w:val="22"/>
        </w:rPr>
        <w:t>Хенкель</w:t>
      </w:r>
      <w:proofErr w:type="spellEnd"/>
      <w:r w:rsidRPr="00E83717">
        <w:rPr>
          <w:sz w:val="20"/>
          <w:szCs w:val="22"/>
        </w:rPr>
        <w:t>» з точки зору зростання та прибутковості. У першому півріччі 2022 року «</w:t>
      </w:r>
      <w:proofErr w:type="spellStart"/>
      <w:r w:rsidRPr="00E83717">
        <w:rPr>
          <w:sz w:val="20"/>
          <w:szCs w:val="22"/>
        </w:rPr>
        <w:t>Хенкель</w:t>
      </w:r>
      <w:proofErr w:type="spellEnd"/>
      <w:r w:rsidRPr="00E83717">
        <w:rPr>
          <w:sz w:val="20"/>
          <w:szCs w:val="22"/>
        </w:rPr>
        <w:t xml:space="preserve">» </w:t>
      </w:r>
      <w:r w:rsidR="00E548A8">
        <w:rPr>
          <w:sz w:val="20"/>
          <w:szCs w:val="22"/>
        </w:rPr>
        <w:t>у</w:t>
      </w:r>
      <w:r w:rsidR="00E548A8" w:rsidRPr="00E83717">
        <w:rPr>
          <w:sz w:val="20"/>
          <w:szCs w:val="22"/>
        </w:rPr>
        <w:t xml:space="preserve">же </w:t>
      </w:r>
      <w:r w:rsidRPr="00E83717">
        <w:rPr>
          <w:sz w:val="20"/>
          <w:szCs w:val="22"/>
        </w:rPr>
        <w:t xml:space="preserve">досягла </w:t>
      </w:r>
      <w:r w:rsidRPr="00A34DDF">
        <w:rPr>
          <w:sz w:val="20"/>
          <w:szCs w:val="22"/>
        </w:rPr>
        <w:t>хороших</w:t>
      </w:r>
      <w:r w:rsidRPr="00E83717">
        <w:rPr>
          <w:sz w:val="20"/>
          <w:szCs w:val="22"/>
        </w:rPr>
        <w:t xml:space="preserve"> результатів, припинивши діяльність деяких непрофільних підприємств у сегменті косметичних засобів. </w:t>
      </w:r>
      <w:r w:rsidR="00E548A8">
        <w:rPr>
          <w:sz w:val="20"/>
          <w:szCs w:val="22"/>
        </w:rPr>
        <w:t>Зазначен</w:t>
      </w:r>
      <w:r w:rsidR="00E548A8" w:rsidRPr="00E83717">
        <w:rPr>
          <w:sz w:val="20"/>
          <w:szCs w:val="22"/>
        </w:rPr>
        <w:t xml:space="preserve">і </w:t>
      </w:r>
      <w:r w:rsidRPr="00E83717">
        <w:rPr>
          <w:sz w:val="20"/>
          <w:szCs w:val="22"/>
        </w:rPr>
        <w:t xml:space="preserve">заходи є частиною портфельних заходів у сегменті косметичних засобів з обсягом продажів близько 200 млн євро, які </w:t>
      </w:r>
      <w:r w:rsidR="00DC718D">
        <w:rPr>
          <w:sz w:val="20"/>
          <w:szCs w:val="22"/>
        </w:rPr>
        <w:t>за</w:t>
      </w:r>
      <w:r w:rsidR="00DC718D" w:rsidRPr="00E83717">
        <w:rPr>
          <w:sz w:val="20"/>
          <w:szCs w:val="22"/>
        </w:rPr>
        <w:t>план</w:t>
      </w:r>
      <w:r w:rsidR="00DC718D">
        <w:rPr>
          <w:sz w:val="20"/>
          <w:szCs w:val="22"/>
        </w:rPr>
        <w:t>овано</w:t>
      </w:r>
      <w:r w:rsidR="00DC718D" w:rsidRPr="00E83717">
        <w:rPr>
          <w:sz w:val="20"/>
          <w:szCs w:val="22"/>
        </w:rPr>
        <w:t xml:space="preserve"> </w:t>
      </w:r>
      <w:r w:rsidRPr="00E83717">
        <w:rPr>
          <w:sz w:val="20"/>
          <w:szCs w:val="22"/>
        </w:rPr>
        <w:t>з</w:t>
      </w:r>
      <w:r w:rsidRPr="00A34DDF">
        <w:rPr>
          <w:sz w:val="20"/>
          <w:szCs w:val="22"/>
        </w:rPr>
        <w:t>дійснит</w:t>
      </w:r>
      <w:r w:rsidRPr="00E83717">
        <w:rPr>
          <w:sz w:val="20"/>
          <w:szCs w:val="22"/>
        </w:rPr>
        <w:t>и до кінця року.</w:t>
      </w:r>
    </w:p>
    <w:p w14:paraId="7A268CB4" w14:textId="77777777" w:rsidR="00B02550" w:rsidRPr="00E83717" w:rsidRDefault="00B02550" w:rsidP="005A2CCC">
      <w:pPr>
        <w:rPr>
          <w:rFonts w:cs="Segoe UI"/>
          <w:sz w:val="20"/>
          <w:szCs w:val="20"/>
        </w:rPr>
      </w:pPr>
      <w:bookmarkStart w:id="5" w:name="_Hlk109204760"/>
    </w:p>
    <w:p w14:paraId="5E003909" w14:textId="17A398B8" w:rsidR="005A2CCC" w:rsidRPr="00E83717" w:rsidRDefault="005A2CCC" w:rsidP="005A2CCC">
      <w:pPr>
        <w:rPr>
          <w:rFonts w:cs="Segoe UI"/>
          <w:sz w:val="20"/>
          <w:szCs w:val="20"/>
        </w:rPr>
      </w:pPr>
      <w:r w:rsidRPr="00E83717">
        <w:rPr>
          <w:sz w:val="20"/>
          <w:szCs w:val="22"/>
        </w:rPr>
        <w:t>Компанія «</w:t>
      </w:r>
      <w:proofErr w:type="spellStart"/>
      <w:r w:rsidRPr="00E83717">
        <w:rPr>
          <w:sz w:val="20"/>
          <w:szCs w:val="22"/>
        </w:rPr>
        <w:t>Хенкель</w:t>
      </w:r>
      <w:proofErr w:type="spellEnd"/>
      <w:r w:rsidRPr="00E83717">
        <w:rPr>
          <w:sz w:val="20"/>
          <w:szCs w:val="22"/>
        </w:rPr>
        <w:t xml:space="preserve">» також зміцнила свій портфель за рахунок </w:t>
      </w:r>
      <w:r w:rsidRPr="00E83717">
        <w:rPr>
          <w:b/>
          <w:bCs/>
          <w:sz w:val="20"/>
          <w:szCs w:val="20"/>
        </w:rPr>
        <w:t>придбань активів</w:t>
      </w:r>
      <w:r w:rsidRPr="00E83717">
        <w:rPr>
          <w:sz w:val="20"/>
          <w:szCs w:val="22"/>
        </w:rPr>
        <w:t xml:space="preserve">. У липні 2022 року було завершено придбання підрозділу </w:t>
      </w:r>
      <w:proofErr w:type="spellStart"/>
      <w:r w:rsidRPr="00E83717">
        <w:rPr>
          <w:sz w:val="20"/>
          <w:szCs w:val="22"/>
        </w:rPr>
        <w:t>Shiseido</w:t>
      </w:r>
      <w:proofErr w:type="spellEnd"/>
      <w:r w:rsidRPr="00E83717">
        <w:rPr>
          <w:sz w:val="20"/>
          <w:szCs w:val="22"/>
        </w:rPr>
        <w:t xml:space="preserve"> </w:t>
      </w:r>
      <w:proofErr w:type="spellStart"/>
      <w:r w:rsidRPr="00E83717">
        <w:rPr>
          <w:sz w:val="20"/>
          <w:szCs w:val="22"/>
        </w:rPr>
        <w:t>Hair</w:t>
      </w:r>
      <w:proofErr w:type="spellEnd"/>
      <w:r w:rsidRPr="00E83717">
        <w:rPr>
          <w:sz w:val="20"/>
          <w:szCs w:val="22"/>
        </w:rPr>
        <w:t xml:space="preserve"> Professional в </w:t>
      </w:r>
      <w:proofErr w:type="spellStart"/>
      <w:r w:rsidRPr="00E83717">
        <w:rPr>
          <w:sz w:val="20"/>
          <w:szCs w:val="22"/>
        </w:rPr>
        <w:t>Азійсько</w:t>
      </w:r>
      <w:proofErr w:type="spellEnd"/>
      <w:r w:rsidRPr="00E83717">
        <w:rPr>
          <w:sz w:val="20"/>
          <w:szCs w:val="22"/>
        </w:rPr>
        <w:t>-Тихоокеанському регіоні. Це дало змогу компанії «</w:t>
      </w:r>
      <w:proofErr w:type="spellStart"/>
      <w:r w:rsidRPr="00E83717">
        <w:rPr>
          <w:sz w:val="20"/>
          <w:szCs w:val="22"/>
        </w:rPr>
        <w:t>Хенкель</w:t>
      </w:r>
      <w:proofErr w:type="spellEnd"/>
      <w:r w:rsidRPr="00E83717">
        <w:rPr>
          <w:sz w:val="20"/>
          <w:szCs w:val="22"/>
        </w:rPr>
        <w:t xml:space="preserve">» вийти на друге місце у світі у сфері професійних засобів для догляду за волоссям. </w:t>
      </w:r>
    </w:p>
    <w:bookmarkEnd w:id="5"/>
    <w:p w14:paraId="49990794" w14:textId="77777777" w:rsidR="005A2CCC" w:rsidRPr="00E83717" w:rsidRDefault="005A2CCC" w:rsidP="005A2CCC">
      <w:pPr>
        <w:autoSpaceDE w:val="0"/>
        <w:autoSpaceDN w:val="0"/>
        <w:adjustRightInd w:val="0"/>
        <w:rPr>
          <w:rFonts w:cs="Segoe UI"/>
          <w:sz w:val="20"/>
          <w:szCs w:val="20"/>
        </w:rPr>
      </w:pPr>
    </w:p>
    <w:p w14:paraId="0EC49588" w14:textId="142A8623" w:rsidR="005A2CCC" w:rsidRPr="00E83717" w:rsidRDefault="005A2CCC" w:rsidP="005A2CCC">
      <w:pPr>
        <w:autoSpaceDE w:val="0"/>
        <w:autoSpaceDN w:val="0"/>
        <w:adjustRightInd w:val="0"/>
        <w:rPr>
          <w:rFonts w:cs="Segoe UI"/>
          <w:bCs/>
          <w:sz w:val="20"/>
          <w:szCs w:val="20"/>
        </w:rPr>
      </w:pPr>
      <w:r w:rsidRPr="00E83717">
        <w:rPr>
          <w:sz w:val="20"/>
          <w:szCs w:val="22"/>
        </w:rPr>
        <w:lastRenderedPageBreak/>
        <w:t xml:space="preserve">Щоб </w:t>
      </w:r>
      <w:r w:rsidR="00E548A8">
        <w:rPr>
          <w:sz w:val="20"/>
          <w:szCs w:val="22"/>
        </w:rPr>
        <w:t xml:space="preserve">посилити </w:t>
      </w:r>
      <w:r w:rsidRPr="00E83717">
        <w:rPr>
          <w:sz w:val="20"/>
          <w:szCs w:val="22"/>
        </w:rPr>
        <w:t xml:space="preserve">свої </w:t>
      </w:r>
      <w:r w:rsidRPr="00E83717">
        <w:rPr>
          <w:b/>
          <w:bCs/>
          <w:sz w:val="20"/>
          <w:szCs w:val="20"/>
        </w:rPr>
        <w:t>конкурентні переваги</w:t>
      </w:r>
      <w:r w:rsidRPr="00E83717">
        <w:rPr>
          <w:sz w:val="20"/>
          <w:szCs w:val="22"/>
        </w:rPr>
        <w:t>, компанія «</w:t>
      </w:r>
      <w:proofErr w:type="spellStart"/>
      <w:r w:rsidRPr="00E83717">
        <w:rPr>
          <w:sz w:val="20"/>
          <w:szCs w:val="22"/>
        </w:rPr>
        <w:t>Хенкель</w:t>
      </w:r>
      <w:proofErr w:type="spellEnd"/>
      <w:r w:rsidRPr="00E83717">
        <w:rPr>
          <w:sz w:val="20"/>
          <w:szCs w:val="22"/>
        </w:rPr>
        <w:t xml:space="preserve">» зосередилася на подальшому прискоренні </w:t>
      </w:r>
      <w:r w:rsidRPr="00E83717">
        <w:rPr>
          <w:b/>
          <w:bCs/>
          <w:sz w:val="20"/>
          <w:szCs w:val="20"/>
        </w:rPr>
        <w:t>інновацій</w:t>
      </w:r>
      <w:r w:rsidRPr="00E83717">
        <w:rPr>
          <w:sz w:val="20"/>
          <w:szCs w:val="22"/>
        </w:rPr>
        <w:t>, підвищенні внеску в</w:t>
      </w:r>
      <w:r w:rsidRPr="00E83717">
        <w:rPr>
          <w:b/>
          <w:bCs/>
          <w:sz w:val="20"/>
          <w:szCs w:val="20"/>
        </w:rPr>
        <w:t xml:space="preserve"> сталий розвиток</w:t>
      </w:r>
      <w:r w:rsidR="00E548A8">
        <w:rPr>
          <w:b/>
          <w:bCs/>
          <w:sz w:val="20"/>
          <w:szCs w:val="20"/>
        </w:rPr>
        <w:t xml:space="preserve"> </w:t>
      </w:r>
      <w:r w:rsidRPr="00E83717">
        <w:rPr>
          <w:sz w:val="20"/>
          <w:szCs w:val="22"/>
        </w:rPr>
        <w:t xml:space="preserve">як </w:t>
      </w:r>
      <w:proofErr w:type="spellStart"/>
      <w:r w:rsidRPr="00A34DDF">
        <w:rPr>
          <w:sz w:val="20"/>
          <w:szCs w:val="22"/>
        </w:rPr>
        <w:t>диференціюючого</w:t>
      </w:r>
      <w:proofErr w:type="spellEnd"/>
      <w:r w:rsidRPr="00A34DDF">
        <w:rPr>
          <w:sz w:val="20"/>
          <w:szCs w:val="22"/>
        </w:rPr>
        <w:t xml:space="preserve"> чинника</w:t>
      </w:r>
      <w:r w:rsidRPr="00E83717">
        <w:rPr>
          <w:sz w:val="20"/>
          <w:szCs w:val="22"/>
        </w:rPr>
        <w:t xml:space="preserve"> </w:t>
      </w:r>
      <w:r w:rsidR="00E548A8">
        <w:rPr>
          <w:sz w:val="20"/>
          <w:szCs w:val="22"/>
        </w:rPr>
        <w:t>та</w:t>
      </w:r>
      <w:r w:rsidR="00E548A8" w:rsidRPr="00E83717">
        <w:rPr>
          <w:sz w:val="20"/>
          <w:szCs w:val="22"/>
        </w:rPr>
        <w:t xml:space="preserve"> </w:t>
      </w:r>
      <w:r w:rsidRPr="00E83717">
        <w:rPr>
          <w:sz w:val="20"/>
          <w:szCs w:val="22"/>
        </w:rPr>
        <w:t xml:space="preserve">збільшенні цінності для клієнтів </w:t>
      </w:r>
      <w:r w:rsidR="00E548A8">
        <w:rPr>
          <w:sz w:val="20"/>
          <w:szCs w:val="22"/>
        </w:rPr>
        <w:t>і</w:t>
      </w:r>
      <w:r w:rsidR="00E548A8" w:rsidRPr="00E83717">
        <w:rPr>
          <w:sz w:val="20"/>
          <w:szCs w:val="22"/>
        </w:rPr>
        <w:t xml:space="preserve"> </w:t>
      </w:r>
      <w:r w:rsidRPr="00E83717">
        <w:rPr>
          <w:sz w:val="20"/>
          <w:szCs w:val="22"/>
        </w:rPr>
        <w:t xml:space="preserve">споживачів </w:t>
      </w:r>
      <w:r w:rsidR="00E548A8">
        <w:rPr>
          <w:sz w:val="20"/>
          <w:szCs w:val="22"/>
        </w:rPr>
        <w:t xml:space="preserve">унаслідок </w:t>
      </w:r>
      <w:r w:rsidR="00E548A8">
        <w:rPr>
          <w:b/>
          <w:bCs/>
          <w:sz w:val="20"/>
          <w:szCs w:val="20"/>
        </w:rPr>
        <w:t>у</w:t>
      </w:r>
      <w:r w:rsidR="00E548A8" w:rsidRPr="00E83717">
        <w:rPr>
          <w:b/>
          <w:bCs/>
          <w:sz w:val="20"/>
          <w:szCs w:val="20"/>
        </w:rPr>
        <w:t xml:space="preserve">провадження </w:t>
      </w:r>
      <w:r w:rsidRPr="00E83717">
        <w:rPr>
          <w:b/>
          <w:bCs/>
          <w:sz w:val="20"/>
          <w:szCs w:val="20"/>
        </w:rPr>
        <w:t>цифрових технологій</w:t>
      </w:r>
      <w:r w:rsidRPr="00E83717">
        <w:rPr>
          <w:sz w:val="20"/>
          <w:szCs w:val="22"/>
        </w:rPr>
        <w:t>.</w:t>
      </w:r>
    </w:p>
    <w:p w14:paraId="26A930F0" w14:textId="77777777" w:rsidR="005A2CCC" w:rsidRPr="00E83717" w:rsidRDefault="005A2CCC" w:rsidP="005A2CCC">
      <w:pPr>
        <w:autoSpaceDE w:val="0"/>
        <w:autoSpaceDN w:val="0"/>
        <w:adjustRightInd w:val="0"/>
        <w:rPr>
          <w:rFonts w:cs="Segoe UI"/>
          <w:bCs/>
          <w:sz w:val="20"/>
          <w:szCs w:val="20"/>
        </w:rPr>
      </w:pPr>
    </w:p>
    <w:p w14:paraId="43C7394F" w14:textId="2474C691" w:rsidR="005A2CCC" w:rsidRPr="00E83717" w:rsidRDefault="005A2CCC" w:rsidP="005A2CCC">
      <w:pPr>
        <w:autoSpaceDE w:val="0"/>
        <w:autoSpaceDN w:val="0"/>
        <w:adjustRightInd w:val="0"/>
        <w:rPr>
          <w:rFonts w:cs="Segoe UI"/>
          <w:bCs/>
          <w:sz w:val="20"/>
          <w:szCs w:val="20"/>
        </w:rPr>
      </w:pPr>
      <w:r w:rsidRPr="00E83717">
        <w:rPr>
          <w:sz w:val="20"/>
          <w:szCs w:val="22"/>
        </w:rPr>
        <w:t>Ключовим елементом стратегії компанії «</w:t>
      </w:r>
      <w:proofErr w:type="spellStart"/>
      <w:r w:rsidRPr="00E83717">
        <w:rPr>
          <w:sz w:val="20"/>
          <w:szCs w:val="22"/>
        </w:rPr>
        <w:t>Хенкель</w:t>
      </w:r>
      <w:proofErr w:type="spellEnd"/>
      <w:r w:rsidRPr="00E83717">
        <w:rPr>
          <w:sz w:val="20"/>
          <w:szCs w:val="22"/>
        </w:rPr>
        <w:t xml:space="preserve">» є чітка диференціація на ринку </w:t>
      </w:r>
      <w:r w:rsidR="00E548A8">
        <w:rPr>
          <w:sz w:val="20"/>
          <w:szCs w:val="22"/>
        </w:rPr>
        <w:t>завдяки</w:t>
      </w:r>
      <w:r w:rsidRPr="00E83717">
        <w:rPr>
          <w:sz w:val="20"/>
          <w:szCs w:val="22"/>
        </w:rPr>
        <w:t xml:space="preserve"> </w:t>
      </w:r>
      <w:r w:rsidR="00E548A8" w:rsidRPr="00E83717">
        <w:rPr>
          <w:sz w:val="20"/>
          <w:szCs w:val="22"/>
        </w:rPr>
        <w:t>успішни</w:t>
      </w:r>
      <w:r w:rsidR="00E548A8">
        <w:rPr>
          <w:sz w:val="20"/>
          <w:szCs w:val="22"/>
        </w:rPr>
        <w:t>м</w:t>
      </w:r>
      <w:r w:rsidR="00E548A8" w:rsidRPr="00E83717">
        <w:rPr>
          <w:sz w:val="20"/>
          <w:szCs w:val="22"/>
        </w:rPr>
        <w:t xml:space="preserve"> </w:t>
      </w:r>
      <w:r w:rsidRPr="00E83717">
        <w:rPr>
          <w:b/>
          <w:sz w:val="20"/>
          <w:szCs w:val="20"/>
        </w:rPr>
        <w:t>інноваці</w:t>
      </w:r>
      <w:r w:rsidR="00E548A8">
        <w:rPr>
          <w:b/>
          <w:sz w:val="20"/>
          <w:szCs w:val="20"/>
        </w:rPr>
        <w:t>ям</w:t>
      </w:r>
      <w:r w:rsidRPr="00E83717">
        <w:rPr>
          <w:sz w:val="20"/>
          <w:szCs w:val="22"/>
        </w:rPr>
        <w:t xml:space="preserve">. Це </w:t>
      </w:r>
      <w:r w:rsidRPr="00A34DDF">
        <w:rPr>
          <w:sz w:val="20"/>
          <w:szCs w:val="22"/>
        </w:rPr>
        <w:t>значною мірою</w:t>
      </w:r>
      <w:r w:rsidRPr="00E83717">
        <w:rPr>
          <w:sz w:val="20"/>
          <w:szCs w:val="22"/>
        </w:rPr>
        <w:t xml:space="preserve"> сприяло зростанню у першій половині року. </w:t>
      </w:r>
      <w:bookmarkStart w:id="6" w:name="_Hlk109382178"/>
      <w:r w:rsidR="00E548A8">
        <w:rPr>
          <w:sz w:val="20"/>
          <w:szCs w:val="22"/>
        </w:rPr>
        <w:t>У</w:t>
      </w:r>
      <w:r w:rsidR="00E548A8" w:rsidRPr="00E83717">
        <w:rPr>
          <w:sz w:val="20"/>
          <w:szCs w:val="22"/>
        </w:rPr>
        <w:t xml:space="preserve"> </w:t>
      </w:r>
      <w:r w:rsidRPr="00E83717">
        <w:rPr>
          <w:sz w:val="20"/>
          <w:szCs w:val="22"/>
        </w:rPr>
        <w:t>бізнес-підрозділі «Клейові технології»</w:t>
      </w:r>
      <w:r w:rsidR="00E548A8">
        <w:rPr>
          <w:sz w:val="20"/>
          <w:szCs w:val="22"/>
        </w:rPr>
        <w:t xml:space="preserve">, </w:t>
      </w:r>
      <w:r w:rsidRPr="00E83717">
        <w:rPr>
          <w:sz w:val="20"/>
          <w:szCs w:val="22"/>
        </w:rPr>
        <w:t xml:space="preserve"> </w:t>
      </w:r>
      <w:r w:rsidR="00E548A8">
        <w:rPr>
          <w:sz w:val="20"/>
          <w:szCs w:val="22"/>
        </w:rPr>
        <w:t>н</w:t>
      </w:r>
      <w:r w:rsidR="00E548A8" w:rsidRPr="00E83717">
        <w:rPr>
          <w:sz w:val="20"/>
          <w:szCs w:val="22"/>
        </w:rPr>
        <w:t>априклад,</w:t>
      </w:r>
      <w:r w:rsidR="00E548A8">
        <w:rPr>
          <w:sz w:val="20"/>
          <w:szCs w:val="22"/>
        </w:rPr>
        <w:t xml:space="preserve"> </w:t>
      </w:r>
      <w:r w:rsidRPr="00E83717">
        <w:rPr>
          <w:sz w:val="20"/>
          <w:szCs w:val="22"/>
        </w:rPr>
        <w:t>компанією «</w:t>
      </w:r>
      <w:proofErr w:type="spellStart"/>
      <w:r w:rsidRPr="00E83717">
        <w:rPr>
          <w:sz w:val="20"/>
          <w:szCs w:val="22"/>
        </w:rPr>
        <w:t>Хенкель</w:t>
      </w:r>
      <w:proofErr w:type="spellEnd"/>
      <w:r w:rsidRPr="00E83717">
        <w:rPr>
          <w:sz w:val="20"/>
          <w:szCs w:val="22"/>
        </w:rPr>
        <w:t xml:space="preserve">» було розроблено нові вогнетривкі покриття для акумуляторних </w:t>
      </w:r>
      <w:proofErr w:type="spellStart"/>
      <w:r w:rsidRPr="00E83717">
        <w:rPr>
          <w:sz w:val="20"/>
          <w:szCs w:val="22"/>
        </w:rPr>
        <w:t>батарей</w:t>
      </w:r>
      <w:proofErr w:type="spellEnd"/>
      <w:r w:rsidRPr="00E83717">
        <w:rPr>
          <w:sz w:val="20"/>
          <w:szCs w:val="22"/>
        </w:rPr>
        <w:t xml:space="preserve"> електромобілів. Вони не лише значно підвищують безпеку пасажирів, а й надають змогу клієнтам з автомобільної галузі досягти економічно ефективного виробництва. У бізнес-підрозділі «Косметичні засоби» компанія «</w:t>
      </w:r>
      <w:proofErr w:type="spellStart"/>
      <w:r w:rsidRPr="00E83717">
        <w:rPr>
          <w:sz w:val="20"/>
          <w:szCs w:val="22"/>
        </w:rPr>
        <w:t>Хенкель</w:t>
      </w:r>
      <w:proofErr w:type="spellEnd"/>
      <w:r w:rsidRPr="00E83717">
        <w:rPr>
          <w:sz w:val="20"/>
          <w:szCs w:val="22"/>
        </w:rPr>
        <w:t xml:space="preserve">» перезапустила свій бренд засобів для догляду за волоссям </w:t>
      </w:r>
      <w:proofErr w:type="spellStart"/>
      <w:r w:rsidRPr="00E83717">
        <w:rPr>
          <w:sz w:val="20"/>
          <w:szCs w:val="22"/>
        </w:rPr>
        <w:t>Schauma</w:t>
      </w:r>
      <w:proofErr w:type="spellEnd"/>
      <w:r w:rsidRPr="00E83717">
        <w:rPr>
          <w:sz w:val="20"/>
          <w:szCs w:val="22"/>
        </w:rPr>
        <w:t xml:space="preserve"> з оновленою концепцією екологічної упаковки, яка на 50</w:t>
      </w:r>
      <w:r w:rsidR="00110FE0">
        <w:rPr>
          <w:sz w:val="20"/>
          <w:szCs w:val="22"/>
        </w:rPr>
        <w:t>–</w:t>
      </w:r>
      <w:r w:rsidRPr="00E83717">
        <w:rPr>
          <w:sz w:val="20"/>
          <w:szCs w:val="22"/>
        </w:rPr>
        <w:t xml:space="preserve">100% складається з переробленого пластику. У бізнес-підрозділі «Засоби для прання та догляду за оселею» двозначного зростання та подальшого збільшення частки ринку було досягнуто завдяки бренду </w:t>
      </w:r>
      <w:proofErr w:type="spellStart"/>
      <w:r w:rsidRPr="00E83717">
        <w:rPr>
          <w:sz w:val="20"/>
          <w:szCs w:val="22"/>
        </w:rPr>
        <w:t>Persil</w:t>
      </w:r>
      <w:proofErr w:type="spellEnd"/>
      <w:r w:rsidRPr="00E83717">
        <w:rPr>
          <w:sz w:val="20"/>
          <w:szCs w:val="22"/>
        </w:rPr>
        <w:t>, чому сприяло розширення асортименту екологічної та придатної для електронної комерції продукції.</w:t>
      </w:r>
    </w:p>
    <w:bookmarkEnd w:id="6"/>
    <w:p w14:paraId="4CEE6889" w14:textId="77777777" w:rsidR="005A2CCC" w:rsidRPr="00E83717" w:rsidRDefault="005A2CCC" w:rsidP="005A2CCC">
      <w:pPr>
        <w:autoSpaceDE w:val="0"/>
        <w:autoSpaceDN w:val="0"/>
        <w:adjustRightInd w:val="0"/>
        <w:rPr>
          <w:rFonts w:cs="Segoe UI"/>
          <w:b/>
          <w:sz w:val="20"/>
          <w:szCs w:val="20"/>
        </w:rPr>
      </w:pPr>
    </w:p>
    <w:p w14:paraId="712D2BA1" w14:textId="1083A635" w:rsidR="005A2CCC" w:rsidRPr="00E83717" w:rsidRDefault="005A2CCC" w:rsidP="005A2CCC">
      <w:pPr>
        <w:autoSpaceDE w:val="0"/>
        <w:autoSpaceDN w:val="0"/>
        <w:adjustRightInd w:val="0"/>
        <w:rPr>
          <w:rFonts w:cs="Segoe UI"/>
          <w:bCs/>
          <w:sz w:val="20"/>
          <w:szCs w:val="20"/>
        </w:rPr>
      </w:pPr>
      <w:r w:rsidRPr="00E83717">
        <w:rPr>
          <w:b/>
          <w:sz w:val="20"/>
          <w:szCs w:val="20"/>
        </w:rPr>
        <w:t>Сталий розвиток</w:t>
      </w:r>
      <w:r w:rsidRPr="00E83717">
        <w:rPr>
          <w:sz w:val="20"/>
          <w:szCs w:val="22"/>
        </w:rPr>
        <w:t xml:space="preserve"> </w:t>
      </w:r>
      <w:r w:rsidR="00110FE0">
        <w:rPr>
          <w:sz w:val="20"/>
          <w:szCs w:val="22"/>
        </w:rPr>
        <w:t>у</w:t>
      </w:r>
      <w:r w:rsidR="00110FE0" w:rsidRPr="00E83717">
        <w:rPr>
          <w:sz w:val="20"/>
          <w:szCs w:val="22"/>
        </w:rPr>
        <w:t xml:space="preserve">же </w:t>
      </w:r>
      <w:r w:rsidRPr="00E83717">
        <w:rPr>
          <w:sz w:val="20"/>
          <w:szCs w:val="22"/>
        </w:rPr>
        <w:t xml:space="preserve">давно є однією з </w:t>
      </w:r>
      <w:r w:rsidRPr="00A34DDF">
        <w:rPr>
          <w:sz w:val="20"/>
          <w:szCs w:val="22"/>
        </w:rPr>
        <w:t>найсильніших сторін компанії</w:t>
      </w:r>
      <w:r w:rsidRPr="00E83717">
        <w:rPr>
          <w:sz w:val="20"/>
          <w:szCs w:val="22"/>
        </w:rPr>
        <w:t xml:space="preserve"> «</w:t>
      </w:r>
      <w:proofErr w:type="spellStart"/>
      <w:r w:rsidRPr="00E83717">
        <w:rPr>
          <w:sz w:val="20"/>
          <w:szCs w:val="22"/>
        </w:rPr>
        <w:t>Хенкель</w:t>
      </w:r>
      <w:proofErr w:type="spellEnd"/>
      <w:r w:rsidRPr="00E83717">
        <w:rPr>
          <w:sz w:val="20"/>
          <w:szCs w:val="22"/>
        </w:rPr>
        <w:t xml:space="preserve">». Прагнучи відобразити зростаючу важливість сталого управління </w:t>
      </w:r>
      <w:r w:rsidR="00110FE0">
        <w:rPr>
          <w:sz w:val="20"/>
          <w:szCs w:val="22"/>
        </w:rPr>
        <w:t>й</w:t>
      </w:r>
      <w:r w:rsidR="00110FE0" w:rsidRPr="00E83717">
        <w:rPr>
          <w:sz w:val="20"/>
          <w:szCs w:val="22"/>
        </w:rPr>
        <w:t xml:space="preserve"> </w:t>
      </w:r>
      <w:r w:rsidRPr="00E83717">
        <w:rPr>
          <w:sz w:val="20"/>
          <w:szCs w:val="22"/>
        </w:rPr>
        <w:t>очікування клієнтів і суспільства, компанія «</w:t>
      </w:r>
      <w:proofErr w:type="spellStart"/>
      <w:r w:rsidRPr="00E83717">
        <w:rPr>
          <w:sz w:val="20"/>
          <w:szCs w:val="22"/>
        </w:rPr>
        <w:t>Хенкель</w:t>
      </w:r>
      <w:proofErr w:type="spellEnd"/>
      <w:r w:rsidRPr="00E83717">
        <w:rPr>
          <w:sz w:val="20"/>
          <w:szCs w:val="22"/>
        </w:rPr>
        <w:t xml:space="preserve">» розширила свою довгострокову стратегію, представивши нову «Концепцію сталого розвитку 2030+». На додаток до </w:t>
      </w:r>
      <w:r w:rsidR="00110FE0">
        <w:rPr>
          <w:sz w:val="20"/>
          <w:szCs w:val="22"/>
        </w:rPr>
        <w:t>наявн</w:t>
      </w:r>
      <w:r w:rsidR="00110FE0" w:rsidRPr="00E83717">
        <w:rPr>
          <w:sz w:val="20"/>
          <w:szCs w:val="22"/>
        </w:rPr>
        <w:t xml:space="preserve">их </w:t>
      </w:r>
      <w:r w:rsidRPr="00E83717">
        <w:rPr>
          <w:sz w:val="20"/>
          <w:szCs w:val="22"/>
        </w:rPr>
        <w:t>цілей були визначені нові довгострокові цілі за трьома напрямами: «Регенерація планети», «Процвітання громад» і «Надійний партнер».</w:t>
      </w:r>
    </w:p>
    <w:p w14:paraId="6CEFB3D9" w14:textId="77777777" w:rsidR="005A2CCC" w:rsidRPr="00E83717" w:rsidRDefault="005A2CCC" w:rsidP="005A2CCC">
      <w:pPr>
        <w:autoSpaceDE w:val="0"/>
        <w:autoSpaceDN w:val="0"/>
        <w:adjustRightInd w:val="0"/>
        <w:rPr>
          <w:rFonts w:cs="Segoe UI"/>
          <w:color w:val="000000"/>
          <w:sz w:val="20"/>
          <w:szCs w:val="22"/>
          <w:shd w:val="clear" w:color="auto" w:fill="FFFFFF"/>
        </w:rPr>
      </w:pPr>
    </w:p>
    <w:p w14:paraId="42D38F7B" w14:textId="1C69BB28" w:rsidR="005A2CCC" w:rsidRPr="00E83717" w:rsidRDefault="005A2CCC" w:rsidP="005A2CCC">
      <w:pPr>
        <w:autoSpaceDE w:val="0"/>
        <w:autoSpaceDN w:val="0"/>
        <w:adjustRightInd w:val="0"/>
        <w:rPr>
          <w:rFonts w:cs="Segoe UI"/>
          <w:bCs/>
          <w:sz w:val="20"/>
          <w:szCs w:val="20"/>
        </w:rPr>
      </w:pPr>
      <w:bookmarkStart w:id="7" w:name="_Hlk109206660"/>
      <w:r w:rsidRPr="00E83717">
        <w:rPr>
          <w:sz w:val="20"/>
          <w:szCs w:val="22"/>
        </w:rPr>
        <w:t>У першій половині 2022 року компанія «</w:t>
      </w:r>
      <w:proofErr w:type="spellStart"/>
      <w:r w:rsidRPr="00E83717">
        <w:rPr>
          <w:sz w:val="20"/>
          <w:szCs w:val="22"/>
        </w:rPr>
        <w:t>Хенкель</w:t>
      </w:r>
      <w:proofErr w:type="spellEnd"/>
      <w:r w:rsidRPr="00E83717">
        <w:rPr>
          <w:sz w:val="20"/>
          <w:szCs w:val="22"/>
        </w:rPr>
        <w:t xml:space="preserve">» досягла </w:t>
      </w:r>
      <w:r w:rsidR="00110FE0">
        <w:rPr>
          <w:sz w:val="20"/>
          <w:szCs w:val="22"/>
        </w:rPr>
        <w:t>вагом</w:t>
      </w:r>
      <w:r w:rsidR="00110FE0" w:rsidRPr="00E83717">
        <w:rPr>
          <w:sz w:val="20"/>
          <w:szCs w:val="22"/>
        </w:rPr>
        <w:t xml:space="preserve">их </w:t>
      </w:r>
      <w:r w:rsidRPr="00E83717">
        <w:rPr>
          <w:sz w:val="20"/>
          <w:szCs w:val="22"/>
        </w:rPr>
        <w:t>успіхів у галузі сталого розвитку. На шляху до досягнення мети кліматично позитивного балансу CO</w:t>
      </w:r>
      <w:r w:rsidRPr="00E83717">
        <w:rPr>
          <w:sz w:val="20"/>
          <w:szCs w:val="22"/>
          <w:vertAlign w:val="subscript"/>
        </w:rPr>
        <w:t>2</w:t>
      </w:r>
      <w:r w:rsidRPr="00E83717">
        <w:rPr>
          <w:sz w:val="20"/>
          <w:szCs w:val="22"/>
        </w:rPr>
        <w:t xml:space="preserve"> для своїх виробничих майданчиків до 2030 року</w:t>
      </w:r>
      <w:r w:rsidR="00110FE0">
        <w:rPr>
          <w:sz w:val="20"/>
          <w:szCs w:val="22"/>
        </w:rPr>
        <w:t xml:space="preserve">, </w:t>
      </w:r>
      <w:r w:rsidRPr="00E83717">
        <w:rPr>
          <w:sz w:val="20"/>
          <w:szCs w:val="22"/>
        </w:rPr>
        <w:t xml:space="preserve"> </w:t>
      </w:r>
      <w:r w:rsidR="00110FE0" w:rsidRPr="00E83717">
        <w:rPr>
          <w:sz w:val="20"/>
          <w:szCs w:val="22"/>
        </w:rPr>
        <w:t>наприклад</w:t>
      </w:r>
      <w:r w:rsidR="00110FE0">
        <w:rPr>
          <w:sz w:val="20"/>
          <w:szCs w:val="22"/>
        </w:rPr>
        <w:t xml:space="preserve">, </w:t>
      </w:r>
      <w:r w:rsidRPr="00E83717">
        <w:rPr>
          <w:sz w:val="20"/>
          <w:szCs w:val="22"/>
        </w:rPr>
        <w:t>компанія «</w:t>
      </w:r>
      <w:proofErr w:type="spellStart"/>
      <w:r w:rsidRPr="00E83717">
        <w:rPr>
          <w:sz w:val="20"/>
          <w:szCs w:val="22"/>
        </w:rPr>
        <w:t>Хенкель</w:t>
      </w:r>
      <w:proofErr w:type="spellEnd"/>
      <w:r w:rsidRPr="00E83717">
        <w:rPr>
          <w:sz w:val="20"/>
          <w:szCs w:val="22"/>
        </w:rPr>
        <w:t>» перевела ще три виробничі майданчики у Європі на роботу з використанням 100% CO</w:t>
      </w:r>
      <w:r w:rsidRPr="00E83717">
        <w:rPr>
          <w:sz w:val="20"/>
          <w:szCs w:val="22"/>
          <w:vertAlign w:val="subscript"/>
        </w:rPr>
        <w:t>2</w:t>
      </w:r>
      <w:r w:rsidRPr="00E83717">
        <w:rPr>
          <w:sz w:val="20"/>
          <w:szCs w:val="22"/>
        </w:rPr>
        <w:t>-нейтральної енергії. Крім того, «</w:t>
      </w:r>
      <w:proofErr w:type="spellStart"/>
      <w:r w:rsidRPr="00E83717">
        <w:rPr>
          <w:sz w:val="20"/>
          <w:szCs w:val="22"/>
        </w:rPr>
        <w:t>Хенкель</w:t>
      </w:r>
      <w:proofErr w:type="spellEnd"/>
      <w:r w:rsidRPr="00E83717">
        <w:rPr>
          <w:sz w:val="20"/>
          <w:szCs w:val="22"/>
        </w:rPr>
        <w:t xml:space="preserve">» продовжує </w:t>
      </w:r>
      <w:r w:rsidRPr="00A34DDF">
        <w:rPr>
          <w:sz w:val="20"/>
          <w:szCs w:val="22"/>
        </w:rPr>
        <w:t>робити ставку</w:t>
      </w:r>
      <w:r w:rsidRPr="00E83717">
        <w:rPr>
          <w:sz w:val="20"/>
          <w:szCs w:val="22"/>
        </w:rPr>
        <w:t xml:space="preserve"> на поновлювані сировинні матеріали. Завдяки партнерству з BASF, близько 110 тис. тон викопних матеріалів замінюються відновлюваними джерелами вуглецю.</w:t>
      </w:r>
    </w:p>
    <w:p w14:paraId="49344111" w14:textId="77777777" w:rsidR="005A2CCC" w:rsidRPr="00E83717" w:rsidRDefault="005A2CCC" w:rsidP="005A2CCC">
      <w:pPr>
        <w:autoSpaceDE w:val="0"/>
        <w:autoSpaceDN w:val="0"/>
        <w:adjustRightInd w:val="0"/>
        <w:rPr>
          <w:rFonts w:cs="Segoe UI"/>
          <w:bCs/>
          <w:sz w:val="20"/>
          <w:szCs w:val="20"/>
        </w:rPr>
      </w:pPr>
    </w:p>
    <w:bookmarkEnd w:id="7"/>
    <w:p w14:paraId="74B10BC7" w14:textId="775057F5" w:rsidR="005A2CCC" w:rsidRPr="00E83717" w:rsidRDefault="005A2CCC" w:rsidP="005A2CCC">
      <w:pPr>
        <w:rPr>
          <w:rFonts w:cs="Segoe UI"/>
          <w:bCs/>
          <w:sz w:val="20"/>
          <w:szCs w:val="20"/>
        </w:rPr>
      </w:pPr>
      <w:r w:rsidRPr="00E83717">
        <w:rPr>
          <w:sz w:val="20"/>
          <w:szCs w:val="22"/>
        </w:rPr>
        <w:t>Поряд з інноваціями та сталим розвитком, компанія «</w:t>
      </w:r>
      <w:proofErr w:type="spellStart"/>
      <w:r w:rsidRPr="00E83717">
        <w:rPr>
          <w:sz w:val="20"/>
          <w:szCs w:val="22"/>
        </w:rPr>
        <w:t>Хенкель</w:t>
      </w:r>
      <w:proofErr w:type="spellEnd"/>
      <w:r w:rsidRPr="00E83717">
        <w:rPr>
          <w:sz w:val="20"/>
          <w:szCs w:val="22"/>
        </w:rPr>
        <w:t xml:space="preserve">» визначила </w:t>
      </w:r>
      <w:proofErr w:type="spellStart"/>
      <w:r w:rsidRPr="00E83717">
        <w:rPr>
          <w:b/>
          <w:bCs/>
          <w:sz w:val="20"/>
          <w:szCs w:val="20"/>
        </w:rPr>
        <w:t>цифровізацію</w:t>
      </w:r>
      <w:proofErr w:type="spellEnd"/>
      <w:r w:rsidRPr="00E83717">
        <w:rPr>
          <w:sz w:val="20"/>
          <w:szCs w:val="22"/>
        </w:rPr>
        <w:t xml:space="preserve">  ключови</w:t>
      </w:r>
      <w:r w:rsidR="00D051CB">
        <w:rPr>
          <w:sz w:val="20"/>
          <w:szCs w:val="22"/>
        </w:rPr>
        <w:t>м</w:t>
      </w:r>
      <w:r w:rsidRPr="00E83717">
        <w:rPr>
          <w:sz w:val="20"/>
          <w:szCs w:val="22"/>
        </w:rPr>
        <w:t xml:space="preserve"> </w:t>
      </w:r>
      <w:r w:rsidR="00D051CB" w:rsidRPr="00E83717">
        <w:rPr>
          <w:sz w:val="20"/>
          <w:szCs w:val="22"/>
        </w:rPr>
        <w:t>важ</w:t>
      </w:r>
      <w:r w:rsidR="00D051CB">
        <w:rPr>
          <w:sz w:val="20"/>
          <w:szCs w:val="22"/>
        </w:rPr>
        <w:t>елем</w:t>
      </w:r>
      <w:r w:rsidR="00D051CB" w:rsidRPr="00E83717">
        <w:rPr>
          <w:sz w:val="20"/>
          <w:szCs w:val="22"/>
        </w:rPr>
        <w:t xml:space="preserve"> </w:t>
      </w:r>
      <w:r w:rsidRPr="00E83717">
        <w:rPr>
          <w:sz w:val="20"/>
          <w:szCs w:val="22"/>
        </w:rPr>
        <w:t xml:space="preserve">для зміцнення своєї конкурентоспроможності. У першій половині року частка продажів, що здійснюються через цифрові канали, зросла двозначним числом і </w:t>
      </w:r>
      <w:r w:rsidR="00110FE0">
        <w:rPr>
          <w:sz w:val="20"/>
          <w:szCs w:val="22"/>
        </w:rPr>
        <w:t>перевищила</w:t>
      </w:r>
      <w:r w:rsidRPr="00E83717">
        <w:rPr>
          <w:sz w:val="20"/>
          <w:szCs w:val="22"/>
        </w:rPr>
        <w:t xml:space="preserve"> 20 відсотків. Завдяки своїй платформі електронної комерції бізнес-підрозділ «Клейові технології» у першому півріччі 2022 року досяг двозначного зростання. Електронний магазин сегменту професійних засобів для догляду за волоссям також продемонстрував двозначне зростання завдяки розширеному асортименту брендів </w:t>
      </w:r>
      <w:r w:rsidR="00110FE0">
        <w:rPr>
          <w:sz w:val="20"/>
          <w:szCs w:val="22"/>
        </w:rPr>
        <w:t>і</w:t>
      </w:r>
      <w:r w:rsidR="00110FE0" w:rsidRPr="00E83717">
        <w:rPr>
          <w:sz w:val="20"/>
          <w:szCs w:val="22"/>
        </w:rPr>
        <w:t xml:space="preserve"> </w:t>
      </w:r>
      <w:r w:rsidRPr="00E83717">
        <w:rPr>
          <w:sz w:val="20"/>
          <w:szCs w:val="22"/>
        </w:rPr>
        <w:t>продуктів. Крім того, «</w:t>
      </w:r>
      <w:proofErr w:type="spellStart"/>
      <w:r w:rsidRPr="00E83717">
        <w:rPr>
          <w:sz w:val="20"/>
          <w:szCs w:val="22"/>
        </w:rPr>
        <w:t>Хенкель</w:t>
      </w:r>
      <w:proofErr w:type="spellEnd"/>
      <w:r w:rsidRPr="00E83717">
        <w:rPr>
          <w:sz w:val="20"/>
          <w:szCs w:val="22"/>
        </w:rPr>
        <w:t>» продовжує розширювати свої пропозиції для електронної комерції у бізнес-підрозділі «Засоби для прання та догляду за оселею». Цьому сприяла нова інтегрована технічна платформа RAQN.</w:t>
      </w:r>
    </w:p>
    <w:p w14:paraId="471DD2FE" w14:textId="77777777" w:rsidR="005A2CCC" w:rsidRPr="00E83717" w:rsidRDefault="005A2CCC" w:rsidP="005A2CCC">
      <w:pPr>
        <w:rPr>
          <w:rFonts w:cs="Segoe UI"/>
          <w:sz w:val="20"/>
          <w:szCs w:val="20"/>
          <w:lang w:eastAsia="de-DE"/>
        </w:rPr>
      </w:pPr>
    </w:p>
    <w:p w14:paraId="162CF247" w14:textId="4C0E29B2" w:rsidR="005A2CCC" w:rsidRPr="00E83717" w:rsidRDefault="005A2CCC" w:rsidP="00251624">
      <w:pPr>
        <w:rPr>
          <w:rStyle w:val="AboutandContactHeadline"/>
          <w:rFonts w:asciiTheme="majorHAnsi" w:hAnsiTheme="majorHAnsi" w:cstheme="majorHAnsi"/>
          <w:b w:val="0"/>
          <w:sz w:val="20"/>
          <w:szCs w:val="22"/>
        </w:rPr>
      </w:pPr>
      <w:bookmarkStart w:id="8" w:name="_Hlk109386180"/>
      <w:r w:rsidRPr="00E83717">
        <w:rPr>
          <w:rStyle w:val="AboutandContactHeadline"/>
          <w:rFonts w:asciiTheme="majorHAnsi" w:hAnsiTheme="majorHAnsi"/>
          <w:b w:val="0"/>
          <w:sz w:val="20"/>
          <w:szCs w:val="22"/>
        </w:rPr>
        <w:lastRenderedPageBreak/>
        <w:t xml:space="preserve">Ощадливі, швидкі </w:t>
      </w:r>
      <w:r w:rsidR="00110FE0">
        <w:rPr>
          <w:rStyle w:val="AboutandContactHeadline"/>
          <w:rFonts w:asciiTheme="majorHAnsi" w:hAnsiTheme="majorHAnsi"/>
          <w:b w:val="0"/>
          <w:sz w:val="20"/>
          <w:szCs w:val="22"/>
        </w:rPr>
        <w:t>й</w:t>
      </w:r>
      <w:r w:rsidR="00110FE0" w:rsidRPr="00E83717">
        <w:rPr>
          <w:rStyle w:val="AboutandContactHeadline"/>
          <w:rFonts w:asciiTheme="majorHAnsi" w:hAnsiTheme="majorHAnsi"/>
          <w:b w:val="0"/>
          <w:sz w:val="20"/>
          <w:szCs w:val="22"/>
        </w:rPr>
        <w:t xml:space="preserve"> </w:t>
      </w:r>
      <w:r w:rsidRPr="00E83717">
        <w:rPr>
          <w:rStyle w:val="AboutandContactHeadline"/>
          <w:rFonts w:asciiTheme="majorHAnsi" w:hAnsiTheme="majorHAnsi"/>
          <w:sz w:val="20"/>
          <w:szCs w:val="22"/>
        </w:rPr>
        <w:t>орієнтовані на майбутнє операційні моделі</w:t>
      </w:r>
      <w:r w:rsidRPr="00E83717">
        <w:rPr>
          <w:rStyle w:val="AboutandContactHeadline"/>
          <w:rFonts w:asciiTheme="majorHAnsi" w:hAnsiTheme="majorHAnsi"/>
          <w:b w:val="0"/>
          <w:sz w:val="20"/>
          <w:szCs w:val="22"/>
        </w:rPr>
        <w:t xml:space="preserve"> – важливий елемент стратегічної програми компанії «</w:t>
      </w:r>
      <w:proofErr w:type="spellStart"/>
      <w:r w:rsidRPr="00E83717">
        <w:rPr>
          <w:rStyle w:val="AboutandContactHeadline"/>
          <w:rFonts w:asciiTheme="majorHAnsi" w:hAnsiTheme="majorHAnsi"/>
          <w:b w:val="0"/>
          <w:sz w:val="20"/>
          <w:szCs w:val="22"/>
        </w:rPr>
        <w:t>Хенкель</w:t>
      </w:r>
      <w:proofErr w:type="spellEnd"/>
      <w:r w:rsidRPr="00E83717">
        <w:rPr>
          <w:rStyle w:val="AboutandContactHeadline"/>
          <w:rFonts w:asciiTheme="majorHAnsi" w:hAnsiTheme="majorHAnsi"/>
          <w:b w:val="0"/>
          <w:sz w:val="20"/>
          <w:szCs w:val="22"/>
        </w:rPr>
        <w:t>». Компанія «</w:t>
      </w:r>
      <w:proofErr w:type="spellStart"/>
      <w:r w:rsidRPr="00E83717">
        <w:rPr>
          <w:rStyle w:val="AboutandContactHeadline"/>
          <w:rFonts w:asciiTheme="majorHAnsi" w:hAnsiTheme="majorHAnsi"/>
          <w:b w:val="0"/>
          <w:sz w:val="20"/>
          <w:szCs w:val="22"/>
        </w:rPr>
        <w:t>Хенкель</w:t>
      </w:r>
      <w:proofErr w:type="spellEnd"/>
      <w:r w:rsidRPr="00E83717">
        <w:rPr>
          <w:rStyle w:val="AboutandContactHeadline"/>
          <w:rFonts w:asciiTheme="majorHAnsi" w:hAnsiTheme="majorHAnsi"/>
          <w:b w:val="0"/>
          <w:sz w:val="20"/>
          <w:szCs w:val="22"/>
        </w:rPr>
        <w:t xml:space="preserve">» ще більше </w:t>
      </w:r>
      <w:r w:rsidR="00DC718D">
        <w:rPr>
          <w:rStyle w:val="AboutandContactHeadline"/>
          <w:rFonts w:asciiTheme="majorHAnsi" w:hAnsiTheme="majorHAnsi"/>
          <w:b w:val="0"/>
          <w:sz w:val="20"/>
          <w:szCs w:val="22"/>
        </w:rPr>
        <w:t>поглибила</w:t>
      </w:r>
      <w:r w:rsidR="00DC718D" w:rsidRPr="00E83717">
        <w:rPr>
          <w:rStyle w:val="AboutandContactHeadline"/>
          <w:rFonts w:asciiTheme="majorHAnsi" w:hAnsiTheme="majorHAnsi"/>
          <w:b w:val="0"/>
          <w:sz w:val="20"/>
          <w:szCs w:val="22"/>
        </w:rPr>
        <w:t xml:space="preserve"> </w:t>
      </w:r>
      <w:r w:rsidRPr="00E83717">
        <w:rPr>
          <w:rStyle w:val="AboutandContactHeadline"/>
          <w:rFonts w:asciiTheme="majorHAnsi" w:hAnsiTheme="majorHAnsi"/>
          <w:b w:val="0"/>
          <w:sz w:val="20"/>
          <w:szCs w:val="22"/>
        </w:rPr>
        <w:t xml:space="preserve">зміни, започатковані </w:t>
      </w:r>
      <w:r w:rsidR="00110FE0">
        <w:rPr>
          <w:rStyle w:val="AboutandContactHeadline"/>
          <w:rFonts w:asciiTheme="majorHAnsi" w:hAnsiTheme="majorHAnsi"/>
          <w:b w:val="0"/>
          <w:sz w:val="20"/>
          <w:szCs w:val="22"/>
        </w:rPr>
        <w:t>у</w:t>
      </w:r>
      <w:r w:rsidR="00110FE0" w:rsidRPr="00E83717">
        <w:rPr>
          <w:rStyle w:val="AboutandContactHeadline"/>
          <w:rFonts w:asciiTheme="majorHAnsi" w:hAnsiTheme="majorHAnsi"/>
          <w:b w:val="0"/>
          <w:sz w:val="20"/>
          <w:szCs w:val="22"/>
        </w:rPr>
        <w:t xml:space="preserve"> </w:t>
      </w:r>
      <w:r w:rsidRPr="00E83717">
        <w:rPr>
          <w:rStyle w:val="AboutandContactHeadline"/>
          <w:rFonts w:asciiTheme="majorHAnsi" w:hAnsiTheme="majorHAnsi"/>
          <w:b w:val="0"/>
          <w:sz w:val="20"/>
          <w:szCs w:val="22"/>
        </w:rPr>
        <w:t>2020 році: цифровий підрозділ dx компанії «</w:t>
      </w:r>
      <w:proofErr w:type="spellStart"/>
      <w:r w:rsidRPr="00E83717">
        <w:rPr>
          <w:rStyle w:val="AboutandContactHeadline"/>
          <w:rFonts w:asciiTheme="majorHAnsi" w:hAnsiTheme="majorHAnsi"/>
          <w:b w:val="0"/>
          <w:sz w:val="20"/>
          <w:szCs w:val="22"/>
        </w:rPr>
        <w:t>Хенкель</w:t>
      </w:r>
      <w:proofErr w:type="spellEnd"/>
      <w:r w:rsidRPr="00E83717">
        <w:rPr>
          <w:rStyle w:val="AboutandContactHeadline"/>
          <w:rFonts w:asciiTheme="majorHAnsi" w:hAnsiTheme="majorHAnsi"/>
          <w:b w:val="0"/>
          <w:sz w:val="20"/>
          <w:szCs w:val="22"/>
        </w:rPr>
        <w:t>» має високоефективну структуру, що дає змогу збільшити інвестиції в ІТ-</w:t>
      </w:r>
      <w:proofErr w:type="spellStart"/>
      <w:r w:rsidRPr="00E83717">
        <w:rPr>
          <w:rStyle w:val="AboutandContactHeadline"/>
          <w:rFonts w:asciiTheme="majorHAnsi" w:hAnsiTheme="majorHAnsi"/>
          <w:b w:val="0"/>
          <w:sz w:val="20"/>
          <w:szCs w:val="22"/>
        </w:rPr>
        <w:t>проєкти</w:t>
      </w:r>
      <w:proofErr w:type="spellEnd"/>
      <w:r w:rsidRPr="00E83717">
        <w:rPr>
          <w:rStyle w:val="AboutandContactHeadline"/>
          <w:rFonts w:asciiTheme="majorHAnsi" w:hAnsiTheme="majorHAnsi"/>
          <w:b w:val="0"/>
          <w:sz w:val="20"/>
          <w:szCs w:val="22"/>
        </w:rPr>
        <w:t xml:space="preserve"> за стабільних витрат. </w:t>
      </w:r>
    </w:p>
    <w:p w14:paraId="55573907" w14:textId="77777777" w:rsidR="005A2CCC" w:rsidRPr="00E83717" w:rsidRDefault="005A2CCC" w:rsidP="005A2CCC">
      <w:pPr>
        <w:rPr>
          <w:rStyle w:val="AboutandContactHeadline"/>
          <w:rFonts w:asciiTheme="majorHAnsi" w:hAnsiTheme="majorHAnsi" w:cstheme="majorHAnsi"/>
          <w:b w:val="0"/>
          <w:sz w:val="20"/>
          <w:szCs w:val="22"/>
        </w:rPr>
      </w:pPr>
    </w:p>
    <w:p w14:paraId="0E3393F8" w14:textId="690F47B4" w:rsidR="005A2CCC" w:rsidRPr="00E83717" w:rsidRDefault="0081698D" w:rsidP="005A2CCC">
      <w:pPr>
        <w:rPr>
          <w:rFonts w:cs="Segoe UI"/>
          <w:sz w:val="20"/>
          <w:szCs w:val="20"/>
        </w:rPr>
      </w:pPr>
      <w:bookmarkStart w:id="9" w:name="_Hlk109386825"/>
      <w:bookmarkEnd w:id="8"/>
      <w:r w:rsidRPr="00E83717">
        <w:rPr>
          <w:color w:val="000000"/>
          <w:sz w:val="20"/>
          <w:szCs w:val="22"/>
          <w:shd w:val="clear" w:color="auto" w:fill="FFFFFF"/>
        </w:rPr>
        <w:t>Ще одним ключовим елементом Програми цілеспрямованого зростання є подальший розвиток корпоративної культури «</w:t>
      </w:r>
      <w:proofErr w:type="spellStart"/>
      <w:r w:rsidRPr="00E83717">
        <w:rPr>
          <w:color w:val="000000"/>
          <w:sz w:val="20"/>
          <w:szCs w:val="22"/>
          <w:shd w:val="clear" w:color="auto" w:fill="FFFFFF"/>
        </w:rPr>
        <w:t>Хенкель</w:t>
      </w:r>
      <w:proofErr w:type="spellEnd"/>
      <w:r w:rsidRPr="00E83717">
        <w:rPr>
          <w:color w:val="000000"/>
          <w:sz w:val="20"/>
          <w:szCs w:val="22"/>
          <w:shd w:val="clear" w:color="auto" w:fill="FFFFFF"/>
        </w:rPr>
        <w:t xml:space="preserve">» і прискорення </w:t>
      </w:r>
      <w:r w:rsidRPr="00E83717">
        <w:rPr>
          <w:b/>
          <w:bCs/>
          <w:color w:val="000000"/>
          <w:sz w:val="20"/>
          <w:szCs w:val="22"/>
          <w:shd w:val="clear" w:color="auto" w:fill="FFFFFF"/>
        </w:rPr>
        <w:t>культурної трансформації</w:t>
      </w:r>
      <w:r w:rsidRPr="00E83717">
        <w:rPr>
          <w:color w:val="000000"/>
          <w:sz w:val="20"/>
          <w:szCs w:val="22"/>
          <w:shd w:val="clear" w:color="auto" w:fill="FFFFFF"/>
        </w:rPr>
        <w:t>. Компанія прагне розвивати культуру співробітництва. У першому півріччі компанія «</w:t>
      </w:r>
      <w:proofErr w:type="spellStart"/>
      <w:r w:rsidRPr="00E83717">
        <w:rPr>
          <w:color w:val="000000"/>
          <w:sz w:val="20"/>
          <w:szCs w:val="22"/>
          <w:shd w:val="clear" w:color="auto" w:fill="FFFFFF"/>
        </w:rPr>
        <w:t>Хенкель</w:t>
      </w:r>
      <w:proofErr w:type="spellEnd"/>
      <w:r w:rsidRPr="00E83717">
        <w:rPr>
          <w:color w:val="000000"/>
          <w:sz w:val="20"/>
          <w:szCs w:val="22"/>
          <w:shd w:val="clear" w:color="auto" w:fill="FFFFFF"/>
        </w:rPr>
        <w:t>» продовжила реалізацію низки заходів для досягнення цієї мети та подальшого розширення можливостей своїх співробітників.</w:t>
      </w:r>
    </w:p>
    <w:p w14:paraId="6BC03D13" w14:textId="77777777" w:rsidR="005A2CCC" w:rsidRPr="00E83717" w:rsidRDefault="005A2CCC" w:rsidP="005A2CCC">
      <w:pPr>
        <w:rPr>
          <w:sz w:val="20"/>
          <w:szCs w:val="22"/>
        </w:rPr>
      </w:pPr>
    </w:p>
    <w:p w14:paraId="48F3F3A5" w14:textId="07AD6337" w:rsidR="005A2CCC" w:rsidRPr="00E83717" w:rsidRDefault="00110FE0" w:rsidP="005A2CCC">
      <w:pPr>
        <w:rPr>
          <w:sz w:val="20"/>
          <w:szCs w:val="22"/>
        </w:rPr>
      </w:pPr>
      <w:r>
        <w:rPr>
          <w:sz w:val="20"/>
          <w:szCs w:val="22"/>
        </w:rPr>
        <w:t>К</w:t>
      </w:r>
      <w:r w:rsidRPr="00E83717">
        <w:rPr>
          <w:sz w:val="20"/>
          <w:szCs w:val="22"/>
        </w:rPr>
        <w:t xml:space="preserve">омпанією </w:t>
      </w:r>
      <w:r w:rsidR="005A2CCC" w:rsidRPr="00E83717">
        <w:rPr>
          <w:sz w:val="20"/>
          <w:szCs w:val="22"/>
        </w:rPr>
        <w:t>«</w:t>
      </w:r>
      <w:proofErr w:type="spellStart"/>
      <w:r w:rsidR="005A2CCC" w:rsidRPr="00E83717">
        <w:rPr>
          <w:sz w:val="20"/>
          <w:szCs w:val="22"/>
        </w:rPr>
        <w:t>Хенкель</w:t>
      </w:r>
      <w:proofErr w:type="spellEnd"/>
      <w:r w:rsidR="005A2CCC" w:rsidRPr="00E83717">
        <w:rPr>
          <w:sz w:val="20"/>
          <w:szCs w:val="22"/>
        </w:rPr>
        <w:t>»</w:t>
      </w:r>
      <w:r>
        <w:rPr>
          <w:sz w:val="20"/>
          <w:szCs w:val="22"/>
        </w:rPr>
        <w:t>,</w:t>
      </w:r>
      <w:r w:rsidR="005A2CCC" w:rsidRPr="00E83717">
        <w:rPr>
          <w:sz w:val="20"/>
          <w:szCs w:val="22"/>
        </w:rPr>
        <w:t xml:space="preserve"> </w:t>
      </w:r>
      <w:r>
        <w:rPr>
          <w:sz w:val="20"/>
          <w:szCs w:val="22"/>
        </w:rPr>
        <w:t>н</w:t>
      </w:r>
      <w:r w:rsidRPr="00E83717">
        <w:rPr>
          <w:sz w:val="20"/>
          <w:szCs w:val="22"/>
        </w:rPr>
        <w:t>априклад</w:t>
      </w:r>
      <w:r>
        <w:rPr>
          <w:sz w:val="20"/>
          <w:szCs w:val="22"/>
        </w:rPr>
        <w:t>,</w:t>
      </w:r>
      <w:r w:rsidRPr="00E83717">
        <w:rPr>
          <w:sz w:val="20"/>
          <w:szCs w:val="22"/>
        </w:rPr>
        <w:t xml:space="preserve"> </w:t>
      </w:r>
      <w:r w:rsidR="005A2CCC" w:rsidRPr="00E83717">
        <w:rPr>
          <w:sz w:val="20"/>
          <w:szCs w:val="22"/>
        </w:rPr>
        <w:t xml:space="preserve">було започатковано комплексну програму управління змінами у зв'язку зі злиттям своїх бізнес-підрозділів «Засоби для прання та догляду за оселею» </w:t>
      </w:r>
      <w:r>
        <w:rPr>
          <w:sz w:val="20"/>
          <w:szCs w:val="22"/>
        </w:rPr>
        <w:t>і</w:t>
      </w:r>
      <w:r w:rsidRPr="00E83717">
        <w:rPr>
          <w:sz w:val="20"/>
          <w:szCs w:val="22"/>
        </w:rPr>
        <w:t xml:space="preserve"> </w:t>
      </w:r>
      <w:r w:rsidR="005A2CCC" w:rsidRPr="00E83717">
        <w:rPr>
          <w:sz w:val="20"/>
          <w:szCs w:val="22"/>
        </w:rPr>
        <w:t>«Косметичні засоби». Програма зосереджена на підвищенні кваліфікації у сфері змін і трансформації команди. Крім того, для досягнення цілі ґендерного паритету на всіх рівнях управління до 2025 року компанією «</w:t>
      </w:r>
      <w:proofErr w:type="spellStart"/>
      <w:r w:rsidR="005A2CCC" w:rsidRPr="00E83717">
        <w:rPr>
          <w:sz w:val="20"/>
          <w:szCs w:val="22"/>
        </w:rPr>
        <w:t>Хенкель</w:t>
      </w:r>
      <w:proofErr w:type="spellEnd"/>
      <w:r w:rsidR="005A2CCC" w:rsidRPr="00E83717">
        <w:rPr>
          <w:sz w:val="20"/>
          <w:szCs w:val="22"/>
        </w:rPr>
        <w:t xml:space="preserve">» було здійснено додаткові конкретні кроки та започатковано </w:t>
      </w:r>
      <w:r w:rsidRPr="00E83717">
        <w:rPr>
          <w:sz w:val="20"/>
          <w:szCs w:val="22"/>
        </w:rPr>
        <w:t>так</w:t>
      </w:r>
      <w:r>
        <w:rPr>
          <w:sz w:val="20"/>
          <w:szCs w:val="22"/>
        </w:rPr>
        <w:t>у</w:t>
      </w:r>
      <w:r w:rsidRPr="00E83717">
        <w:rPr>
          <w:sz w:val="20"/>
          <w:szCs w:val="22"/>
        </w:rPr>
        <w:t xml:space="preserve"> ініціатив</w:t>
      </w:r>
      <w:r>
        <w:rPr>
          <w:sz w:val="20"/>
          <w:szCs w:val="22"/>
        </w:rPr>
        <w:t>у</w:t>
      </w:r>
      <w:r w:rsidR="005A2CCC" w:rsidRPr="00E83717">
        <w:rPr>
          <w:sz w:val="20"/>
          <w:szCs w:val="22"/>
        </w:rPr>
        <w:t xml:space="preserve">, як «Тиждень різноманіття, рівності та </w:t>
      </w:r>
      <w:proofErr w:type="spellStart"/>
      <w:r w:rsidR="005A2CCC" w:rsidRPr="00E83717">
        <w:rPr>
          <w:sz w:val="20"/>
          <w:szCs w:val="22"/>
        </w:rPr>
        <w:t>інклюзивності</w:t>
      </w:r>
      <w:proofErr w:type="spellEnd"/>
      <w:r w:rsidR="005A2CCC" w:rsidRPr="00E83717">
        <w:rPr>
          <w:sz w:val="20"/>
          <w:szCs w:val="22"/>
        </w:rPr>
        <w:t xml:space="preserve">». У межах всеосяжної концепції </w:t>
      </w:r>
      <w:proofErr w:type="spellStart"/>
      <w:r w:rsidR="005A2CCC" w:rsidRPr="00E83717">
        <w:rPr>
          <w:sz w:val="20"/>
          <w:szCs w:val="22"/>
        </w:rPr>
        <w:t>Smart</w:t>
      </w:r>
      <w:proofErr w:type="spellEnd"/>
      <w:r w:rsidR="005A2CCC" w:rsidRPr="00E83717">
        <w:rPr>
          <w:sz w:val="20"/>
          <w:szCs w:val="22"/>
        </w:rPr>
        <w:t xml:space="preserve"> </w:t>
      </w:r>
      <w:proofErr w:type="spellStart"/>
      <w:r w:rsidR="005A2CCC" w:rsidRPr="00E83717">
        <w:rPr>
          <w:sz w:val="20"/>
          <w:szCs w:val="22"/>
        </w:rPr>
        <w:t>Work</w:t>
      </w:r>
      <w:proofErr w:type="spellEnd"/>
      <w:r w:rsidR="005A2CCC" w:rsidRPr="00E83717">
        <w:rPr>
          <w:sz w:val="20"/>
          <w:szCs w:val="22"/>
        </w:rPr>
        <w:t xml:space="preserve"> було впроваджено нові ініціативи, спрямовані на </w:t>
      </w:r>
      <w:r w:rsidRPr="00E83717">
        <w:rPr>
          <w:sz w:val="20"/>
          <w:szCs w:val="22"/>
        </w:rPr>
        <w:t>по</w:t>
      </w:r>
      <w:r>
        <w:rPr>
          <w:sz w:val="20"/>
          <w:szCs w:val="22"/>
        </w:rPr>
        <w:t>ліпш</w:t>
      </w:r>
      <w:r w:rsidRPr="00E83717">
        <w:rPr>
          <w:sz w:val="20"/>
          <w:szCs w:val="22"/>
        </w:rPr>
        <w:t xml:space="preserve">ення </w:t>
      </w:r>
      <w:r w:rsidR="005A2CCC" w:rsidRPr="00E83717">
        <w:rPr>
          <w:sz w:val="20"/>
          <w:szCs w:val="22"/>
        </w:rPr>
        <w:t>психічного здоров'я та благополуччя співробітників.</w:t>
      </w:r>
    </w:p>
    <w:bookmarkEnd w:id="9"/>
    <w:p w14:paraId="51D6D097" w14:textId="77777777" w:rsidR="005A2CCC" w:rsidRPr="00E83717" w:rsidRDefault="005A2CCC" w:rsidP="005A2CCC">
      <w:pPr>
        <w:rPr>
          <w:rFonts w:cs="Segoe UI"/>
          <w:sz w:val="20"/>
          <w:szCs w:val="20"/>
          <w:highlight w:val="yellow"/>
          <w:lang w:eastAsia="de-DE"/>
        </w:rPr>
      </w:pPr>
    </w:p>
    <w:p w14:paraId="390D0DEB" w14:textId="7B1FC1DA" w:rsidR="005A2CCC" w:rsidRPr="00E83717" w:rsidRDefault="005A2CCC" w:rsidP="005A2CCC">
      <w:pPr>
        <w:rPr>
          <w:rFonts w:cs="Segoe UI"/>
          <w:sz w:val="20"/>
          <w:szCs w:val="20"/>
        </w:rPr>
      </w:pPr>
      <w:bookmarkStart w:id="10" w:name="_Hlk109211145"/>
      <w:r w:rsidRPr="00E83717">
        <w:rPr>
          <w:sz w:val="20"/>
          <w:szCs w:val="22"/>
        </w:rPr>
        <w:t>«Незважаючи на те, що ми зіткнулися з наслідками пандемії COVID</w:t>
      </w:r>
      <w:r w:rsidR="00110FE0">
        <w:rPr>
          <w:sz w:val="20"/>
          <w:szCs w:val="22"/>
        </w:rPr>
        <w:t>-19</w:t>
      </w:r>
      <w:r w:rsidRPr="00E83717">
        <w:rPr>
          <w:sz w:val="20"/>
          <w:szCs w:val="22"/>
        </w:rPr>
        <w:t xml:space="preserve">, а також війни в Україні, у першому півріччі </w:t>
      </w:r>
      <w:r w:rsidR="00110FE0">
        <w:rPr>
          <w:sz w:val="20"/>
          <w:szCs w:val="22"/>
        </w:rPr>
        <w:t xml:space="preserve">компанія </w:t>
      </w:r>
      <w:r w:rsidR="00110FE0" w:rsidRPr="00E83717">
        <w:rPr>
          <w:sz w:val="20"/>
          <w:szCs w:val="22"/>
        </w:rPr>
        <w:t>«</w:t>
      </w:r>
      <w:proofErr w:type="spellStart"/>
      <w:r w:rsidR="00110FE0" w:rsidRPr="00E83717">
        <w:rPr>
          <w:sz w:val="20"/>
          <w:szCs w:val="22"/>
        </w:rPr>
        <w:t>Хенкель</w:t>
      </w:r>
      <w:proofErr w:type="spellEnd"/>
      <w:r w:rsidR="00110FE0" w:rsidRPr="00E83717">
        <w:rPr>
          <w:sz w:val="20"/>
          <w:szCs w:val="22"/>
        </w:rPr>
        <w:t xml:space="preserve">» </w:t>
      </w:r>
      <w:r w:rsidRPr="00E83717">
        <w:rPr>
          <w:sz w:val="20"/>
          <w:szCs w:val="22"/>
        </w:rPr>
        <w:t xml:space="preserve">значно </w:t>
      </w:r>
      <w:r w:rsidR="00110FE0" w:rsidRPr="00E83717">
        <w:rPr>
          <w:sz w:val="20"/>
          <w:szCs w:val="22"/>
        </w:rPr>
        <w:t>збільшил</w:t>
      </w:r>
      <w:r w:rsidR="00110FE0">
        <w:rPr>
          <w:sz w:val="20"/>
          <w:szCs w:val="22"/>
        </w:rPr>
        <w:t>а</w:t>
      </w:r>
      <w:r w:rsidR="00110FE0" w:rsidRPr="00E83717">
        <w:rPr>
          <w:sz w:val="20"/>
          <w:szCs w:val="22"/>
        </w:rPr>
        <w:t xml:space="preserve"> </w:t>
      </w:r>
      <w:r w:rsidRPr="00E83717">
        <w:rPr>
          <w:sz w:val="20"/>
          <w:szCs w:val="22"/>
        </w:rPr>
        <w:t xml:space="preserve">продажі за органічними та звітними показниками. Як </w:t>
      </w:r>
      <w:r w:rsidR="00110FE0">
        <w:rPr>
          <w:sz w:val="20"/>
          <w:szCs w:val="22"/>
        </w:rPr>
        <w:t>ми й</w:t>
      </w:r>
      <w:r w:rsidR="00110FE0" w:rsidRPr="00E83717">
        <w:rPr>
          <w:sz w:val="20"/>
          <w:szCs w:val="22"/>
        </w:rPr>
        <w:t xml:space="preserve"> очікувал</w:t>
      </w:r>
      <w:r w:rsidR="00110FE0">
        <w:rPr>
          <w:sz w:val="20"/>
          <w:szCs w:val="22"/>
        </w:rPr>
        <w:t>и</w:t>
      </w:r>
      <w:r w:rsidRPr="00E83717">
        <w:rPr>
          <w:sz w:val="20"/>
          <w:szCs w:val="22"/>
        </w:rPr>
        <w:t>, на наші результати вплинуло</w:t>
      </w:r>
      <w:r w:rsidR="00110FE0">
        <w:rPr>
          <w:sz w:val="20"/>
          <w:szCs w:val="22"/>
        </w:rPr>
        <w:t>,</w:t>
      </w:r>
      <w:r w:rsidRPr="00E83717">
        <w:rPr>
          <w:sz w:val="20"/>
          <w:szCs w:val="22"/>
        </w:rPr>
        <w:t xml:space="preserve"> насамперед</w:t>
      </w:r>
      <w:r w:rsidR="00110FE0">
        <w:rPr>
          <w:sz w:val="20"/>
          <w:szCs w:val="22"/>
        </w:rPr>
        <w:t>,</w:t>
      </w:r>
      <w:r w:rsidRPr="00E83717">
        <w:rPr>
          <w:sz w:val="20"/>
          <w:szCs w:val="22"/>
        </w:rPr>
        <w:t xml:space="preserve"> різке збільшення витрат на сировину та логістику. Це також відображено у нашому оновленому прогнозі на 2022 фінансовий рік», – зазначив </w:t>
      </w:r>
      <w:proofErr w:type="spellStart"/>
      <w:r w:rsidRPr="00E83717">
        <w:rPr>
          <w:sz w:val="20"/>
          <w:szCs w:val="22"/>
        </w:rPr>
        <w:t>Карстен</w:t>
      </w:r>
      <w:proofErr w:type="spellEnd"/>
      <w:r w:rsidRPr="00E83717">
        <w:rPr>
          <w:sz w:val="20"/>
          <w:szCs w:val="22"/>
        </w:rPr>
        <w:t xml:space="preserve"> </w:t>
      </w:r>
      <w:proofErr w:type="spellStart"/>
      <w:r w:rsidRPr="00E83717">
        <w:rPr>
          <w:sz w:val="20"/>
          <w:szCs w:val="22"/>
        </w:rPr>
        <w:t>Кнобель</w:t>
      </w:r>
      <w:proofErr w:type="spellEnd"/>
      <w:r w:rsidRPr="00E83717">
        <w:rPr>
          <w:sz w:val="20"/>
          <w:szCs w:val="22"/>
        </w:rPr>
        <w:t xml:space="preserve">. «Ми пишаємося </w:t>
      </w:r>
      <w:r w:rsidR="00DC718D">
        <w:rPr>
          <w:sz w:val="20"/>
          <w:szCs w:val="22"/>
        </w:rPr>
        <w:t>ваг</w:t>
      </w:r>
      <w:r w:rsidR="00DC718D" w:rsidRPr="00DC718D">
        <w:rPr>
          <w:sz w:val="20"/>
          <w:szCs w:val="22"/>
        </w:rPr>
        <w:t>оми</w:t>
      </w:r>
      <w:r w:rsidR="00DC718D" w:rsidRPr="00E83717">
        <w:rPr>
          <w:sz w:val="20"/>
          <w:szCs w:val="22"/>
        </w:rPr>
        <w:t xml:space="preserve">ми </w:t>
      </w:r>
      <w:r w:rsidRPr="00E83717">
        <w:rPr>
          <w:sz w:val="20"/>
          <w:szCs w:val="22"/>
        </w:rPr>
        <w:t xml:space="preserve">успіхами у реалізації нашої стратегічної програми цілеспрямованого зростання і продовжимо послідовно реалізовувати нашу стратегію в цій загалом непростій </w:t>
      </w:r>
      <w:r w:rsidR="00110FE0">
        <w:rPr>
          <w:sz w:val="20"/>
          <w:szCs w:val="22"/>
        </w:rPr>
        <w:t>ситуації</w:t>
      </w:r>
      <w:r w:rsidRPr="00E83717">
        <w:rPr>
          <w:sz w:val="20"/>
          <w:szCs w:val="22"/>
        </w:rPr>
        <w:t>».</w:t>
      </w:r>
    </w:p>
    <w:p w14:paraId="57CD060E" w14:textId="77777777" w:rsidR="00690A61" w:rsidRPr="00E83717" w:rsidRDefault="00690A61" w:rsidP="005A2CCC">
      <w:pPr>
        <w:rPr>
          <w:rFonts w:cs="Segoe UI"/>
          <w:sz w:val="20"/>
          <w:szCs w:val="20"/>
          <w:lang w:eastAsia="de-DE"/>
        </w:rPr>
      </w:pPr>
    </w:p>
    <w:bookmarkEnd w:id="10"/>
    <w:p w14:paraId="28F86B96" w14:textId="2A5FCACC" w:rsidR="0013225D" w:rsidRPr="00E83717" w:rsidRDefault="0013225D">
      <w:pPr>
        <w:spacing w:line="240" w:lineRule="auto"/>
        <w:jc w:val="left"/>
        <w:rPr>
          <w:rStyle w:val="AboutandContactHeadline"/>
          <w:sz w:val="16"/>
          <w:szCs w:val="16"/>
        </w:rPr>
      </w:pPr>
    </w:p>
    <w:p w14:paraId="1E5CC330" w14:textId="10E47F68" w:rsidR="001E1CF5" w:rsidRPr="00E83717" w:rsidRDefault="003509CB" w:rsidP="001E1CF5">
      <w:pPr>
        <w:rPr>
          <w:sz w:val="16"/>
          <w:szCs w:val="16"/>
        </w:rPr>
      </w:pPr>
      <w:r w:rsidRPr="00E83717">
        <w:rPr>
          <w:rStyle w:val="AboutandContactHeadline"/>
          <w:sz w:val="16"/>
          <w:szCs w:val="16"/>
        </w:rPr>
        <w:t>Про компанію «</w:t>
      </w:r>
      <w:proofErr w:type="spellStart"/>
      <w:r w:rsidRPr="00E83717">
        <w:rPr>
          <w:rStyle w:val="AboutandContactHeadline"/>
          <w:sz w:val="16"/>
          <w:szCs w:val="16"/>
        </w:rPr>
        <w:t>Хенкель</w:t>
      </w:r>
      <w:proofErr w:type="spellEnd"/>
      <w:r w:rsidRPr="00E83717">
        <w:rPr>
          <w:rStyle w:val="AboutandContactHeadline"/>
          <w:sz w:val="16"/>
          <w:szCs w:val="16"/>
        </w:rPr>
        <w:t>»</w:t>
      </w:r>
    </w:p>
    <w:p w14:paraId="3C0EACC1" w14:textId="779D49A4" w:rsidR="00690A61" w:rsidRPr="00E83717" w:rsidRDefault="003509CB" w:rsidP="00D07A0C">
      <w:pPr>
        <w:rPr>
          <w:sz w:val="16"/>
          <w:szCs w:val="16"/>
        </w:rPr>
      </w:pPr>
      <w:r w:rsidRPr="00E83717">
        <w:rPr>
          <w:sz w:val="16"/>
          <w:szCs w:val="16"/>
        </w:rPr>
        <w:t>Компанія «</w:t>
      </w:r>
      <w:proofErr w:type="spellStart"/>
      <w:r w:rsidRPr="00E83717">
        <w:rPr>
          <w:sz w:val="16"/>
          <w:szCs w:val="16"/>
        </w:rPr>
        <w:t>Хенкель</w:t>
      </w:r>
      <w:proofErr w:type="spellEnd"/>
      <w:r w:rsidRPr="00E83717">
        <w:rPr>
          <w:sz w:val="16"/>
          <w:szCs w:val="16"/>
        </w:rPr>
        <w:t xml:space="preserve">» здійснює діяльність у світовому масштабі та має збалансований і диверсифікований портфель продуктів. Компанія </w:t>
      </w:r>
      <w:r w:rsidR="00110FE0">
        <w:rPr>
          <w:sz w:val="16"/>
          <w:szCs w:val="16"/>
        </w:rPr>
        <w:t>посід</w:t>
      </w:r>
      <w:r w:rsidR="00110FE0" w:rsidRPr="00E83717">
        <w:rPr>
          <w:sz w:val="16"/>
          <w:szCs w:val="16"/>
        </w:rPr>
        <w:t xml:space="preserve">ає </w:t>
      </w:r>
      <w:r w:rsidRPr="00E83717">
        <w:rPr>
          <w:sz w:val="16"/>
          <w:szCs w:val="16"/>
        </w:rPr>
        <w:t xml:space="preserve">провідні позиції у сегментах промислових </w:t>
      </w:r>
      <w:r w:rsidR="00110FE0">
        <w:rPr>
          <w:sz w:val="16"/>
          <w:szCs w:val="16"/>
        </w:rPr>
        <w:t>і</w:t>
      </w:r>
      <w:r w:rsidR="00110FE0" w:rsidRPr="00E83717">
        <w:rPr>
          <w:sz w:val="16"/>
          <w:szCs w:val="16"/>
        </w:rPr>
        <w:t xml:space="preserve"> </w:t>
      </w:r>
      <w:r w:rsidRPr="00E83717">
        <w:rPr>
          <w:sz w:val="16"/>
          <w:szCs w:val="16"/>
        </w:rPr>
        <w:t>споживчих продуктів завдяки потужним брендам, інноваційним рішенням і технологіям, що розробляються трьома бізнес-підрозділами. Бізнес-підрозділ «Клейові технології» є беззаперечним лідером на світовому ринку клейових матеріалів. Бізнес-підрозділи «Засоби для прання та догляду за оселею» і «Косметичні засоби» компанії «</w:t>
      </w:r>
      <w:proofErr w:type="spellStart"/>
      <w:r w:rsidRPr="00E83717">
        <w:rPr>
          <w:sz w:val="16"/>
          <w:szCs w:val="16"/>
        </w:rPr>
        <w:t>Хенкель</w:t>
      </w:r>
      <w:proofErr w:type="spellEnd"/>
      <w:r w:rsidRPr="00E83717">
        <w:rPr>
          <w:sz w:val="16"/>
          <w:szCs w:val="16"/>
        </w:rPr>
        <w:t>» займають провідні позиції на багатьох ринках світу та у численних категоріях продуктів. Компанія «</w:t>
      </w:r>
      <w:proofErr w:type="spellStart"/>
      <w:r w:rsidRPr="00E83717">
        <w:rPr>
          <w:sz w:val="16"/>
          <w:szCs w:val="16"/>
        </w:rPr>
        <w:t>Хенкель</w:t>
      </w:r>
      <w:proofErr w:type="spellEnd"/>
      <w:r w:rsidRPr="00E83717">
        <w:rPr>
          <w:sz w:val="16"/>
          <w:szCs w:val="16"/>
        </w:rPr>
        <w:t xml:space="preserve">», заснована у 1876 році, успішно здійснює свою діяльність </w:t>
      </w:r>
      <w:r w:rsidR="00110FE0">
        <w:rPr>
          <w:sz w:val="16"/>
          <w:szCs w:val="16"/>
        </w:rPr>
        <w:t>у</w:t>
      </w:r>
      <w:r w:rsidRPr="00E83717">
        <w:rPr>
          <w:sz w:val="16"/>
          <w:szCs w:val="16"/>
        </w:rPr>
        <w:t>же понад 140 років. У 2021 фінансовому році «</w:t>
      </w:r>
      <w:proofErr w:type="spellStart"/>
      <w:r w:rsidRPr="00E83717">
        <w:rPr>
          <w:sz w:val="16"/>
          <w:szCs w:val="16"/>
        </w:rPr>
        <w:t>Хенкель</w:t>
      </w:r>
      <w:proofErr w:type="spellEnd"/>
      <w:r w:rsidRPr="00E83717">
        <w:rPr>
          <w:sz w:val="16"/>
          <w:szCs w:val="16"/>
        </w:rPr>
        <w:t>» прозвітувала про обсяг продажів на суму понад 20 мільярдів євро та скоригований операційний прибуток на суму близько 2,7 мільярда євро. Чисельність працівників «</w:t>
      </w:r>
      <w:proofErr w:type="spellStart"/>
      <w:r w:rsidRPr="00E83717">
        <w:rPr>
          <w:sz w:val="16"/>
          <w:szCs w:val="16"/>
        </w:rPr>
        <w:t>Хенкель</w:t>
      </w:r>
      <w:proofErr w:type="spellEnd"/>
      <w:r w:rsidRPr="00E83717">
        <w:rPr>
          <w:sz w:val="16"/>
          <w:szCs w:val="16"/>
        </w:rPr>
        <w:t xml:space="preserve">» у всьому світі </w:t>
      </w:r>
      <w:r w:rsidR="00DC718D">
        <w:rPr>
          <w:sz w:val="16"/>
          <w:szCs w:val="16"/>
        </w:rPr>
        <w:t>перевищує</w:t>
      </w:r>
      <w:r w:rsidRPr="00E83717">
        <w:rPr>
          <w:sz w:val="16"/>
          <w:szCs w:val="16"/>
        </w:rPr>
        <w:t xml:space="preserve"> 52 000 осіб. Це – надзвичайно різноманітна команда </w:t>
      </w:r>
      <w:r w:rsidR="00DC718D">
        <w:rPr>
          <w:sz w:val="16"/>
          <w:szCs w:val="16"/>
        </w:rPr>
        <w:t>фахівців</w:t>
      </w:r>
      <w:r w:rsidR="00DC718D" w:rsidRPr="00E83717">
        <w:rPr>
          <w:sz w:val="16"/>
          <w:szCs w:val="16"/>
        </w:rPr>
        <w:t xml:space="preserve"> </w:t>
      </w:r>
      <w:r w:rsidRPr="00E83717">
        <w:rPr>
          <w:sz w:val="16"/>
          <w:szCs w:val="16"/>
        </w:rPr>
        <w:t>своєї справи, яких об’єднують потужна корпоративна культура, спільна мета зі створення стійкої цінності та спільні цінності. Компанія «</w:t>
      </w:r>
      <w:proofErr w:type="spellStart"/>
      <w:r w:rsidRPr="00E83717">
        <w:rPr>
          <w:sz w:val="16"/>
          <w:szCs w:val="16"/>
        </w:rPr>
        <w:t>Хенкель</w:t>
      </w:r>
      <w:proofErr w:type="spellEnd"/>
      <w:r w:rsidRPr="00E83717">
        <w:rPr>
          <w:sz w:val="16"/>
          <w:szCs w:val="16"/>
        </w:rPr>
        <w:t xml:space="preserve">» є визнаним лідером у галузі сталого розвитку й </w:t>
      </w:r>
      <w:r w:rsidR="00110FE0">
        <w:rPr>
          <w:sz w:val="16"/>
          <w:szCs w:val="16"/>
        </w:rPr>
        <w:t>посід</w:t>
      </w:r>
      <w:r w:rsidR="00110FE0" w:rsidRPr="00E83717">
        <w:rPr>
          <w:sz w:val="16"/>
          <w:szCs w:val="16"/>
        </w:rPr>
        <w:t xml:space="preserve">ає </w:t>
      </w:r>
      <w:r w:rsidRPr="00E83717">
        <w:rPr>
          <w:sz w:val="16"/>
          <w:szCs w:val="16"/>
        </w:rPr>
        <w:t>провідні місця у багатьох міжнародних індексах і рейтингах. Привілейовані акції «</w:t>
      </w:r>
      <w:proofErr w:type="spellStart"/>
      <w:r w:rsidRPr="00E83717">
        <w:rPr>
          <w:sz w:val="16"/>
          <w:szCs w:val="16"/>
        </w:rPr>
        <w:t>Хенкель</w:t>
      </w:r>
      <w:proofErr w:type="spellEnd"/>
      <w:r w:rsidRPr="00E83717">
        <w:rPr>
          <w:sz w:val="16"/>
          <w:szCs w:val="16"/>
        </w:rPr>
        <w:t xml:space="preserve">» </w:t>
      </w:r>
      <w:r w:rsidR="00110FE0" w:rsidRPr="00E83717">
        <w:rPr>
          <w:sz w:val="16"/>
          <w:szCs w:val="16"/>
        </w:rPr>
        <w:t>в</w:t>
      </w:r>
      <w:r w:rsidR="00110FE0">
        <w:rPr>
          <w:sz w:val="16"/>
          <w:szCs w:val="16"/>
        </w:rPr>
        <w:t>ходять</w:t>
      </w:r>
      <w:r w:rsidR="00110FE0" w:rsidRPr="00E83717">
        <w:rPr>
          <w:sz w:val="16"/>
          <w:szCs w:val="16"/>
        </w:rPr>
        <w:t xml:space="preserve"> </w:t>
      </w:r>
      <w:r w:rsidRPr="00E83717">
        <w:rPr>
          <w:sz w:val="16"/>
          <w:szCs w:val="16"/>
        </w:rPr>
        <w:t xml:space="preserve">у фондовий індекс Німеччини DAX. </w:t>
      </w:r>
    </w:p>
    <w:p w14:paraId="66BAF8DF" w14:textId="5E24BFB5" w:rsidR="00767F2F" w:rsidRPr="00E83717" w:rsidRDefault="003509CB" w:rsidP="00D07A0C">
      <w:pPr>
        <w:rPr>
          <w:rFonts w:asciiTheme="majorHAnsi" w:hAnsiTheme="majorHAnsi" w:cstheme="majorHAnsi"/>
          <w:bCs/>
          <w:sz w:val="16"/>
          <w:szCs w:val="16"/>
        </w:rPr>
      </w:pPr>
      <w:r w:rsidRPr="00E83717">
        <w:rPr>
          <w:sz w:val="16"/>
          <w:szCs w:val="16"/>
        </w:rPr>
        <w:t xml:space="preserve">З докладнішою інформацією можна ознайомитися на сайті </w:t>
      </w:r>
      <w:hyperlink r:id="rId12" w:history="1">
        <w:r w:rsidRPr="00E83717">
          <w:rPr>
            <w:rStyle w:val="Hyperlink"/>
            <w:sz w:val="16"/>
            <w:szCs w:val="16"/>
          </w:rPr>
          <w:t>www.henkel.com</w:t>
        </w:r>
      </w:hyperlink>
      <w:hyperlink r:id="rId13" w:history="1">
        <w:r w:rsidRPr="00E83717">
          <w:rPr>
            <w:rStyle w:val="Hyperlink"/>
            <w:sz w:val="16"/>
            <w:szCs w:val="16"/>
          </w:rPr>
          <w:t>.</w:t>
        </w:r>
      </w:hyperlink>
    </w:p>
    <w:p w14:paraId="0B1425BF" w14:textId="1A0631FF" w:rsidR="00AC63A8" w:rsidRPr="00E83717" w:rsidRDefault="00AC63A8" w:rsidP="00D07A0C">
      <w:pPr>
        <w:rPr>
          <w:rFonts w:asciiTheme="majorHAnsi" w:hAnsiTheme="majorHAnsi" w:cstheme="majorHAnsi"/>
          <w:bCs/>
          <w:sz w:val="12"/>
          <w:szCs w:val="12"/>
        </w:rPr>
      </w:pPr>
    </w:p>
    <w:p w14:paraId="7AB8BADB" w14:textId="681F1602" w:rsidR="00251624" w:rsidRPr="00E83717" w:rsidRDefault="00251624">
      <w:pPr>
        <w:spacing w:line="240" w:lineRule="auto"/>
        <w:jc w:val="left"/>
        <w:rPr>
          <w:rFonts w:asciiTheme="majorHAnsi" w:hAnsiTheme="majorHAnsi" w:cstheme="majorHAnsi"/>
          <w:bCs/>
          <w:sz w:val="12"/>
          <w:szCs w:val="12"/>
        </w:rPr>
      </w:pPr>
    </w:p>
    <w:p w14:paraId="62D78632" w14:textId="0807D0D3" w:rsidR="00CE19AC" w:rsidRPr="003C0C4A" w:rsidRDefault="00CE19AC" w:rsidP="00CE19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u w:val="single"/>
        </w:rPr>
      </w:pPr>
      <w:r w:rsidRPr="003C0C4A">
        <w:rPr>
          <w:rFonts w:eastAsia="Arial" w:cs="Arial"/>
          <w:color w:val="000000"/>
          <w:sz w:val="18"/>
          <w:szCs w:val="18"/>
          <w:u w:val="single"/>
        </w:rPr>
        <w:t>За додатковою інформацією, будь ласка, звертайтеся до:</w:t>
      </w:r>
    </w:p>
    <w:p w14:paraId="2170B57B" w14:textId="1EF8CD3B" w:rsidR="00D07A0C" w:rsidRPr="00E83717" w:rsidRDefault="00D07A0C" w:rsidP="00D07A0C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theme="majorHAnsi"/>
          <w:b/>
          <w:sz w:val="16"/>
          <w:szCs w:val="16"/>
        </w:rPr>
      </w:pPr>
    </w:p>
    <w:p w14:paraId="185888D3" w14:textId="4073374F" w:rsidR="00690A61" w:rsidRPr="00E83717" w:rsidRDefault="00690A61">
      <w:pPr>
        <w:spacing w:line="240" w:lineRule="auto"/>
        <w:jc w:val="left"/>
        <w:rPr>
          <w:rStyle w:val="AboutandContactBody"/>
          <w:rFonts w:asciiTheme="majorHAnsi" w:hAnsiTheme="majorHAnsi" w:cs="Calibri Light"/>
          <w:b/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CE19AC" w:rsidRPr="00536F9A" w14:paraId="7AC915D5" w14:textId="77777777" w:rsidTr="00635080">
        <w:trPr>
          <w:trHeight w:val="615"/>
        </w:trPr>
        <w:tc>
          <w:tcPr>
            <w:tcW w:w="4644" w:type="dxa"/>
          </w:tcPr>
          <w:p w14:paraId="55094B91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Олени </w:t>
            </w:r>
            <w:proofErr w:type="spellStart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Андрощук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,</w:t>
            </w:r>
          </w:p>
          <w:p w14:paraId="60A4CA99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керівника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відділу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корпоративних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комунікацій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компанії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  «</w:t>
            </w:r>
            <w:proofErr w:type="spellStart"/>
            <w:proofErr w:type="gram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Хенкель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» в </w:t>
            </w:r>
            <w:proofErr w:type="spellStart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Україні</w:t>
            </w:r>
            <w:proofErr w:type="spellEnd"/>
          </w:p>
          <w:p w14:paraId="2CFD3004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</w:p>
          <w:p w14:paraId="0827DA87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</w:p>
          <w:p w14:paraId="7BF7350C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«</w:t>
            </w:r>
            <w:proofErr w:type="spellStart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Хенкель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Україна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» </w:t>
            </w:r>
          </w:p>
          <w:p w14:paraId="55BAFC8D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Тел.: +38</w:t>
            </w:r>
            <w:r w:rsidRPr="003C0C4A">
              <w:rPr>
                <w:rFonts w:eastAsia="Arial" w:cs="Arial"/>
                <w:color w:val="000000"/>
                <w:sz w:val="18"/>
                <w:szCs w:val="18"/>
              </w:rPr>
              <w:t> </w:t>
            </w: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050</w:t>
            </w:r>
            <w:r w:rsidRPr="003C0C4A">
              <w:rPr>
                <w:rFonts w:eastAsia="Arial" w:cs="Arial"/>
                <w:color w:val="000000"/>
                <w:sz w:val="18"/>
                <w:szCs w:val="18"/>
              </w:rPr>
              <w:t> </w:t>
            </w: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389 83 45</w:t>
            </w:r>
          </w:p>
          <w:p w14:paraId="01779C58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Факс: +38</w:t>
            </w:r>
            <w:r w:rsidRPr="003C0C4A">
              <w:rPr>
                <w:rFonts w:eastAsia="Arial" w:cs="Arial"/>
                <w:color w:val="000000"/>
                <w:sz w:val="18"/>
                <w:szCs w:val="18"/>
              </w:rPr>
              <w:t> </w:t>
            </w: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044</w:t>
            </w:r>
            <w:r w:rsidRPr="003C0C4A">
              <w:rPr>
                <w:rFonts w:eastAsia="Arial" w:cs="Arial"/>
                <w:color w:val="000000"/>
                <w:sz w:val="18"/>
                <w:szCs w:val="18"/>
              </w:rPr>
              <w:t> </w:t>
            </w: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247 51 00 </w:t>
            </w:r>
          </w:p>
          <w:p w14:paraId="64B59DC1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  <w:lang w:val="ru-RU"/>
              </w:rPr>
            </w:pPr>
            <w:r w:rsidRPr="003C0C4A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3C0C4A">
              <w:rPr>
                <w:rFonts w:eastAsia="Arial" w:cs="Arial"/>
                <w:color w:val="000000"/>
                <w:sz w:val="18"/>
                <w:szCs w:val="18"/>
              </w:rPr>
              <w:t>mail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3C0C4A">
              <w:rPr>
                <w:rFonts w:eastAsia="Arial" w:cs="Arial"/>
                <w:color w:val="000000"/>
                <w:sz w:val="18"/>
                <w:szCs w:val="18"/>
              </w:rPr>
              <w:t>elena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C0C4A">
              <w:rPr>
                <w:rFonts w:eastAsia="Arial" w:cs="Arial"/>
                <w:color w:val="000000"/>
                <w:sz w:val="18"/>
                <w:szCs w:val="18"/>
              </w:rPr>
              <w:t>androschuk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@</w:t>
            </w:r>
            <w:proofErr w:type="spellStart"/>
            <w:r w:rsidRPr="003C0C4A">
              <w:rPr>
                <w:rFonts w:eastAsia="Arial" w:cs="Arial"/>
                <w:color w:val="000000"/>
                <w:sz w:val="18"/>
                <w:szCs w:val="18"/>
              </w:rPr>
              <w:t>henkel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C0C4A">
              <w:rPr>
                <w:rFonts w:eastAsia="Arial" w:cs="Arial"/>
                <w:color w:val="000000"/>
                <w:sz w:val="18"/>
                <w:szCs w:val="18"/>
              </w:rPr>
              <w:t>com</w:t>
            </w:r>
            <w:proofErr w:type="spellEnd"/>
          </w:p>
        </w:tc>
        <w:tc>
          <w:tcPr>
            <w:tcW w:w="4678" w:type="dxa"/>
          </w:tcPr>
          <w:p w14:paraId="2671E163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Олени Хмари,</w:t>
            </w:r>
          </w:p>
          <w:p w14:paraId="79E063F6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керівника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3C0C4A">
              <w:rPr>
                <w:rFonts w:eastAsia="Arial" w:cs="Arial"/>
                <w:color w:val="000000"/>
                <w:sz w:val="18"/>
                <w:szCs w:val="18"/>
              </w:rPr>
              <w:t>PR</w:t>
            </w: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проєктів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3067BBC5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</w:p>
          <w:p w14:paraId="169B4185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</w:p>
          <w:p w14:paraId="5D2D53B2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</w:p>
          <w:p w14:paraId="2EF0BF56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Агенція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 «</w:t>
            </w:r>
            <w:r w:rsidRPr="003C0C4A">
              <w:rPr>
                <w:rFonts w:eastAsia="Arial" w:cs="Arial"/>
                <w:color w:val="000000"/>
                <w:sz w:val="18"/>
                <w:szCs w:val="18"/>
              </w:rPr>
              <w:t>PR</w:t>
            </w: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3C0C4A">
              <w:rPr>
                <w:rFonts w:eastAsia="Arial" w:cs="Arial"/>
                <w:color w:val="000000"/>
                <w:sz w:val="18"/>
                <w:szCs w:val="18"/>
              </w:rPr>
              <w:t>Service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»</w:t>
            </w:r>
          </w:p>
          <w:p w14:paraId="64E920C1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Тел./факс: +38 044 501 32 44</w:t>
            </w:r>
          </w:p>
          <w:p w14:paraId="5E9A7623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Моб. тел.: +38 050 382 82 74</w:t>
            </w:r>
          </w:p>
          <w:p w14:paraId="66B2F760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  <w:lang w:val="ru-RU"/>
              </w:rPr>
            </w:pPr>
            <w:r w:rsidRPr="003C0C4A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3C0C4A">
              <w:rPr>
                <w:rFonts w:eastAsia="Arial" w:cs="Arial"/>
                <w:color w:val="000000"/>
                <w:sz w:val="18"/>
                <w:szCs w:val="18"/>
              </w:rPr>
              <w:t>mail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: </w:t>
            </w:r>
            <w:r w:rsidRPr="003C0C4A">
              <w:rPr>
                <w:rFonts w:eastAsia="Arial" w:cs="Arial"/>
                <w:color w:val="000000"/>
                <w:sz w:val="18"/>
                <w:szCs w:val="18"/>
              </w:rPr>
              <w:t>a</w:t>
            </w: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C0C4A">
              <w:rPr>
                <w:rFonts w:eastAsia="Arial" w:cs="Arial"/>
                <w:color w:val="000000"/>
                <w:sz w:val="18"/>
                <w:szCs w:val="18"/>
              </w:rPr>
              <w:t>khmara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@</w:t>
            </w:r>
            <w:proofErr w:type="spellStart"/>
            <w:r w:rsidRPr="003C0C4A">
              <w:rPr>
                <w:rFonts w:eastAsia="Arial" w:cs="Arial"/>
                <w:color w:val="000000"/>
                <w:sz w:val="18"/>
                <w:szCs w:val="18"/>
              </w:rPr>
              <w:t>pr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3C0C4A">
              <w:rPr>
                <w:rFonts w:eastAsia="Arial" w:cs="Arial"/>
                <w:color w:val="000000"/>
                <w:sz w:val="18"/>
                <w:szCs w:val="18"/>
              </w:rPr>
              <w:t>service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C0C4A">
              <w:rPr>
                <w:rFonts w:eastAsia="Arial" w:cs="Arial"/>
                <w:color w:val="000000"/>
                <w:sz w:val="18"/>
                <w:szCs w:val="18"/>
              </w:rPr>
              <w:t>com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.</w:t>
            </w:r>
            <w:r w:rsidRPr="003C0C4A">
              <w:rPr>
                <w:rFonts w:eastAsia="Arial" w:cs="Arial"/>
                <w:color w:val="000000"/>
                <w:sz w:val="18"/>
                <w:szCs w:val="18"/>
              </w:rPr>
              <w:t>ua</w:t>
            </w:r>
          </w:p>
        </w:tc>
      </w:tr>
    </w:tbl>
    <w:p w14:paraId="23552B25" w14:textId="309C1347" w:rsidR="00A15D78" w:rsidRPr="00E83717" w:rsidRDefault="00A15D78" w:rsidP="00CE19AC">
      <w:pPr>
        <w:tabs>
          <w:tab w:val="left" w:pos="1080"/>
          <w:tab w:val="left" w:pos="4500"/>
        </w:tabs>
        <w:spacing w:line="264" w:lineRule="auto"/>
        <w:rPr>
          <w:rStyle w:val="Hyperlink"/>
          <w:rFonts w:asciiTheme="majorHAnsi" w:hAnsiTheme="majorHAnsi" w:cs="Calibri Light"/>
          <w:sz w:val="16"/>
          <w:szCs w:val="16"/>
        </w:rPr>
      </w:pPr>
    </w:p>
    <w:sectPr w:rsidR="00A15D78" w:rsidRPr="00E83717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9AAB" w14:textId="77777777" w:rsidR="00A67E27" w:rsidRDefault="00A67E27">
      <w:r>
        <w:separator/>
      </w:r>
    </w:p>
  </w:endnote>
  <w:endnote w:type="continuationSeparator" w:id="0">
    <w:p w14:paraId="55EF0750" w14:textId="77777777" w:rsidR="00A67E27" w:rsidRDefault="00A6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UI">
    <w:altName w:val="Segoe UI"/>
    <w:charset w:val="00"/>
    <w:family w:val="swiss"/>
    <w:pitch w:val="variable"/>
    <w:sig w:usb0="E4002EFF" w:usb1="C000E47F" w:usb2="00000009" w:usb3="00000000" w:csb0="000001FF" w:csb1="00000000"/>
  </w:font>
  <w:font w:name="SegoeUI-Bold">
    <w:altName w:val="Segoe U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16454A79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>Henkel AG &amp; Co. KGaA</w:t>
    </w:r>
    <w:r>
      <w:tab/>
      <w:t xml:space="preserve">Стор.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624B3B">
      <w:t>6</w:t>
    </w:r>
    <w:r w:rsidRPr="00BF6E82">
      <w:fldChar w:fldCharType="end"/>
    </w:r>
    <w:r>
      <w:t>/</w:t>
    </w:r>
    <w:r w:rsidR="00A67E27">
      <w:fldChar w:fldCharType="begin"/>
    </w:r>
    <w:r w:rsidR="00A67E27">
      <w:instrText xml:space="preserve"> NUMPAGES  \* Arabic  \* MERGEFORMAT </w:instrText>
    </w:r>
    <w:r w:rsidR="00A67E27">
      <w:fldChar w:fldCharType="separate"/>
    </w:r>
    <w:r w:rsidR="00624B3B">
      <w:t>8</w:t>
    </w:r>
    <w:r w:rsidR="00A67E2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2C27CE0A" w:rsidR="00CF6F33" w:rsidRPr="00992A11" w:rsidRDefault="0059722C" w:rsidP="00992A11">
    <w:pPr>
      <w:pStyle w:val="Footer"/>
    </w:pPr>
    <w:bookmarkStart w:id="11" w:name="_Hlk505758583"/>
    <w:r>
      <w:rPr>
        <w:lang w:eastAsia="uk-UA"/>
      </w:rPr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1"/>
    <w:r>
      <w:t xml:space="preserve">Стор.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C86321">
      <w:t>1</w:t>
    </w:r>
    <w:r w:rsidR="00CF6F33" w:rsidRPr="00992A11">
      <w:fldChar w:fldCharType="end"/>
    </w:r>
    <w:r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C86321">
      <w:t>8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90B8C" w14:textId="77777777" w:rsidR="00A67E27" w:rsidRDefault="00A67E27">
      <w:r>
        <w:separator/>
      </w:r>
    </w:p>
  </w:footnote>
  <w:footnote w:type="continuationSeparator" w:id="0">
    <w:p w14:paraId="36240B8E" w14:textId="77777777" w:rsidR="00A67E27" w:rsidRDefault="00A67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05DAD93D" w:rsidR="00CF6F33" w:rsidRPr="00EB46D9" w:rsidRDefault="0059722C" w:rsidP="00EB46D9">
    <w:pPr>
      <w:pStyle w:val="Header"/>
    </w:pPr>
    <w:r>
      <w:rPr>
        <w:noProof/>
        <w:lang w:eastAsia="uk-UA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056414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>
      <w:t>Прес-реліз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236812">
    <w:abstractNumId w:val="2"/>
  </w:num>
  <w:num w:numId="2" w16cid:durableId="782264590">
    <w:abstractNumId w:val="1"/>
  </w:num>
  <w:num w:numId="3" w16cid:durableId="125393994">
    <w:abstractNumId w:val="9"/>
  </w:num>
  <w:num w:numId="4" w16cid:durableId="273363661">
    <w:abstractNumId w:val="6"/>
  </w:num>
  <w:num w:numId="5" w16cid:durableId="1974094140">
    <w:abstractNumId w:val="4"/>
  </w:num>
  <w:num w:numId="6" w16cid:durableId="195654079">
    <w:abstractNumId w:val="7"/>
  </w:num>
  <w:num w:numId="7" w16cid:durableId="1241524594">
    <w:abstractNumId w:val="5"/>
  </w:num>
  <w:num w:numId="8" w16cid:durableId="1702247141">
    <w:abstractNumId w:val="0"/>
  </w:num>
  <w:num w:numId="9" w16cid:durableId="954211810">
    <w:abstractNumId w:val="8"/>
  </w:num>
  <w:num w:numId="10" w16cid:durableId="1821850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33451C"/>
    <w:rsid w:val="00000360"/>
    <w:rsid w:val="00000839"/>
    <w:rsid w:val="000016AF"/>
    <w:rsid w:val="00002AA4"/>
    <w:rsid w:val="00005267"/>
    <w:rsid w:val="00006346"/>
    <w:rsid w:val="00006663"/>
    <w:rsid w:val="000069EB"/>
    <w:rsid w:val="00006A45"/>
    <w:rsid w:val="00007718"/>
    <w:rsid w:val="00007ACA"/>
    <w:rsid w:val="0001002C"/>
    <w:rsid w:val="000109CE"/>
    <w:rsid w:val="00011965"/>
    <w:rsid w:val="0001450F"/>
    <w:rsid w:val="00016137"/>
    <w:rsid w:val="00021C67"/>
    <w:rsid w:val="00023871"/>
    <w:rsid w:val="00023ED9"/>
    <w:rsid w:val="000301F0"/>
    <w:rsid w:val="00030557"/>
    <w:rsid w:val="00030701"/>
    <w:rsid w:val="00030F51"/>
    <w:rsid w:val="00032298"/>
    <w:rsid w:val="000343EB"/>
    <w:rsid w:val="00035A84"/>
    <w:rsid w:val="00040218"/>
    <w:rsid w:val="000402B6"/>
    <w:rsid w:val="00040CC9"/>
    <w:rsid w:val="00042329"/>
    <w:rsid w:val="000425ED"/>
    <w:rsid w:val="00044E68"/>
    <w:rsid w:val="000510FC"/>
    <w:rsid w:val="00051E86"/>
    <w:rsid w:val="00053163"/>
    <w:rsid w:val="00053A77"/>
    <w:rsid w:val="00054AFE"/>
    <w:rsid w:val="000575F9"/>
    <w:rsid w:val="000618FC"/>
    <w:rsid w:val="0006396D"/>
    <w:rsid w:val="00064CCE"/>
    <w:rsid w:val="000665F3"/>
    <w:rsid w:val="00067071"/>
    <w:rsid w:val="00067F67"/>
    <w:rsid w:val="00070757"/>
    <w:rsid w:val="00070B4E"/>
    <w:rsid w:val="00074C4A"/>
    <w:rsid w:val="000751A7"/>
    <w:rsid w:val="00077AF9"/>
    <w:rsid w:val="00080D10"/>
    <w:rsid w:val="00081241"/>
    <w:rsid w:val="000813FB"/>
    <w:rsid w:val="00081EF8"/>
    <w:rsid w:val="0008357F"/>
    <w:rsid w:val="0008406B"/>
    <w:rsid w:val="00085ABA"/>
    <w:rsid w:val="000925EE"/>
    <w:rsid w:val="00096AD4"/>
    <w:rsid w:val="000A23CD"/>
    <w:rsid w:val="000A3FAD"/>
    <w:rsid w:val="000B005C"/>
    <w:rsid w:val="000B2E86"/>
    <w:rsid w:val="000B55CE"/>
    <w:rsid w:val="000B5657"/>
    <w:rsid w:val="000B5D2F"/>
    <w:rsid w:val="000B6244"/>
    <w:rsid w:val="000B695A"/>
    <w:rsid w:val="000B72A8"/>
    <w:rsid w:val="000C210A"/>
    <w:rsid w:val="000C27E5"/>
    <w:rsid w:val="000C56DD"/>
    <w:rsid w:val="000D10D2"/>
    <w:rsid w:val="000D1672"/>
    <w:rsid w:val="000D178A"/>
    <w:rsid w:val="000D6C67"/>
    <w:rsid w:val="000E0FB6"/>
    <w:rsid w:val="000E1B84"/>
    <w:rsid w:val="000E2F62"/>
    <w:rsid w:val="000E38ED"/>
    <w:rsid w:val="000E4668"/>
    <w:rsid w:val="000E7F24"/>
    <w:rsid w:val="000F03BE"/>
    <w:rsid w:val="000F1757"/>
    <w:rsid w:val="000F225B"/>
    <w:rsid w:val="000F48E9"/>
    <w:rsid w:val="000F70AD"/>
    <w:rsid w:val="000F7933"/>
    <w:rsid w:val="000F7FAF"/>
    <w:rsid w:val="0010226B"/>
    <w:rsid w:val="001027F2"/>
    <w:rsid w:val="0010465B"/>
    <w:rsid w:val="00105975"/>
    <w:rsid w:val="00105C2E"/>
    <w:rsid w:val="00107F44"/>
    <w:rsid w:val="00110FE0"/>
    <w:rsid w:val="0011116D"/>
    <w:rsid w:val="00111C0C"/>
    <w:rsid w:val="00111F4D"/>
    <w:rsid w:val="00112A28"/>
    <w:rsid w:val="00115230"/>
    <w:rsid w:val="00115B5F"/>
    <w:rsid w:val="001162B4"/>
    <w:rsid w:val="001210D4"/>
    <w:rsid w:val="00122CBC"/>
    <w:rsid w:val="00124EA9"/>
    <w:rsid w:val="00126C65"/>
    <w:rsid w:val="00126D4A"/>
    <w:rsid w:val="00127F6F"/>
    <w:rsid w:val="001318EB"/>
    <w:rsid w:val="0013225D"/>
    <w:rsid w:val="00132A8B"/>
    <w:rsid w:val="00132DA9"/>
    <w:rsid w:val="0013305B"/>
    <w:rsid w:val="0013318B"/>
    <w:rsid w:val="00133B99"/>
    <w:rsid w:val="0013569C"/>
    <w:rsid w:val="001443BD"/>
    <w:rsid w:val="0014449A"/>
    <w:rsid w:val="00144A87"/>
    <w:rsid w:val="00146193"/>
    <w:rsid w:val="00146222"/>
    <w:rsid w:val="00147431"/>
    <w:rsid w:val="0015206B"/>
    <w:rsid w:val="001577E9"/>
    <w:rsid w:val="0016138C"/>
    <w:rsid w:val="00161FC1"/>
    <w:rsid w:val="00162D60"/>
    <w:rsid w:val="001640D5"/>
    <w:rsid w:val="001659FB"/>
    <w:rsid w:val="001660C5"/>
    <w:rsid w:val="00172C99"/>
    <w:rsid w:val="001731CE"/>
    <w:rsid w:val="00175C72"/>
    <w:rsid w:val="00181B06"/>
    <w:rsid w:val="0018501C"/>
    <w:rsid w:val="00185167"/>
    <w:rsid w:val="00186228"/>
    <w:rsid w:val="00190A13"/>
    <w:rsid w:val="0019635E"/>
    <w:rsid w:val="00196956"/>
    <w:rsid w:val="00197E9B"/>
    <w:rsid w:val="001A3D77"/>
    <w:rsid w:val="001A62F7"/>
    <w:rsid w:val="001A7D44"/>
    <w:rsid w:val="001B1523"/>
    <w:rsid w:val="001B5B6F"/>
    <w:rsid w:val="001B771D"/>
    <w:rsid w:val="001B7C20"/>
    <w:rsid w:val="001C0B32"/>
    <w:rsid w:val="001C158C"/>
    <w:rsid w:val="001C2D66"/>
    <w:rsid w:val="001C36F7"/>
    <w:rsid w:val="001C4BE1"/>
    <w:rsid w:val="001D7ADF"/>
    <w:rsid w:val="001E0F71"/>
    <w:rsid w:val="001E1CF5"/>
    <w:rsid w:val="001E2B9B"/>
    <w:rsid w:val="001E3D73"/>
    <w:rsid w:val="001E4CCB"/>
    <w:rsid w:val="001E683F"/>
    <w:rsid w:val="001E699D"/>
    <w:rsid w:val="001E6D05"/>
    <w:rsid w:val="001E73E8"/>
    <w:rsid w:val="001E7C28"/>
    <w:rsid w:val="001F1BDF"/>
    <w:rsid w:val="001F2CD0"/>
    <w:rsid w:val="001F35F8"/>
    <w:rsid w:val="001F52E0"/>
    <w:rsid w:val="001F590C"/>
    <w:rsid w:val="001F7110"/>
    <w:rsid w:val="001F7E96"/>
    <w:rsid w:val="002002AB"/>
    <w:rsid w:val="002005F5"/>
    <w:rsid w:val="00202284"/>
    <w:rsid w:val="00203E12"/>
    <w:rsid w:val="0020528D"/>
    <w:rsid w:val="0020543B"/>
    <w:rsid w:val="00205A66"/>
    <w:rsid w:val="002063CF"/>
    <w:rsid w:val="00206613"/>
    <w:rsid w:val="0021158F"/>
    <w:rsid w:val="00212488"/>
    <w:rsid w:val="002129A6"/>
    <w:rsid w:val="00220628"/>
    <w:rsid w:val="002226D0"/>
    <w:rsid w:val="00222DDC"/>
    <w:rsid w:val="0022308F"/>
    <w:rsid w:val="002260C7"/>
    <w:rsid w:val="00226640"/>
    <w:rsid w:val="002304D2"/>
    <w:rsid w:val="00233D04"/>
    <w:rsid w:val="00234ABD"/>
    <w:rsid w:val="00236491"/>
    <w:rsid w:val="00236C3B"/>
    <w:rsid w:val="00236E2A"/>
    <w:rsid w:val="00237F62"/>
    <w:rsid w:val="002423C5"/>
    <w:rsid w:val="00243CEA"/>
    <w:rsid w:val="002455A1"/>
    <w:rsid w:val="0024586A"/>
    <w:rsid w:val="00245D18"/>
    <w:rsid w:val="002502E1"/>
    <w:rsid w:val="00251624"/>
    <w:rsid w:val="002518A2"/>
    <w:rsid w:val="002528B3"/>
    <w:rsid w:val="00256174"/>
    <w:rsid w:val="00256F0C"/>
    <w:rsid w:val="00262A91"/>
    <w:rsid w:val="00262C05"/>
    <w:rsid w:val="002634FC"/>
    <w:rsid w:val="00264A77"/>
    <w:rsid w:val="00267470"/>
    <w:rsid w:val="00270551"/>
    <w:rsid w:val="002715AF"/>
    <w:rsid w:val="00274D13"/>
    <w:rsid w:val="00276B8D"/>
    <w:rsid w:val="002803C4"/>
    <w:rsid w:val="00281D14"/>
    <w:rsid w:val="00282C13"/>
    <w:rsid w:val="002833C0"/>
    <w:rsid w:val="002833D8"/>
    <w:rsid w:val="00285FD5"/>
    <w:rsid w:val="00286134"/>
    <w:rsid w:val="00286BF6"/>
    <w:rsid w:val="00295D74"/>
    <w:rsid w:val="002A0DF7"/>
    <w:rsid w:val="002A2975"/>
    <w:rsid w:val="002A460D"/>
    <w:rsid w:val="002A544D"/>
    <w:rsid w:val="002A5EE9"/>
    <w:rsid w:val="002A60E0"/>
    <w:rsid w:val="002A7FC7"/>
    <w:rsid w:val="002B04F8"/>
    <w:rsid w:val="002B359D"/>
    <w:rsid w:val="002B3CE3"/>
    <w:rsid w:val="002B4111"/>
    <w:rsid w:val="002B538B"/>
    <w:rsid w:val="002B687A"/>
    <w:rsid w:val="002C1344"/>
    <w:rsid w:val="002C252E"/>
    <w:rsid w:val="002C459B"/>
    <w:rsid w:val="002C4D39"/>
    <w:rsid w:val="002C4E37"/>
    <w:rsid w:val="002C54F5"/>
    <w:rsid w:val="002C57DB"/>
    <w:rsid w:val="002C6773"/>
    <w:rsid w:val="002D269A"/>
    <w:rsid w:val="002D292F"/>
    <w:rsid w:val="002D2A3D"/>
    <w:rsid w:val="002D43BB"/>
    <w:rsid w:val="002D54A9"/>
    <w:rsid w:val="002D5D1D"/>
    <w:rsid w:val="002D6EFD"/>
    <w:rsid w:val="002D74CF"/>
    <w:rsid w:val="002E0B17"/>
    <w:rsid w:val="002E26B4"/>
    <w:rsid w:val="002E41D4"/>
    <w:rsid w:val="002E4FFB"/>
    <w:rsid w:val="002E788F"/>
    <w:rsid w:val="002E7DED"/>
    <w:rsid w:val="002F1024"/>
    <w:rsid w:val="002F7E11"/>
    <w:rsid w:val="00302CF9"/>
    <w:rsid w:val="00304087"/>
    <w:rsid w:val="003057B1"/>
    <w:rsid w:val="003062AD"/>
    <w:rsid w:val="00306747"/>
    <w:rsid w:val="00310ACD"/>
    <w:rsid w:val="00312834"/>
    <w:rsid w:val="0031379F"/>
    <w:rsid w:val="0031621E"/>
    <w:rsid w:val="0031661F"/>
    <w:rsid w:val="00316A16"/>
    <w:rsid w:val="00320A26"/>
    <w:rsid w:val="00321174"/>
    <w:rsid w:val="00321344"/>
    <w:rsid w:val="0032152B"/>
    <w:rsid w:val="00325064"/>
    <w:rsid w:val="00325EC9"/>
    <w:rsid w:val="0033451C"/>
    <w:rsid w:val="00334CB3"/>
    <w:rsid w:val="00336854"/>
    <w:rsid w:val="0033750F"/>
    <w:rsid w:val="0033769B"/>
    <w:rsid w:val="0034015C"/>
    <w:rsid w:val="003425B2"/>
    <w:rsid w:val="003442F4"/>
    <w:rsid w:val="00345C66"/>
    <w:rsid w:val="0034797F"/>
    <w:rsid w:val="003509CB"/>
    <w:rsid w:val="00350CB4"/>
    <w:rsid w:val="00351DF1"/>
    <w:rsid w:val="00353705"/>
    <w:rsid w:val="003562E8"/>
    <w:rsid w:val="00360922"/>
    <w:rsid w:val="00362057"/>
    <w:rsid w:val="0036268A"/>
    <w:rsid w:val="00362F56"/>
    <w:rsid w:val="0036357D"/>
    <w:rsid w:val="003649BC"/>
    <w:rsid w:val="00364F7E"/>
    <w:rsid w:val="00365E44"/>
    <w:rsid w:val="003662B1"/>
    <w:rsid w:val="003669AC"/>
    <w:rsid w:val="00367AA1"/>
    <w:rsid w:val="00370A5B"/>
    <w:rsid w:val="00370CF7"/>
    <w:rsid w:val="00372E36"/>
    <w:rsid w:val="00375F7D"/>
    <w:rsid w:val="00376EE9"/>
    <w:rsid w:val="00376FFC"/>
    <w:rsid w:val="00377CBB"/>
    <w:rsid w:val="003811A5"/>
    <w:rsid w:val="00381BDA"/>
    <w:rsid w:val="00382112"/>
    <w:rsid w:val="00384F62"/>
    <w:rsid w:val="00385355"/>
    <w:rsid w:val="00385438"/>
    <w:rsid w:val="003858E5"/>
    <w:rsid w:val="003877B6"/>
    <w:rsid w:val="0039036A"/>
    <w:rsid w:val="00391539"/>
    <w:rsid w:val="00391A5F"/>
    <w:rsid w:val="00393887"/>
    <w:rsid w:val="00394C6B"/>
    <w:rsid w:val="003957E0"/>
    <w:rsid w:val="00397EE6"/>
    <w:rsid w:val="003A066C"/>
    <w:rsid w:val="003A3FD5"/>
    <w:rsid w:val="003A4E2E"/>
    <w:rsid w:val="003A4E62"/>
    <w:rsid w:val="003A5A6A"/>
    <w:rsid w:val="003B1069"/>
    <w:rsid w:val="003B38CC"/>
    <w:rsid w:val="003B390A"/>
    <w:rsid w:val="003B4E3A"/>
    <w:rsid w:val="003B5E62"/>
    <w:rsid w:val="003C0D76"/>
    <w:rsid w:val="003C15DE"/>
    <w:rsid w:val="003C2889"/>
    <w:rsid w:val="003C342D"/>
    <w:rsid w:val="003C4EB2"/>
    <w:rsid w:val="003C52EC"/>
    <w:rsid w:val="003D3968"/>
    <w:rsid w:val="003D42AF"/>
    <w:rsid w:val="003D48E4"/>
    <w:rsid w:val="003D4A14"/>
    <w:rsid w:val="003E031D"/>
    <w:rsid w:val="003E1417"/>
    <w:rsid w:val="003F1AF3"/>
    <w:rsid w:val="003F2688"/>
    <w:rsid w:val="003F4D8D"/>
    <w:rsid w:val="003F4EE7"/>
    <w:rsid w:val="003F7A8E"/>
    <w:rsid w:val="00401508"/>
    <w:rsid w:val="00401688"/>
    <w:rsid w:val="0040386D"/>
    <w:rsid w:val="00412237"/>
    <w:rsid w:val="004125D4"/>
    <w:rsid w:val="004137C0"/>
    <w:rsid w:val="004138F3"/>
    <w:rsid w:val="004174D6"/>
    <w:rsid w:val="00420F61"/>
    <w:rsid w:val="00421F20"/>
    <w:rsid w:val="004220F5"/>
    <w:rsid w:val="00424090"/>
    <w:rsid w:val="00425755"/>
    <w:rsid w:val="004307EB"/>
    <w:rsid w:val="004313E7"/>
    <w:rsid w:val="004339B2"/>
    <w:rsid w:val="00433EB8"/>
    <w:rsid w:val="00434DCD"/>
    <w:rsid w:val="00435150"/>
    <w:rsid w:val="004375F6"/>
    <w:rsid w:val="00441A3A"/>
    <w:rsid w:val="004423B1"/>
    <w:rsid w:val="00444A70"/>
    <w:rsid w:val="0044763B"/>
    <w:rsid w:val="00452696"/>
    <w:rsid w:val="0045600B"/>
    <w:rsid w:val="00456A53"/>
    <w:rsid w:val="004571D1"/>
    <w:rsid w:val="004614F7"/>
    <w:rsid w:val="0046262B"/>
    <w:rsid w:val="0046266D"/>
    <w:rsid w:val="004629B3"/>
    <w:rsid w:val="0046376E"/>
    <w:rsid w:val="004640B1"/>
    <w:rsid w:val="0046690F"/>
    <w:rsid w:val="00466B0F"/>
    <w:rsid w:val="00467047"/>
    <w:rsid w:val="00470E3B"/>
    <w:rsid w:val="00472FEC"/>
    <w:rsid w:val="00477F71"/>
    <w:rsid w:val="00483F75"/>
    <w:rsid w:val="004858E1"/>
    <w:rsid w:val="004864A1"/>
    <w:rsid w:val="00490A03"/>
    <w:rsid w:val="0049220C"/>
    <w:rsid w:val="00492B0A"/>
    <w:rsid w:val="00493327"/>
    <w:rsid w:val="0049382E"/>
    <w:rsid w:val="004947F2"/>
    <w:rsid w:val="00494DBE"/>
    <w:rsid w:val="0049579A"/>
    <w:rsid w:val="00495CE6"/>
    <w:rsid w:val="004968C3"/>
    <w:rsid w:val="004A144D"/>
    <w:rsid w:val="004A1D27"/>
    <w:rsid w:val="004A323C"/>
    <w:rsid w:val="004B0801"/>
    <w:rsid w:val="004B1117"/>
    <w:rsid w:val="004B1A6B"/>
    <w:rsid w:val="004B54E8"/>
    <w:rsid w:val="004B7CCC"/>
    <w:rsid w:val="004C0138"/>
    <w:rsid w:val="004C034F"/>
    <w:rsid w:val="004C12E8"/>
    <w:rsid w:val="004C1578"/>
    <w:rsid w:val="004C1871"/>
    <w:rsid w:val="004C18DD"/>
    <w:rsid w:val="004C2B18"/>
    <w:rsid w:val="004C3049"/>
    <w:rsid w:val="004C33BA"/>
    <w:rsid w:val="004C4AF3"/>
    <w:rsid w:val="004C4FEB"/>
    <w:rsid w:val="004C5AF1"/>
    <w:rsid w:val="004C6B79"/>
    <w:rsid w:val="004C7345"/>
    <w:rsid w:val="004C76C0"/>
    <w:rsid w:val="004D059B"/>
    <w:rsid w:val="004D0E64"/>
    <w:rsid w:val="004D48A8"/>
    <w:rsid w:val="004D4CB6"/>
    <w:rsid w:val="004D4DCB"/>
    <w:rsid w:val="004D5A57"/>
    <w:rsid w:val="004E0907"/>
    <w:rsid w:val="004E2650"/>
    <w:rsid w:val="004E3341"/>
    <w:rsid w:val="004E768A"/>
    <w:rsid w:val="004E77CD"/>
    <w:rsid w:val="004F10C1"/>
    <w:rsid w:val="004F25C7"/>
    <w:rsid w:val="004F2CFC"/>
    <w:rsid w:val="004F5AD9"/>
    <w:rsid w:val="00501D3D"/>
    <w:rsid w:val="00501F2F"/>
    <w:rsid w:val="00502E62"/>
    <w:rsid w:val="00503762"/>
    <w:rsid w:val="0050484D"/>
    <w:rsid w:val="00505B81"/>
    <w:rsid w:val="00506B8A"/>
    <w:rsid w:val="00511B95"/>
    <w:rsid w:val="0051248E"/>
    <w:rsid w:val="00515102"/>
    <w:rsid w:val="0052021B"/>
    <w:rsid w:val="0052212B"/>
    <w:rsid w:val="005230C7"/>
    <w:rsid w:val="005266EA"/>
    <w:rsid w:val="0053184C"/>
    <w:rsid w:val="00534344"/>
    <w:rsid w:val="00534ADD"/>
    <w:rsid w:val="00534B46"/>
    <w:rsid w:val="00540358"/>
    <w:rsid w:val="00540D47"/>
    <w:rsid w:val="00542578"/>
    <w:rsid w:val="005428D7"/>
    <w:rsid w:val="00542D43"/>
    <w:rsid w:val="005463C3"/>
    <w:rsid w:val="005507DE"/>
    <w:rsid w:val="00550864"/>
    <w:rsid w:val="0055121D"/>
    <w:rsid w:val="00551D6C"/>
    <w:rsid w:val="005535DF"/>
    <w:rsid w:val="0055571E"/>
    <w:rsid w:val="00556F67"/>
    <w:rsid w:val="005617FD"/>
    <w:rsid w:val="005652E8"/>
    <w:rsid w:val="0056749A"/>
    <w:rsid w:val="00570CF0"/>
    <w:rsid w:val="00575196"/>
    <w:rsid w:val="005761BA"/>
    <w:rsid w:val="0057667C"/>
    <w:rsid w:val="00576BDA"/>
    <w:rsid w:val="0058042D"/>
    <w:rsid w:val="005826DA"/>
    <w:rsid w:val="005833F0"/>
    <w:rsid w:val="00583B3C"/>
    <w:rsid w:val="00586280"/>
    <w:rsid w:val="00586609"/>
    <w:rsid w:val="005869CE"/>
    <w:rsid w:val="00586CAF"/>
    <w:rsid w:val="005873E9"/>
    <w:rsid w:val="00591180"/>
    <w:rsid w:val="00591B6F"/>
    <w:rsid w:val="0059722C"/>
    <w:rsid w:val="00597D07"/>
    <w:rsid w:val="005A1018"/>
    <w:rsid w:val="005A16E6"/>
    <w:rsid w:val="005A2CCC"/>
    <w:rsid w:val="005A30D7"/>
    <w:rsid w:val="005A3846"/>
    <w:rsid w:val="005A4685"/>
    <w:rsid w:val="005A63CE"/>
    <w:rsid w:val="005A7E97"/>
    <w:rsid w:val="005B2CD2"/>
    <w:rsid w:val="005B3CEC"/>
    <w:rsid w:val="005B5778"/>
    <w:rsid w:val="005B6A58"/>
    <w:rsid w:val="005C12EA"/>
    <w:rsid w:val="005C4A5B"/>
    <w:rsid w:val="005C57F0"/>
    <w:rsid w:val="005C58DB"/>
    <w:rsid w:val="005C7112"/>
    <w:rsid w:val="005D0561"/>
    <w:rsid w:val="005D0AD9"/>
    <w:rsid w:val="005D1A67"/>
    <w:rsid w:val="005D22F6"/>
    <w:rsid w:val="005D5FA0"/>
    <w:rsid w:val="005D68AA"/>
    <w:rsid w:val="005E0C30"/>
    <w:rsid w:val="005E0D58"/>
    <w:rsid w:val="005E134A"/>
    <w:rsid w:val="005E3EAB"/>
    <w:rsid w:val="005E3FBB"/>
    <w:rsid w:val="005E69D9"/>
    <w:rsid w:val="005F27F4"/>
    <w:rsid w:val="005F3239"/>
    <w:rsid w:val="005F6567"/>
    <w:rsid w:val="005F7A49"/>
    <w:rsid w:val="005F7A8A"/>
    <w:rsid w:val="00600A5E"/>
    <w:rsid w:val="00600ACF"/>
    <w:rsid w:val="00601ED3"/>
    <w:rsid w:val="006034EA"/>
    <w:rsid w:val="00604D69"/>
    <w:rsid w:val="00605F3A"/>
    <w:rsid w:val="00607094"/>
    <w:rsid w:val="00607256"/>
    <w:rsid w:val="0060790C"/>
    <w:rsid w:val="006144B1"/>
    <w:rsid w:val="006177FF"/>
    <w:rsid w:val="00624B3B"/>
    <w:rsid w:val="00624E82"/>
    <w:rsid w:val="006260F9"/>
    <w:rsid w:val="006265FD"/>
    <w:rsid w:val="00631F44"/>
    <w:rsid w:val="006335F1"/>
    <w:rsid w:val="006345B6"/>
    <w:rsid w:val="00635616"/>
    <w:rsid w:val="00635712"/>
    <w:rsid w:val="006368FF"/>
    <w:rsid w:val="00637394"/>
    <w:rsid w:val="0064107F"/>
    <w:rsid w:val="00643D8A"/>
    <w:rsid w:val="00645A5C"/>
    <w:rsid w:val="00646C33"/>
    <w:rsid w:val="00651FEA"/>
    <w:rsid w:val="00652229"/>
    <w:rsid w:val="00652793"/>
    <w:rsid w:val="00656513"/>
    <w:rsid w:val="006614FF"/>
    <w:rsid w:val="0066187E"/>
    <w:rsid w:val="006626CA"/>
    <w:rsid w:val="00663487"/>
    <w:rsid w:val="006655D3"/>
    <w:rsid w:val="00671877"/>
    <w:rsid w:val="00672382"/>
    <w:rsid w:val="00676CCD"/>
    <w:rsid w:val="00677016"/>
    <w:rsid w:val="00681257"/>
    <w:rsid w:val="00681524"/>
    <w:rsid w:val="00682643"/>
    <w:rsid w:val="00682EB9"/>
    <w:rsid w:val="0068441A"/>
    <w:rsid w:val="00690A61"/>
    <w:rsid w:val="00690B19"/>
    <w:rsid w:val="00693400"/>
    <w:rsid w:val="006A0A3C"/>
    <w:rsid w:val="006A17C9"/>
    <w:rsid w:val="006A59E9"/>
    <w:rsid w:val="006A79F0"/>
    <w:rsid w:val="006B0142"/>
    <w:rsid w:val="006B14D8"/>
    <w:rsid w:val="006B1987"/>
    <w:rsid w:val="006B3442"/>
    <w:rsid w:val="006B3A37"/>
    <w:rsid w:val="006B47EE"/>
    <w:rsid w:val="006B499F"/>
    <w:rsid w:val="006B5105"/>
    <w:rsid w:val="006B5E98"/>
    <w:rsid w:val="006C33BE"/>
    <w:rsid w:val="006C5B53"/>
    <w:rsid w:val="006C7E78"/>
    <w:rsid w:val="006D098F"/>
    <w:rsid w:val="006D20E3"/>
    <w:rsid w:val="006D3FF3"/>
    <w:rsid w:val="006D4996"/>
    <w:rsid w:val="006D535B"/>
    <w:rsid w:val="006D54AB"/>
    <w:rsid w:val="006D583A"/>
    <w:rsid w:val="006D5FC6"/>
    <w:rsid w:val="006E1FA9"/>
    <w:rsid w:val="006E3006"/>
    <w:rsid w:val="006E5032"/>
    <w:rsid w:val="006E5721"/>
    <w:rsid w:val="006E5BDA"/>
    <w:rsid w:val="006E723E"/>
    <w:rsid w:val="006F056C"/>
    <w:rsid w:val="006F0FC7"/>
    <w:rsid w:val="006F39A9"/>
    <w:rsid w:val="006F4119"/>
    <w:rsid w:val="006F5B98"/>
    <w:rsid w:val="006F643F"/>
    <w:rsid w:val="006F670F"/>
    <w:rsid w:val="006F77F3"/>
    <w:rsid w:val="007010EE"/>
    <w:rsid w:val="00701DCE"/>
    <w:rsid w:val="00702921"/>
    <w:rsid w:val="00703272"/>
    <w:rsid w:val="0070733C"/>
    <w:rsid w:val="00710C5D"/>
    <w:rsid w:val="0071348C"/>
    <w:rsid w:val="00717220"/>
    <w:rsid w:val="00717273"/>
    <w:rsid w:val="00720FD4"/>
    <w:rsid w:val="007228B5"/>
    <w:rsid w:val="00724AF2"/>
    <w:rsid w:val="0073096C"/>
    <w:rsid w:val="0073100D"/>
    <w:rsid w:val="00731115"/>
    <w:rsid w:val="00732827"/>
    <w:rsid w:val="00733429"/>
    <w:rsid w:val="00733A46"/>
    <w:rsid w:val="00735E2D"/>
    <w:rsid w:val="00740F46"/>
    <w:rsid w:val="007419C8"/>
    <w:rsid w:val="00742398"/>
    <w:rsid w:val="007432A9"/>
    <w:rsid w:val="0074371C"/>
    <w:rsid w:val="00745104"/>
    <w:rsid w:val="007507B5"/>
    <w:rsid w:val="0075091D"/>
    <w:rsid w:val="007524A0"/>
    <w:rsid w:val="00752D67"/>
    <w:rsid w:val="00753A24"/>
    <w:rsid w:val="0075430D"/>
    <w:rsid w:val="007560B0"/>
    <w:rsid w:val="00767F2F"/>
    <w:rsid w:val="007709ED"/>
    <w:rsid w:val="00772188"/>
    <w:rsid w:val="0077222A"/>
    <w:rsid w:val="00774C85"/>
    <w:rsid w:val="00775FBF"/>
    <w:rsid w:val="007813D0"/>
    <w:rsid w:val="007828DE"/>
    <w:rsid w:val="007845AC"/>
    <w:rsid w:val="00784F3F"/>
    <w:rsid w:val="00785248"/>
    <w:rsid w:val="00785993"/>
    <w:rsid w:val="007859F2"/>
    <w:rsid w:val="00785E5A"/>
    <w:rsid w:val="007866E2"/>
    <w:rsid w:val="00786BA3"/>
    <w:rsid w:val="00791B1A"/>
    <w:rsid w:val="0079202F"/>
    <w:rsid w:val="007927E2"/>
    <w:rsid w:val="007934C3"/>
    <w:rsid w:val="00793A4C"/>
    <w:rsid w:val="00794903"/>
    <w:rsid w:val="00795AF2"/>
    <w:rsid w:val="00795E4F"/>
    <w:rsid w:val="007A09FC"/>
    <w:rsid w:val="007A22C8"/>
    <w:rsid w:val="007A2AAD"/>
    <w:rsid w:val="007A4021"/>
    <w:rsid w:val="007A4432"/>
    <w:rsid w:val="007A68B3"/>
    <w:rsid w:val="007A784E"/>
    <w:rsid w:val="007A7855"/>
    <w:rsid w:val="007A7E31"/>
    <w:rsid w:val="007B0B16"/>
    <w:rsid w:val="007B246A"/>
    <w:rsid w:val="007B2DAD"/>
    <w:rsid w:val="007B3805"/>
    <w:rsid w:val="007B4939"/>
    <w:rsid w:val="007B499C"/>
    <w:rsid w:val="007B4D4B"/>
    <w:rsid w:val="007B58C6"/>
    <w:rsid w:val="007C0646"/>
    <w:rsid w:val="007C1E9D"/>
    <w:rsid w:val="007C37C5"/>
    <w:rsid w:val="007C3AE3"/>
    <w:rsid w:val="007C3CC1"/>
    <w:rsid w:val="007D0000"/>
    <w:rsid w:val="007D2A02"/>
    <w:rsid w:val="007D62A4"/>
    <w:rsid w:val="007E1736"/>
    <w:rsid w:val="007E2079"/>
    <w:rsid w:val="007E2887"/>
    <w:rsid w:val="007E6EA1"/>
    <w:rsid w:val="007E7E69"/>
    <w:rsid w:val="007E7F63"/>
    <w:rsid w:val="007F023C"/>
    <w:rsid w:val="007F0F63"/>
    <w:rsid w:val="007F2261"/>
    <w:rsid w:val="007F2B1E"/>
    <w:rsid w:val="007F4590"/>
    <w:rsid w:val="007F62B4"/>
    <w:rsid w:val="007F71B3"/>
    <w:rsid w:val="007F7DF9"/>
    <w:rsid w:val="00801517"/>
    <w:rsid w:val="00810E17"/>
    <w:rsid w:val="00813492"/>
    <w:rsid w:val="0081698D"/>
    <w:rsid w:val="00817895"/>
    <w:rsid w:val="00817AE8"/>
    <w:rsid w:val="00817DE8"/>
    <w:rsid w:val="008229F5"/>
    <w:rsid w:val="0082699A"/>
    <w:rsid w:val="00827F2A"/>
    <w:rsid w:val="00832633"/>
    <w:rsid w:val="00833CEB"/>
    <w:rsid w:val="0083710E"/>
    <w:rsid w:val="008372D2"/>
    <w:rsid w:val="008377BC"/>
    <w:rsid w:val="0084201F"/>
    <w:rsid w:val="00844C17"/>
    <w:rsid w:val="00846017"/>
    <w:rsid w:val="00847726"/>
    <w:rsid w:val="00851593"/>
    <w:rsid w:val="00851CB1"/>
    <w:rsid w:val="00851EA1"/>
    <w:rsid w:val="00852511"/>
    <w:rsid w:val="00852F56"/>
    <w:rsid w:val="0085429D"/>
    <w:rsid w:val="00855CA4"/>
    <w:rsid w:val="0085729F"/>
    <w:rsid w:val="00857408"/>
    <w:rsid w:val="008578A9"/>
    <w:rsid w:val="0086072A"/>
    <w:rsid w:val="0086088F"/>
    <w:rsid w:val="008614F1"/>
    <w:rsid w:val="00861DEE"/>
    <w:rsid w:val="008625C6"/>
    <w:rsid w:val="008639B3"/>
    <w:rsid w:val="00863C1A"/>
    <w:rsid w:val="0086470F"/>
    <w:rsid w:val="00864D86"/>
    <w:rsid w:val="00865882"/>
    <w:rsid w:val="00866CDD"/>
    <w:rsid w:val="008712FE"/>
    <w:rsid w:val="0087142D"/>
    <w:rsid w:val="00872928"/>
    <w:rsid w:val="00873416"/>
    <w:rsid w:val="00873956"/>
    <w:rsid w:val="00874B9F"/>
    <w:rsid w:val="00877800"/>
    <w:rsid w:val="00880E72"/>
    <w:rsid w:val="008825EE"/>
    <w:rsid w:val="008827AC"/>
    <w:rsid w:val="00883B3B"/>
    <w:rsid w:val="00883CC0"/>
    <w:rsid w:val="008842CA"/>
    <w:rsid w:val="0088596E"/>
    <w:rsid w:val="00886C54"/>
    <w:rsid w:val="008870ED"/>
    <w:rsid w:val="008877FC"/>
    <w:rsid w:val="0089796A"/>
    <w:rsid w:val="008A2375"/>
    <w:rsid w:val="008A54B6"/>
    <w:rsid w:val="008B119F"/>
    <w:rsid w:val="008B251E"/>
    <w:rsid w:val="008B73F3"/>
    <w:rsid w:val="008C02E6"/>
    <w:rsid w:val="008C5181"/>
    <w:rsid w:val="008C6041"/>
    <w:rsid w:val="008C74E3"/>
    <w:rsid w:val="008D6264"/>
    <w:rsid w:val="008D693B"/>
    <w:rsid w:val="008D76C5"/>
    <w:rsid w:val="008E0A04"/>
    <w:rsid w:val="008E0AFA"/>
    <w:rsid w:val="008E5D13"/>
    <w:rsid w:val="008E709A"/>
    <w:rsid w:val="008E75D3"/>
    <w:rsid w:val="008E7BE6"/>
    <w:rsid w:val="008F02E9"/>
    <w:rsid w:val="008F0CE4"/>
    <w:rsid w:val="008F125E"/>
    <w:rsid w:val="008F1C0E"/>
    <w:rsid w:val="008F2B54"/>
    <w:rsid w:val="008F4C1E"/>
    <w:rsid w:val="008F4D2F"/>
    <w:rsid w:val="008F510A"/>
    <w:rsid w:val="008F66C9"/>
    <w:rsid w:val="00900235"/>
    <w:rsid w:val="00900440"/>
    <w:rsid w:val="00906292"/>
    <w:rsid w:val="00906C23"/>
    <w:rsid w:val="009110EF"/>
    <w:rsid w:val="009111C4"/>
    <w:rsid w:val="00914B5B"/>
    <w:rsid w:val="00917162"/>
    <w:rsid w:val="009172B9"/>
    <w:rsid w:val="009178AA"/>
    <w:rsid w:val="009242C4"/>
    <w:rsid w:val="009251CC"/>
    <w:rsid w:val="00925E5C"/>
    <w:rsid w:val="0092714E"/>
    <w:rsid w:val="009324F0"/>
    <w:rsid w:val="0094024E"/>
    <w:rsid w:val="00942002"/>
    <w:rsid w:val="00942359"/>
    <w:rsid w:val="00943626"/>
    <w:rsid w:val="00944A6B"/>
    <w:rsid w:val="00945C90"/>
    <w:rsid w:val="00947885"/>
    <w:rsid w:val="00947BC2"/>
    <w:rsid w:val="009504AB"/>
    <w:rsid w:val="0095097D"/>
    <w:rsid w:val="00951212"/>
    <w:rsid w:val="00952168"/>
    <w:rsid w:val="009527FE"/>
    <w:rsid w:val="009529B2"/>
    <w:rsid w:val="009535A6"/>
    <w:rsid w:val="00960539"/>
    <w:rsid w:val="00962BA6"/>
    <w:rsid w:val="00971FD4"/>
    <w:rsid w:val="009739A0"/>
    <w:rsid w:val="00974150"/>
    <w:rsid w:val="00974EE4"/>
    <w:rsid w:val="00974F84"/>
    <w:rsid w:val="00976216"/>
    <w:rsid w:val="009767C7"/>
    <w:rsid w:val="00976B7D"/>
    <w:rsid w:val="0098579A"/>
    <w:rsid w:val="00990CCD"/>
    <w:rsid w:val="00991475"/>
    <w:rsid w:val="009918DD"/>
    <w:rsid w:val="0099195A"/>
    <w:rsid w:val="00992A11"/>
    <w:rsid w:val="00994681"/>
    <w:rsid w:val="0099486A"/>
    <w:rsid w:val="0099549D"/>
    <w:rsid w:val="0099600B"/>
    <w:rsid w:val="00996AD2"/>
    <w:rsid w:val="009A032B"/>
    <w:rsid w:val="009A0E26"/>
    <w:rsid w:val="009A16EC"/>
    <w:rsid w:val="009A22C2"/>
    <w:rsid w:val="009B0819"/>
    <w:rsid w:val="009B29B7"/>
    <w:rsid w:val="009B3199"/>
    <w:rsid w:val="009B3B37"/>
    <w:rsid w:val="009B59D6"/>
    <w:rsid w:val="009B7D1F"/>
    <w:rsid w:val="009C032B"/>
    <w:rsid w:val="009C088E"/>
    <w:rsid w:val="009C1E32"/>
    <w:rsid w:val="009C4D35"/>
    <w:rsid w:val="009D1522"/>
    <w:rsid w:val="009D7252"/>
    <w:rsid w:val="009E5EB4"/>
    <w:rsid w:val="009E7A25"/>
    <w:rsid w:val="009F01FB"/>
    <w:rsid w:val="009F21A7"/>
    <w:rsid w:val="009F563C"/>
    <w:rsid w:val="009F610E"/>
    <w:rsid w:val="009F6400"/>
    <w:rsid w:val="00A00F7E"/>
    <w:rsid w:val="00A01F37"/>
    <w:rsid w:val="00A044D6"/>
    <w:rsid w:val="00A04ADB"/>
    <w:rsid w:val="00A04F89"/>
    <w:rsid w:val="00A05D26"/>
    <w:rsid w:val="00A05F11"/>
    <w:rsid w:val="00A10E94"/>
    <w:rsid w:val="00A11B1B"/>
    <w:rsid w:val="00A11E0F"/>
    <w:rsid w:val="00A141E9"/>
    <w:rsid w:val="00A15D78"/>
    <w:rsid w:val="00A16FC1"/>
    <w:rsid w:val="00A216E5"/>
    <w:rsid w:val="00A22886"/>
    <w:rsid w:val="00A26744"/>
    <w:rsid w:val="00A26CB6"/>
    <w:rsid w:val="00A306C3"/>
    <w:rsid w:val="00A32F82"/>
    <w:rsid w:val="00A32F8B"/>
    <w:rsid w:val="00A34DDF"/>
    <w:rsid w:val="00A3756F"/>
    <w:rsid w:val="00A37906"/>
    <w:rsid w:val="00A41A4C"/>
    <w:rsid w:val="00A42D6F"/>
    <w:rsid w:val="00A4474B"/>
    <w:rsid w:val="00A45A62"/>
    <w:rsid w:val="00A4674C"/>
    <w:rsid w:val="00A5268A"/>
    <w:rsid w:val="00A54AC5"/>
    <w:rsid w:val="00A55DC3"/>
    <w:rsid w:val="00A56D41"/>
    <w:rsid w:val="00A56DEC"/>
    <w:rsid w:val="00A60529"/>
    <w:rsid w:val="00A61353"/>
    <w:rsid w:val="00A61481"/>
    <w:rsid w:val="00A629D6"/>
    <w:rsid w:val="00A637C9"/>
    <w:rsid w:val="00A66DB1"/>
    <w:rsid w:val="00A67A92"/>
    <w:rsid w:val="00A67E27"/>
    <w:rsid w:val="00A70DC6"/>
    <w:rsid w:val="00A71A39"/>
    <w:rsid w:val="00A770B5"/>
    <w:rsid w:val="00A834FD"/>
    <w:rsid w:val="00A842D5"/>
    <w:rsid w:val="00A86644"/>
    <w:rsid w:val="00A87870"/>
    <w:rsid w:val="00A91A70"/>
    <w:rsid w:val="00A9290C"/>
    <w:rsid w:val="00A944BB"/>
    <w:rsid w:val="00A957F6"/>
    <w:rsid w:val="00A97316"/>
    <w:rsid w:val="00AA0D54"/>
    <w:rsid w:val="00AA1B85"/>
    <w:rsid w:val="00AA1E3B"/>
    <w:rsid w:val="00AA3290"/>
    <w:rsid w:val="00AB1CB6"/>
    <w:rsid w:val="00AB1D9A"/>
    <w:rsid w:val="00AB2B21"/>
    <w:rsid w:val="00AB333F"/>
    <w:rsid w:val="00AB47EC"/>
    <w:rsid w:val="00AC234B"/>
    <w:rsid w:val="00AC3540"/>
    <w:rsid w:val="00AC50FB"/>
    <w:rsid w:val="00AC546B"/>
    <w:rsid w:val="00AC63A8"/>
    <w:rsid w:val="00AD0109"/>
    <w:rsid w:val="00AD0A56"/>
    <w:rsid w:val="00AD0C22"/>
    <w:rsid w:val="00AD442C"/>
    <w:rsid w:val="00AD44FE"/>
    <w:rsid w:val="00AD5A37"/>
    <w:rsid w:val="00AD6A11"/>
    <w:rsid w:val="00AD6AA1"/>
    <w:rsid w:val="00AE05A4"/>
    <w:rsid w:val="00AE25FC"/>
    <w:rsid w:val="00AE400C"/>
    <w:rsid w:val="00AE49F1"/>
    <w:rsid w:val="00AE4A1C"/>
    <w:rsid w:val="00AE4B7A"/>
    <w:rsid w:val="00AE5532"/>
    <w:rsid w:val="00AE6879"/>
    <w:rsid w:val="00AE756A"/>
    <w:rsid w:val="00AF5B77"/>
    <w:rsid w:val="00B02550"/>
    <w:rsid w:val="00B02C7B"/>
    <w:rsid w:val="00B05CCA"/>
    <w:rsid w:val="00B06D92"/>
    <w:rsid w:val="00B07125"/>
    <w:rsid w:val="00B1132A"/>
    <w:rsid w:val="00B12B54"/>
    <w:rsid w:val="00B14271"/>
    <w:rsid w:val="00B16270"/>
    <w:rsid w:val="00B1753B"/>
    <w:rsid w:val="00B216CE"/>
    <w:rsid w:val="00B23C16"/>
    <w:rsid w:val="00B23C52"/>
    <w:rsid w:val="00B2438D"/>
    <w:rsid w:val="00B259E1"/>
    <w:rsid w:val="00B2685D"/>
    <w:rsid w:val="00B30351"/>
    <w:rsid w:val="00B33C2A"/>
    <w:rsid w:val="00B35967"/>
    <w:rsid w:val="00B422EC"/>
    <w:rsid w:val="00B44875"/>
    <w:rsid w:val="00B460B5"/>
    <w:rsid w:val="00B47F0A"/>
    <w:rsid w:val="00B50B6B"/>
    <w:rsid w:val="00B517CD"/>
    <w:rsid w:val="00B54885"/>
    <w:rsid w:val="00B550DE"/>
    <w:rsid w:val="00B5628D"/>
    <w:rsid w:val="00B634AB"/>
    <w:rsid w:val="00B63624"/>
    <w:rsid w:val="00B675CD"/>
    <w:rsid w:val="00B714EF"/>
    <w:rsid w:val="00B715CF"/>
    <w:rsid w:val="00B726D4"/>
    <w:rsid w:val="00B73A1C"/>
    <w:rsid w:val="00B748CA"/>
    <w:rsid w:val="00B75032"/>
    <w:rsid w:val="00B80896"/>
    <w:rsid w:val="00B811AE"/>
    <w:rsid w:val="00B8214F"/>
    <w:rsid w:val="00B82B43"/>
    <w:rsid w:val="00B82B48"/>
    <w:rsid w:val="00B84AE3"/>
    <w:rsid w:val="00B85133"/>
    <w:rsid w:val="00B86178"/>
    <w:rsid w:val="00B86A4F"/>
    <w:rsid w:val="00B921F8"/>
    <w:rsid w:val="00B924E4"/>
    <w:rsid w:val="00B93035"/>
    <w:rsid w:val="00B953F9"/>
    <w:rsid w:val="00B958E8"/>
    <w:rsid w:val="00B97CBC"/>
    <w:rsid w:val="00B97E4A"/>
    <w:rsid w:val="00BA09B2"/>
    <w:rsid w:val="00BA0F35"/>
    <w:rsid w:val="00BA1EEC"/>
    <w:rsid w:val="00BA465D"/>
    <w:rsid w:val="00BA5B46"/>
    <w:rsid w:val="00BB0327"/>
    <w:rsid w:val="00BB2D73"/>
    <w:rsid w:val="00BB45BA"/>
    <w:rsid w:val="00BB4A3A"/>
    <w:rsid w:val="00BB5D0B"/>
    <w:rsid w:val="00BB63A8"/>
    <w:rsid w:val="00BC0995"/>
    <w:rsid w:val="00BC179A"/>
    <w:rsid w:val="00BC61BB"/>
    <w:rsid w:val="00BC6DE2"/>
    <w:rsid w:val="00BC6E62"/>
    <w:rsid w:val="00BD0A65"/>
    <w:rsid w:val="00BD3A53"/>
    <w:rsid w:val="00BD656A"/>
    <w:rsid w:val="00BD707B"/>
    <w:rsid w:val="00BD71F4"/>
    <w:rsid w:val="00BE00D8"/>
    <w:rsid w:val="00BE0A46"/>
    <w:rsid w:val="00BE2D0A"/>
    <w:rsid w:val="00BE47D4"/>
    <w:rsid w:val="00BE48D3"/>
    <w:rsid w:val="00BE4BF9"/>
    <w:rsid w:val="00BE793A"/>
    <w:rsid w:val="00BE7A0B"/>
    <w:rsid w:val="00BE7A4D"/>
    <w:rsid w:val="00BF0564"/>
    <w:rsid w:val="00BF2B82"/>
    <w:rsid w:val="00BF432A"/>
    <w:rsid w:val="00BF6E82"/>
    <w:rsid w:val="00BF6F12"/>
    <w:rsid w:val="00C060C7"/>
    <w:rsid w:val="00C06E23"/>
    <w:rsid w:val="00C10EA4"/>
    <w:rsid w:val="00C132DD"/>
    <w:rsid w:val="00C169EE"/>
    <w:rsid w:val="00C16F8F"/>
    <w:rsid w:val="00C17762"/>
    <w:rsid w:val="00C1787E"/>
    <w:rsid w:val="00C2036B"/>
    <w:rsid w:val="00C21897"/>
    <w:rsid w:val="00C223C7"/>
    <w:rsid w:val="00C24C17"/>
    <w:rsid w:val="00C31148"/>
    <w:rsid w:val="00C34829"/>
    <w:rsid w:val="00C3628C"/>
    <w:rsid w:val="00C3758F"/>
    <w:rsid w:val="00C40B88"/>
    <w:rsid w:val="00C43087"/>
    <w:rsid w:val="00C433B8"/>
    <w:rsid w:val="00C44489"/>
    <w:rsid w:val="00C44EFC"/>
    <w:rsid w:val="00C44FC2"/>
    <w:rsid w:val="00C47D87"/>
    <w:rsid w:val="00C51E7D"/>
    <w:rsid w:val="00C5376E"/>
    <w:rsid w:val="00C5425F"/>
    <w:rsid w:val="00C55AEE"/>
    <w:rsid w:val="00C5701B"/>
    <w:rsid w:val="00C64D40"/>
    <w:rsid w:val="00C65D49"/>
    <w:rsid w:val="00C66218"/>
    <w:rsid w:val="00C6721A"/>
    <w:rsid w:val="00C677C9"/>
    <w:rsid w:val="00C70DBC"/>
    <w:rsid w:val="00C70E96"/>
    <w:rsid w:val="00C73719"/>
    <w:rsid w:val="00C76A8E"/>
    <w:rsid w:val="00C808A6"/>
    <w:rsid w:val="00C814E9"/>
    <w:rsid w:val="00C81F23"/>
    <w:rsid w:val="00C855DB"/>
    <w:rsid w:val="00C855F3"/>
    <w:rsid w:val="00C85AEA"/>
    <w:rsid w:val="00C86270"/>
    <w:rsid w:val="00C86321"/>
    <w:rsid w:val="00C8725F"/>
    <w:rsid w:val="00C905CB"/>
    <w:rsid w:val="00C96A6A"/>
    <w:rsid w:val="00C97091"/>
    <w:rsid w:val="00C97260"/>
    <w:rsid w:val="00CA015E"/>
    <w:rsid w:val="00CA2001"/>
    <w:rsid w:val="00CA3B72"/>
    <w:rsid w:val="00CB2211"/>
    <w:rsid w:val="00CB3782"/>
    <w:rsid w:val="00CB5B6C"/>
    <w:rsid w:val="00CB5C5D"/>
    <w:rsid w:val="00CC052E"/>
    <w:rsid w:val="00CC1B25"/>
    <w:rsid w:val="00CC3B07"/>
    <w:rsid w:val="00CC7E82"/>
    <w:rsid w:val="00CD16BE"/>
    <w:rsid w:val="00CD2268"/>
    <w:rsid w:val="00CD4616"/>
    <w:rsid w:val="00CD56AF"/>
    <w:rsid w:val="00CE19AC"/>
    <w:rsid w:val="00CE2A8C"/>
    <w:rsid w:val="00CE33D5"/>
    <w:rsid w:val="00CE4712"/>
    <w:rsid w:val="00CE7F84"/>
    <w:rsid w:val="00CF44F7"/>
    <w:rsid w:val="00CF5316"/>
    <w:rsid w:val="00CF531A"/>
    <w:rsid w:val="00CF5D37"/>
    <w:rsid w:val="00CF6F33"/>
    <w:rsid w:val="00D00A97"/>
    <w:rsid w:val="00D012A9"/>
    <w:rsid w:val="00D02248"/>
    <w:rsid w:val="00D04429"/>
    <w:rsid w:val="00D04E37"/>
    <w:rsid w:val="00D051CB"/>
    <w:rsid w:val="00D0568F"/>
    <w:rsid w:val="00D063B8"/>
    <w:rsid w:val="00D06825"/>
    <w:rsid w:val="00D0723C"/>
    <w:rsid w:val="00D07467"/>
    <w:rsid w:val="00D07A0C"/>
    <w:rsid w:val="00D107B3"/>
    <w:rsid w:val="00D11AF4"/>
    <w:rsid w:val="00D12024"/>
    <w:rsid w:val="00D152CF"/>
    <w:rsid w:val="00D16B2B"/>
    <w:rsid w:val="00D17E3B"/>
    <w:rsid w:val="00D2306F"/>
    <w:rsid w:val="00D23C09"/>
    <w:rsid w:val="00D23CED"/>
    <w:rsid w:val="00D241D1"/>
    <w:rsid w:val="00D249AB"/>
    <w:rsid w:val="00D24BD2"/>
    <w:rsid w:val="00D2573D"/>
    <w:rsid w:val="00D260A2"/>
    <w:rsid w:val="00D26A56"/>
    <w:rsid w:val="00D30CC6"/>
    <w:rsid w:val="00D31722"/>
    <w:rsid w:val="00D31C11"/>
    <w:rsid w:val="00D3260C"/>
    <w:rsid w:val="00D33DB5"/>
    <w:rsid w:val="00D35790"/>
    <w:rsid w:val="00D37DD9"/>
    <w:rsid w:val="00D41BFE"/>
    <w:rsid w:val="00D42585"/>
    <w:rsid w:val="00D4700E"/>
    <w:rsid w:val="00D50EEC"/>
    <w:rsid w:val="00D51350"/>
    <w:rsid w:val="00D519AF"/>
    <w:rsid w:val="00D532A9"/>
    <w:rsid w:val="00D5437A"/>
    <w:rsid w:val="00D5611E"/>
    <w:rsid w:val="00D56358"/>
    <w:rsid w:val="00D5653B"/>
    <w:rsid w:val="00D5726D"/>
    <w:rsid w:val="00D57B8C"/>
    <w:rsid w:val="00D61D6E"/>
    <w:rsid w:val="00D62EF1"/>
    <w:rsid w:val="00D6309D"/>
    <w:rsid w:val="00D63915"/>
    <w:rsid w:val="00D64145"/>
    <w:rsid w:val="00D644C2"/>
    <w:rsid w:val="00D644CA"/>
    <w:rsid w:val="00D64EA0"/>
    <w:rsid w:val="00D66FC2"/>
    <w:rsid w:val="00D7044E"/>
    <w:rsid w:val="00D72DD3"/>
    <w:rsid w:val="00D72E1E"/>
    <w:rsid w:val="00D738B2"/>
    <w:rsid w:val="00D76C7E"/>
    <w:rsid w:val="00D76E73"/>
    <w:rsid w:val="00D771DE"/>
    <w:rsid w:val="00D7776D"/>
    <w:rsid w:val="00D834F1"/>
    <w:rsid w:val="00D835F6"/>
    <w:rsid w:val="00D83609"/>
    <w:rsid w:val="00D9088C"/>
    <w:rsid w:val="00D92179"/>
    <w:rsid w:val="00D922C6"/>
    <w:rsid w:val="00D9293F"/>
    <w:rsid w:val="00D92DE7"/>
    <w:rsid w:val="00D93598"/>
    <w:rsid w:val="00D93FDD"/>
    <w:rsid w:val="00D94168"/>
    <w:rsid w:val="00DA1E18"/>
    <w:rsid w:val="00DA2009"/>
    <w:rsid w:val="00DA4D27"/>
    <w:rsid w:val="00DA7769"/>
    <w:rsid w:val="00DB05B1"/>
    <w:rsid w:val="00DB2823"/>
    <w:rsid w:val="00DB2D74"/>
    <w:rsid w:val="00DB3786"/>
    <w:rsid w:val="00DB59E8"/>
    <w:rsid w:val="00DB5A79"/>
    <w:rsid w:val="00DC2465"/>
    <w:rsid w:val="00DC6195"/>
    <w:rsid w:val="00DC718D"/>
    <w:rsid w:val="00DC7D48"/>
    <w:rsid w:val="00DD0C3F"/>
    <w:rsid w:val="00DD145A"/>
    <w:rsid w:val="00DD1A30"/>
    <w:rsid w:val="00DD3080"/>
    <w:rsid w:val="00DD512E"/>
    <w:rsid w:val="00DD5EC8"/>
    <w:rsid w:val="00DE1177"/>
    <w:rsid w:val="00DE138C"/>
    <w:rsid w:val="00DE2052"/>
    <w:rsid w:val="00DE2CEA"/>
    <w:rsid w:val="00DE5075"/>
    <w:rsid w:val="00DE55CF"/>
    <w:rsid w:val="00DE6154"/>
    <w:rsid w:val="00DE6A3C"/>
    <w:rsid w:val="00DE6D2A"/>
    <w:rsid w:val="00DE74F4"/>
    <w:rsid w:val="00DE7F97"/>
    <w:rsid w:val="00DF1010"/>
    <w:rsid w:val="00DF5AEA"/>
    <w:rsid w:val="00DF63F6"/>
    <w:rsid w:val="00DF7BD0"/>
    <w:rsid w:val="00E006F4"/>
    <w:rsid w:val="00E00AEF"/>
    <w:rsid w:val="00E0219D"/>
    <w:rsid w:val="00E033FC"/>
    <w:rsid w:val="00E0374B"/>
    <w:rsid w:val="00E07AB9"/>
    <w:rsid w:val="00E10B28"/>
    <w:rsid w:val="00E117FD"/>
    <w:rsid w:val="00E13747"/>
    <w:rsid w:val="00E14758"/>
    <w:rsid w:val="00E172C7"/>
    <w:rsid w:val="00E21088"/>
    <w:rsid w:val="00E22A7F"/>
    <w:rsid w:val="00E23E29"/>
    <w:rsid w:val="00E24632"/>
    <w:rsid w:val="00E259A7"/>
    <w:rsid w:val="00E25AEA"/>
    <w:rsid w:val="00E25F09"/>
    <w:rsid w:val="00E306A1"/>
    <w:rsid w:val="00E30D26"/>
    <w:rsid w:val="00E30DEF"/>
    <w:rsid w:val="00E30ED2"/>
    <w:rsid w:val="00E31276"/>
    <w:rsid w:val="00E32102"/>
    <w:rsid w:val="00E34666"/>
    <w:rsid w:val="00E35A62"/>
    <w:rsid w:val="00E36A66"/>
    <w:rsid w:val="00E37F70"/>
    <w:rsid w:val="00E41377"/>
    <w:rsid w:val="00E41985"/>
    <w:rsid w:val="00E41FB1"/>
    <w:rsid w:val="00E446C1"/>
    <w:rsid w:val="00E45F68"/>
    <w:rsid w:val="00E46BCD"/>
    <w:rsid w:val="00E4740A"/>
    <w:rsid w:val="00E47FE7"/>
    <w:rsid w:val="00E545D7"/>
    <w:rsid w:val="00E547FE"/>
    <w:rsid w:val="00E548A8"/>
    <w:rsid w:val="00E5669C"/>
    <w:rsid w:val="00E57DDC"/>
    <w:rsid w:val="00E60ECA"/>
    <w:rsid w:val="00E613AB"/>
    <w:rsid w:val="00E621EA"/>
    <w:rsid w:val="00E6312A"/>
    <w:rsid w:val="00E63F65"/>
    <w:rsid w:val="00E64B6E"/>
    <w:rsid w:val="00E663B6"/>
    <w:rsid w:val="00E6780D"/>
    <w:rsid w:val="00E71439"/>
    <w:rsid w:val="00E71CB0"/>
    <w:rsid w:val="00E73848"/>
    <w:rsid w:val="00E758B9"/>
    <w:rsid w:val="00E82191"/>
    <w:rsid w:val="00E83717"/>
    <w:rsid w:val="00E84236"/>
    <w:rsid w:val="00E85569"/>
    <w:rsid w:val="00E856AF"/>
    <w:rsid w:val="00E86B83"/>
    <w:rsid w:val="00E86C57"/>
    <w:rsid w:val="00E87C64"/>
    <w:rsid w:val="00E93A01"/>
    <w:rsid w:val="00E93FF8"/>
    <w:rsid w:val="00E94EB6"/>
    <w:rsid w:val="00E95AC2"/>
    <w:rsid w:val="00E95CA8"/>
    <w:rsid w:val="00E96643"/>
    <w:rsid w:val="00E96EAF"/>
    <w:rsid w:val="00EA0DBD"/>
    <w:rsid w:val="00EA1752"/>
    <w:rsid w:val="00EA539B"/>
    <w:rsid w:val="00EA5A89"/>
    <w:rsid w:val="00EA5BDB"/>
    <w:rsid w:val="00EA60E6"/>
    <w:rsid w:val="00EA63FA"/>
    <w:rsid w:val="00EB051C"/>
    <w:rsid w:val="00EB1DE2"/>
    <w:rsid w:val="00EB20AB"/>
    <w:rsid w:val="00EB46D9"/>
    <w:rsid w:val="00EC0E64"/>
    <w:rsid w:val="00EC142D"/>
    <w:rsid w:val="00EC1E16"/>
    <w:rsid w:val="00EC2DD1"/>
    <w:rsid w:val="00EC52DA"/>
    <w:rsid w:val="00EC7BA8"/>
    <w:rsid w:val="00ED0024"/>
    <w:rsid w:val="00ED0EA0"/>
    <w:rsid w:val="00ED0F85"/>
    <w:rsid w:val="00ED2B5C"/>
    <w:rsid w:val="00ED3269"/>
    <w:rsid w:val="00ED3A18"/>
    <w:rsid w:val="00ED7A08"/>
    <w:rsid w:val="00EE1A8C"/>
    <w:rsid w:val="00EE3034"/>
    <w:rsid w:val="00EE416B"/>
    <w:rsid w:val="00EE4643"/>
    <w:rsid w:val="00EE529F"/>
    <w:rsid w:val="00EE7F1A"/>
    <w:rsid w:val="00EF1330"/>
    <w:rsid w:val="00EF15FF"/>
    <w:rsid w:val="00EF55E6"/>
    <w:rsid w:val="00EF5707"/>
    <w:rsid w:val="00EF6F3B"/>
    <w:rsid w:val="00EF70EC"/>
    <w:rsid w:val="00EF7111"/>
    <w:rsid w:val="00EF7D1A"/>
    <w:rsid w:val="00EF7D5B"/>
    <w:rsid w:val="00F02759"/>
    <w:rsid w:val="00F0448F"/>
    <w:rsid w:val="00F0716C"/>
    <w:rsid w:val="00F07DD9"/>
    <w:rsid w:val="00F105AE"/>
    <w:rsid w:val="00F108A8"/>
    <w:rsid w:val="00F13F58"/>
    <w:rsid w:val="00F16135"/>
    <w:rsid w:val="00F1776A"/>
    <w:rsid w:val="00F270E9"/>
    <w:rsid w:val="00F27440"/>
    <w:rsid w:val="00F275C0"/>
    <w:rsid w:val="00F30319"/>
    <w:rsid w:val="00F317B5"/>
    <w:rsid w:val="00F32094"/>
    <w:rsid w:val="00F33B8F"/>
    <w:rsid w:val="00F346B6"/>
    <w:rsid w:val="00F36145"/>
    <w:rsid w:val="00F37BDD"/>
    <w:rsid w:val="00F41503"/>
    <w:rsid w:val="00F44D82"/>
    <w:rsid w:val="00F46207"/>
    <w:rsid w:val="00F466C8"/>
    <w:rsid w:val="00F469A9"/>
    <w:rsid w:val="00F46B50"/>
    <w:rsid w:val="00F47C20"/>
    <w:rsid w:val="00F5043C"/>
    <w:rsid w:val="00F50B46"/>
    <w:rsid w:val="00F50D1F"/>
    <w:rsid w:val="00F51545"/>
    <w:rsid w:val="00F55325"/>
    <w:rsid w:val="00F56043"/>
    <w:rsid w:val="00F56BD8"/>
    <w:rsid w:val="00F5789A"/>
    <w:rsid w:val="00F6171A"/>
    <w:rsid w:val="00F635FC"/>
    <w:rsid w:val="00F63D03"/>
    <w:rsid w:val="00F65E2F"/>
    <w:rsid w:val="00F67DF1"/>
    <w:rsid w:val="00F7054E"/>
    <w:rsid w:val="00F75193"/>
    <w:rsid w:val="00F8309B"/>
    <w:rsid w:val="00F833C9"/>
    <w:rsid w:val="00F84965"/>
    <w:rsid w:val="00F86752"/>
    <w:rsid w:val="00F87932"/>
    <w:rsid w:val="00F90064"/>
    <w:rsid w:val="00F93C47"/>
    <w:rsid w:val="00F94217"/>
    <w:rsid w:val="00F952BA"/>
    <w:rsid w:val="00F9586C"/>
    <w:rsid w:val="00F96783"/>
    <w:rsid w:val="00F96AFD"/>
    <w:rsid w:val="00FA07F4"/>
    <w:rsid w:val="00FA0F6E"/>
    <w:rsid w:val="00FA1398"/>
    <w:rsid w:val="00FA2E19"/>
    <w:rsid w:val="00FA42CC"/>
    <w:rsid w:val="00FA6665"/>
    <w:rsid w:val="00FA697F"/>
    <w:rsid w:val="00FA734E"/>
    <w:rsid w:val="00FB3846"/>
    <w:rsid w:val="00FB429D"/>
    <w:rsid w:val="00FB5521"/>
    <w:rsid w:val="00FB610D"/>
    <w:rsid w:val="00FC4477"/>
    <w:rsid w:val="00FC46FB"/>
    <w:rsid w:val="00FC4F25"/>
    <w:rsid w:val="00FC5921"/>
    <w:rsid w:val="00FC7B66"/>
    <w:rsid w:val="00FD106C"/>
    <w:rsid w:val="00FD2BD3"/>
    <w:rsid w:val="00FD3DEF"/>
    <w:rsid w:val="00FD4CCA"/>
    <w:rsid w:val="00FE234B"/>
    <w:rsid w:val="00FE2772"/>
    <w:rsid w:val="00FE2A9E"/>
    <w:rsid w:val="00FE34B3"/>
    <w:rsid w:val="00FE3DAA"/>
    <w:rsid w:val="00FE46B7"/>
    <w:rsid w:val="00FF0420"/>
    <w:rsid w:val="00FF14D1"/>
    <w:rsid w:val="00FF286E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docId w15:val="{A0EBAD2F-5204-4730-AC06-7A0162FB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uk-U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uk-UA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uk-UA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uk-UA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uk-UA"/>
    </w:rPr>
  </w:style>
  <w:style w:type="character" w:customStyle="1" w:styleId="1">
    <w:name w:val="Неразрешенное упоминание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uk-UA"/>
    </w:rPr>
  </w:style>
  <w:style w:type="paragraph" w:customStyle="1" w:styleId="He01FlietextAufzhlung1Ebene">
    <w:name w:val="_He_01_Fließtext Aufzählung 1. Ebene"/>
    <w:next w:val="Normal"/>
    <w:qFormat/>
    <w:rsid w:val="0001002C"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7C3CC1"/>
    <w:rPr>
      <w:b/>
      <w:bCs/>
    </w:rPr>
  </w:style>
  <w:style w:type="paragraph" w:styleId="Revision">
    <w:name w:val="Revision"/>
    <w:hidden/>
    <w:uiPriority w:val="62"/>
    <w:unhideWhenUsed/>
    <w:rsid w:val="00E71439"/>
    <w:rPr>
      <w:sz w:val="22"/>
    </w:rPr>
  </w:style>
  <w:style w:type="paragraph" w:customStyle="1" w:styleId="He01FlietextAufzhlung2Ebene">
    <w:name w:val="_He_01_Fließtext Aufzählung 2. Ebene"/>
    <w:next w:val="Normal"/>
    <w:qFormat/>
    <w:rsid w:val="00534ADD"/>
    <w:pPr>
      <w:numPr>
        <w:numId w:val="10"/>
      </w:numPr>
      <w:spacing w:after="160"/>
    </w:pPr>
    <w:rPr>
      <w:rFonts w:eastAsiaTheme="minorHAnsi" w:cstheme="minorBidi"/>
      <w:sz w:val="22"/>
      <w:szCs w:val="22"/>
    </w:rPr>
  </w:style>
  <w:style w:type="paragraph" w:customStyle="1" w:styleId="THe01berschrift">
    <w:name w:val="T_He_01_Überschrift"/>
    <w:next w:val="Normal"/>
    <w:qFormat/>
    <w:rsid w:val="00534ADD"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</w:rPr>
  </w:style>
  <w:style w:type="paragraph" w:customStyle="1" w:styleId="THe02liFunotenummeriert">
    <w:name w:val="T_He_02_li Fußnote nummeriert"/>
    <w:qFormat/>
    <w:rsid w:val="00534ADD"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534ADD"/>
    <w:rPr>
      <w:vertAlign w:val="superscript"/>
    </w:rPr>
  </w:style>
  <w:style w:type="paragraph" w:customStyle="1" w:styleId="He01Flietext">
    <w:name w:val="_He_01_Fließtext"/>
    <w:qFormat/>
    <w:rsid w:val="003509CB"/>
    <w:pPr>
      <w:spacing w:after="160"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9" ma:contentTypeDescription="Create a new document." ma:contentTypeScope="" ma:versionID="825475ee42d6d3916f0f035df9a60211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42fdeaaf15d4786a8267b6cc6b9b50c2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487aa4a8-6e08-4624-a126-3644f60fbb35" xsi:nil="true"/>
    <TaxCatchAll xmlns="ef406d6b-70e0-427c-b08d-4edfc77771aa" xsi:nil="true"/>
    <lcf76f155ced4ddcb4097134ff3c332f xmlns="487aa4a8-6e08-4624-a126-3644f60fbb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768E8-D561-4862-8CEF-89D69CD1F8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E8EB1A-819D-464A-85A2-FD9A56005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487aa4a8-6e08-4624-a126-3644f60fbb35"/>
    <ds:schemaRef ds:uri="ef406d6b-70e0-427c-b08d-4edfc77771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8</Pages>
  <Words>12843</Words>
  <Characters>7322</Characters>
  <Application>Microsoft Office Word</Application>
  <DocSecurity>0</DocSecurity>
  <Lines>61</Lines>
  <Paragraphs>40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20125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lastModifiedBy>Elena Androschuk</cp:lastModifiedBy>
  <cp:revision>16</cp:revision>
  <cp:lastPrinted>2022-08-02T08:46:00Z</cp:lastPrinted>
  <dcterms:created xsi:type="dcterms:W3CDTF">2022-08-17T11:27:00Z</dcterms:created>
  <dcterms:modified xsi:type="dcterms:W3CDTF">2022-08-18T09:34:00Z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  <property fmtid="{D5CDD505-2E9C-101B-9397-08002B2CF9AE}" pid="3" name="MediaServiceImageTags">
    <vt:lpwstr/>
  </property>
</Properties>
</file>