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41" w14:textId="3C39FE97" w:rsidR="00A41419" w:rsidRPr="000309B7" w:rsidRDefault="00A07277" w:rsidP="00F67FA8">
      <w:pPr>
        <w:pStyle w:val="MonthDayYear"/>
        <w:tabs>
          <w:tab w:val="left" w:pos="557"/>
          <w:tab w:val="left" w:pos="7513"/>
          <w:tab w:val="right" w:pos="9086"/>
        </w:tabs>
        <w:rPr>
          <w:lang w:val="sk-SK"/>
        </w:rPr>
      </w:pPr>
      <w:r w:rsidRPr="000309B7">
        <w:rPr>
          <w:lang w:val="sk-SK"/>
        </w:rPr>
        <w:t>15</w:t>
      </w:r>
      <w:r w:rsidR="00A41419" w:rsidRPr="000309B7">
        <w:rPr>
          <w:lang w:val="sk-SK"/>
        </w:rPr>
        <w:t xml:space="preserve">. </w:t>
      </w:r>
      <w:r w:rsidRPr="000309B7">
        <w:rPr>
          <w:lang w:val="sk-SK"/>
        </w:rPr>
        <w:t>august</w:t>
      </w:r>
      <w:r w:rsidR="004F2316" w:rsidRPr="000309B7">
        <w:rPr>
          <w:lang w:val="sk-SK"/>
        </w:rPr>
        <w:t xml:space="preserve"> </w:t>
      </w:r>
      <w:r w:rsidR="00A41419" w:rsidRPr="000309B7">
        <w:rPr>
          <w:lang w:val="sk-SK"/>
        </w:rPr>
        <w:t>2022</w:t>
      </w:r>
    </w:p>
    <w:p w14:paraId="21D33C2C" w14:textId="77777777" w:rsidR="00394141" w:rsidRPr="000309B7" w:rsidRDefault="00394141" w:rsidP="00394141">
      <w:pPr>
        <w:pStyle w:val="Topline"/>
        <w:spacing w:after="360"/>
        <w:rPr>
          <w:rFonts w:asciiTheme="majorHAnsi" w:hAnsiTheme="majorHAnsi" w:cstheme="majorHAnsi"/>
          <w:lang w:val="sk-SK"/>
        </w:rPr>
      </w:pPr>
      <w:bookmarkStart w:id="0" w:name="_Hlk43712519"/>
      <w:r w:rsidRPr="000309B7">
        <w:rPr>
          <w:rFonts w:asciiTheme="majorHAnsi" w:hAnsiTheme="majorHAnsi" w:cstheme="majorHAnsi"/>
          <w:lang w:val="sk-SK" w:bidi="bo-CN"/>
        </w:rPr>
        <w:t>Spoločnosť Henkel zverejnila polročné výsledky</w:t>
      </w:r>
    </w:p>
    <w:bookmarkEnd w:id="0"/>
    <w:p w14:paraId="5CE88D14" w14:textId="77777777" w:rsidR="00A87470" w:rsidRPr="000309B7" w:rsidRDefault="00A87470" w:rsidP="00A87470">
      <w:pPr>
        <w:jc w:val="left"/>
        <w:rPr>
          <w:rStyle w:val="Headline"/>
          <w:rFonts w:asciiTheme="majorHAnsi" w:hAnsiTheme="majorHAnsi" w:cstheme="majorHAnsi"/>
          <w:lang w:val="sk-SK"/>
        </w:rPr>
      </w:pPr>
      <w:r w:rsidRPr="000309B7">
        <w:rPr>
          <w:rStyle w:val="Headline"/>
          <w:rFonts w:asciiTheme="majorHAnsi" w:hAnsiTheme="majorHAnsi" w:cstheme="majorHAnsi"/>
          <w:lang w:val="sk-SK" w:bidi="bo-CN"/>
        </w:rPr>
        <w:t>Henkel výrazne zvyšuje obrat, pokračuje v implementácii strategickej agendy a zlepšuje výhľad na rok 2022</w:t>
      </w:r>
    </w:p>
    <w:p w14:paraId="1CF78243" w14:textId="77777777" w:rsidR="00A41419" w:rsidRPr="000309B7" w:rsidRDefault="00A41419" w:rsidP="00A41419">
      <w:pPr>
        <w:spacing w:after="80"/>
        <w:ind w:right="-108"/>
        <w:jc w:val="left"/>
        <w:rPr>
          <w:rFonts w:asciiTheme="majorHAnsi" w:hAnsiTheme="majorHAnsi" w:cstheme="majorHAnsi"/>
          <w:b/>
          <w:szCs w:val="22"/>
          <w:lang w:val="sk-SK"/>
        </w:rPr>
      </w:pPr>
    </w:p>
    <w:p w14:paraId="03F786E4" w14:textId="77777777" w:rsidR="00D95869" w:rsidRPr="000309B7" w:rsidRDefault="00D95869" w:rsidP="00D95869">
      <w:pPr>
        <w:pStyle w:val="Odsekzoznamu"/>
        <w:numPr>
          <w:ilvl w:val="0"/>
          <w:numId w:val="11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Obrat skupiny sa v prvom polroku 2022 organicky zvýšil o 8,9 % na približne 10,9 miliardy eur (nominálne +9,9 %), k čomu prispeli všetky obchodné divízie a regióny</w:t>
      </w:r>
    </w:p>
    <w:p w14:paraId="49FE9BAA" w14:textId="77777777" w:rsidR="00D95869" w:rsidRPr="000309B7" w:rsidRDefault="00D95869" w:rsidP="00D95869">
      <w:pPr>
        <w:pStyle w:val="Odsekzoznamu"/>
        <w:numPr>
          <w:ilvl w:val="0"/>
          <w:numId w:val="11"/>
        </w:numPr>
        <w:spacing w:after="80"/>
        <w:ind w:right="-108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Výnosy boli podľa očakávaní oslabené drastickým nárastom cien vstupov:</w:t>
      </w:r>
    </w:p>
    <w:p w14:paraId="47A6A37F" w14:textId="69240B06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Prevádzkový zisk (EBIT)* dosiahol 1</w:t>
      </w:r>
      <w:r w:rsidR="00243615" w:rsidRPr="000309B7">
        <w:rPr>
          <w:rFonts w:asciiTheme="majorHAnsi" w:hAnsiTheme="majorHAnsi" w:cstheme="majorHAnsi"/>
          <w:b/>
          <w:szCs w:val="22"/>
          <w:lang w:val="sk-SK" w:bidi="bo-CN"/>
        </w:rPr>
        <w:t xml:space="preserve"> </w:t>
      </w:r>
      <w:r w:rsidRPr="000309B7">
        <w:rPr>
          <w:rFonts w:asciiTheme="majorHAnsi" w:hAnsiTheme="majorHAnsi" w:cstheme="majorHAnsi"/>
          <w:b/>
          <w:szCs w:val="22"/>
          <w:lang w:val="sk-SK" w:bidi="bo-CN"/>
        </w:rPr>
        <w:t>166 mil. eur (-18,5 %)</w:t>
      </w:r>
    </w:p>
    <w:p w14:paraId="5EDB17B3" w14:textId="77777777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Marža EBIT* na úrovni 10,7 % (-370 bázických bodov)</w:t>
      </w:r>
    </w:p>
    <w:p w14:paraId="162922B2" w14:textId="77777777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Výnos na prioritnú akciu (EPS)* sa znížil o 20,8 % na 1,95 eura pri konštantných kurzových sadzbách</w:t>
      </w:r>
    </w:p>
    <w:p w14:paraId="4324B306" w14:textId="77777777" w:rsidR="00D95869" w:rsidRPr="000309B7" w:rsidRDefault="00D95869" w:rsidP="00D95869">
      <w:pPr>
        <w:pStyle w:val="Odsekzoznamu"/>
        <w:numPr>
          <w:ilvl w:val="0"/>
          <w:numId w:val="11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 xml:space="preserve">Úspešne napreduje implementácia agendy pre zmysluplný rast a zlučovanie spotrebiteľských divízií do divízie Henkel </w:t>
      </w:r>
      <w:proofErr w:type="spellStart"/>
      <w:r w:rsidRPr="000309B7">
        <w:rPr>
          <w:rFonts w:asciiTheme="majorHAnsi" w:hAnsiTheme="majorHAnsi" w:cstheme="majorHAnsi"/>
          <w:b/>
          <w:szCs w:val="22"/>
          <w:lang w:val="sk-SK" w:bidi="bo-CN"/>
        </w:rPr>
        <w:t>Consumer</w:t>
      </w:r>
      <w:proofErr w:type="spellEnd"/>
      <w:r w:rsidRPr="000309B7">
        <w:rPr>
          <w:rFonts w:asciiTheme="majorHAnsi" w:hAnsiTheme="majorHAnsi" w:cstheme="majorHAnsi"/>
          <w:b/>
          <w:szCs w:val="22"/>
          <w:lang w:val="sk-SK" w:bidi="bo-CN"/>
        </w:rPr>
        <w:t xml:space="preserve"> </w:t>
      </w:r>
      <w:proofErr w:type="spellStart"/>
      <w:r w:rsidRPr="000309B7">
        <w:rPr>
          <w:rFonts w:asciiTheme="majorHAnsi" w:hAnsiTheme="majorHAnsi" w:cstheme="majorHAnsi"/>
          <w:b/>
          <w:szCs w:val="22"/>
          <w:lang w:val="sk-SK" w:bidi="bo-CN"/>
        </w:rPr>
        <w:t>Brands</w:t>
      </w:r>
      <w:proofErr w:type="spellEnd"/>
    </w:p>
    <w:p w14:paraId="71F4B508" w14:textId="77777777" w:rsidR="00D95869" w:rsidRPr="000309B7" w:rsidRDefault="00D95869" w:rsidP="00D95869">
      <w:pPr>
        <w:pStyle w:val="Odsekzoznamu"/>
        <w:numPr>
          <w:ilvl w:val="0"/>
          <w:numId w:val="11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Aktualizovaný výhľad na finančný rok 2022:</w:t>
      </w:r>
    </w:p>
    <w:p w14:paraId="53D1FB87" w14:textId="77777777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Organický rast obratu: zvýšenie na +4,5 až +6,5 %</w:t>
      </w:r>
    </w:p>
    <w:p w14:paraId="39AB3B31" w14:textId="77777777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Marža EBIT*: nezmenená v rozpätí 9,0 až 11,0 %</w:t>
      </w:r>
    </w:p>
    <w:p w14:paraId="790A95C6" w14:textId="77777777" w:rsidR="00D95869" w:rsidRPr="000309B7" w:rsidRDefault="00D95869" w:rsidP="00D95869">
      <w:pPr>
        <w:pStyle w:val="Odsekzoznamu"/>
        <w:numPr>
          <w:ilvl w:val="1"/>
          <w:numId w:val="11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0309B7">
        <w:rPr>
          <w:rFonts w:asciiTheme="majorHAnsi" w:hAnsiTheme="majorHAnsi" w:cstheme="majorHAnsi"/>
          <w:b/>
          <w:szCs w:val="22"/>
          <w:lang w:val="sk-SK" w:bidi="bo-CN"/>
        </w:rPr>
        <w:t>V prípade výnosov na prioritnú akciu (EPS)* pri konštantných kurzových sadzbách Henkel naďalej očakáva pokles v rozpätí od -35 % do -15 %</w:t>
      </w:r>
    </w:p>
    <w:p w14:paraId="2620B801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</w:p>
    <w:p w14:paraId="503FC791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  <w:proofErr w:type="spellStart"/>
      <w:r w:rsidRPr="000309B7">
        <w:rPr>
          <w:rFonts w:cs="Segoe UI"/>
          <w:b/>
          <w:bCs/>
          <w:szCs w:val="22"/>
          <w:lang w:val="sk-SK" w:bidi="bo-CN"/>
        </w:rPr>
        <w:t>Düsseldorf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– V prvom polroku 2022 spoločnosť Henkel zvýšila obrat na úrovni skupiny na približne 10,9 mld. eur,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čo zodpovedá výraznému zvýšeniu organického obratu až o 8,9 %.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K uvedenému pozitívnemu vývoju prispeli všetky obchodné divízie a regióny.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Výnosy v prvom polroku boli podľa očakávaní zasiahnuté drastickým nárastom cien surovín a logistiky.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Napriek výraznému zvýšeniu cien výrobkov, prísnemu manažmentu nákladov a ďalšiemu zlepšeniu efektívnosti sa tento vplyv nepodarilo v plnom rozsahu kompenzovať.</w:t>
      </w:r>
    </w:p>
    <w:p w14:paraId="39D7F146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</w:p>
    <w:p w14:paraId="2C4FDDFA" w14:textId="27260C42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  <w:r w:rsidRPr="000309B7">
        <w:rPr>
          <w:rFonts w:cs="Segoe UI"/>
          <w:b/>
          <w:bCs/>
          <w:i/>
          <w:iCs/>
          <w:szCs w:val="22"/>
          <w:lang w:val="sk-SK" w:bidi="bo-CN"/>
        </w:rPr>
        <w:lastRenderedPageBreak/>
        <w:t xml:space="preserve"> „Vo veľmi náročnom trhovom prostredí obrat za prvých šesť mesiacov prevýšil naše predchádzajúce očakávania, zatiaľ čo výnosy sa vyvíjali v súlade s naš</w:t>
      </w:r>
      <w:r w:rsidR="006F0406" w:rsidRPr="000309B7">
        <w:rPr>
          <w:rFonts w:cs="Segoe UI"/>
          <w:b/>
          <w:bCs/>
          <w:i/>
          <w:iCs/>
          <w:szCs w:val="22"/>
          <w:lang w:val="sk-SK" w:bidi="bo-CN"/>
        </w:rPr>
        <w:t>í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>m výhľadom na finančný rok 2022.</w:t>
      </w:r>
      <w:r w:rsidRPr="000309B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>Vzhľadom na tento vývoj sme zvýšili celoročný výhľad organického rastu obratu na úrovni skupiny a potvrdili sme výhľad vývoja marže EBIT a výnosov na prioritnú akciu,“</w:t>
      </w:r>
      <w:r w:rsidRPr="000309B7">
        <w:rPr>
          <w:rFonts w:cs="Segoe UI"/>
          <w:b/>
          <w:bCs/>
          <w:szCs w:val="22"/>
          <w:lang w:val="sk-SK" w:bidi="bo-CN"/>
        </w:rPr>
        <w:t xml:space="preserve"> povedal predseda predstavenstva spoločnosti Henkel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Carsten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Knobel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>.</w:t>
      </w:r>
    </w:p>
    <w:p w14:paraId="0F03879B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</w:p>
    <w:p w14:paraId="1575F93D" w14:textId="5324D96C" w:rsidR="00D95869" w:rsidRPr="000309B7" w:rsidRDefault="00D95869" w:rsidP="00D95869">
      <w:pPr>
        <w:rPr>
          <w:rFonts w:cs="Segoe UI"/>
          <w:b/>
          <w:bCs/>
          <w:i/>
          <w:iCs/>
          <w:szCs w:val="22"/>
          <w:lang w:val="sk-SK"/>
        </w:rPr>
      </w:pP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„</w:t>
      </w:r>
      <w:r w:rsidR="00803AF6" w:rsidRPr="000309B7">
        <w:rPr>
          <w:rFonts w:cs="Segoe UI"/>
          <w:b/>
          <w:bCs/>
          <w:i/>
          <w:iCs/>
          <w:szCs w:val="22"/>
          <w:lang w:val="sk-SK" w:bidi="bo-CN"/>
        </w:rPr>
        <w:t>Aj naďalej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pokračujeme v implementácii našej stratégie zameranej na zmysluplný rast, v ktorej sme v prvom polroku 2022 dosiahli výrazný pokrok – najmä vďaka silnému odhodlaniu našich zamestnancov na celom svete.</w:t>
      </w:r>
      <w:r w:rsidRPr="000309B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S našou divíziou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Technologies sme globálnym lídrom v oblasti inovatívnych riešení s dôrazom na budúce trendy ako mobilita, konektivita a udržateľnosť.</w:t>
      </w:r>
      <w:r w:rsidRPr="000309B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Zlúčením našich spotrebiteľských divízií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Laundry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&amp; Home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Care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a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Beauty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Care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vzniká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multiproduktová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platforma s obratom približne 10 mld. eur.</w:t>
      </w:r>
      <w:r w:rsidRPr="000309B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Sme na dobrej ceste, aby bola naša budúca obchodná divízia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Consumer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Brands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plne funkčná najneskôr začiatkom roka 2023.</w:t>
      </w:r>
      <w:r w:rsidRPr="000309B7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Ponúkne širšiu základňu na </w:t>
      </w:r>
      <w:proofErr w:type="spellStart"/>
      <w:r w:rsidRPr="000309B7">
        <w:rPr>
          <w:rFonts w:cs="Segoe UI"/>
          <w:b/>
          <w:bCs/>
          <w:i/>
          <w:iCs/>
          <w:szCs w:val="22"/>
          <w:lang w:val="sk-SK" w:bidi="bo-CN"/>
        </w:rPr>
        <w:t>konzistentnejšiu</w:t>
      </w:r>
      <w:proofErr w:type="spellEnd"/>
      <w:r w:rsidRPr="000309B7">
        <w:rPr>
          <w:rFonts w:cs="Segoe UI"/>
          <w:b/>
          <w:bCs/>
          <w:i/>
          <w:iCs/>
          <w:szCs w:val="22"/>
          <w:lang w:val="sk-SK" w:bidi="bo-CN"/>
        </w:rPr>
        <w:t xml:space="preserve"> optimalizáciu nášho portfólia a posunie obchodnú činnosť smerom k vyššiemu rastu a maržiam.“</w:t>
      </w:r>
    </w:p>
    <w:p w14:paraId="69E747EA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</w:p>
    <w:p w14:paraId="68BEC308" w14:textId="77777777" w:rsidR="00D95869" w:rsidRPr="000309B7" w:rsidRDefault="00D95869" w:rsidP="00D95869">
      <w:pPr>
        <w:spacing w:after="120"/>
        <w:ind w:right="-108"/>
        <w:jc w:val="left"/>
        <w:rPr>
          <w:rFonts w:cs="Segoe UI"/>
          <w:b/>
          <w:bCs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>Aktualizovaný výhľad na finančný rok 2022</w:t>
      </w:r>
    </w:p>
    <w:p w14:paraId="794D00BD" w14:textId="2E0BBE9F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>Henkel v súčasnosti očakáva organický rast obratu vo finančnom roku 2022 v rozsahu +4,5 až +6,5 % (pôvodne: +3,5 až +5,5 %).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V prípade divízie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Technologies sa aj naďalej očakáva organický rast obratu od +8</w:t>
      </w:r>
      <w:r w:rsidR="006035FE" w:rsidRPr="000309B7">
        <w:rPr>
          <w:rFonts w:cs="Segoe UI"/>
          <w:b/>
          <w:bCs/>
          <w:szCs w:val="22"/>
          <w:lang w:val="sk-SK" w:bidi="bo-CN"/>
        </w:rPr>
        <w:t>,</w:t>
      </w:r>
      <w:r w:rsidRPr="000309B7">
        <w:rPr>
          <w:rFonts w:cs="Segoe UI"/>
          <w:b/>
          <w:bCs/>
          <w:szCs w:val="22"/>
          <w:lang w:val="sk-SK" w:bidi="bo-CN"/>
        </w:rPr>
        <w:t>0 do +10</w:t>
      </w:r>
      <w:r w:rsidR="006035FE" w:rsidRPr="000309B7">
        <w:rPr>
          <w:rFonts w:cs="Segoe UI"/>
          <w:b/>
          <w:bCs/>
          <w:szCs w:val="22"/>
          <w:lang w:val="sk-SK" w:bidi="bo-CN"/>
        </w:rPr>
        <w:t>,</w:t>
      </w:r>
      <w:r w:rsidRPr="000309B7">
        <w:rPr>
          <w:rFonts w:cs="Segoe UI"/>
          <w:b/>
          <w:bCs/>
          <w:szCs w:val="22"/>
          <w:lang w:val="sk-SK" w:bidi="bo-CN"/>
        </w:rPr>
        <w:t>0 %.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Pre divíziu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Beauty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spoločnosť Henkel aktuálne predpokladá organický rast obratu od -3</w:t>
      </w:r>
      <w:r w:rsidR="006035FE" w:rsidRPr="000309B7">
        <w:rPr>
          <w:rFonts w:cs="Segoe UI"/>
          <w:b/>
          <w:bCs/>
          <w:szCs w:val="22"/>
          <w:lang w:val="sk-SK" w:bidi="bo-CN"/>
        </w:rPr>
        <w:t>,</w:t>
      </w:r>
      <w:r w:rsidRPr="000309B7">
        <w:rPr>
          <w:rFonts w:cs="Segoe UI"/>
          <w:b/>
          <w:bCs/>
          <w:szCs w:val="22"/>
          <w:lang w:val="sk-SK" w:bidi="bo-CN"/>
        </w:rPr>
        <w:t>0 do -1</w:t>
      </w:r>
      <w:r w:rsidR="006035FE" w:rsidRPr="000309B7">
        <w:rPr>
          <w:rFonts w:cs="Segoe UI"/>
          <w:b/>
          <w:bCs/>
          <w:szCs w:val="22"/>
          <w:lang w:val="sk-SK" w:bidi="bo-CN"/>
        </w:rPr>
        <w:t>,</w:t>
      </w:r>
      <w:r w:rsidRPr="000309B7">
        <w:rPr>
          <w:rFonts w:cs="Segoe UI"/>
          <w:b/>
          <w:bCs/>
          <w:szCs w:val="22"/>
          <w:lang w:val="sk-SK" w:bidi="bo-CN"/>
        </w:rPr>
        <w:t>0 % (pôvodne:</w:t>
      </w:r>
      <w:r w:rsidRPr="000309B7">
        <w:rPr>
          <w:rFonts w:cs="Segoe UI"/>
          <w:b/>
          <w:bCs/>
          <w:szCs w:val="22"/>
          <w:lang w:val="sk-SK"/>
        </w:rPr>
        <w:t xml:space="preserve"> -</w:t>
      </w:r>
      <w:r w:rsidRPr="000309B7">
        <w:rPr>
          <w:rFonts w:cs="Segoe UI"/>
          <w:b/>
          <w:bCs/>
          <w:szCs w:val="22"/>
          <w:lang w:val="sk-SK" w:bidi="bo-CN"/>
        </w:rPr>
        <w:t>5,0 až -3</w:t>
      </w:r>
      <w:r w:rsidR="006035FE" w:rsidRPr="000309B7">
        <w:rPr>
          <w:rFonts w:cs="Segoe UI"/>
          <w:b/>
          <w:bCs/>
          <w:szCs w:val="22"/>
          <w:lang w:val="sk-SK" w:bidi="bo-CN"/>
        </w:rPr>
        <w:t>,</w:t>
      </w:r>
      <w:r w:rsidRPr="000309B7">
        <w:rPr>
          <w:rFonts w:cs="Segoe UI"/>
          <w:b/>
          <w:bCs/>
          <w:szCs w:val="22"/>
          <w:lang w:val="sk-SK" w:bidi="bo-CN"/>
        </w:rPr>
        <w:t>0 %).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V prípade divízie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Laundry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&amp; Home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Henkel v súčasnosti očakáva organický rast obratu približne na úrovni +4,0 až +6,0 % (pôvodne: +2,0 až +4,0 %).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Upravená marža EBIT na úrovni skupiny by mala ostať nezmenená a dosiahnuť 9,0 až 11,0 %.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V prípade upravených výnosov na prioritnú akciu (EPS) pri konštantných kurzových sadzbách Henkel aj naďalej očakáva pokles v rozpätí od -35 % do -15 %.</w:t>
      </w:r>
    </w:p>
    <w:p w14:paraId="1A225603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</w:p>
    <w:p w14:paraId="324A749A" w14:textId="77777777" w:rsidR="00D95869" w:rsidRPr="000309B7" w:rsidRDefault="00D95869" w:rsidP="00D95869">
      <w:pPr>
        <w:spacing w:after="120"/>
        <w:ind w:right="-108"/>
        <w:jc w:val="left"/>
        <w:rPr>
          <w:rFonts w:cs="Segoe UI"/>
          <w:b/>
          <w:bCs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>Prebieha ukončenie obchodných aktivít v Rusku a Bielorusku</w:t>
      </w:r>
    </w:p>
    <w:p w14:paraId="6D6804AB" w14:textId="77777777" w:rsidR="00D95869" w:rsidRPr="000309B7" w:rsidRDefault="00D95869" w:rsidP="00D95869">
      <w:pPr>
        <w:rPr>
          <w:rFonts w:cs="Segoe UI"/>
          <w:b/>
          <w:bCs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>V apríli 2022 sa spoločnosť Henkel rozhodla ukončiť svoje obchodné aktivity v Rusku a Bielorusku.</w:t>
      </w:r>
      <w:r w:rsidRPr="000309B7">
        <w:rPr>
          <w:rFonts w:cs="Segoe UI"/>
          <w:b/>
          <w:bCs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Dôkladne posudzuje všetky možnosti a celý proces zamýšľa ukončiť do konca roka.</w:t>
      </w:r>
    </w:p>
    <w:p w14:paraId="74F772D5" w14:textId="77777777" w:rsidR="00A027EF" w:rsidRPr="000309B7" w:rsidRDefault="00A027EF" w:rsidP="00A027EF">
      <w:pPr>
        <w:rPr>
          <w:rFonts w:cs="Segoe UI"/>
          <w:szCs w:val="22"/>
          <w:lang w:val="sk-SK"/>
        </w:rPr>
      </w:pPr>
    </w:p>
    <w:p w14:paraId="03EAD0D7" w14:textId="77777777" w:rsidR="00215E66" w:rsidRPr="000309B7" w:rsidRDefault="00215E66" w:rsidP="00215E66">
      <w:pPr>
        <w:spacing w:after="120"/>
        <w:rPr>
          <w:rFonts w:cs="Segoe UI"/>
          <w:b/>
          <w:bCs/>
          <w:szCs w:val="22"/>
          <w:lang w:val="sk-SK"/>
        </w:rPr>
      </w:pPr>
      <w:r w:rsidRPr="000309B7">
        <w:rPr>
          <w:rFonts w:ascii="SegoeUI-Bold" w:hAnsi="SegoeUI-Bold" w:cs="SegoeUI-Bold"/>
          <w:b/>
          <w:bCs/>
          <w:szCs w:val="22"/>
          <w:lang w:val="sk-SK" w:bidi="bo-CN"/>
        </w:rPr>
        <w:t>Obrat a výnosy na úrovni skupiny v prvom polroku 2022</w:t>
      </w:r>
    </w:p>
    <w:p w14:paraId="625A7B81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>Obrat skupiny</w:t>
      </w:r>
      <w:r w:rsidRPr="000309B7">
        <w:rPr>
          <w:rFonts w:cs="Segoe UI"/>
          <w:szCs w:val="22"/>
          <w:lang w:val="sk-SK" w:bidi="bo-CN"/>
        </w:rPr>
        <w:t xml:space="preserve"> Henkel za prvý polrok 2022 v celkovej výške 10 913 mil. eur bolo o 9,9 % vyšší v porovnaní s rovnakým obdobím predchádzajúceho roka (2. štvrťrok: 5 642 mil. eur, +13,8 %).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Organický obrat, </w:t>
      </w:r>
      <w:r w:rsidRPr="000309B7">
        <w:rPr>
          <w:rFonts w:cs="Segoe UI"/>
          <w:szCs w:val="22"/>
          <w:lang w:val="sk-SK" w:bidi="bo-CN"/>
        </w:rPr>
        <w:t xml:space="preserve">do ktorého sa nezapočítavajú kurzové vplyvy a vplyvy akvizícií a odpredaja, </w:t>
      </w:r>
      <w:r w:rsidRPr="000309B7">
        <w:rPr>
          <w:rFonts w:cs="Segoe UI"/>
          <w:szCs w:val="22"/>
          <w:lang w:val="sk-SK" w:bidi="bo-CN"/>
        </w:rPr>
        <w:lastRenderedPageBreak/>
        <w:t>zaznamenal výrazný rast o 8,9 % (2. štvrťrok: +10,9 %).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Akvizície a odpredaje mali na obrat negatívny vplyv vo výške -1,4 % (2. štvrťrok: -1,8 %).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Od začiatku 2. štvrťroka sa sem započítava aj vplyv ohláseného ukončenia obchodných aktivít v Rusku a Bielorusku.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V dôsledku kurzových vplyvov sa obrat zvýšil o 2,4 % (2. štvrťrok: +4,7 %).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Započítava sa sem aj vplyv uplatňovania štandardu IAS 29 (finančné výkazníctvo v </w:t>
      </w:r>
      <w:proofErr w:type="spellStart"/>
      <w:r w:rsidRPr="000309B7">
        <w:rPr>
          <w:rFonts w:cs="Segoe UI"/>
          <w:szCs w:val="22"/>
          <w:lang w:val="sk-SK" w:bidi="bo-CN"/>
        </w:rPr>
        <w:t>hyperinflačných</w:t>
      </w:r>
      <w:proofErr w:type="spellEnd"/>
      <w:r w:rsidRPr="000309B7">
        <w:rPr>
          <w:rFonts w:cs="Segoe UI"/>
          <w:szCs w:val="22"/>
          <w:lang w:val="sk-SK" w:bidi="bo-CN"/>
        </w:rPr>
        <w:t xml:space="preserve"> ekonomikách), ktoré je od začiatku účtovného obdobia povinné v Turecku.</w:t>
      </w:r>
    </w:p>
    <w:p w14:paraId="4440F4EE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0B012BFA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K rastu obratu v prvom polroku najviac prispela divízia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Technologies</w:t>
      </w:r>
      <w:r w:rsidRPr="000309B7">
        <w:rPr>
          <w:rFonts w:cs="Segoe UI"/>
          <w:szCs w:val="22"/>
          <w:lang w:val="sk-SK" w:bidi="bo-CN"/>
        </w:rPr>
        <w:t>, ktorá zaznamenala dvojciferný organický rast vo výške 12,2 %.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Organický rast obratu dosiahla vo všetkých obchodných oblastiach.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Divízia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Beauty</w:t>
      </w:r>
      <w:proofErr w:type="spellEnd"/>
      <w:r w:rsidRPr="000309B7">
        <w:rPr>
          <w:rFonts w:cs="Segoe UI"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szCs w:val="22"/>
          <w:lang w:val="sk-SK" w:bidi="bo-CN"/>
        </w:rPr>
        <w:t xml:space="preserve"> dosiahla v prvom polroku organický rast obratu vo výške 0,4 %.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Dvojciferný organický rast obratu zaznamenala v segmente profesionálnej vlasovej kozmetiky.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Naopak segment spotrebného tovaru zaostal za úrovňou z predchádzajúceho roka, a to najmä v dôsledku avizovaných opatrení na zlepšenie portfólia.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Divízia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Laundry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&amp; Home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szCs w:val="22"/>
          <w:lang w:val="sk-SK" w:bidi="bo-CN"/>
        </w:rPr>
        <w:t xml:space="preserve"> dosiahla výrazný organický rast obratu na úrovni 7,4 %, ku ktorému prispel predovšetkým dvojciferný rast v segmente pracích prostriedkov.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Segment čistiacich prostriedkov pre domácnosť zaznamenal v prvom polroku pozitívny vývoj organického obratu.</w:t>
      </w:r>
    </w:p>
    <w:p w14:paraId="4700BD4F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026B4EFA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b/>
          <w:szCs w:val="22"/>
          <w:lang w:val="sk-SK" w:bidi="bo-CN"/>
        </w:rPr>
        <w:t>Rozvíjajúce</w:t>
      </w:r>
      <w:r w:rsidRPr="000309B7">
        <w:rPr>
          <w:rFonts w:cs="Segoe UI"/>
          <w:bCs/>
          <w:szCs w:val="22"/>
          <w:lang w:val="sk-SK" w:bidi="bo-CN"/>
        </w:rPr>
        <w:t xml:space="preserve"> </w:t>
      </w:r>
      <w:r w:rsidRPr="000309B7">
        <w:rPr>
          <w:rFonts w:cs="Segoe UI"/>
          <w:b/>
          <w:szCs w:val="22"/>
          <w:lang w:val="sk-SK" w:bidi="bo-CN"/>
        </w:rPr>
        <w:t xml:space="preserve">sa trhy </w:t>
      </w:r>
      <w:r w:rsidRPr="000309B7">
        <w:rPr>
          <w:rFonts w:cs="Segoe UI"/>
          <w:bCs/>
          <w:szCs w:val="22"/>
          <w:lang w:val="sk-SK" w:bidi="bo-CN"/>
        </w:rPr>
        <w:t>dosiahli dvojciferný organický rast vo výške 12,9 % (2. štvrťrok: +14,6 %),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 xml:space="preserve">zatiaľ čo </w:t>
      </w:r>
      <w:r w:rsidRPr="000309B7">
        <w:rPr>
          <w:rFonts w:cs="Segoe UI"/>
          <w:b/>
          <w:szCs w:val="22"/>
          <w:lang w:val="sk-SK" w:bidi="bo-CN"/>
        </w:rPr>
        <w:t xml:space="preserve">vyspelé trhy </w:t>
      </w:r>
      <w:r w:rsidRPr="000309B7">
        <w:rPr>
          <w:rFonts w:cs="Segoe UI"/>
          <w:bCs/>
          <w:szCs w:val="22"/>
          <w:lang w:val="sk-SK" w:bidi="bo-CN"/>
        </w:rPr>
        <w:t>organicky vzrástli o 5,5 % (2. štvrťrok: +7,8 %).</w:t>
      </w:r>
    </w:p>
    <w:p w14:paraId="69C1870A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406669A5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V </w:t>
      </w:r>
      <w:r w:rsidRPr="000309B7">
        <w:rPr>
          <w:rFonts w:cs="Segoe UI"/>
          <w:b/>
          <w:bCs/>
          <w:szCs w:val="22"/>
          <w:lang w:val="sk-SK" w:bidi="bo-CN"/>
        </w:rPr>
        <w:t>západnej Európe</w:t>
      </w:r>
      <w:r w:rsidRPr="000309B7">
        <w:rPr>
          <w:rFonts w:cs="Segoe UI"/>
          <w:szCs w:val="22"/>
          <w:lang w:val="sk-SK" w:bidi="bo-CN"/>
        </w:rPr>
        <w:t xml:space="preserve"> dosiahol rast organického obratu v prvom polroku výšku 2,2 % (2. štvrťrok: +4,8 %).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Vo </w:t>
      </w:r>
      <w:r w:rsidRPr="000309B7">
        <w:rPr>
          <w:rFonts w:cs="Segoe UI"/>
          <w:b/>
          <w:bCs/>
          <w:szCs w:val="22"/>
          <w:lang w:val="sk-SK" w:bidi="bo-CN"/>
        </w:rPr>
        <w:t xml:space="preserve">východnej Európe </w:t>
      </w:r>
      <w:r w:rsidRPr="000309B7">
        <w:rPr>
          <w:rFonts w:cs="Segoe UI"/>
          <w:szCs w:val="22"/>
          <w:lang w:val="sk-SK" w:bidi="bo-CN"/>
        </w:rPr>
        <w:t>predstavoval organický rast obratu 23,2 % (2. štvrťrok: +26,3 %).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V </w:t>
      </w:r>
      <w:r w:rsidRPr="000309B7">
        <w:rPr>
          <w:rFonts w:cs="Segoe UI"/>
          <w:b/>
          <w:bCs/>
          <w:szCs w:val="22"/>
          <w:lang w:val="sk-SK" w:bidi="bo-CN"/>
        </w:rPr>
        <w:t xml:space="preserve">Afrike a na Strednom východe </w:t>
      </w:r>
      <w:r w:rsidRPr="000309B7">
        <w:rPr>
          <w:rFonts w:cs="Segoe UI"/>
          <w:szCs w:val="22"/>
          <w:lang w:val="sk-SK" w:bidi="bo-CN"/>
        </w:rPr>
        <w:t>obrat organicky vzrástol o 3,2 % (2. štvrťrok: +5,1%).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Organický rast obratu v </w:t>
      </w:r>
      <w:r w:rsidRPr="000309B7">
        <w:rPr>
          <w:rFonts w:cs="Segoe UI"/>
          <w:b/>
          <w:bCs/>
          <w:szCs w:val="22"/>
          <w:lang w:val="sk-SK" w:bidi="bo-CN"/>
        </w:rPr>
        <w:t>Severnej Amerike</w:t>
      </w:r>
      <w:r w:rsidRPr="000309B7">
        <w:rPr>
          <w:rFonts w:cs="Segoe UI"/>
          <w:szCs w:val="22"/>
          <w:lang w:val="sk-SK" w:bidi="bo-CN"/>
        </w:rPr>
        <w:t xml:space="preserve"> bol na úrovni 9,2 % (2. štvrťrok: +11,7 %).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Latinská Amerika </w:t>
      </w:r>
      <w:r w:rsidRPr="000309B7">
        <w:rPr>
          <w:rFonts w:cs="Segoe UI"/>
          <w:szCs w:val="22"/>
          <w:lang w:val="sk-SK" w:bidi="bo-CN"/>
        </w:rPr>
        <w:t>zaznamenala organický rast obratu na úrovni 16,9 % (2. štvrťrok: +18,5 %).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V </w:t>
      </w:r>
      <w:r w:rsidRPr="000309B7">
        <w:rPr>
          <w:rFonts w:cs="Segoe UI"/>
          <w:b/>
          <w:bCs/>
          <w:szCs w:val="22"/>
          <w:lang w:val="sk-SK" w:bidi="bo-CN"/>
        </w:rPr>
        <w:t xml:space="preserve">ázijsko-pacifickom regióne </w:t>
      </w:r>
      <w:r w:rsidRPr="000309B7">
        <w:rPr>
          <w:rFonts w:cs="Segoe UI"/>
          <w:szCs w:val="22"/>
          <w:lang w:val="sk-SK" w:bidi="bo-CN"/>
        </w:rPr>
        <w:t>sa obrat organicky zvýšil o 6,1 % (2. štvrťrok: +6,9 %).</w:t>
      </w:r>
    </w:p>
    <w:p w14:paraId="33EFB5B6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0E1AC7A2" w14:textId="77777777" w:rsidR="00215E66" w:rsidRPr="000309B7" w:rsidRDefault="00215E66" w:rsidP="00215E66">
      <w:pPr>
        <w:rPr>
          <w:rFonts w:cs="Segoe UI"/>
          <w:bCs/>
          <w:szCs w:val="22"/>
          <w:lang w:val="sk-SK"/>
        </w:rPr>
      </w:pPr>
      <w:bookmarkStart w:id="1" w:name="_Hlk109402106"/>
      <w:r w:rsidRPr="000309B7">
        <w:rPr>
          <w:b/>
          <w:bCs/>
          <w:lang w:val="sk-SK" w:bidi="bo-CN"/>
        </w:rPr>
        <w:t xml:space="preserve">Upravený prevádzkový zisk (upravený EBIT) </w:t>
      </w:r>
      <w:r w:rsidRPr="000309B7">
        <w:rPr>
          <w:lang w:val="sk-SK" w:bidi="bo-CN"/>
        </w:rPr>
        <w:t>dosiahol v prvom polroku 1 166 mil. eur v porovnaní s 1 430 mil. eur v rovnakom období predchádzajúceho roka.</w:t>
      </w:r>
      <w:r w:rsidRPr="000309B7">
        <w:rPr>
          <w:lang w:val="sk-SK"/>
        </w:rPr>
        <w:t xml:space="preserve"> </w:t>
      </w:r>
      <w:r w:rsidRPr="000309B7">
        <w:rPr>
          <w:lang w:val="sk-SK" w:bidi="bo-CN"/>
        </w:rPr>
        <w:t>K poklesu došlo najmä pre výrazne vyššie ceny priamych materiálových vstupov.</w:t>
      </w:r>
    </w:p>
    <w:bookmarkEnd w:id="1"/>
    <w:p w14:paraId="34695464" w14:textId="77777777" w:rsidR="00215E66" w:rsidRPr="000309B7" w:rsidRDefault="00215E66" w:rsidP="00215E66">
      <w:pPr>
        <w:rPr>
          <w:rFonts w:cs="Segoe UI"/>
          <w:bCs/>
          <w:szCs w:val="22"/>
          <w:lang w:val="sk-SK"/>
        </w:rPr>
      </w:pPr>
    </w:p>
    <w:p w14:paraId="47D73F31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 xml:space="preserve">Upravená výnosnosť predaja (upravená marža EBIT) </w:t>
      </w:r>
      <w:r w:rsidRPr="000309B7">
        <w:rPr>
          <w:rFonts w:cs="Segoe UI"/>
          <w:szCs w:val="22"/>
          <w:lang w:val="sk-SK" w:bidi="bo-CN"/>
        </w:rPr>
        <w:t>klesla z 14,4 % na 10,7 % z dôvodu výrazne vyšších cien priamych materiálových vstupov.</w:t>
      </w:r>
    </w:p>
    <w:p w14:paraId="27A023DA" w14:textId="77777777" w:rsidR="00215E66" w:rsidRPr="000309B7" w:rsidRDefault="00215E66" w:rsidP="00215E66">
      <w:pPr>
        <w:rPr>
          <w:rFonts w:cs="Segoe UI"/>
          <w:bCs/>
          <w:szCs w:val="22"/>
          <w:lang w:val="sk-SK"/>
        </w:rPr>
      </w:pPr>
      <w:r w:rsidRPr="000309B7">
        <w:rPr>
          <w:rFonts w:cs="Segoe UI"/>
          <w:b/>
          <w:szCs w:val="22"/>
          <w:lang w:val="sk-SK" w:bidi="bo-CN"/>
        </w:rPr>
        <w:t xml:space="preserve">Upravený výnos na prioritnú akciu </w:t>
      </w:r>
      <w:r w:rsidRPr="000309B7">
        <w:rPr>
          <w:rFonts w:cs="Segoe UI"/>
          <w:bCs/>
          <w:szCs w:val="22"/>
          <w:lang w:val="sk-SK" w:bidi="bo-CN"/>
        </w:rPr>
        <w:t>bol 1,95 eur v prvom polroku 2022.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Pri konštantných kurzových sadzbách to predstavuje medziročný pokles vo výške 20,8 %.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Aj tento vývoj bol spôsobený hlavne výrazným zvýšením cien priamych materiálových vstupov.</w:t>
      </w:r>
    </w:p>
    <w:p w14:paraId="458C2EFF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2DF3CD72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lastRenderedPageBreak/>
        <w:t xml:space="preserve">Pomer čistého prevádzkového kapitálu k obratu </w:t>
      </w:r>
      <w:r w:rsidRPr="000309B7">
        <w:rPr>
          <w:rFonts w:cs="Segoe UI"/>
          <w:szCs w:val="22"/>
          <w:lang w:val="sk-SK" w:bidi="bo-CN"/>
        </w:rPr>
        <w:t>sa zvýšil o 1,6 percentuálneho bodu na 5,2 % (rovnaké obdobie predchádzajúceho roka: 3,6 %), a to tiež pod vplyvom prudkého rastu cien surovín.</w:t>
      </w:r>
    </w:p>
    <w:p w14:paraId="7D1D5BF6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6A5DEC7E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 xml:space="preserve">Voľný cash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flow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v hodnote 46 mil. eur bol nižší v porovnaní s prvým polrokom 2021 (471 mil. eur) najmä z dôvodu slabšieho cash </w:t>
      </w:r>
      <w:proofErr w:type="spellStart"/>
      <w:r w:rsidRPr="000309B7">
        <w:rPr>
          <w:rFonts w:cs="Segoe UI"/>
          <w:szCs w:val="22"/>
          <w:lang w:val="sk-SK" w:bidi="bo-CN"/>
        </w:rPr>
        <w:t>flowu</w:t>
      </w:r>
      <w:proofErr w:type="spellEnd"/>
      <w:r w:rsidRPr="000309B7">
        <w:rPr>
          <w:rFonts w:cs="Segoe UI"/>
          <w:szCs w:val="22"/>
          <w:lang w:val="sk-SK" w:bidi="bo-CN"/>
        </w:rPr>
        <w:t xml:space="preserve"> z prevádzkových činností v dôsledku nižšieho prevádzkového zisku a vyššieho čistého prevádzkového kapitálu.</w:t>
      </w:r>
    </w:p>
    <w:p w14:paraId="30468EFE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1DE86B5C" w14:textId="77777777" w:rsidR="00215E66" w:rsidRPr="000309B7" w:rsidRDefault="00215E66" w:rsidP="00215E66">
      <w:pPr>
        <w:rPr>
          <w:lang w:val="sk-SK"/>
        </w:rPr>
      </w:pPr>
      <w:r w:rsidRPr="000309B7">
        <w:rPr>
          <w:lang w:val="sk-SK" w:bidi="bo-CN"/>
        </w:rPr>
        <w:t xml:space="preserve">K 30. júnu 2022 bola </w:t>
      </w:r>
      <w:r w:rsidRPr="000309B7">
        <w:rPr>
          <w:b/>
          <w:bCs/>
          <w:lang w:val="sk-SK" w:bidi="bo-CN"/>
        </w:rPr>
        <w:t>čistá finančná pozícia</w:t>
      </w:r>
      <w:r w:rsidRPr="000309B7">
        <w:rPr>
          <w:lang w:val="sk-SK" w:bidi="bo-CN"/>
        </w:rPr>
        <w:t xml:space="preserve"> na úrovni -1 441 mil. eur (31. december 2021: -292 mil. eur).</w:t>
      </w:r>
      <w:r w:rsidRPr="000309B7">
        <w:rPr>
          <w:lang w:val="sk-SK"/>
        </w:rPr>
        <w:t xml:space="preserve"> </w:t>
      </w:r>
      <w:r w:rsidRPr="000309B7">
        <w:rPr>
          <w:lang w:val="sk-SK" w:bidi="bo-CN"/>
        </w:rPr>
        <w:t>Tento vývoj odráža aj výdavky na program spätného odkupu akcií, ktorý bol spustený vo februári 2022, vo výške približne 430 mil. eur a výplatu dividend vo výške okolo 800 mil. eur v druhom štvrťroku.</w:t>
      </w:r>
    </w:p>
    <w:p w14:paraId="786B6E07" w14:textId="77777777" w:rsidR="00215E66" w:rsidRPr="000309B7" w:rsidRDefault="00215E66" w:rsidP="00215E66">
      <w:pPr>
        <w:spacing w:after="120"/>
        <w:rPr>
          <w:rFonts w:cs="Segoe UI"/>
          <w:b/>
          <w:bCs/>
          <w:szCs w:val="22"/>
          <w:lang w:val="sk-SK" w:eastAsia="de-DE"/>
        </w:rPr>
      </w:pPr>
    </w:p>
    <w:p w14:paraId="4C68F8EE" w14:textId="77777777" w:rsidR="00215E66" w:rsidRPr="000309B7" w:rsidRDefault="00215E66" w:rsidP="00215E66">
      <w:pPr>
        <w:spacing w:after="120"/>
        <w:rPr>
          <w:rFonts w:cs="Segoe UI"/>
          <w:b/>
          <w:bCs/>
          <w:szCs w:val="22"/>
          <w:lang w:val="sk-SK" w:eastAsia="de-DE"/>
        </w:rPr>
      </w:pPr>
      <w:r w:rsidRPr="000309B7">
        <w:rPr>
          <w:rFonts w:ascii="SegoeUI-Bold" w:hAnsi="SegoeUI-Bold" w:cs="SegoeUI-Bold"/>
          <w:b/>
          <w:bCs/>
          <w:szCs w:val="22"/>
          <w:lang w:val="sk-SK" w:bidi="bo-CN"/>
        </w:rPr>
        <w:t>Výsledky obchodných divízií v prvom polroku 2022</w:t>
      </w:r>
    </w:p>
    <w:p w14:paraId="72229BFF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V prvom polokru 2022 </w:t>
      </w:r>
      <w:r w:rsidRPr="000309B7">
        <w:rPr>
          <w:rFonts w:cs="Segoe UI"/>
          <w:b/>
          <w:bCs/>
          <w:szCs w:val="22"/>
          <w:lang w:val="sk-SK" w:bidi="bo-CN"/>
        </w:rPr>
        <w:t>obrat</w:t>
      </w:r>
      <w:r w:rsidRPr="000309B7">
        <w:rPr>
          <w:rFonts w:cs="Segoe UI"/>
          <w:szCs w:val="22"/>
          <w:lang w:val="sk-SK" w:bidi="bo-CN"/>
        </w:rPr>
        <w:t xml:space="preserve"> obchodnej divízie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Technologies</w:t>
      </w:r>
      <w:r w:rsidRPr="000309B7">
        <w:rPr>
          <w:rFonts w:cs="Segoe UI"/>
          <w:szCs w:val="22"/>
          <w:lang w:val="sk-SK" w:bidi="bo-CN"/>
        </w:rPr>
        <w:t xml:space="preserve"> nominálne vzrástol o 15,0 % na  5 467 mil. eur (2. štvrťrok: 2 836 mil. eur; +18,5 %).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Organický obrat </w:t>
      </w:r>
      <w:r w:rsidRPr="000309B7">
        <w:rPr>
          <w:rFonts w:cs="Segoe UI"/>
          <w:szCs w:val="22"/>
          <w:lang w:val="sk-SK" w:bidi="bo-CN"/>
        </w:rPr>
        <w:t>sa zvýšil o 12,2 % (2. štvrťrok: +13,7 %).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K uvedenému vývoju prispeli všetky obchodné divízie a regióny.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Upravený prevádzkový zisk </w:t>
      </w:r>
      <w:r w:rsidRPr="000309B7">
        <w:rPr>
          <w:rFonts w:cs="Segoe UI"/>
          <w:szCs w:val="22"/>
          <w:lang w:val="sk-SK" w:bidi="bo-CN"/>
        </w:rPr>
        <w:t>dosiahol v prvom polroku 2022 výšku 743 mil. eur v porovnaní s 820 mil. eur v rovnakom období predchádzajúceho roka.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Upravená výnosnosť predaja </w:t>
      </w:r>
      <w:r w:rsidRPr="000309B7">
        <w:rPr>
          <w:rFonts w:cs="Segoe UI"/>
          <w:szCs w:val="22"/>
          <w:lang w:val="sk-SK" w:bidi="bo-CN"/>
        </w:rPr>
        <w:t>na úrovni 13,6 % bola medziročne nižšia o 3,7 percentuálneho bodu, pričom výnosy boli negatívne zasiahnuté výrazným rastom cien priamych materiálových vstupov.</w:t>
      </w:r>
    </w:p>
    <w:p w14:paraId="34C7882A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bookmarkStart w:id="2" w:name="_Hlk78300139"/>
    </w:p>
    <w:p w14:paraId="65BF76EB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b/>
          <w:bCs/>
          <w:szCs w:val="22"/>
          <w:lang w:val="sk-SK" w:bidi="bo-CN"/>
        </w:rPr>
        <w:t xml:space="preserve">Obrat </w:t>
      </w:r>
      <w:r w:rsidRPr="000309B7">
        <w:rPr>
          <w:rFonts w:cs="Segoe UI"/>
          <w:szCs w:val="22"/>
          <w:lang w:val="sk-SK" w:bidi="bo-CN"/>
        </w:rPr>
        <w:t xml:space="preserve">obchodnej divízie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Beauty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szCs w:val="22"/>
          <w:lang w:val="sk-SK" w:bidi="bo-CN"/>
        </w:rPr>
        <w:t xml:space="preserve"> sa za prvých šesť mesiacov roka 2022 </w:t>
      </w:r>
      <w:r w:rsidRPr="000309B7">
        <w:rPr>
          <w:rFonts w:cs="Segoe UI"/>
          <w:b/>
          <w:bCs/>
          <w:szCs w:val="22"/>
          <w:lang w:val="sk-SK" w:bidi="bo-CN"/>
        </w:rPr>
        <w:t xml:space="preserve">organicky </w:t>
      </w:r>
      <w:r w:rsidRPr="000309B7">
        <w:rPr>
          <w:rFonts w:cs="Segoe UI"/>
          <w:szCs w:val="22"/>
          <w:lang w:val="sk-SK" w:bidi="bo-CN"/>
        </w:rPr>
        <w:t>zvýšil o 0,4 % (2. štvrťrok: +2,1 %).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Nominálne sa zvýšil o 0,2 % a dosiahol 1 842 mil. eur (2. štvrťrok: 950 mil. eur, +3,9 %).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K uvedenému rastu prispeli najmä dobré výsledky v segmente profesionálnej vlasovej kozmetiky, ktorý si dokázal zachovať silnú výkonnosť z predchádzajúceho roka.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Na druhej strane segment spotrebného tovaru zaostal za úrovňou z predchádzajúceho roka, a to najmä v dôsledku implementácie opatrení na zlepšenie portfólia avizovaných na rok 2022.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Upravený prevádzkový zisk </w:t>
      </w:r>
      <w:r w:rsidRPr="000309B7">
        <w:rPr>
          <w:rFonts w:cs="Segoe UI"/>
          <w:szCs w:val="22"/>
          <w:lang w:val="sk-SK" w:bidi="bo-CN"/>
        </w:rPr>
        <w:t>dosiahol 169 mil. eur v porovnaní so 183 mil. eur v prvom polroku 2021.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Upravená výnosnosť predaja </w:t>
      </w:r>
      <w:r w:rsidRPr="000309B7">
        <w:rPr>
          <w:rFonts w:cs="Segoe UI"/>
          <w:szCs w:val="22"/>
          <w:lang w:val="sk-SK" w:bidi="bo-CN"/>
        </w:rPr>
        <w:t>v dôsledku vyšších cien priamych materiálových vstupov medziročne klesla o 0,8 percentuálneho bodu na 9,2 %.</w:t>
      </w:r>
    </w:p>
    <w:bookmarkEnd w:id="2"/>
    <w:p w14:paraId="7D41F008" w14:textId="77777777" w:rsidR="00215E66" w:rsidRPr="000309B7" w:rsidRDefault="00215E66" w:rsidP="00215E66">
      <w:pPr>
        <w:rPr>
          <w:rFonts w:cs="Segoe UI"/>
          <w:szCs w:val="22"/>
          <w:lang w:val="sk-SK"/>
        </w:rPr>
      </w:pPr>
    </w:p>
    <w:p w14:paraId="65A25ADD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Obchodná divízia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Laundry</w:t>
      </w:r>
      <w:proofErr w:type="spellEnd"/>
      <w:r w:rsidRPr="000309B7">
        <w:rPr>
          <w:rFonts w:cs="Segoe UI"/>
          <w:b/>
          <w:bCs/>
          <w:szCs w:val="22"/>
          <w:lang w:val="sk-SK" w:bidi="bo-CN"/>
        </w:rPr>
        <w:t xml:space="preserve"> &amp; Home </w:t>
      </w:r>
      <w:proofErr w:type="spellStart"/>
      <w:r w:rsidRPr="000309B7">
        <w:rPr>
          <w:rFonts w:cs="Segoe UI"/>
          <w:b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szCs w:val="22"/>
          <w:lang w:val="sk-SK" w:bidi="bo-CN"/>
        </w:rPr>
        <w:t xml:space="preserve"> dosiahla v prvom polroku 2022 výrazný </w:t>
      </w:r>
      <w:r w:rsidRPr="000309B7">
        <w:rPr>
          <w:rFonts w:cs="Segoe UI"/>
          <w:b/>
          <w:bCs/>
          <w:szCs w:val="22"/>
          <w:lang w:val="sk-SK" w:bidi="bo-CN"/>
        </w:rPr>
        <w:t>organický</w:t>
      </w:r>
      <w:r w:rsidRPr="000309B7">
        <w:rPr>
          <w:rFonts w:cs="Segoe UI"/>
          <w:szCs w:val="22"/>
          <w:lang w:val="sk-SK" w:bidi="bo-CN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>rast obratu</w:t>
      </w:r>
      <w:r w:rsidRPr="000309B7">
        <w:rPr>
          <w:rFonts w:cs="Segoe UI"/>
          <w:szCs w:val="22"/>
          <w:lang w:val="sk-SK" w:bidi="bo-CN"/>
        </w:rPr>
        <w:t xml:space="preserve"> na úrovni 7,4 % (2. štvrťrok: +3,6 %).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K uvedenému rastu prispelo predovšetkým dvojciferné zvýšenie obratu v segmente pracích prostriedkov.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Nominálne sa obrat zvýšil o 6,7 % na 3 494 mil. eur (2. štvrťrok: 1 802 mil. eur; +11,3 %).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Upravený prevádzkový zisk </w:t>
      </w:r>
      <w:r w:rsidRPr="000309B7">
        <w:rPr>
          <w:rFonts w:cs="Segoe UI"/>
          <w:szCs w:val="22"/>
          <w:lang w:val="sk-SK" w:bidi="bo-CN"/>
        </w:rPr>
        <w:t xml:space="preserve">dosiahol hodnotu 313 mil. eur v porovnaní so 490 mil. eur v rovnakom štvrťroku </w:t>
      </w:r>
      <w:r w:rsidRPr="000309B7">
        <w:rPr>
          <w:rFonts w:cs="Segoe UI"/>
          <w:szCs w:val="22"/>
          <w:lang w:val="sk-SK" w:bidi="bo-CN"/>
        </w:rPr>
        <w:lastRenderedPageBreak/>
        <w:t>predchádzajúceho roka.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Najmä v dôsledku výrazného zvýšenia cien priamych materiálových vstupov </w:t>
      </w:r>
      <w:r w:rsidRPr="000309B7">
        <w:rPr>
          <w:rFonts w:cs="Segoe UI"/>
          <w:b/>
          <w:bCs/>
          <w:szCs w:val="22"/>
          <w:lang w:val="sk-SK" w:bidi="bo-CN"/>
        </w:rPr>
        <w:t xml:space="preserve">upravená výnosnosť predaja </w:t>
      </w:r>
      <w:r w:rsidRPr="000309B7">
        <w:rPr>
          <w:rFonts w:cs="Segoe UI"/>
          <w:szCs w:val="22"/>
          <w:lang w:val="sk-SK" w:bidi="bo-CN"/>
        </w:rPr>
        <w:t>zaostala za úrovňou prvého polroka 2021 a dosiahla 9,0 %.</w:t>
      </w:r>
    </w:p>
    <w:p w14:paraId="2084C926" w14:textId="77777777" w:rsidR="00215E66" w:rsidRPr="000309B7" w:rsidRDefault="00215E66" w:rsidP="00215E66">
      <w:pPr>
        <w:spacing w:after="120"/>
        <w:rPr>
          <w:rFonts w:cs="Segoe UI"/>
          <w:b/>
          <w:bCs/>
          <w:szCs w:val="22"/>
          <w:lang w:val="sk-SK" w:eastAsia="de-DE"/>
        </w:rPr>
      </w:pPr>
    </w:p>
    <w:p w14:paraId="212569C2" w14:textId="77777777" w:rsidR="00215E66" w:rsidRPr="000309B7" w:rsidRDefault="00215E66" w:rsidP="00215E66">
      <w:pPr>
        <w:spacing w:after="120"/>
        <w:rPr>
          <w:rFonts w:cs="Segoe UI"/>
          <w:b/>
          <w:bCs/>
          <w:szCs w:val="22"/>
          <w:lang w:val="sk-SK" w:eastAsia="de-DE"/>
        </w:rPr>
      </w:pPr>
      <w:r w:rsidRPr="000309B7">
        <w:rPr>
          <w:rFonts w:cs="Segoe UI"/>
          <w:b/>
          <w:bCs/>
          <w:szCs w:val="22"/>
          <w:lang w:val="sk-SK" w:eastAsia="de-DE" w:bidi="bo-CN"/>
        </w:rPr>
        <w:t>Agenda zmysluplného rastu: dobrý pokrok v implementácii</w:t>
      </w:r>
    </w:p>
    <w:p w14:paraId="3356FEBC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 w:eastAsia="de-DE"/>
        </w:rPr>
      </w:pPr>
      <w:bookmarkStart w:id="3" w:name="_Hlk109204398"/>
      <w:r w:rsidRPr="000309B7">
        <w:rPr>
          <w:rFonts w:cs="Segoe UI"/>
          <w:szCs w:val="22"/>
          <w:lang w:val="sk-SK" w:eastAsia="de-DE" w:bidi="bo-CN"/>
        </w:rPr>
        <w:t>Spoločnosť Henkel presadzuje agendu zmysluplného rastu, na ktorej implementáciu vypracovala jasný strategický rámec.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Kľúčovými prvkami tohto strategického rámca sú úspešné portfólio, jednoznačná konkurenčná výhoda v oblastiach inovácií, udržateľnosti a digitalizácie, ako aj prevádzkové modely pripravené na budúcnosť, ktoré majú pevnú oporu v silnej firemnej kultúre.</w:t>
      </w:r>
      <w:r w:rsidRPr="000309B7">
        <w:rPr>
          <w:rFonts w:cs="Segoe UI"/>
          <w:szCs w:val="22"/>
          <w:lang w:val="sk-SK" w:eastAsia="de-DE"/>
        </w:rPr>
        <w:t xml:space="preserve"> </w:t>
      </w:r>
    </w:p>
    <w:p w14:paraId="2B77422C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 w:eastAsia="de-DE"/>
        </w:rPr>
      </w:pPr>
    </w:p>
    <w:p w14:paraId="19325D97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 w:eastAsia="de-DE"/>
        </w:rPr>
      </w:pPr>
      <w:r w:rsidRPr="000309B7">
        <w:rPr>
          <w:rFonts w:cs="Segoe UI"/>
          <w:szCs w:val="22"/>
          <w:lang w:val="sk-SK" w:eastAsia="de-DE" w:bidi="bo-CN"/>
        </w:rPr>
        <w:t>V prvom polroku 2022 spoločnosť Henkel pokračovala v implementácii svojej agendy a dosiahla výrazný pokrok vo všetkých jej kľúčových oblastiach.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 xml:space="preserve">Zlúčením divízií </w:t>
      </w:r>
      <w:proofErr w:type="spellStart"/>
      <w:r w:rsidRPr="000309B7">
        <w:rPr>
          <w:rFonts w:cs="Segoe UI"/>
          <w:szCs w:val="22"/>
          <w:lang w:val="sk-SK" w:eastAsia="de-DE" w:bidi="bo-CN"/>
        </w:rPr>
        <w:t>Laundry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&amp; Home </w:t>
      </w:r>
      <w:proofErr w:type="spellStart"/>
      <w:r w:rsidRPr="000309B7">
        <w:rPr>
          <w:rFonts w:cs="Segoe UI"/>
          <w:szCs w:val="22"/>
          <w:lang w:val="sk-SK" w:eastAsia="de-DE" w:bidi="bo-CN"/>
        </w:rPr>
        <w:t>Care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a </w:t>
      </w:r>
      <w:proofErr w:type="spellStart"/>
      <w:r w:rsidRPr="000309B7">
        <w:rPr>
          <w:rFonts w:cs="Segoe UI"/>
          <w:szCs w:val="22"/>
          <w:lang w:val="sk-SK" w:eastAsia="de-DE" w:bidi="bo-CN"/>
        </w:rPr>
        <w:t>Beauty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</w:t>
      </w:r>
      <w:proofErr w:type="spellStart"/>
      <w:r w:rsidRPr="000309B7">
        <w:rPr>
          <w:rFonts w:cs="Segoe UI"/>
          <w:szCs w:val="22"/>
          <w:lang w:val="sk-SK" w:eastAsia="de-DE" w:bidi="bo-CN"/>
        </w:rPr>
        <w:t>Care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do novej obchodnej divízie </w:t>
      </w:r>
      <w:r w:rsidRPr="000309B7">
        <w:rPr>
          <w:rFonts w:cs="Segoe UI"/>
          <w:b/>
          <w:bCs/>
          <w:szCs w:val="22"/>
          <w:lang w:val="sk-SK" w:eastAsia="de-DE" w:bidi="bo-CN"/>
        </w:rPr>
        <w:t xml:space="preserve">Henkel </w:t>
      </w:r>
      <w:proofErr w:type="spellStart"/>
      <w:r w:rsidRPr="000309B7">
        <w:rPr>
          <w:rFonts w:cs="Segoe UI"/>
          <w:b/>
          <w:bCs/>
          <w:szCs w:val="22"/>
          <w:lang w:val="sk-SK" w:eastAsia="de-DE" w:bidi="bo-CN"/>
        </w:rPr>
        <w:t>Consumer</w:t>
      </w:r>
      <w:proofErr w:type="spellEnd"/>
      <w:r w:rsidRPr="000309B7">
        <w:rPr>
          <w:rFonts w:cs="Segoe UI"/>
          <w:b/>
          <w:bCs/>
          <w:szCs w:val="22"/>
          <w:lang w:val="sk-SK" w:eastAsia="de-DE" w:bidi="bo-CN"/>
        </w:rPr>
        <w:t xml:space="preserve"> </w:t>
      </w:r>
      <w:proofErr w:type="spellStart"/>
      <w:r w:rsidRPr="000309B7">
        <w:rPr>
          <w:rFonts w:cs="Segoe UI"/>
          <w:b/>
          <w:bCs/>
          <w:szCs w:val="22"/>
          <w:lang w:val="sk-SK" w:eastAsia="de-DE" w:bidi="bo-CN"/>
        </w:rPr>
        <w:t>Brands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posunula svoju agendu pre zmysluplný rast na novú úroveň.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Štruktúru novej obchodnej divízie tvoria dva globálne segmenty – pracie a čistiace prostriedky pre domácnosť a vlasová kozmetika –, ktoré podporujú globálne funkcie, a štyri regióny.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Ostatné segmenty budú riadené na regionálnej úrovni.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Prvé štyri úrovne manažmentu sú už definované.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Na najväčšom trhu spoločnosti Henkel, USA, by malo byť nové organizačné usporiadanie plne funkčné už od septembra.</w:t>
      </w:r>
    </w:p>
    <w:bookmarkEnd w:id="3"/>
    <w:p w14:paraId="3C3D27E6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/>
        </w:rPr>
      </w:pPr>
    </w:p>
    <w:p w14:paraId="11306552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V rámci zlúčenia týchto dvoch spotrebiteľských segmentov a ako súčasť </w:t>
      </w:r>
      <w:r w:rsidRPr="000309B7">
        <w:rPr>
          <w:rFonts w:cs="Segoe UI"/>
          <w:b/>
          <w:bCs/>
          <w:szCs w:val="22"/>
          <w:lang w:val="sk-SK" w:bidi="bo-CN"/>
        </w:rPr>
        <w:t xml:space="preserve">aktívneho riadenia portfólia </w:t>
      </w:r>
      <w:r w:rsidRPr="000309B7">
        <w:rPr>
          <w:rFonts w:cs="Segoe UI"/>
          <w:szCs w:val="22"/>
          <w:lang w:val="sk-SK" w:bidi="bo-CN"/>
        </w:rPr>
        <w:t>sú v súčasnosti predmetom prehodnocovania obchodné aktivity a značky, ktorých celkový obrat predstavuje až 1 miliardu eur.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Súčasťou tohto postupu je aj odpredaj alebo zrušenie obchodných aktivít, ktoré nespĺňajú kritériá spoločnosti Henkel z hľadiska rastu a ziskovosti.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V prvom polroku 2022 spoločnosť Henkel už výrazne pokročila v odchode z niektorých segmentov spadajúcich pod divíziu </w:t>
      </w:r>
      <w:proofErr w:type="spellStart"/>
      <w:r w:rsidRPr="000309B7">
        <w:rPr>
          <w:rFonts w:cs="Segoe UI"/>
          <w:szCs w:val="22"/>
          <w:lang w:val="sk-SK" w:bidi="bo-CN"/>
        </w:rPr>
        <w:t>Beauty</w:t>
      </w:r>
      <w:proofErr w:type="spellEnd"/>
      <w:r w:rsidRPr="000309B7">
        <w:rPr>
          <w:rFonts w:cs="Segoe UI"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szCs w:val="22"/>
          <w:lang w:val="sk-SK" w:bidi="bo-CN"/>
        </w:rPr>
        <w:t>Care</w:t>
      </w:r>
      <w:proofErr w:type="spellEnd"/>
      <w:r w:rsidRPr="000309B7">
        <w:rPr>
          <w:rFonts w:cs="Segoe UI"/>
          <w:szCs w:val="22"/>
          <w:lang w:val="sk-SK" w:bidi="bo-CN"/>
        </w:rPr>
        <w:t>, ktoré nepovažuje za kľúčové.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Ide o súčasť portfóliových opatrení s objemom obratu okolo 200 mil. eur, ktoré by mali byť realizované do konca roka.</w:t>
      </w:r>
    </w:p>
    <w:p w14:paraId="08ABA833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bookmarkStart w:id="4" w:name="_Hlk109204760"/>
    </w:p>
    <w:p w14:paraId="3C6062DA" w14:textId="77777777" w:rsidR="00215E66" w:rsidRPr="000309B7" w:rsidRDefault="00215E66" w:rsidP="00215E66">
      <w:pPr>
        <w:rPr>
          <w:rFonts w:cs="Segoe UI"/>
          <w:szCs w:val="22"/>
          <w:lang w:val="sk-SK"/>
        </w:rPr>
      </w:pPr>
      <w:r w:rsidRPr="000309B7">
        <w:rPr>
          <w:rFonts w:cs="Segoe UI"/>
          <w:szCs w:val="22"/>
          <w:lang w:val="sk-SK" w:bidi="bo-CN"/>
        </w:rPr>
        <w:t xml:space="preserve">Spoločnosť Henkel ďalej posilnila svoje portfólio prostredníctvom </w:t>
      </w:r>
      <w:r w:rsidRPr="000309B7">
        <w:rPr>
          <w:rFonts w:cs="Segoe UI"/>
          <w:b/>
          <w:bCs/>
          <w:szCs w:val="22"/>
          <w:lang w:val="sk-SK" w:bidi="bo-CN"/>
        </w:rPr>
        <w:t>akvizícií.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 xml:space="preserve">V júli 2022 dokončila akvizíciu </w:t>
      </w:r>
      <w:proofErr w:type="spellStart"/>
      <w:r w:rsidRPr="000309B7">
        <w:rPr>
          <w:rFonts w:cs="Segoe UI"/>
          <w:szCs w:val="22"/>
          <w:lang w:val="sk-SK" w:bidi="bo-CN"/>
        </w:rPr>
        <w:t>Shiseido‘s</w:t>
      </w:r>
      <w:proofErr w:type="spellEnd"/>
      <w:r w:rsidRPr="000309B7">
        <w:rPr>
          <w:rFonts w:cs="Segoe UI"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szCs w:val="22"/>
          <w:lang w:val="sk-SK" w:bidi="bo-CN"/>
        </w:rPr>
        <w:t>Hair</w:t>
      </w:r>
      <w:proofErr w:type="spellEnd"/>
      <w:r w:rsidRPr="000309B7">
        <w:rPr>
          <w:rFonts w:cs="Segoe UI"/>
          <w:szCs w:val="22"/>
          <w:lang w:val="sk-SK" w:bidi="bo-CN"/>
        </w:rPr>
        <w:t xml:space="preserve"> Professional v ázijsko-pacifickom regióne,</w:t>
      </w:r>
      <w:r w:rsidRPr="000309B7">
        <w:rPr>
          <w:rFonts w:cs="Segoe UI"/>
          <w:szCs w:val="22"/>
          <w:lang w:val="sk-SK"/>
        </w:rPr>
        <w:t xml:space="preserve"> </w:t>
      </w:r>
      <w:r w:rsidRPr="000309B7">
        <w:rPr>
          <w:rFonts w:cs="Segoe UI"/>
          <w:szCs w:val="22"/>
          <w:lang w:val="sk-SK" w:bidi="bo-CN"/>
        </w:rPr>
        <w:t>čím sa dostala na delené 2. miesto v celosvetovom segmente profesionálnej vlasovej kozmetiky.</w:t>
      </w:r>
      <w:r w:rsidRPr="000309B7">
        <w:rPr>
          <w:rFonts w:cs="Segoe UI"/>
          <w:szCs w:val="22"/>
          <w:lang w:val="sk-SK"/>
        </w:rPr>
        <w:t xml:space="preserve"> </w:t>
      </w:r>
    </w:p>
    <w:bookmarkEnd w:id="4"/>
    <w:p w14:paraId="58BD131F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szCs w:val="22"/>
          <w:lang w:val="sk-SK"/>
        </w:rPr>
      </w:pPr>
    </w:p>
    <w:p w14:paraId="68936281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 w:rsidRPr="000309B7">
        <w:rPr>
          <w:rFonts w:cs="Segoe UI"/>
          <w:bCs/>
          <w:szCs w:val="22"/>
          <w:lang w:val="sk-SK" w:bidi="bo-CN"/>
        </w:rPr>
        <w:t xml:space="preserve">Na posilnenie svojej </w:t>
      </w:r>
      <w:r w:rsidRPr="000309B7">
        <w:rPr>
          <w:rFonts w:cs="Segoe UI"/>
          <w:b/>
          <w:szCs w:val="22"/>
          <w:lang w:val="sk-SK" w:bidi="bo-CN"/>
        </w:rPr>
        <w:t>konkurencieschopnosti</w:t>
      </w:r>
      <w:r w:rsidRPr="000309B7">
        <w:rPr>
          <w:rFonts w:cs="Segoe UI"/>
          <w:bCs/>
          <w:szCs w:val="22"/>
          <w:lang w:val="sk-SK" w:bidi="bo-CN"/>
        </w:rPr>
        <w:t xml:space="preserve"> a odlíšenie sa od konkurencie sa spoločnosť Henkel zamerala aj na ďalšie zrýchľovanie </w:t>
      </w:r>
      <w:r w:rsidRPr="000309B7">
        <w:rPr>
          <w:rFonts w:cs="Segoe UI"/>
          <w:b/>
          <w:szCs w:val="22"/>
          <w:lang w:val="sk-SK" w:bidi="bo-CN"/>
        </w:rPr>
        <w:t>inovácií</w:t>
      </w:r>
      <w:r w:rsidRPr="000309B7">
        <w:rPr>
          <w:rFonts w:cs="Segoe UI"/>
          <w:bCs/>
          <w:szCs w:val="22"/>
          <w:lang w:val="sk-SK" w:bidi="bo-CN"/>
        </w:rPr>
        <w:t xml:space="preserve">, podporu </w:t>
      </w:r>
      <w:r w:rsidRPr="000309B7">
        <w:rPr>
          <w:rFonts w:cs="Segoe UI"/>
          <w:b/>
          <w:szCs w:val="22"/>
          <w:lang w:val="sk-SK" w:bidi="bo-CN"/>
        </w:rPr>
        <w:t>udržateľnosti</w:t>
      </w:r>
      <w:r w:rsidRPr="000309B7">
        <w:rPr>
          <w:rFonts w:cs="Segoe UI"/>
          <w:bCs/>
          <w:szCs w:val="22"/>
          <w:lang w:val="sk-SK" w:bidi="bo-CN"/>
        </w:rPr>
        <w:t xml:space="preserve"> a  tvorbu vyššej pridanej hodnoty pre svojich zákazníkov a spotrebiteľov prostredníctvom </w:t>
      </w:r>
      <w:r w:rsidRPr="000309B7">
        <w:rPr>
          <w:rFonts w:cs="Segoe UI"/>
          <w:b/>
          <w:szCs w:val="22"/>
          <w:lang w:val="sk-SK" w:bidi="bo-CN"/>
        </w:rPr>
        <w:t>digitalizácie</w:t>
      </w:r>
      <w:r w:rsidRPr="000309B7">
        <w:rPr>
          <w:rFonts w:cs="Segoe UI"/>
          <w:bCs/>
          <w:szCs w:val="22"/>
          <w:lang w:val="sk-SK" w:bidi="bo-CN"/>
        </w:rPr>
        <w:t>.</w:t>
      </w:r>
    </w:p>
    <w:p w14:paraId="7936CB52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46230E89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 w:rsidRPr="000309B7">
        <w:rPr>
          <w:rFonts w:cs="Segoe UI"/>
          <w:bCs/>
          <w:szCs w:val="22"/>
          <w:lang w:val="sk-SK" w:bidi="bo-CN"/>
        </w:rPr>
        <w:lastRenderedPageBreak/>
        <w:t xml:space="preserve">Kľúčovým pilierom stratégie spoločnosti Henkel je jednoznačná diferenciácia na trhu prostredníctvom úspešných </w:t>
      </w:r>
      <w:r w:rsidRPr="000309B7">
        <w:rPr>
          <w:rFonts w:cs="Segoe UI"/>
          <w:b/>
          <w:szCs w:val="22"/>
          <w:lang w:val="sk-SK" w:bidi="bo-CN"/>
        </w:rPr>
        <w:t>inovácií</w:t>
      </w:r>
      <w:r w:rsidRPr="000309B7">
        <w:rPr>
          <w:rFonts w:cs="Segoe UI"/>
          <w:bCs/>
          <w:szCs w:val="22"/>
          <w:lang w:val="sk-SK" w:bidi="bo-CN"/>
        </w:rPr>
        <w:t>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S ich podporou bol v prvej polovici roka dosiahnutý značný rast.</w:t>
      </w:r>
      <w:r w:rsidRPr="000309B7">
        <w:rPr>
          <w:rFonts w:cs="Segoe UI"/>
          <w:bCs/>
          <w:szCs w:val="22"/>
          <w:lang w:val="sk-SK"/>
        </w:rPr>
        <w:t xml:space="preserve"> </w:t>
      </w:r>
      <w:bookmarkStart w:id="5" w:name="_Hlk109382178"/>
      <w:r w:rsidRPr="000309B7">
        <w:rPr>
          <w:rFonts w:cs="Segoe UI"/>
          <w:bCs/>
          <w:szCs w:val="22"/>
          <w:lang w:val="sk-SK" w:bidi="bo-CN"/>
        </w:rPr>
        <w:t xml:space="preserve">Napríklad v rámci divízie </w:t>
      </w:r>
      <w:proofErr w:type="spellStart"/>
      <w:r w:rsidRPr="000309B7">
        <w:rPr>
          <w:rFonts w:cs="Segoe UI"/>
          <w:b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Technologies spoločnosť Henkel vyvinula nové protipožiarne nátery pre batérie elektromobilov.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Nové nátery nielen zvyšujú bezpečnosť cestujúcich, ale zákazníkom z automobilového priemyslu umožňujú zvýšiť nákladovú efektivitu svojej výroby.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 xml:space="preserve">V segmente vlasovej kozmetiky spoločnosť Henkel obnovila značku </w:t>
      </w:r>
      <w:proofErr w:type="spellStart"/>
      <w:r w:rsidRPr="000309B7">
        <w:rPr>
          <w:rFonts w:cs="Segoe UI"/>
          <w:bCs/>
          <w:szCs w:val="22"/>
          <w:lang w:val="sk-SK" w:bidi="bo-CN"/>
        </w:rPr>
        <w:t>Schauma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s novým dizajnom udržateľného obalu s obsahom 50 až 100 % recyklovaných plastov.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 xml:space="preserve">Divízia </w:t>
      </w:r>
      <w:proofErr w:type="spellStart"/>
      <w:r w:rsidRPr="000309B7">
        <w:rPr>
          <w:rFonts w:cs="Segoe UI"/>
          <w:bCs/>
          <w:szCs w:val="22"/>
          <w:lang w:val="sk-SK" w:bidi="bo-CN"/>
        </w:rPr>
        <w:t>Laundry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&amp; Home </w:t>
      </w:r>
      <w:proofErr w:type="spellStart"/>
      <w:r w:rsidRPr="000309B7">
        <w:rPr>
          <w:rFonts w:cs="Segoe UI"/>
          <w:bCs/>
          <w:szCs w:val="22"/>
          <w:lang w:val="sk-SK" w:bidi="bo-CN"/>
        </w:rPr>
        <w:t>Care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dosiahla dvojciferný rast a získala ďalšie trhové podiely pre značku </w:t>
      </w:r>
      <w:proofErr w:type="spellStart"/>
      <w:r w:rsidRPr="000309B7">
        <w:rPr>
          <w:rFonts w:cs="Segoe UI"/>
          <w:bCs/>
          <w:szCs w:val="22"/>
          <w:lang w:val="sk-SK" w:bidi="bo-CN"/>
        </w:rPr>
        <w:t>Persil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vďaka podpore rozšírenia radu udržateľných produktov pripravených na predaj digitálnymi kanálmi.</w:t>
      </w:r>
    </w:p>
    <w:bookmarkEnd w:id="5"/>
    <w:p w14:paraId="49F18073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/>
          <w:szCs w:val="22"/>
          <w:lang w:val="sk-SK"/>
        </w:rPr>
      </w:pPr>
    </w:p>
    <w:p w14:paraId="50D99E15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 w:rsidRPr="000309B7">
        <w:rPr>
          <w:rFonts w:cs="Segoe UI"/>
          <w:b/>
          <w:szCs w:val="22"/>
          <w:lang w:val="sk-SK" w:bidi="bo-CN"/>
        </w:rPr>
        <w:t xml:space="preserve">Udržateľnosť </w:t>
      </w:r>
      <w:r w:rsidRPr="000309B7">
        <w:rPr>
          <w:rFonts w:cs="Segoe UI"/>
          <w:bCs/>
          <w:szCs w:val="22"/>
          <w:lang w:val="sk-SK" w:bidi="bo-CN"/>
        </w:rPr>
        <w:t>je dlhodobo jednou z najsilnejších stránok spoločnosti Henkel.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 xml:space="preserve">V reakcii na rastúcu dôležitosť udržateľného riadenia a zvyšujúce sa očakávania zákazníkov a verejnosti spoločnosť Henkel posilnila svoju dlhodobú stratégiu v oblasti udržateľnosti zavedením nového rámca pod názvom „2030+ </w:t>
      </w:r>
      <w:proofErr w:type="spellStart"/>
      <w:r w:rsidRPr="000309B7">
        <w:rPr>
          <w:rFonts w:cs="Segoe UI"/>
          <w:bCs/>
          <w:szCs w:val="22"/>
          <w:lang w:val="sk-SK" w:bidi="bo-CN"/>
        </w:rPr>
        <w:t>Sustainability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Cs/>
          <w:szCs w:val="22"/>
          <w:lang w:val="sk-SK" w:bidi="bo-CN"/>
        </w:rPr>
        <w:t>Ambition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</w:t>
      </w:r>
      <w:proofErr w:type="spellStart"/>
      <w:r w:rsidRPr="000309B7">
        <w:rPr>
          <w:rFonts w:cs="Segoe UI"/>
          <w:bCs/>
          <w:szCs w:val="22"/>
          <w:lang w:val="sk-SK" w:bidi="bo-CN"/>
        </w:rPr>
        <w:t>Framework</w:t>
      </w:r>
      <w:proofErr w:type="spellEnd"/>
      <w:r w:rsidRPr="000309B7">
        <w:rPr>
          <w:rFonts w:cs="Segoe UI"/>
          <w:bCs/>
          <w:szCs w:val="22"/>
          <w:lang w:val="sk-SK" w:bidi="bo-CN"/>
        </w:rPr>
        <w:t>“ začiatkom tohto roka.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Na doplnenie existujúcich cieľov si stanovila nové dlhodobé ambiciózne ciele, ktoré majú prispieť k ďalšiemu pokroku v troch oblastiach: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„Regenerujúca planéta“, „Prosperujúce komunity“ a „Dôveryhodný partner“.</w:t>
      </w:r>
    </w:p>
    <w:p w14:paraId="47927175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color w:val="000000"/>
          <w:shd w:val="clear" w:color="auto" w:fill="FFFFFF"/>
          <w:lang w:val="sk-SK"/>
        </w:rPr>
      </w:pPr>
    </w:p>
    <w:p w14:paraId="58176993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bookmarkStart w:id="6" w:name="_Hlk109206660"/>
      <w:r w:rsidRPr="000309B7">
        <w:rPr>
          <w:rFonts w:cs="Segoe UI"/>
          <w:bCs/>
          <w:szCs w:val="22"/>
          <w:lang w:val="sk-SK" w:bidi="bo-CN"/>
        </w:rPr>
        <w:t>Spoločnosť Henkel dosiahla ďalší pokrok v oblasti trvalej udržateľnosti v prvom polroku 2022.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Pri plnení cieľa dosiahnuť do roku 2030 klimaticky pozitívnu rovnováhu CO2 vo výrobných prevádzkach prešli napríklad tri ďalšie európske prevádzky na používanie 100 % uhlíkovo neutrálnej energie.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Okrem toho spoločnosť Henkel neustále a konzistentne zvyšuje používanie surovín z obnoviteľných zdrojov.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Vďaka partnerstvu so spoločnosťou BASF bolo približne 110 000 ton fosílnych materiálov nahradených materiálmi z obnoviteľných zdrojov.</w:t>
      </w:r>
    </w:p>
    <w:p w14:paraId="1539FE9A" w14:textId="77777777" w:rsidR="00215E66" w:rsidRPr="000309B7" w:rsidRDefault="00215E66" w:rsidP="00215E66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bookmarkEnd w:id="6"/>
    <w:p w14:paraId="6CE91762" w14:textId="189313B5" w:rsidR="00215E66" w:rsidRPr="000309B7" w:rsidRDefault="00215E66" w:rsidP="00215E66">
      <w:pPr>
        <w:rPr>
          <w:rFonts w:cs="Segoe UI"/>
          <w:bCs/>
          <w:szCs w:val="22"/>
          <w:lang w:val="sk-SK"/>
        </w:rPr>
      </w:pPr>
      <w:r w:rsidRPr="000309B7">
        <w:rPr>
          <w:rFonts w:cs="Segoe UI"/>
          <w:szCs w:val="22"/>
          <w:lang w:val="sk-SK" w:eastAsia="de-DE" w:bidi="bo-CN"/>
        </w:rPr>
        <w:t xml:space="preserve">Popri inováciách a udržateľnosti je </w:t>
      </w:r>
      <w:r w:rsidRPr="000309B7">
        <w:rPr>
          <w:rFonts w:cs="Segoe UI"/>
          <w:b/>
          <w:bCs/>
          <w:szCs w:val="22"/>
          <w:lang w:val="sk-SK" w:eastAsia="de-DE" w:bidi="bo-CN"/>
        </w:rPr>
        <w:t>digitalizácia</w:t>
      </w:r>
      <w:r w:rsidRPr="000309B7">
        <w:rPr>
          <w:rFonts w:cs="Segoe UI"/>
          <w:szCs w:val="22"/>
          <w:lang w:val="sk-SK" w:eastAsia="de-DE" w:bidi="bo-CN"/>
        </w:rPr>
        <w:t xml:space="preserve"> ďalším kľúčovým faktorom na zvýšenie konkurencieschopnosti spoločnosti Henkel.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>Podiel obratu generovaného prostredníctvom digitálnych kanálov zaznamenal v prvom polroku dvojciferný rast a dosiahol viac než 20 %.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szCs w:val="22"/>
          <w:lang w:val="sk-SK" w:eastAsia="de-DE" w:bidi="bo-CN"/>
        </w:rPr>
        <w:t xml:space="preserve">Digitálna obchodná platforma divízie </w:t>
      </w:r>
      <w:proofErr w:type="spellStart"/>
      <w:r w:rsidRPr="000309B7">
        <w:rPr>
          <w:rFonts w:cs="Segoe UI"/>
          <w:bCs/>
          <w:szCs w:val="22"/>
          <w:lang w:val="sk-SK" w:bidi="bo-CN"/>
        </w:rPr>
        <w:t>Adhesive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Technologies dosiahla v prvom polroku dvojciferný rast.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Vďaka rozšírenej ponuke značiek a výrobkov zaznamenal dvojciferný rast aj e-</w:t>
      </w:r>
      <w:proofErr w:type="spellStart"/>
      <w:r w:rsidRPr="000309B7">
        <w:rPr>
          <w:rFonts w:cs="Segoe UI"/>
          <w:bCs/>
          <w:szCs w:val="22"/>
          <w:lang w:val="sk-SK" w:bidi="bo-CN"/>
        </w:rPr>
        <w:t>shop</w:t>
      </w:r>
      <w:proofErr w:type="spellEnd"/>
      <w:r w:rsidRPr="000309B7">
        <w:rPr>
          <w:rFonts w:cs="Segoe UI"/>
          <w:bCs/>
          <w:szCs w:val="22"/>
          <w:lang w:val="sk-SK" w:bidi="bo-CN"/>
        </w:rPr>
        <w:t xml:space="preserve"> s profesionálnou vlasovou kozmetikou.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Spoločnosť Henkel okrem toho ďalej rozširuje aj svoju digitálnu ponuku výrobkov v segmente pracích a čistiacich prostriedkov pre domácnosť,</w:t>
      </w:r>
      <w:r w:rsidRPr="000309B7">
        <w:rPr>
          <w:rFonts w:cs="Segoe UI"/>
          <w:bCs/>
          <w:szCs w:val="22"/>
          <w:lang w:val="sk-SK"/>
        </w:rPr>
        <w:t xml:space="preserve"> </w:t>
      </w:r>
      <w:r w:rsidRPr="000309B7">
        <w:rPr>
          <w:rFonts w:cs="Segoe UI"/>
          <w:bCs/>
          <w:szCs w:val="22"/>
          <w:lang w:val="sk-SK" w:bidi="bo-CN"/>
        </w:rPr>
        <w:t>k čomu prispieva nová integrovaná technická platform</w:t>
      </w:r>
      <w:r w:rsidR="00ED7C52" w:rsidRPr="000309B7">
        <w:rPr>
          <w:rFonts w:cs="Segoe UI"/>
          <w:bCs/>
          <w:szCs w:val="22"/>
          <w:lang w:val="sk-SK" w:bidi="bo-CN"/>
        </w:rPr>
        <w:t>a</w:t>
      </w:r>
      <w:r w:rsidRPr="000309B7">
        <w:rPr>
          <w:rFonts w:cs="Segoe UI"/>
          <w:bCs/>
          <w:szCs w:val="22"/>
          <w:lang w:val="sk-SK" w:bidi="bo-CN"/>
        </w:rPr>
        <w:t xml:space="preserve"> RAQN.</w:t>
      </w:r>
    </w:p>
    <w:p w14:paraId="453308B5" w14:textId="77777777" w:rsidR="00215E66" w:rsidRPr="000309B7" w:rsidRDefault="00215E66" w:rsidP="00215E66">
      <w:pPr>
        <w:rPr>
          <w:rFonts w:cs="Segoe UI"/>
          <w:szCs w:val="22"/>
          <w:lang w:val="sk-SK" w:eastAsia="de-DE"/>
        </w:rPr>
      </w:pPr>
    </w:p>
    <w:p w14:paraId="51E1D634" w14:textId="77777777" w:rsidR="00215E66" w:rsidRPr="000309B7" w:rsidRDefault="00215E66" w:rsidP="00215E66">
      <w:pPr>
        <w:rPr>
          <w:rStyle w:val="AboutandContactHeadline"/>
          <w:rFonts w:asciiTheme="majorHAnsi" w:hAnsiTheme="majorHAnsi" w:cstheme="majorHAnsi"/>
          <w:b w:val="0"/>
          <w:sz w:val="22"/>
          <w:lang w:val="sk-SK"/>
        </w:rPr>
      </w:pPr>
      <w:bookmarkStart w:id="7" w:name="_Hlk109386180"/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 w:bidi="bo-CN"/>
        </w:rPr>
        <w:t xml:space="preserve">Dôležitými prvkami strategického rámca spoločnosti Henkel sú štíhle a rýchle </w:t>
      </w:r>
      <w:r w:rsidRPr="000309B7">
        <w:rPr>
          <w:rStyle w:val="AboutandContactHeadline"/>
          <w:rFonts w:asciiTheme="majorHAnsi" w:hAnsiTheme="majorHAnsi" w:cstheme="majorHAnsi"/>
          <w:bCs w:val="0"/>
          <w:sz w:val="22"/>
          <w:lang w:val="sk-SK" w:bidi="bo-CN"/>
        </w:rPr>
        <w:t>prevádzkové modely pripravené na budúcnosť</w:t>
      </w:r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 w:bidi="bo-CN"/>
        </w:rPr>
        <w:t>.</w:t>
      </w:r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/>
        </w:rPr>
        <w:t xml:space="preserve"> </w:t>
      </w:r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 w:bidi="bo-CN"/>
        </w:rPr>
        <w:t xml:space="preserve">Spoločnosť Henkel pokračuje v zmenách, ktoré spustila už </w:t>
      </w:r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 w:bidi="bo-CN"/>
        </w:rPr>
        <w:lastRenderedPageBreak/>
        <w:t>v roku 2020: digitálna divízia Henkel dx disponuje vysoko efektívnymi štruktúrami, ktoré umožňujú zvýšiť investície do IT projektov pri stabilných nákladoch.</w:t>
      </w:r>
      <w:r w:rsidRPr="000309B7">
        <w:rPr>
          <w:rStyle w:val="AboutandContactHeadline"/>
          <w:rFonts w:asciiTheme="majorHAnsi" w:hAnsiTheme="majorHAnsi" w:cstheme="majorHAnsi"/>
          <w:b w:val="0"/>
          <w:sz w:val="22"/>
          <w:lang w:val="sk-SK"/>
        </w:rPr>
        <w:t xml:space="preserve"> </w:t>
      </w:r>
    </w:p>
    <w:p w14:paraId="5FE3698C" w14:textId="77777777" w:rsidR="00215E66" w:rsidRPr="000309B7" w:rsidRDefault="00215E66" w:rsidP="00215E66">
      <w:pPr>
        <w:rPr>
          <w:rStyle w:val="AboutandContactHeadline"/>
          <w:rFonts w:asciiTheme="majorHAnsi" w:hAnsiTheme="majorHAnsi" w:cstheme="majorHAnsi"/>
          <w:b w:val="0"/>
          <w:sz w:val="22"/>
          <w:lang w:val="sk-SK"/>
        </w:rPr>
      </w:pPr>
    </w:p>
    <w:p w14:paraId="325505D7" w14:textId="77777777" w:rsidR="00215E66" w:rsidRPr="000309B7" w:rsidRDefault="00215E66" w:rsidP="00215E66">
      <w:pPr>
        <w:rPr>
          <w:rFonts w:cs="Segoe UI"/>
          <w:szCs w:val="22"/>
          <w:lang w:val="sk-SK" w:eastAsia="de-DE"/>
        </w:rPr>
      </w:pPr>
      <w:bookmarkStart w:id="8" w:name="_Hlk109386825"/>
      <w:bookmarkEnd w:id="7"/>
      <w:r w:rsidRPr="000309B7">
        <w:rPr>
          <w:rFonts w:cs="Segoe UI"/>
          <w:shd w:val="clear" w:color="auto" w:fill="FFFFFF"/>
          <w:lang w:val="sk-SK" w:bidi="bo-CN"/>
        </w:rPr>
        <w:t xml:space="preserve">Rozvíjanie firemnej kultúry spoločnosti Henkel a zrýchľovanie </w:t>
      </w:r>
      <w:r w:rsidRPr="000309B7">
        <w:rPr>
          <w:rFonts w:cs="Segoe UI"/>
          <w:b/>
          <w:bCs/>
          <w:shd w:val="clear" w:color="auto" w:fill="FFFFFF"/>
          <w:lang w:val="sk-SK" w:bidi="bo-CN"/>
        </w:rPr>
        <w:t>kultúrnej transformácie</w:t>
      </w:r>
      <w:r w:rsidRPr="000309B7">
        <w:rPr>
          <w:rFonts w:cs="Segoe UI"/>
          <w:shd w:val="clear" w:color="auto" w:fill="FFFFFF"/>
          <w:lang w:val="sk-SK" w:bidi="bo-CN"/>
        </w:rPr>
        <w:t xml:space="preserve"> sú ďalšími kľúčovými prvkami agendy zmysluplného rastu.</w:t>
      </w:r>
      <w:r w:rsidRPr="000309B7">
        <w:rPr>
          <w:rFonts w:cs="Segoe UI"/>
          <w:color w:val="000000"/>
          <w:shd w:val="clear" w:color="auto" w:fill="FFFFFF"/>
          <w:lang w:val="sk-SK"/>
        </w:rPr>
        <w:t xml:space="preserve"> </w:t>
      </w:r>
      <w:r w:rsidRPr="000309B7">
        <w:rPr>
          <w:rFonts w:cs="Segoe UI"/>
          <w:shd w:val="clear" w:color="auto" w:fill="FFFFFF"/>
          <w:lang w:val="sk-SK" w:bidi="bo-CN"/>
        </w:rPr>
        <w:t>Spoločnosť sa snaží posilniť kultúru spolupráce.</w:t>
      </w:r>
      <w:r w:rsidRPr="000309B7">
        <w:rPr>
          <w:rFonts w:cs="Segoe UI"/>
          <w:color w:val="000000"/>
          <w:shd w:val="clear" w:color="auto" w:fill="FFFFFF"/>
          <w:lang w:val="sk-SK"/>
        </w:rPr>
        <w:t xml:space="preserve"> </w:t>
      </w:r>
      <w:r w:rsidRPr="000309B7">
        <w:rPr>
          <w:rFonts w:cs="Segoe UI"/>
          <w:shd w:val="clear" w:color="auto" w:fill="FFFFFF"/>
          <w:lang w:val="sk-SK" w:bidi="bo-CN"/>
        </w:rPr>
        <w:t>V prvej polovici roka pokračovala v zavádzaní celého súboru opatrení na dosiahnutie tohto cieľa a posilnenie postavenia zamestnancov.</w:t>
      </w:r>
    </w:p>
    <w:p w14:paraId="02CDC4C1" w14:textId="77777777" w:rsidR="00215E66" w:rsidRPr="000309B7" w:rsidRDefault="00215E66" w:rsidP="00215E66">
      <w:pPr>
        <w:rPr>
          <w:lang w:val="sk-SK"/>
        </w:rPr>
      </w:pPr>
    </w:p>
    <w:p w14:paraId="2B01C3B5" w14:textId="77777777" w:rsidR="00215E66" w:rsidRPr="000309B7" w:rsidRDefault="00215E66" w:rsidP="00215E66">
      <w:pPr>
        <w:rPr>
          <w:lang w:val="sk-SK"/>
        </w:rPr>
      </w:pPr>
      <w:r w:rsidRPr="000309B7">
        <w:rPr>
          <w:lang w:val="sk-SK" w:bidi="bo-CN"/>
        </w:rPr>
        <w:t xml:space="preserve">V súvislosti so zlúčením obchodných divízií </w:t>
      </w:r>
      <w:proofErr w:type="spellStart"/>
      <w:r w:rsidRPr="000309B7">
        <w:rPr>
          <w:lang w:val="sk-SK" w:bidi="bo-CN"/>
        </w:rPr>
        <w:t>Laundry</w:t>
      </w:r>
      <w:proofErr w:type="spellEnd"/>
      <w:r w:rsidRPr="000309B7">
        <w:rPr>
          <w:lang w:val="sk-SK" w:bidi="bo-CN"/>
        </w:rPr>
        <w:t xml:space="preserve"> &amp; Home </w:t>
      </w:r>
      <w:proofErr w:type="spellStart"/>
      <w:r w:rsidRPr="000309B7">
        <w:rPr>
          <w:lang w:val="sk-SK" w:bidi="bo-CN"/>
        </w:rPr>
        <w:t>Care</w:t>
      </w:r>
      <w:proofErr w:type="spellEnd"/>
      <w:r w:rsidRPr="000309B7">
        <w:rPr>
          <w:lang w:val="sk-SK" w:bidi="bo-CN"/>
        </w:rPr>
        <w:t xml:space="preserve"> a </w:t>
      </w:r>
      <w:proofErr w:type="spellStart"/>
      <w:r w:rsidRPr="000309B7">
        <w:rPr>
          <w:lang w:val="sk-SK" w:bidi="bo-CN"/>
        </w:rPr>
        <w:t>Beauty</w:t>
      </w:r>
      <w:proofErr w:type="spellEnd"/>
      <w:r w:rsidRPr="000309B7">
        <w:rPr>
          <w:lang w:val="sk-SK" w:bidi="bo-CN"/>
        </w:rPr>
        <w:t xml:space="preserve"> </w:t>
      </w:r>
      <w:proofErr w:type="spellStart"/>
      <w:r w:rsidRPr="000309B7">
        <w:rPr>
          <w:lang w:val="sk-SK" w:bidi="bo-CN"/>
        </w:rPr>
        <w:t>Care</w:t>
      </w:r>
      <w:proofErr w:type="spellEnd"/>
      <w:r w:rsidRPr="000309B7">
        <w:rPr>
          <w:lang w:val="sk-SK" w:bidi="bo-CN"/>
        </w:rPr>
        <w:t xml:space="preserve"> napríklad zaviedla komplexný program manažmentu zmien.</w:t>
      </w:r>
      <w:r w:rsidRPr="000309B7">
        <w:rPr>
          <w:lang w:val="sk-SK"/>
        </w:rPr>
        <w:t xml:space="preserve"> </w:t>
      </w:r>
      <w:r w:rsidRPr="000309B7">
        <w:rPr>
          <w:lang w:val="sk-SK" w:bidi="bo-CN"/>
        </w:rPr>
        <w:t>Program sa zameriava na zvýšenie zručností a transformáciu tímov.</w:t>
      </w:r>
      <w:r w:rsidRPr="000309B7">
        <w:rPr>
          <w:lang w:val="sk-SK"/>
        </w:rPr>
        <w:t xml:space="preserve"> </w:t>
      </w:r>
      <w:r w:rsidRPr="000309B7">
        <w:rPr>
          <w:lang w:val="sk-SK" w:bidi="bo-CN"/>
        </w:rPr>
        <w:t>Na dosiahnutie rodovej rovnosti na všetkých úrovniach riadenia do roku 2025 spoločnosť Henkel prijala ďalšie konkrétne opatrenia a spustila iniciatívy ako Týždeň rozmanitosti, rovnosti a inklúzie.</w:t>
      </w:r>
      <w:r w:rsidRPr="000309B7">
        <w:rPr>
          <w:lang w:val="sk-SK"/>
        </w:rPr>
        <w:t xml:space="preserve"> </w:t>
      </w:r>
      <w:r w:rsidRPr="000309B7">
        <w:rPr>
          <w:lang w:val="sk-SK" w:bidi="bo-CN"/>
        </w:rPr>
        <w:t>V súlade s konceptom „</w:t>
      </w:r>
      <w:proofErr w:type="spellStart"/>
      <w:r w:rsidRPr="000309B7">
        <w:rPr>
          <w:lang w:val="sk-SK" w:bidi="bo-CN"/>
        </w:rPr>
        <w:t>Smart</w:t>
      </w:r>
      <w:proofErr w:type="spellEnd"/>
      <w:r w:rsidRPr="000309B7">
        <w:rPr>
          <w:lang w:val="sk-SK" w:bidi="bo-CN"/>
        </w:rPr>
        <w:t xml:space="preserve"> </w:t>
      </w:r>
      <w:proofErr w:type="spellStart"/>
      <w:r w:rsidRPr="000309B7">
        <w:rPr>
          <w:lang w:val="sk-SK" w:bidi="bo-CN"/>
        </w:rPr>
        <w:t>Work</w:t>
      </w:r>
      <w:proofErr w:type="spellEnd"/>
      <w:r w:rsidRPr="000309B7">
        <w:rPr>
          <w:lang w:val="sk-SK" w:bidi="bo-CN"/>
        </w:rPr>
        <w:t>“ sa zaviedli nové iniciatívy zamerané na duševné zdravie a duševnú pohodu zamestnancov.</w:t>
      </w:r>
    </w:p>
    <w:bookmarkEnd w:id="8"/>
    <w:p w14:paraId="7DBDB4F1" w14:textId="77777777" w:rsidR="00215E66" w:rsidRPr="000309B7" w:rsidRDefault="00215E66" w:rsidP="00215E66">
      <w:pPr>
        <w:rPr>
          <w:rFonts w:cs="Segoe UI"/>
          <w:szCs w:val="22"/>
          <w:lang w:val="sk-SK" w:eastAsia="de-DE"/>
        </w:rPr>
      </w:pPr>
    </w:p>
    <w:p w14:paraId="71D38F9D" w14:textId="77777777" w:rsidR="00215E66" w:rsidRPr="000309B7" w:rsidRDefault="00215E66" w:rsidP="00215E66">
      <w:pPr>
        <w:rPr>
          <w:rFonts w:cs="Segoe UI"/>
          <w:szCs w:val="22"/>
          <w:lang w:val="sk-SK" w:eastAsia="de-DE"/>
        </w:rPr>
      </w:pPr>
      <w:r w:rsidRPr="000309B7">
        <w:rPr>
          <w:rFonts w:cs="Segoe UI"/>
          <w:i/>
          <w:iCs/>
          <w:szCs w:val="22"/>
          <w:lang w:val="sk-SK" w:eastAsia="de-DE" w:bidi="bo-CN"/>
        </w:rPr>
        <w:t xml:space="preserve"> „Napriek tomu, že čelíme dôsledkom pandémie ochorenia COVID aj vojne na Ukrajine, v prvom polroku sa nám podarilo výrazne zvýšiť náš organický aj vykázaný obrat.</w:t>
      </w:r>
      <w:r w:rsidRPr="000309B7">
        <w:rPr>
          <w:rFonts w:cs="Segoe UI"/>
          <w:i/>
          <w:iCs/>
          <w:szCs w:val="22"/>
          <w:lang w:val="sk-SK" w:eastAsia="de-DE"/>
        </w:rPr>
        <w:t xml:space="preserve"> </w:t>
      </w:r>
      <w:r w:rsidRPr="000309B7">
        <w:rPr>
          <w:rFonts w:cs="Segoe UI"/>
          <w:i/>
          <w:iCs/>
          <w:szCs w:val="22"/>
          <w:lang w:val="sk-SK" w:eastAsia="de-DE" w:bidi="bo-CN"/>
        </w:rPr>
        <w:t>Naše výsledky boli podľa očakávania ovplyvnené predovšetkým drastickým zvýšením nákladov na vstupné suroviny a logistiku.</w:t>
      </w:r>
      <w:r w:rsidRPr="000309B7">
        <w:rPr>
          <w:rFonts w:cs="Segoe UI"/>
          <w:i/>
          <w:iCs/>
          <w:szCs w:val="22"/>
          <w:lang w:val="sk-SK" w:eastAsia="de-DE"/>
        </w:rPr>
        <w:t xml:space="preserve"> </w:t>
      </w:r>
      <w:r w:rsidRPr="000309B7">
        <w:rPr>
          <w:rFonts w:cs="Segoe UI"/>
          <w:i/>
          <w:iCs/>
          <w:szCs w:val="22"/>
          <w:lang w:val="sk-SK" w:eastAsia="de-DE" w:bidi="bo-CN"/>
        </w:rPr>
        <w:t>Tento vývoj je zohľadnený aj v našom aktualizovanom výhľade na finančný rok 2022,“</w:t>
      </w:r>
      <w:r w:rsidRPr="000309B7">
        <w:rPr>
          <w:rFonts w:cs="Segoe UI"/>
          <w:szCs w:val="22"/>
          <w:lang w:val="sk-SK" w:eastAsia="de-DE" w:bidi="bo-CN"/>
        </w:rPr>
        <w:t xml:space="preserve"> povedal </w:t>
      </w:r>
      <w:proofErr w:type="spellStart"/>
      <w:r w:rsidRPr="000309B7">
        <w:rPr>
          <w:rFonts w:cs="Segoe UI"/>
          <w:szCs w:val="22"/>
          <w:lang w:val="sk-SK" w:eastAsia="de-DE" w:bidi="bo-CN"/>
        </w:rPr>
        <w:t>Carsten</w:t>
      </w:r>
      <w:proofErr w:type="spellEnd"/>
      <w:r w:rsidRPr="000309B7">
        <w:rPr>
          <w:rFonts w:cs="Segoe UI"/>
          <w:szCs w:val="22"/>
          <w:lang w:val="sk-SK" w:eastAsia="de-DE" w:bidi="bo-CN"/>
        </w:rPr>
        <w:t xml:space="preserve"> </w:t>
      </w:r>
      <w:proofErr w:type="spellStart"/>
      <w:r w:rsidRPr="000309B7">
        <w:rPr>
          <w:rFonts w:cs="Segoe UI"/>
          <w:szCs w:val="22"/>
          <w:lang w:val="sk-SK" w:eastAsia="de-DE" w:bidi="bo-CN"/>
        </w:rPr>
        <w:t>Knobel</w:t>
      </w:r>
      <w:proofErr w:type="spellEnd"/>
      <w:r w:rsidRPr="000309B7">
        <w:rPr>
          <w:rFonts w:cs="Segoe UI"/>
          <w:szCs w:val="22"/>
          <w:lang w:val="sk-SK" w:eastAsia="de-DE" w:bidi="bo-CN"/>
        </w:rPr>
        <w:t>.</w:t>
      </w:r>
      <w:r w:rsidRPr="000309B7">
        <w:rPr>
          <w:rFonts w:cs="Segoe UI"/>
          <w:szCs w:val="22"/>
          <w:lang w:val="sk-SK" w:eastAsia="de-DE"/>
        </w:rPr>
        <w:t xml:space="preserve"> </w:t>
      </w:r>
      <w:r w:rsidRPr="000309B7">
        <w:rPr>
          <w:rFonts w:cs="Segoe UI"/>
          <w:i/>
          <w:iCs/>
          <w:szCs w:val="22"/>
          <w:lang w:val="sk-SK" w:eastAsia="de-DE" w:bidi="bo-CN"/>
        </w:rPr>
        <w:t xml:space="preserve">„Sme hrdí na pokrok, ktorý sme dosiahli v implementácii našej strategickej agendy pre zmysluplný rast, v ktorej budeme pokračovať aj v tomto celkovo náročnom trhovom prostredí.“ </w:t>
      </w:r>
    </w:p>
    <w:p w14:paraId="5272DA07" w14:textId="77777777" w:rsidR="00A027EF" w:rsidRPr="000309B7" w:rsidRDefault="00A027EF" w:rsidP="00A027EF">
      <w:pPr>
        <w:rPr>
          <w:rFonts w:cs="Segoe UI"/>
          <w:szCs w:val="22"/>
          <w:lang w:val="sk-SK"/>
        </w:rPr>
      </w:pPr>
    </w:p>
    <w:p w14:paraId="74DCD38C" w14:textId="77777777" w:rsidR="007F0F63" w:rsidRPr="000309B7" w:rsidRDefault="007F0F63" w:rsidP="00643D8A">
      <w:pPr>
        <w:rPr>
          <w:rFonts w:cs="Segoe UI"/>
          <w:szCs w:val="22"/>
          <w:lang w:val="sk-SK"/>
        </w:rPr>
      </w:pPr>
    </w:p>
    <w:p w14:paraId="33781753" w14:textId="77777777" w:rsidR="00ED6D8E" w:rsidRPr="000309B7" w:rsidRDefault="00ED6D8E" w:rsidP="00ED6D8E">
      <w:pPr>
        <w:rPr>
          <w:rStyle w:val="AboutandContactHeadline"/>
          <w:lang w:val="sk-SK"/>
        </w:rPr>
      </w:pPr>
      <w:r w:rsidRPr="000309B7">
        <w:rPr>
          <w:rStyle w:val="AboutandContactHeadline"/>
          <w:lang w:val="sk-SK"/>
        </w:rPr>
        <w:t>O spoločnosti Henkel</w:t>
      </w:r>
    </w:p>
    <w:p w14:paraId="1FEEC7B3" w14:textId="06B17DF7" w:rsidR="00BB5D0B" w:rsidRPr="000309B7" w:rsidRDefault="00ED6D8E" w:rsidP="00ED6D8E">
      <w:pPr>
        <w:rPr>
          <w:rStyle w:val="AboutandContactHeadline"/>
          <w:b w:val="0"/>
          <w:bCs w:val="0"/>
          <w:lang w:val="sk-SK"/>
        </w:rPr>
      </w:pPr>
      <w:r w:rsidRPr="000309B7">
        <w:rPr>
          <w:rStyle w:val="AboutandContactHeadline"/>
          <w:b w:val="0"/>
          <w:bCs w:val="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Adhesive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Technologies celosvetovým lídrom na trhu v rámci všetkých priemyselných segmentov. V oblastiach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Laundry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&amp; Home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Care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a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Beauty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Care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je Henkel na vedúcich pozíciách na viacerých trhoch a v 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 hodnoteniach. Prioritné akcie spoločnosti Henkel sú kótované na nemeckom akciovom indexe DAX. Viac informácií nájdete na stránke </w:t>
      </w:r>
      <w:hyperlink r:id="rId11" w:history="1">
        <w:r w:rsidRPr="000309B7">
          <w:rPr>
            <w:rStyle w:val="Hypertextovprepojenie"/>
            <w:szCs w:val="24"/>
            <w:lang w:val="sk-SK"/>
          </w:rPr>
          <w:t>www.henkel.com</w:t>
        </w:r>
      </w:hyperlink>
      <w:r w:rsidRPr="000309B7">
        <w:rPr>
          <w:rStyle w:val="AboutandContactHeadline"/>
          <w:b w:val="0"/>
          <w:bCs w:val="0"/>
          <w:lang w:val="sk-SK"/>
        </w:rPr>
        <w:t>.</w:t>
      </w:r>
    </w:p>
    <w:p w14:paraId="6EB00309" w14:textId="77777777" w:rsidR="00600C97" w:rsidRPr="000309B7" w:rsidRDefault="00600C97" w:rsidP="00600C97">
      <w:pPr>
        <w:rPr>
          <w:rStyle w:val="AboutandContactHeadline"/>
          <w:lang w:val="sk-SK"/>
        </w:rPr>
      </w:pPr>
    </w:p>
    <w:p w14:paraId="5E5D194A" w14:textId="03304ABE" w:rsidR="00600C97" w:rsidRPr="000309B7" w:rsidRDefault="00600C97" w:rsidP="00600C97">
      <w:pPr>
        <w:rPr>
          <w:rStyle w:val="AboutandContactHeadline"/>
          <w:lang w:val="sk-SK"/>
        </w:rPr>
      </w:pPr>
      <w:r w:rsidRPr="000309B7">
        <w:rPr>
          <w:rStyle w:val="AboutandContactHeadline"/>
          <w:lang w:val="sk-SK"/>
        </w:rPr>
        <w:t>O spoločnosti Henkel Slovensko</w:t>
      </w:r>
    </w:p>
    <w:p w14:paraId="34A00A71" w14:textId="17A11E89" w:rsidR="00600C97" w:rsidRPr="000309B7" w:rsidRDefault="00600C97" w:rsidP="00600C97">
      <w:pPr>
        <w:rPr>
          <w:rStyle w:val="AboutandContactHeadline"/>
          <w:b w:val="0"/>
          <w:bCs w:val="0"/>
          <w:lang w:val="sk-SK"/>
        </w:rPr>
      </w:pPr>
      <w:r w:rsidRPr="000309B7">
        <w:rPr>
          <w:rStyle w:val="AboutandContactHeadline"/>
          <w:b w:val="0"/>
          <w:bCs w:val="0"/>
          <w:lang w:val="sk-SK"/>
        </w:rPr>
        <w:t xml:space="preserve">Na Slovensku pôsobí Henkel vo všetkých troch strategických oblastiach už od roku 1991 a zároveň je HENKEL SLOVENSKO spol. s r. o. pôsobiskom najväčšej expertnej pobočky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Business Solutions+ spoločnosti Henkel celosvetovo. </w:t>
      </w:r>
      <w:proofErr w:type="spellStart"/>
      <w:r w:rsidRPr="000309B7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0309B7">
        <w:rPr>
          <w:rStyle w:val="AboutandContactHeadline"/>
          <w:b w:val="0"/>
          <w:bCs w:val="0"/>
          <w:lang w:val="sk-SK"/>
        </w:rPr>
        <w:t xml:space="preserve"> Business Solutions+ Bratislava ‏(GBS+ Bratislava) patrí od svojho založenia v roku 2006 k dôležitej </w:t>
      </w:r>
      <w:r w:rsidRPr="000309B7">
        <w:rPr>
          <w:rStyle w:val="AboutandContactHeadline"/>
          <w:b w:val="0"/>
          <w:bCs w:val="0"/>
          <w:lang w:val="sk-SK"/>
        </w:rPr>
        <w:lastRenderedPageBreak/>
        <w:t xml:space="preserve">súčasti spoločnosti Henkel, zabezpečujúcej služby v Európe a globálne vo viac než 30 jazykoch. V súčasnosti zamestnáva viac než 1 600 pracovníkov. HENKEL SLOVENSKO spol. s r. o.  predáva viac ako 50 značiek a dnes zamestnáva, spolu s GBS+ Bratislava, viac ako 1 800 zamestnancov. Viac informácií nájdete na stránke </w:t>
      </w:r>
      <w:hyperlink r:id="rId12" w:history="1">
        <w:r w:rsidRPr="000309B7">
          <w:rPr>
            <w:rStyle w:val="Hypertextovprepojenie"/>
            <w:szCs w:val="24"/>
            <w:lang w:val="sk-SK"/>
          </w:rPr>
          <w:t>www.henkel.sk</w:t>
        </w:r>
      </w:hyperlink>
      <w:r w:rsidRPr="000309B7">
        <w:rPr>
          <w:rStyle w:val="AboutandContactHeadline"/>
          <w:b w:val="0"/>
          <w:bCs w:val="0"/>
          <w:lang w:val="sk-SK"/>
        </w:rPr>
        <w:t>.</w:t>
      </w:r>
    </w:p>
    <w:p w14:paraId="4D74948D" w14:textId="6F6A2B51" w:rsidR="008C56CF" w:rsidRPr="000309B7" w:rsidRDefault="008C56CF" w:rsidP="00BF6E82">
      <w:pPr>
        <w:rPr>
          <w:rStyle w:val="AboutandContactHeadline"/>
          <w:lang w:val="sk-SK"/>
        </w:rPr>
      </w:pPr>
    </w:p>
    <w:p w14:paraId="51474588" w14:textId="77777777" w:rsidR="008C56CF" w:rsidRPr="000309B7" w:rsidRDefault="008C56CF" w:rsidP="00BF6E82">
      <w:pPr>
        <w:rPr>
          <w:rStyle w:val="AboutandContactHeadline"/>
          <w:lang w:val="sk-SK"/>
        </w:rPr>
      </w:pPr>
    </w:p>
    <w:p w14:paraId="0ED67B46" w14:textId="77777777" w:rsidR="006E719D" w:rsidRPr="000309B7" w:rsidRDefault="006E719D" w:rsidP="006E719D">
      <w:pPr>
        <w:rPr>
          <w:rStyle w:val="AboutandContactBody"/>
          <w:b/>
          <w:bCs/>
          <w:sz w:val="20"/>
          <w:szCs w:val="20"/>
          <w:lang w:val="sk-SK"/>
        </w:rPr>
      </w:pPr>
      <w:r w:rsidRPr="000309B7">
        <w:rPr>
          <w:rStyle w:val="AboutandContactBody"/>
          <w:b/>
          <w:bCs/>
          <w:sz w:val="20"/>
          <w:szCs w:val="20"/>
          <w:lang w:val="sk-SK"/>
        </w:rPr>
        <w:t xml:space="preserve">Kontakt  </w:t>
      </w:r>
    </w:p>
    <w:p w14:paraId="5543F0EA" w14:textId="77777777" w:rsidR="006E719D" w:rsidRPr="000309B7" w:rsidRDefault="006E719D" w:rsidP="006E719D">
      <w:pPr>
        <w:rPr>
          <w:rStyle w:val="AboutandContactBody"/>
          <w:sz w:val="20"/>
          <w:szCs w:val="20"/>
          <w:lang w:val="sk-SK"/>
        </w:rPr>
      </w:pPr>
      <w:r w:rsidRPr="000309B7">
        <w:rPr>
          <w:rStyle w:val="AboutandContactBody"/>
          <w:sz w:val="20"/>
          <w:szCs w:val="20"/>
          <w:lang w:val="sk-SK"/>
        </w:rPr>
        <w:t xml:space="preserve">Zuzana </w:t>
      </w:r>
      <w:proofErr w:type="spellStart"/>
      <w:r w:rsidRPr="000309B7">
        <w:rPr>
          <w:rStyle w:val="AboutandContactBody"/>
          <w:sz w:val="20"/>
          <w:szCs w:val="20"/>
          <w:lang w:val="sk-SK"/>
        </w:rPr>
        <w:t>Kaňuchová</w:t>
      </w:r>
      <w:proofErr w:type="spellEnd"/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</w:p>
    <w:p w14:paraId="2A7E1B99" w14:textId="77777777" w:rsidR="006E719D" w:rsidRPr="000309B7" w:rsidRDefault="006E719D" w:rsidP="006E719D">
      <w:pPr>
        <w:rPr>
          <w:rStyle w:val="AboutandContactBody"/>
          <w:sz w:val="20"/>
          <w:szCs w:val="20"/>
          <w:lang w:val="sk-SK"/>
        </w:rPr>
      </w:pPr>
      <w:r w:rsidRPr="000309B7">
        <w:rPr>
          <w:rStyle w:val="AboutandContactBody"/>
          <w:sz w:val="20"/>
          <w:szCs w:val="20"/>
          <w:lang w:val="sk-SK"/>
        </w:rPr>
        <w:t xml:space="preserve">Riaditeľka </w:t>
      </w:r>
      <w:proofErr w:type="spellStart"/>
      <w:r w:rsidRPr="000309B7">
        <w:rPr>
          <w:rStyle w:val="AboutandContactBody"/>
          <w:sz w:val="20"/>
          <w:szCs w:val="20"/>
          <w:lang w:val="sk-SK"/>
        </w:rPr>
        <w:t>korporátnej</w:t>
      </w:r>
      <w:proofErr w:type="spellEnd"/>
      <w:r w:rsidRPr="000309B7">
        <w:rPr>
          <w:rStyle w:val="AboutandContactBody"/>
          <w:sz w:val="20"/>
          <w:szCs w:val="20"/>
          <w:lang w:val="sk-SK"/>
        </w:rPr>
        <w:t xml:space="preserve"> komunikácie</w:t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</w:p>
    <w:p w14:paraId="42F58736" w14:textId="77777777" w:rsidR="006E719D" w:rsidRPr="000309B7" w:rsidRDefault="006E719D" w:rsidP="006E719D">
      <w:pPr>
        <w:rPr>
          <w:rStyle w:val="AboutandContactBody"/>
          <w:sz w:val="20"/>
          <w:szCs w:val="20"/>
          <w:lang w:val="sk-SK"/>
        </w:rPr>
      </w:pPr>
    </w:p>
    <w:p w14:paraId="6050F928" w14:textId="77777777" w:rsidR="006E719D" w:rsidRPr="000309B7" w:rsidRDefault="006E719D" w:rsidP="006E719D">
      <w:pPr>
        <w:rPr>
          <w:rStyle w:val="AboutandContactBody"/>
          <w:sz w:val="20"/>
          <w:szCs w:val="20"/>
          <w:lang w:val="sk-SK"/>
        </w:rPr>
      </w:pPr>
      <w:r w:rsidRPr="000309B7">
        <w:rPr>
          <w:rStyle w:val="AboutandContactBody"/>
          <w:sz w:val="20"/>
          <w:szCs w:val="20"/>
          <w:lang w:val="sk-SK"/>
        </w:rPr>
        <w:t>Telefón: +421 917 160 597</w:t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  <w:r w:rsidRPr="000309B7">
        <w:rPr>
          <w:rStyle w:val="AboutandContactBody"/>
          <w:sz w:val="20"/>
          <w:szCs w:val="20"/>
          <w:lang w:val="sk-SK"/>
        </w:rPr>
        <w:tab/>
      </w:r>
    </w:p>
    <w:p w14:paraId="0BFF6B34" w14:textId="70496E61" w:rsidR="00BF6E82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0309B7">
        <w:rPr>
          <w:rStyle w:val="AboutandContactBody"/>
          <w:sz w:val="20"/>
          <w:szCs w:val="20"/>
          <w:lang w:val="sk-SK"/>
        </w:rPr>
        <w:t xml:space="preserve">E-mail:  </w:t>
      </w:r>
      <w:hyperlink r:id="rId13" w:history="1">
        <w:r w:rsidR="00BB1DFA" w:rsidRPr="000309B7">
          <w:rPr>
            <w:rStyle w:val="Hypertextovprepojenie"/>
            <w:sz w:val="20"/>
            <w:szCs w:val="20"/>
            <w:lang w:val="sk-SK"/>
          </w:rPr>
          <w:t>zuzana.kanuchova@henkel.com</w:t>
        </w:r>
      </w:hyperlink>
      <w:r w:rsidR="00BB1DFA" w:rsidRPr="00FF139F">
        <w:rPr>
          <w:rStyle w:val="AboutandContactBody"/>
          <w:sz w:val="20"/>
          <w:szCs w:val="20"/>
          <w:lang w:val="sk-SK"/>
        </w:rPr>
        <w:t xml:space="preserve"> </w:t>
      </w:r>
    </w:p>
    <w:sectPr w:rsidR="00BF6E82" w:rsidRPr="00FF139F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38BB" w14:textId="77777777" w:rsidR="009613ED" w:rsidRDefault="009613ED">
      <w:r>
        <w:separator/>
      </w:r>
    </w:p>
  </w:endnote>
  <w:endnote w:type="continuationSeparator" w:id="0">
    <w:p w14:paraId="37E84C1D" w14:textId="77777777" w:rsidR="009613ED" w:rsidRDefault="009613ED">
      <w:r>
        <w:continuationSeparator/>
      </w:r>
    </w:p>
  </w:endnote>
  <w:endnote w:type="continuationNotice" w:id="1">
    <w:p w14:paraId="1779C839" w14:textId="77777777" w:rsidR="009613ED" w:rsidRDefault="009613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Bold">
    <w:altName w:val="Segoe U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94AC4CD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CE4BEB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0309B7">
      <w:fldChar w:fldCharType="begin"/>
    </w:r>
    <w:r w:rsidR="000309B7">
      <w:instrText xml:space="preserve"> NUMPAGES  \* Arabic  \* MERGEFORMAT </w:instrText>
    </w:r>
    <w:r w:rsidR="000309B7">
      <w:fldChar w:fldCharType="separate"/>
    </w:r>
    <w:r>
      <w:t>2</w:t>
    </w:r>
    <w:r w:rsidR="000309B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067871C" w:rsidR="00CF6F33" w:rsidRPr="00992A11" w:rsidRDefault="0059722C" w:rsidP="00992A11">
    <w:pPr>
      <w:pStyle w:val="Pta"/>
    </w:pPr>
    <w:bookmarkStart w:id="9" w:name="_Hlk505758583"/>
    <w:r w:rsidRPr="00992A11">
      <w:drawing>
        <wp:anchor distT="0" distB="0" distL="114300" distR="114300" simplePos="0" relativeHeight="251658242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9"/>
    <w:r w:rsidR="00CE4BEB"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A88B" w14:textId="77777777" w:rsidR="009613ED" w:rsidRDefault="009613ED">
      <w:r>
        <w:separator/>
      </w:r>
    </w:p>
  </w:footnote>
  <w:footnote w:type="continuationSeparator" w:id="0">
    <w:p w14:paraId="704CD2CC" w14:textId="77777777" w:rsidR="009613ED" w:rsidRDefault="009613ED">
      <w:r>
        <w:continuationSeparator/>
      </w:r>
    </w:p>
  </w:footnote>
  <w:footnote w:type="continuationNotice" w:id="1">
    <w:p w14:paraId="03443731" w14:textId="77777777" w:rsidR="009613ED" w:rsidRDefault="009613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31BB0640" w:rsidR="00CF6F33" w:rsidRPr="003876AC" w:rsidRDefault="0059722C" w:rsidP="00EB46D9">
    <w:pPr>
      <w:pStyle w:val="Hlavika"/>
      <w:rPr>
        <w:lang w:val="sk-SK"/>
      </w:rPr>
    </w:pPr>
    <w:r w:rsidRPr="003876AC">
      <w:rPr>
        <w:noProof/>
        <w:lang w:val="sk-SK"/>
      </w:rPr>
      <w:drawing>
        <wp:anchor distT="0" distB="0" distL="114300" distR="114300" simplePos="0" relativeHeight="251658241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AC">
      <w:rPr>
        <w:noProof/>
        <w:lang w:val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CE4BEB" w:rsidRPr="003876AC">
      <w:rPr>
        <w:noProof/>
        <w:lang w:val="sk-SK"/>
      </w:rPr>
      <w:t>Tlačová</w:t>
    </w:r>
    <w:r w:rsidR="00B422EC" w:rsidRPr="003876AC">
      <w:rPr>
        <w:lang w:val="sk-SK"/>
      </w:rPr>
      <w:t xml:space="preserve"> </w:t>
    </w:r>
    <w:r w:rsidR="00CE4BEB" w:rsidRPr="003876AC">
      <w:rPr>
        <w:lang w:val="sk-SK"/>
      </w:rPr>
      <w:t>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D48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589"/>
    <w:multiLevelType w:val="hybridMultilevel"/>
    <w:tmpl w:val="EE8CF3B2"/>
    <w:styleLink w:val="Importovantl1"/>
    <w:lvl w:ilvl="0" w:tplc="8EB41188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2A6F4A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2" w:tplc="C8DC57A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3" w:tplc="415CB314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4" w:tplc="A26A3ED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5" w:tplc="500C3A8C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6" w:tplc="7E449232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7" w:tplc="354ACEA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8" w:tplc="B55AF2B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E21656"/>
    <w:multiLevelType w:val="hybridMultilevel"/>
    <w:tmpl w:val="EE8CF3B2"/>
    <w:numStyleLink w:val="Importovantl1"/>
  </w:abstractNum>
  <w:abstractNum w:abstractNumId="5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F5B"/>
    <w:multiLevelType w:val="hybridMultilevel"/>
    <w:tmpl w:val="FCC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337">
    <w:abstractNumId w:val="2"/>
  </w:num>
  <w:num w:numId="2" w16cid:durableId="122650485">
    <w:abstractNumId w:val="1"/>
  </w:num>
  <w:num w:numId="3" w16cid:durableId="1313870647">
    <w:abstractNumId w:val="9"/>
  </w:num>
  <w:num w:numId="4" w16cid:durableId="1325471364">
    <w:abstractNumId w:val="7"/>
  </w:num>
  <w:num w:numId="5" w16cid:durableId="204098463">
    <w:abstractNumId w:val="5"/>
  </w:num>
  <w:num w:numId="6" w16cid:durableId="1262301861">
    <w:abstractNumId w:val="8"/>
  </w:num>
  <w:num w:numId="7" w16cid:durableId="2122138509">
    <w:abstractNumId w:val="10"/>
  </w:num>
  <w:num w:numId="8" w16cid:durableId="24136447">
    <w:abstractNumId w:val="3"/>
  </w:num>
  <w:num w:numId="9" w16cid:durableId="397436182">
    <w:abstractNumId w:val="4"/>
  </w:num>
  <w:num w:numId="10" w16cid:durableId="1620333554">
    <w:abstractNumId w:val="0"/>
  </w:num>
  <w:num w:numId="11" w16cid:durableId="1738821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9B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A30A3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5533"/>
    <w:rsid w:val="00126D4A"/>
    <w:rsid w:val="00132DA9"/>
    <w:rsid w:val="0013305B"/>
    <w:rsid w:val="00133B99"/>
    <w:rsid w:val="001443BD"/>
    <w:rsid w:val="001577E9"/>
    <w:rsid w:val="0016067E"/>
    <w:rsid w:val="0016138C"/>
    <w:rsid w:val="001731CE"/>
    <w:rsid w:val="001842AF"/>
    <w:rsid w:val="001B7C20"/>
    <w:rsid w:val="001C0B32"/>
    <w:rsid w:val="001C30F3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15E66"/>
    <w:rsid w:val="00220628"/>
    <w:rsid w:val="002304D2"/>
    <w:rsid w:val="00234ABD"/>
    <w:rsid w:val="00236E2A"/>
    <w:rsid w:val="00237F62"/>
    <w:rsid w:val="00241209"/>
    <w:rsid w:val="00243615"/>
    <w:rsid w:val="0024586A"/>
    <w:rsid w:val="00247968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26E5"/>
    <w:rsid w:val="002E4FFB"/>
    <w:rsid w:val="002E7802"/>
    <w:rsid w:val="002E7DED"/>
    <w:rsid w:val="002F0F39"/>
    <w:rsid w:val="002F7E11"/>
    <w:rsid w:val="00304087"/>
    <w:rsid w:val="00310ACD"/>
    <w:rsid w:val="0031379F"/>
    <w:rsid w:val="00320A26"/>
    <w:rsid w:val="00321344"/>
    <w:rsid w:val="00331EF1"/>
    <w:rsid w:val="0033451C"/>
    <w:rsid w:val="00336854"/>
    <w:rsid w:val="0034015C"/>
    <w:rsid w:val="0034425D"/>
    <w:rsid w:val="003442F4"/>
    <w:rsid w:val="00353705"/>
    <w:rsid w:val="003562E8"/>
    <w:rsid w:val="0036357D"/>
    <w:rsid w:val="003649BC"/>
    <w:rsid w:val="00365E44"/>
    <w:rsid w:val="00367AA1"/>
    <w:rsid w:val="00372E36"/>
    <w:rsid w:val="00374902"/>
    <w:rsid w:val="00376EE9"/>
    <w:rsid w:val="00377CBB"/>
    <w:rsid w:val="003876AC"/>
    <w:rsid w:val="003877B6"/>
    <w:rsid w:val="00393887"/>
    <w:rsid w:val="00394141"/>
    <w:rsid w:val="00394C6B"/>
    <w:rsid w:val="003A4E62"/>
    <w:rsid w:val="003B1069"/>
    <w:rsid w:val="003B390A"/>
    <w:rsid w:val="003C15DE"/>
    <w:rsid w:val="003C4EB2"/>
    <w:rsid w:val="003F1AF3"/>
    <w:rsid w:val="003F4D8D"/>
    <w:rsid w:val="004313E7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C7CAF"/>
    <w:rsid w:val="004D059B"/>
    <w:rsid w:val="004D4CB6"/>
    <w:rsid w:val="004E3341"/>
    <w:rsid w:val="004F10C1"/>
    <w:rsid w:val="004F2316"/>
    <w:rsid w:val="00502E62"/>
    <w:rsid w:val="00504452"/>
    <w:rsid w:val="00506B8A"/>
    <w:rsid w:val="0052212B"/>
    <w:rsid w:val="00531B98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0C5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0C97"/>
    <w:rsid w:val="006035FE"/>
    <w:rsid w:val="00607256"/>
    <w:rsid w:val="006144B1"/>
    <w:rsid w:val="00616D39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E719D"/>
    <w:rsid w:val="006F0406"/>
    <w:rsid w:val="006F0FC7"/>
    <w:rsid w:val="006F39A9"/>
    <w:rsid w:val="006F670F"/>
    <w:rsid w:val="00703272"/>
    <w:rsid w:val="0070733C"/>
    <w:rsid w:val="00710AB1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72204"/>
    <w:rsid w:val="00777A75"/>
    <w:rsid w:val="007813D0"/>
    <w:rsid w:val="00785993"/>
    <w:rsid w:val="007866E2"/>
    <w:rsid w:val="00786BA3"/>
    <w:rsid w:val="0079202F"/>
    <w:rsid w:val="00795AF2"/>
    <w:rsid w:val="007A2AAD"/>
    <w:rsid w:val="007A4432"/>
    <w:rsid w:val="007A56D3"/>
    <w:rsid w:val="007A784E"/>
    <w:rsid w:val="007B499C"/>
    <w:rsid w:val="007B4D4B"/>
    <w:rsid w:val="007D2A02"/>
    <w:rsid w:val="007E6EA1"/>
    <w:rsid w:val="007F021E"/>
    <w:rsid w:val="007F0F63"/>
    <w:rsid w:val="007F2B1E"/>
    <w:rsid w:val="007F62B4"/>
    <w:rsid w:val="00801517"/>
    <w:rsid w:val="00803AF6"/>
    <w:rsid w:val="0080678C"/>
    <w:rsid w:val="00817AE8"/>
    <w:rsid w:val="00817DE8"/>
    <w:rsid w:val="008229F5"/>
    <w:rsid w:val="0082699A"/>
    <w:rsid w:val="00833CEB"/>
    <w:rsid w:val="008372D2"/>
    <w:rsid w:val="008377BC"/>
    <w:rsid w:val="008439E0"/>
    <w:rsid w:val="00844C17"/>
    <w:rsid w:val="00847726"/>
    <w:rsid w:val="0085234C"/>
    <w:rsid w:val="00852511"/>
    <w:rsid w:val="00857B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1FEB"/>
    <w:rsid w:val="008B5622"/>
    <w:rsid w:val="008C56CF"/>
    <w:rsid w:val="008D76C5"/>
    <w:rsid w:val="008E0AFA"/>
    <w:rsid w:val="008E5025"/>
    <w:rsid w:val="008E6502"/>
    <w:rsid w:val="008E75D3"/>
    <w:rsid w:val="008E7E7A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613ED"/>
    <w:rsid w:val="009739A0"/>
    <w:rsid w:val="00974F84"/>
    <w:rsid w:val="009767C7"/>
    <w:rsid w:val="0098579A"/>
    <w:rsid w:val="009918CC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9F7029"/>
    <w:rsid w:val="00A01F56"/>
    <w:rsid w:val="00A027EF"/>
    <w:rsid w:val="00A044D6"/>
    <w:rsid w:val="00A04ADB"/>
    <w:rsid w:val="00A07277"/>
    <w:rsid w:val="00A11E0F"/>
    <w:rsid w:val="00A26CB6"/>
    <w:rsid w:val="00A32F82"/>
    <w:rsid w:val="00A32F8B"/>
    <w:rsid w:val="00A3756F"/>
    <w:rsid w:val="00A41419"/>
    <w:rsid w:val="00A42D6F"/>
    <w:rsid w:val="00A45A62"/>
    <w:rsid w:val="00A5385C"/>
    <w:rsid w:val="00A54AC5"/>
    <w:rsid w:val="00A55DC3"/>
    <w:rsid w:val="00A56D41"/>
    <w:rsid w:val="00A61353"/>
    <w:rsid w:val="00A66DB1"/>
    <w:rsid w:val="00A67A92"/>
    <w:rsid w:val="00A87470"/>
    <w:rsid w:val="00A87870"/>
    <w:rsid w:val="00A91A70"/>
    <w:rsid w:val="00AA1B85"/>
    <w:rsid w:val="00AB1CB6"/>
    <w:rsid w:val="00AB1D9A"/>
    <w:rsid w:val="00AC224A"/>
    <w:rsid w:val="00AD44FE"/>
    <w:rsid w:val="00AE49F1"/>
    <w:rsid w:val="00B05CCA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337E"/>
    <w:rsid w:val="00B958E8"/>
    <w:rsid w:val="00B97E4A"/>
    <w:rsid w:val="00BA09B2"/>
    <w:rsid w:val="00BA249A"/>
    <w:rsid w:val="00BA3952"/>
    <w:rsid w:val="00BA5B46"/>
    <w:rsid w:val="00BA7F4E"/>
    <w:rsid w:val="00BB1DFA"/>
    <w:rsid w:val="00BB58ED"/>
    <w:rsid w:val="00BB5D0B"/>
    <w:rsid w:val="00BC0995"/>
    <w:rsid w:val="00BE793A"/>
    <w:rsid w:val="00BF2B82"/>
    <w:rsid w:val="00BF432A"/>
    <w:rsid w:val="00BF6E82"/>
    <w:rsid w:val="00C01E3B"/>
    <w:rsid w:val="00C060C7"/>
    <w:rsid w:val="00C24C17"/>
    <w:rsid w:val="00C3758F"/>
    <w:rsid w:val="00C40B88"/>
    <w:rsid w:val="00C42C93"/>
    <w:rsid w:val="00C47D87"/>
    <w:rsid w:val="00C5376E"/>
    <w:rsid w:val="00C808A6"/>
    <w:rsid w:val="00C8337D"/>
    <w:rsid w:val="00C97091"/>
    <w:rsid w:val="00C97260"/>
    <w:rsid w:val="00CA2001"/>
    <w:rsid w:val="00CB5B6C"/>
    <w:rsid w:val="00CC052E"/>
    <w:rsid w:val="00CD16BE"/>
    <w:rsid w:val="00CD4616"/>
    <w:rsid w:val="00CD47AC"/>
    <w:rsid w:val="00CD56AF"/>
    <w:rsid w:val="00CE33D5"/>
    <w:rsid w:val="00CE4BEB"/>
    <w:rsid w:val="00CF3F82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95869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62029"/>
    <w:rsid w:val="00E758B9"/>
    <w:rsid w:val="00E811BD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D6D8E"/>
    <w:rsid w:val="00ED7C52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4714F"/>
    <w:rsid w:val="00F47EED"/>
    <w:rsid w:val="00F50B46"/>
    <w:rsid w:val="00F50D1F"/>
    <w:rsid w:val="00F6203E"/>
    <w:rsid w:val="00F635FC"/>
    <w:rsid w:val="00F63D03"/>
    <w:rsid w:val="00F65E2F"/>
    <w:rsid w:val="00F67DF1"/>
    <w:rsid w:val="00F67FA8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B77EB"/>
    <w:rsid w:val="00FC0F62"/>
    <w:rsid w:val="00FC4477"/>
    <w:rsid w:val="00FC46FB"/>
    <w:rsid w:val="00FD0A38"/>
    <w:rsid w:val="00FD2BD3"/>
    <w:rsid w:val="00FD4CCA"/>
    <w:rsid w:val="00FE2A9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Odsekzoznamu">
    <w:name w:val="List Paragraph"/>
    <w:basedOn w:val="Normlny"/>
    <w:uiPriority w:val="34"/>
    <w:qFormat/>
    <w:rsid w:val="0034425D"/>
    <w:pPr>
      <w:ind w:left="720"/>
      <w:contextualSpacing/>
    </w:pPr>
  </w:style>
  <w:style w:type="character" w:styleId="Odkaznakomentr">
    <w:name w:val="annotation reference"/>
    <w:basedOn w:val="Predvolenpsmoodseku"/>
    <w:rsid w:val="00BB1DF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1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B1D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BB1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1DFA"/>
    <w:rPr>
      <w:b/>
      <w:bCs/>
      <w:sz w:val="20"/>
      <w:szCs w:val="20"/>
    </w:rPr>
  </w:style>
  <w:style w:type="numbering" w:customStyle="1" w:styleId="Importovantl1">
    <w:name w:val="Importovaný štýl 1"/>
    <w:rsid w:val="00C01E3B"/>
    <w:pPr>
      <w:numPr>
        <w:numId w:val="8"/>
      </w:numPr>
    </w:pPr>
  </w:style>
  <w:style w:type="paragraph" w:styleId="Zkladntext">
    <w:name w:val="Body Text"/>
    <w:basedOn w:val="Normlny"/>
    <w:link w:val="ZkladntextChar"/>
    <w:rsid w:val="00A41419"/>
    <w:pPr>
      <w:spacing w:line="360" w:lineRule="auto"/>
    </w:pPr>
    <w:rPr>
      <w:rFonts w:ascii="Arial" w:hAnsi="Arial"/>
      <w:lang w:val="de-DE" w:eastAsia="de-DE"/>
    </w:rPr>
  </w:style>
  <w:style w:type="character" w:customStyle="1" w:styleId="ZkladntextChar">
    <w:name w:val="Základný text Char"/>
    <w:basedOn w:val="Predvolenpsmoodseku"/>
    <w:link w:val="Zkladntext"/>
    <w:rsid w:val="00A41419"/>
    <w:rPr>
      <w:rFonts w:ascii="Arial" w:hAnsi="Arial"/>
      <w:sz w:val="22"/>
      <w:lang w:val="de-DE" w:eastAsia="de-DE"/>
    </w:rPr>
  </w:style>
  <w:style w:type="paragraph" w:styleId="Zoznamsodrkami3">
    <w:name w:val="List Bullet 3"/>
    <w:basedOn w:val="Normlny"/>
    <w:uiPriority w:val="99"/>
    <w:rsid w:val="00616D39"/>
    <w:pPr>
      <w:tabs>
        <w:tab w:val="num" w:pos="926"/>
      </w:tabs>
      <w:ind w:left="926" w:hanging="360"/>
      <w:contextualSpacing/>
    </w:pPr>
  </w:style>
  <w:style w:type="paragraph" w:styleId="Revzia">
    <w:name w:val="Revision"/>
    <w:hidden/>
    <w:uiPriority w:val="62"/>
    <w:unhideWhenUsed/>
    <w:rsid w:val="006035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uzana.kanuchova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nkel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3.xml><?xml version="1.0" encoding="utf-8"?>
<ds:datastoreItem xmlns:ds="http://schemas.openxmlformats.org/officeDocument/2006/customXml" ds:itemID="{BAEF4E51-7044-420E-AEED-46761F81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55</TotalTime>
  <Pages>8</Pages>
  <Words>2639</Words>
  <Characters>15660</Characters>
  <Application>Microsoft Office Word</Application>
  <DocSecurity>0</DocSecurity>
  <Lines>130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18263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Martina Poliačková (seesame.com)</cp:lastModifiedBy>
  <cp:revision>76</cp:revision>
  <cp:lastPrinted>2016-11-16T01:11:00Z</cp:lastPrinted>
  <dcterms:created xsi:type="dcterms:W3CDTF">2020-07-16T10:22:00Z</dcterms:created>
  <dcterms:modified xsi:type="dcterms:W3CDTF">2022-08-18T16:16:00Z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MediaServiceImageTags">
    <vt:lpwstr/>
  </property>
</Properties>
</file>