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EF841" w14:textId="3C39FE97" w:rsidR="00A41419" w:rsidRPr="000309B7" w:rsidRDefault="00A07277" w:rsidP="00F67FA8">
      <w:pPr>
        <w:pStyle w:val="MonthDayYear"/>
        <w:tabs>
          <w:tab w:val="left" w:pos="557"/>
          <w:tab w:val="left" w:pos="7513"/>
          <w:tab w:val="right" w:pos="9086"/>
        </w:tabs>
        <w:rPr>
          <w:lang w:val="sk-SK"/>
        </w:rPr>
      </w:pPr>
      <w:r w:rsidRPr="000309B7">
        <w:rPr>
          <w:lang w:val="sk-SK"/>
        </w:rPr>
        <w:t>15</w:t>
      </w:r>
      <w:r w:rsidR="00A41419" w:rsidRPr="000309B7">
        <w:rPr>
          <w:lang w:val="sk-SK"/>
        </w:rPr>
        <w:t xml:space="preserve">. </w:t>
      </w:r>
      <w:r w:rsidRPr="000309B7">
        <w:rPr>
          <w:lang w:val="sk-SK"/>
        </w:rPr>
        <w:t>august</w:t>
      </w:r>
      <w:r w:rsidR="004F2316" w:rsidRPr="000309B7">
        <w:rPr>
          <w:lang w:val="sk-SK"/>
        </w:rPr>
        <w:t xml:space="preserve"> </w:t>
      </w:r>
      <w:r w:rsidR="00A41419" w:rsidRPr="000309B7">
        <w:rPr>
          <w:lang w:val="sk-SK"/>
        </w:rPr>
        <w:t>2022</w:t>
      </w:r>
    </w:p>
    <w:p w14:paraId="21D33C2C" w14:textId="77777777" w:rsidR="00394141" w:rsidRPr="000309B7" w:rsidRDefault="00394141" w:rsidP="00394141">
      <w:pPr>
        <w:pStyle w:val="Topline"/>
        <w:spacing w:after="360"/>
        <w:rPr>
          <w:rFonts w:asciiTheme="majorHAnsi" w:hAnsiTheme="majorHAnsi" w:cstheme="majorHAnsi"/>
          <w:lang w:val="sk-SK"/>
        </w:rPr>
      </w:pPr>
      <w:bookmarkStart w:id="0" w:name="_Hlk43712519"/>
      <w:r w:rsidRPr="000309B7">
        <w:rPr>
          <w:rFonts w:asciiTheme="majorHAnsi" w:hAnsiTheme="majorHAnsi" w:cstheme="majorHAnsi"/>
          <w:lang w:val="sk-SK" w:bidi="bo-CN"/>
        </w:rPr>
        <w:t>Spoločnosť Henkel zverejnila polročné výsledky</w:t>
      </w:r>
    </w:p>
    <w:bookmarkEnd w:id="0"/>
    <w:p w14:paraId="5CE88D14" w14:textId="77777777" w:rsidR="00A87470" w:rsidRPr="000309B7" w:rsidRDefault="00A87470" w:rsidP="00A87470">
      <w:pPr>
        <w:jc w:val="left"/>
        <w:rPr>
          <w:rStyle w:val="Headline"/>
          <w:rFonts w:asciiTheme="majorHAnsi" w:hAnsiTheme="majorHAnsi" w:cstheme="majorHAnsi"/>
          <w:lang w:val="sk-SK"/>
        </w:rPr>
      </w:pPr>
      <w:r w:rsidRPr="000309B7">
        <w:rPr>
          <w:rStyle w:val="Headline"/>
          <w:rFonts w:asciiTheme="majorHAnsi" w:hAnsiTheme="majorHAnsi" w:cstheme="majorHAnsi"/>
          <w:lang w:val="sk-SK" w:bidi="bo-CN"/>
        </w:rPr>
        <w:t>Henkel výrazne zvyšuje obrat, pokračuje v implementácii strategickej agendy a zlepšuje výhľad na rok 2022</w:t>
      </w:r>
    </w:p>
    <w:p w14:paraId="1CF78243" w14:textId="77777777" w:rsidR="00A41419" w:rsidRPr="000309B7" w:rsidRDefault="00A41419" w:rsidP="00A41419">
      <w:pPr>
        <w:spacing w:after="80"/>
        <w:ind w:right="-108"/>
        <w:jc w:val="left"/>
        <w:rPr>
          <w:rFonts w:asciiTheme="majorHAnsi" w:hAnsiTheme="majorHAnsi" w:cstheme="majorHAnsi"/>
          <w:b/>
          <w:szCs w:val="22"/>
          <w:lang w:val="sk-SK"/>
        </w:rPr>
      </w:pPr>
    </w:p>
    <w:p w14:paraId="03F786E4" w14:textId="77777777" w:rsidR="00D95869" w:rsidRPr="000309B7" w:rsidRDefault="00D95869" w:rsidP="00D95869">
      <w:pPr>
        <w:pStyle w:val="Odsekzoznamu"/>
        <w:numPr>
          <w:ilvl w:val="0"/>
          <w:numId w:val="11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0309B7">
        <w:rPr>
          <w:rFonts w:asciiTheme="majorHAnsi" w:hAnsiTheme="majorHAnsi" w:cstheme="majorHAnsi"/>
          <w:b/>
          <w:szCs w:val="22"/>
          <w:lang w:val="sk-SK" w:bidi="bo-CN"/>
        </w:rPr>
        <w:t>Obrat skupiny sa v prvom polroku 2022 organicky zvýšil o 8,9 % na približne 10,9 miliardy eur (nominálne +9,9 %), k čomu prispeli všetky obchodné divízie a regióny</w:t>
      </w:r>
    </w:p>
    <w:p w14:paraId="49FE9BAA" w14:textId="77777777" w:rsidR="00D95869" w:rsidRPr="000309B7" w:rsidRDefault="00D95869" w:rsidP="00D95869">
      <w:pPr>
        <w:pStyle w:val="Odsekzoznamu"/>
        <w:numPr>
          <w:ilvl w:val="0"/>
          <w:numId w:val="11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0309B7">
        <w:rPr>
          <w:rFonts w:asciiTheme="majorHAnsi" w:hAnsiTheme="majorHAnsi" w:cstheme="majorHAnsi"/>
          <w:b/>
          <w:szCs w:val="22"/>
          <w:lang w:val="sk-SK" w:bidi="bo-CN"/>
        </w:rPr>
        <w:t>Výnosy boli podľa očakávaní oslabené drastickým nárastom cien vstupov:</w:t>
      </w:r>
    </w:p>
    <w:p w14:paraId="47A6A37F" w14:textId="69240B06" w:rsidR="00D95869" w:rsidRPr="000309B7" w:rsidRDefault="00D95869" w:rsidP="00D95869">
      <w:pPr>
        <w:pStyle w:val="Odsekzoznamu"/>
        <w:numPr>
          <w:ilvl w:val="1"/>
          <w:numId w:val="11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0309B7">
        <w:rPr>
          <w:rFonts w:asciiTheme="majorHAnsi" w:hAnsiTheme="majorHAnsi" w:cstheme="majorHAnsi"/>
          <w:b/>
          <w:szCs w:val="22"/>
          <w:lang w:val="sk-SK" w:bidi="bo-CN"/>
        </w:rPr>
        <w:t>Prevádzkový zisk (EBIT)* dosiahol 1</w:t>
      </w:r>
      <w:r w:rsidR="00243615" w:rsidRPr="000309B7">
        <w:rPr>
          <w:rFonts w:asciiTheme="majorHAnsi" w:hAnsiTheme="majorHAnsi" w:cstheme="majorHAnsi"/>
          <w:b/>
          <w:szCs w:val="22"/>
          <w:lang w:val="sk-SK" w:bidi="bo-CN"/>
        </w:rPr>
        <w:t xml:space="preserve"> </w:t>
      </w:r>
      <w:r w:rsidRPr="000309B7">
        <w:rPr>
          <w:rFonts w:asciiTheme="majorHAnsi" w:hAnsiTheme="majorHAnsi" w:cstheme="majorHAnsi"/>
          <w:b/>
          <w:szCs w:val="22"/>
          <w:lang w:val="sk-SK" w:bidi="bo-CN"/>
        </w:rPr>
        <w:t>166 mil. eur (-18,5 %)</w:t>
      </w:r>
    </w:p>
    <w:p w14:paraId="5EDB17B3" w14:textId="77777777" w:rsidR="00D95869" w:rsidRPr="000309B7" w:rsidRDefault="00D95869" w:rsidP="00D95869">
      <w:pPr>
        <w:pStyle w:val="Odsekzoznamu"/>
        <w:numPr>
          <w:ilvl w:val="1"/>
          <w:numId w:val="11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0309B7">
        <w:rPr>
          <w:rFonts w:asciiTheme="majorHAnsi" w:hAnsiTheme="majorHAnsi" w:cstheme="majorHAnsi"/>
          <w:b/>
          <w:szCs w:val="22"/>
          <w:lang w:val="sk-SK" w:bidi="bo-CN"/>
        </w:rPr>
        <w:t>Marža EBIT* na úrovni 10,7 % (-370 bázických bodov)</w:t>
      </w:r>
    </w:p>
    <w:p w14:paraId="162922B2" w14:textId="77777777" w:rsidR="00D95869" w:rsidRPr="000309B7" w:rsidRDefault="00D95869" w:rsidP="00D95869">
      <w:pPr>
        <w:pStyle w:val="Odsekzoznamu"/>
        <w:numPr>
          <w:ilvl w:val="1"/>
          <w:numId w:val="11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0309B7">
        <w:rPr>
          <w:rFonts w:asciiTheme="majorHAnsi" w:hAnsiTheme="majorHAnsi" w:cstheme="majorHAnsi"/>
          <w:b/>
          <w:szCs w:val="22"/>
          <w:lang w:val="sk-SK" w:bidi="bo-CN"/>
        </w:rPr>
        <w:t>Výnos na prioritnú akciu (EPS)* sa znížil o 20,8 % na 1,95 eura pri konštantných kurzových sadzbách</w:t>
      </w:r>
    </w:p>
    <w:p w14:paraId="4324B306" w14:textId="77777777" w:rsidR="00D95869" w:rsidRPr="000309B7" w:rsidRDefault="00D95869" w:rsidP="00D95869">
      <w:pPr>
        <w:pStyle w:val="Odsekzoznamu"/>
        <w:numPr>
          <w:ilvl w:val="0"/>
          <w:numId w:val="11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0309B7">
        <w:rPr>
          <w:rFonts w:asciiTheme="majorHAnsi" w:hAnsiTheme="majorHAnsi" w:cstheme="majorHAnsi"/>
          <w:b/>
          <w:szCs w:val="22"/>
          <w:lang w:val="sk-SK" w:bidi="bo-CN"/>
        </w:rPr>
        <w:t xml:space="preserve">Úspešne napreduje implementácia agendy pre zmysluplný rast a zlučovanie spotrebiteľských divízií do divízie Henkel </w:t>
      </w:r>
      <w:proofErr w:type="spellStart"/>
      <w:r w:rsidRPr="000309B7">
        <w:rPr>
          <w:rFonts w:asciiTheme="majorHAnsi" w:hAnsiTheme="majorHAnsi" w:cstheme="majorHAnsi"/>
          <w:b/>
          <w:szCs w:val="22"/>
          <w:lang w:val="sk-SK" w:bidi="bo-CN"/>
        </w:rPr>
        <w:t>Consumer</w:t>
      </w:r>
      <w:proofErr w:type="spellEnd"/>
      <w:r w:rsidRPr="000309B7">
        <w:rPr>
          <w:rFonts w:asciiTheme="majorHAnsi" w:hAnsiTheme="majorHAnsi" w:cstheme="majorHAnsi"/>
          <w:b/>
          <w:szCs w:val="22"/>
          <w:lang w:val="sk-SK" w:bidi="bo-CN"/>
        </w:rPr>
        <w:t xml:space="preserve"> </w:t>
      </w:r>
      <w:proofErr w:type="spellStart"/>
      <w:r w:rsidRPr="000309B7">
        <w:rPr>
          <w:rFonts w:asciiTheme="majorHAnsi" w:hAnsiTheme="majorHAnsi" w:cstheme="majorHAnsi"/>
          <w:b/>
          <w:szCs w:val="22"/>
          <w:lang w:val="sk-SK" w:bidi="bo-CN"/>
        </w:rPr>
        <w:t>Brands</w:t>
      </w:r>
      <w:proofErr w:type="spellEnd"/>
    </w:p>
    <w:p w14:paraId="71F4B508" w14:textId="77777777" w:rsidR="00D95869" w:rsidRPr="000309B7" w:rsidRDefault="00D95869" w:rsidP="00D95869">
      <w:pPr>
        <w:pStyle w:val="Odsekzoznamu"/>
        <w:numPr>
          <w:ilvl w:val="0"/>
          <w:numId w:val="11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0309B7">
        <w:rPr>
          <w:rFonts w:asciiTheme="majorHAnsi" w:hAnsiTheme="majorHAnsi" w:cstheme="majorHAnsi"/>
          <w:b/>
          <w:szCs w:val="22"/>
          <w:lang w:val="sk-SK" w:bidi="bo-CN"/>
        </w:rPr>
        <w:t>Aktualizovaný výhľad na finančný rok 2022:</w:t>
      </w:r>
    </w:p>
    <w:p w14:paraId="53D1FB87" w14:textId="77777777" w:rsidR="00D95869" w:rsidRPr="000309B7" w:rsidRDefault="00D95869" w:rsidP="00D95869">
      <w:pPr>
        <w:pStyle w:val="Odsekzoznamu"/>
        <w:numPr>
          <w:ilvl w:val="1"/>
          <w:numId w:val="11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0309B7">
        <w:rPr>
          <w:rFonts w:asciiTheme="majorHAnsi" w:hAnsiTheme="majorHAnsi" w:cstheme="majorHAnsi"/>
          <w:b/>
          <w:szCs w:val="22"/>
          <w:lang w:val="sk-SK" w:bidi="bo-CN"/>
        </w:rPr>
        <w:t>Organický rast obratu: zvýšenie na +4,5 až +6,5 %</w:t>
      </w:r>
    </w:p>
    <w:p w14:paraId="39AB3B31" w14:textId="77777777" w:rsidR="00D95869" w:rsidRPr="000309B7" w:rsidRDefault="00D95869" w:rsidP="00D95869">
      <w:pPr>
        <w:pStyle w:val="Odsekzoznamu"/>
        <w:numPr>
          <w:ilvl w:val="1"/>
          <w:numId w:val="11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0309B7">
        <w:rPr>
          <w:rFonts w:asciiTheme="majorHAnsi" w:hAnsiTheme="majorHAnsi" w:cstheme="majorHAnsi"/>
          <w:b/>
          <w:szCs w:val="22"/>
          <w:lang w:val="sk-SK" w:bidi="bo-CN"/>
        </w:rPr>
        <w:t>Marža EBIT*: nezmenená v rozpätí 9,0 až 11,0 %</w:t>
      </w:r>
    </w:p>
    <w:p w14:paraId="790A95C6" w14:textId="77777777" w:rsidR="00D95869" w:rsidRPr="000309B7" w:rsidRDefault="00D95869" w:rsidP="00D95869">
      <w:pPr>
        <w:pStyle w:val="Odsekzoznamu"/>
        <w:numPr>
          <w:ilvl w:val="1"/>
          <w:numId w:val="11"/>
        </w:numPr>
        <w:spacing w:after="80" w:line="266" w:lineRule="auto"/>
        <w:ind w:left="709" w:right="-108" w:hanging="283"/>
        <w:contextualSpacing w:val="0"/>
        <w:jc w:val="left"/>
        <w:rPr>
          <w:rFonts w:asciiTheme="majorHAnsi" w:hAnsiTheme="majorHAnsi" w:cstheme="majorHAnsi"/>
          <w:b/>
          <w:szCs w:val="22"/>
          <w:lang w:val="sk-SK"/>
        </w:rPr>
      </w:pPr>
      <w:r w:rsidRPr="000309B7">
        <w:rPr>
          <w:rFonts w:asciiTheme="majorHAnsi" w:hAnsiTheme="majorHAnsi" w:cstheme="majorHAnsi"/>
          <w:b/>
          <w:szCs w:val="22"/>
          <w:lang w:val="sk-SK" w:bidi="bo-CN"/>
        </w:rPr>
        <w:t>V prípade výnosov na prioritnú akciu (EPS)* pri konštantných kurzových sadzbách Henkel naďalej očakáva pokles v rozpätí od -35 % do -15 %</w:t>
      </w:r>
    </w:p>
    <w:p w14:paraId="2620B801" w14:textId="77777777" w:rsidR="00D95869" w:rsidRPr="000309B7" w:rsidRDefault="00D95869" w:rsidP="00D95869">
      <w:pPr>
        <w:rPr>
          <w:rFonts w:cs="Segoe UI"/>
          <w:b/>
          <w:bCs/>
          <w:szCs w:val="22"/>
          <w:lang w:val="sk-SK"/>
        </w:rPr>
      </w:pPr>
    </w:p>
    <w:p w14:paraId="503FC791" w14:textId="77777777" w:rsidR="00D95869" w:rsidRPr="000309B7" w:rsidRDefault="00D95869" w:rsidP="00D95869">
      <w:pPr>
        <w:rPr>
          <w:rFonts w:cs="Segoe UI"/>
          <w:b/>
          <w:bCs/>
          <w:szCs w:val="22"/>
          <w:lang w:val="sk-SK"/>
        </w:rPr>
      </w:pPr>
      <w:proofErr w:type="spellStart"/>
      <w:r w:rsidRPr="000309B7">
        <w:rPr>
          <w:rFonts w:cs="Segoe UI"/>
          <w:b/>
          <w:bCs/>
          <w:szCs w:val="22"/>
          <w:lang w:val="sk-SK" w:bidi="bo-CN"/>
        </w:rPr>
        <w:t>Düsseldorf</w:t>
      </w:r>
      <w:proofErr w:type="spellEnd"/>
      <w:r w:rsidRPr="000309B7">
        <w:rPr>
          <w:rFonts w:cs="Segoe UI"/>
          <w:b/>
          <w:bCs/>
          <w:szCs w:val="22"/>
          <w:lang w:val="sk-SK" w:bidi="bo-CN"/>
        </w:rPr>
        <w:t xml:space="preserve"> – V prvom polroku 2022 spoločnosť Henkel zvýšila obrat na úrovni skupiny na približne 10,9 mld. eur,</w:t>
      </w:r>
      <w:r w:rsidRPr="000309B7">
        <w:rPr>
          <w:rFonts w:cs="Segoe UI"/>
          <w:b/>
          <w:bCs/>
          <w:szCs w:val="22"/>
          <w:lang w:val="sk-SK"/>
        </w:rPr>
        <w:t xml:space="preserve"> </w:t>
      </w:r>
      <w:r w:rsidRPr="000309B7">
        <w:rPr>
          <w:rFonts w:cs="Segoe UI"/>
          <w:b/>
          <w:bCs/>
          <w:szCs w:val="22"/>
          <w:lang w:val="sk-SK" w:bidi="bo-CN"/>
        </w:rPr>
        <w:t>čo zodpovedá výraznému zvýšeniu organického obratu až o 8,9 %.</w:t>
      </w:r>
      <w:r w:rsidRPr="000309B7">
        <w:rPr>
          <w:rFonts w:cs="Segoe UI"/>
          <w:b/>
          <w:bCs/>
          <w:szCs w:val="22"/>
          <w:lang w:val="sk-SK"/>
        </w:rPr>
        <w:t xml:space="preserve"> </w:t>
      </w:r>
      <w:r w:rsidRPr="000309B7">
        <w:rPr>
          <w:rFonts w:cs="Segoe UI"/>
          <w:b/>
          <w:bCs/>
          <w:szCs w:val="22"/>
          <w:lang w:val="sk-SK" w:bidi="bo-CN"/>
        </w:rPr>
        <w:t>K uvedenému pozitívnemu vývoju prispeli všetky obchodné divízie a regióny.</w:t>
      </w:r>
      <w:r w:rsidRPr="000309B7">
        <w:rPr>
          <w:rFonts w:cs="Segoe UI"/>
          <w:b/>
          <w:bCs/>
          <w:szCs w:val="22"/>
          <w:lang w:val="sk-SK"/>
        </w:rPr>
        <w:t xml:space="preserve"> </w:t>
      </w:r>
      <w:r w:rsidRPr="000309B7">
        <w:rPr>
          <w:rFonts w:cs="Segoe UI"/>
          <w:b/>
          <w:bCs/>
          <w:szCs w:val="22"/>
          <w:lang w:val="sk-SK" w:bidi="bo-CN"/>
        </w:rPr>
        <w:t>Výnosy v prvom polroku boli podľa očakávaní zasiahnuté drastickým nárastom cien surovín a logistiky.</w:t>
      </w:r>
      <w:r w:rsidRPr="000309B7">
        <w:rPr>
          <w:rFonts w:cs="Segoe UI"/>
          <w:b/>
          <w:bCs/>
          <w:szCs w:val="22"/>
          <w:lang w:val="sk-SK"/>
        </w:rPr>
        <w:t xml:space="preserve"> </w:t>
      </w:r>
      <w:r w:rsidRPr="000309B7">
        <w:rPr>
          <w:rFonts w:cs="Segoe UI"/>
          <w:b/>
          <w:bCs/>
          <w:szCs w:val="22"/>
          <w:lang w:val="sk-SK" w:bidi="bo-CN"/>
        </w:rPr>
        <w:t>Napriek výraznému zvýšeniu cien výrobkov, prísnemu manažmentu nákladov a ďalšiemu zlepšeniu efektívnosti sa tento vplyv nepodarilo v plnom rozsahu kompenzovať.</w:t>
      </w:r>
    </w:p>
    <w:p w14:paraId="39D7F146" w14:textId="77777777" w:rsidR="00D95869" w:rsidRPr="000309B7" w:rsidRDefault="00D95869" w:rsidP="00D95869">
      <w:pPr>
        <w:rPr>
          <w:rFonts w:cs="Segoe UI"/>
          <w:b/>
          <w:bCs/>
          <w:szCs w:val="22"/>
          <w:lang w:val="sk-SK"/>
        </w:rPr>
      </w:pPr>
    </w:p>
    <w:p w14:paraId="2C4FDDFA" w14:textId="27260C42" w:rsidR="00D95869" w:rsidRPr="000309B7" w:rsidRDefault="00D95869" w:rsidP="00D95869">
      <w:pPr>
        <w:rPr>
          <w:rFonts w:cs="Segoe UI"/>
          <w:b/>
          <w:bCs/>
          <w:szCs w:val="22"/>
          <w:lang w:val="sk-SK"/>
        </w:rPr>
      </w:pPr>
      <w:r w:rsidRPr="000309B7">
        <w:rPr>
          <w:rFonts w:cs="Segoe UI"/>
          <w:b/>
          <w:bCs/>
          <w:i/>
          <w:iCs/>
          <w:szCs w:val="22"/>
          <w:lang w:val="sk-SK" w:bidi="bo-CN"/>
        </w:rPr>
        <w:lastRenderedPageBreak/>
        <w:t xml:space="preserve"> „Vo veľmi náročnom trhovom prostredí obrat za prvých šesť mesiacov prevýšil naše predchádzajúce očakávania, zatiaľ čo výnosy sa vyvíjali v súlade s naš</w:t>
      </w:r>
      <w:r w:rsidR="006F0406" w:rsidRPr="000309B7">
        <w:rPr>
          <w:rFonts w:cs="Segoe UI"/>
          <w:b/>
          <w:bCs/>
          <w:i/>
          <w:iCs/>
          <w:szCs w:val="22"/>
          <w:lang w:val="sk-SK" w:bidi="bo-CN"/>
        </w:rPr>
        <w:t>í</w:t>
      </w:r>
      <w:r w:rsidRPr="000309B7">
        <w:rPr>
          <w:rFonts w:cs="Segoe UI"/>
          <w:b/>
          <w:bCs/>
          <w:i/>
          <w:iCs/>
          <w:szCs w:val="22"/>
          <w:lang w:val="sk-SK" w:bidi="bo-CN"/>
        </w:rPr>
        <w:t>m výhľadom na finančný rok 2022.</w:t>
      </w:r>
      <w:r w:rsidRPr="000309B7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0309B7">
        <w:rPr>
          <w:rFonts w:cs="Segoe UI"/>
          <w:b/>
          <w:bCs/>
          <w:i/>
          <w:iCs/>
          <w:szCs w:val="22"/>
          <w:lang w:val="sk-SK" w:bidi="bo-CN"/>
        </w:rPr>
        <w:t>Vzhľadom na tento vývoj sme zvýšili celoročný výhľad organického rastu obratu na úrovni skupiny a potvrdili sme výhľad vývoja marže EBIT a výnosov na prioritnú akciu,“</w:t>
      </w:r>
      <w:r w:rsidRPr="000309B7">
        <w:rPr>
          <w:rFonts w:cs="Segoe UI"/>
          <w:b/>
          <w:bCs/>
          <w:szCs w:val="22"/>
          <w:lang w:val="sk-SK" w:bidi="bo-CN"/>
        </w:rPr>
        <w:t xml:space="preserve"> povedal predseda predstavenstva spoločnosti Henkel </w:t>
      </w:r>
      <w:proofErr w:type="spellStart"/>
      <w:r w:rsidRPr="000309B7">
        <w:rPr>
          <w:rFonts w:cs="Segoe UI"/>
          <w:b/>
          <w:bCs/>
          <w:szCs w:val="22"/>
          <w:lang w:val="sk-SK" w:bidi="bo-CN"/>
        </w:rPr>
        <w:t>Carsten</w:t>
      </w:r>
      <w:proofErr w:type="spellEnd"/>
      <w:r w:rsidRPr="000309B7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0309B7">
        <w:rPr>
          <w:rFonts w:cs="Segoe UI"/>
          <w:b/>
          <w:bCs/>
          <w:szCs w:val="22"/>
          <w:lang w:val="sk-SK" w:bidi="bo-CN"/>
        </w:rPr>
        <w:t>Knobel</w:t>
      </w:r>
      <w:proofErr w:type="spellEnd"/>
      <w:r w:rsidRPr="000309B7">
        <w:rPr>
          <w:rFonts w:cs="Segoe UI"/>
          <w:b/>
          <w:bCs/>
          <w:szCs w:val="22"/>
          <w:lang w:val="sk-SK" w:bidi="bo-CN"/>
        </w:rPr>
        <w:t>.</w:t>
      </w:r>
    </w:p>
    <w:p w14:paraId="0F03879B" w14:textId="77777777" w:rsidR="00D95869" w:rsidRPr="000309B7" w:rsidRDefault="00D95869" w:rsidP="00D95869">
      <w:pPr>
        <w:rPr>
          <w:rFonts w:cs="Segoe UI"/>
          <w:b/>
          <w:bCs/>
          <w:szCs w:val="22"/>
          <w:lang w:val="sk-SK"/>
        </w:rPr>
      </w:pPr>
    </w:p>
    <w:p w14:paraId="1575F93D" w14:textId="5324D96C" w:rsidR="00D95869" w:rsidRPr="000309B7" w:rsidRDefault="00D95869" w:rsidP="00D95869">
      <w:pPr>
        <w:rPr>
          <w:rFonts w:cs="Segoe UI"/>
          <w:b/>
          <w:bCs/>
          <w:i/>
          <w:iCs/>
          <w:szCs w:val="22"/>
          <w:lang w:val="sk-SK"/>
        </w:rPr>
      </w:pPr>
      <w:r w:rsidRPr="000309B7">
        <w:rPr>
          <w:rFonts w:cs="Segoe UI"/>
          <w:b/>
          <w:bCs/>
          <w:i/>
          <w:iCs/>
          <w:szCs w:val="22"/>
          <w:lang w:val="sk-SK" w:bidi="bo-CN"/>
        </w:rPr>
        <w:t xml:space="preserve"> „</w:t>
      </w:r>
      <w:r w:rsidR="00803AF6" w:rsidRPr="000309B7">
        <w:rPr>
          <w:rFonts w:cs="Segoe UI"/>
          <w:b/>
          <w:bCs/>
          <w:i/>
          <w:iCs/>
          <w:szCs w:val="22"/>
          <w:lang w:val="sk-SK" w:bidi="bo-CN"/>
        </w:rPr>
        <w:t>Aj naďalej</w:t>
      </w:r>
      <w:r w:rsidRPr="000309B7">
        <w:rPr>
          <w:rFonts w:cs="Segoe UI"/>
          <w:b/>
          <w:bCs/>
          <w:i/>
          <w:iCs/>
          <w:szCs w:val="22"/>
          <w:lang w:val="sk-SK" w:bidi="bo-CN"/>
        </w:rPr>
        <w:t xml:space="preserve"> pokračujeme v implementácii našej stratégie zameranej na zmysluplný rast, v ktorej sme v prvom polroku 2022 dosiahli výrazný pokrok – najmä vďaka silnému odhodlaniu našich zamestnancov na celom svete.</w:t>
      </w:r>
      <w:r w:rsidRPr="000309B7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0309B7">
        <w:rPr>
          <w:rFonts w:cs="Segoe UI"/>
          <w:b/>
          <w:bCs/>
          <w:i/>
          <w:iCs/>
          <w:szCs w:val="22"/>
          <w:lang w:val="sk-SK" w:bidi="bo-CN"/>
        </w:rPr>
        <w:t xml:space="preserve">S našou divíziou </w:t>
      </w:r>
      <w:proofErr w:type="spellStart"/>
      <w:r w:rsidRPr="000309B7">
        <w:rPr>
          <w:rFonts w:cs="Segoe UI"/>
          <w:b/>
          <w:bCs/>
          <w:i/>
          <w:iCs/>
          <w:szCs w:val="22"/>
          <w:lang w:val="sk-SK" w:bidi="bo-CN"/>
        </w:rPr>
        <w:t>Adhesive</w:t>
      </w:r>
      <w:proofErr w:type="spellEnd"/>
      <w:r w:rsidRPr="000309B7">
        <w:rPr>
          <w:rFonts w:cs="Segoe UI"/>
          <w:b/>
          <w:bCs/>
          <w:i/>
          <w:iCs/>
          <w:szCs w:val="22"/>
          <w:lang w:val="sk-SK" w:bidi="bo-CN"/>
        </w:rPr>
        <w:t xml:space="preserve"> Technologies sme globálnym lídrom v oblasti inovatívnych riešení s dôrazom na budúce trendy ako mobilita, konektivita a udržateľnosť.</w:t>
      </w:r>
      <w:r w:rsidRPr="000309B7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0309B7">
        <w:rPr>
          <w:rFonts w:cs="Segoe UI"/>
          <w:b/>
          <w:bCs/>
          <w:i/>
          <w:iCs/>
          <w:szCs w:val="22"/>
          <w:lang w:val="sk-SK" w:bidi="bo-CN"/>
        </w:rPr>
        <w:t xml:space="preserve">Zlúčením našich spotrebiteľských divízií </w:t>
      </w:r>
      <w:proofErr w:type="spellStart"/>
      <w:r w:rsidRPr="000309B7">
        <w:rPr>
          <w:rFonts w:cs="Segoe UI"/>
          <w:b/>
          <w:bCs/>
          <w:i/>
          <w:iCs/>
          <w:szCs w:val="22"/>
          <w:lang w:val="sk-SK" w:bidi="bo-CN"/>
        </w:rPr>
        <w:t>Laundry</w:t>
      </w:r>
      <w:proofErr w:type="spellEnd"/>
      <w:r w:rsidRPr="000309B7">
        <w:rPr>
          <w:rFonts w:cs="Segoe UI"/>
          <w:b/>
          <w:bCs/>
          <w:i/>
          <w:iCs/>
          <w:szCs w:val="22"/>
          <w:lang w:val="sk-SK" w:bidi="bo-CN"/>
        </w:rPr>
        <w:t xml:space="preserve"> &amp; Home </w:t>
      </w:r>
      <w:proofErr w:type="spellStart"/>
      <w:r w:rsidRPr="000309B7">
        <w:rPr>
          <w:rFonts w:cs="Segoe UI"/>
          <w:b/>
          <w:bCs/>
          <w:i/>
          <w:iCs/>
          <w:szCs w:val="22"/>
          <w:lang w:val="sk-SK" w:bidi="bo-CN"/>
        </w:rPr>
        <w:t>Care</w:t>
      </w:r>
      <w:proofErr w:type="spellEnd"/>
      <w:r w:rsidRPr="000309B7">
        <w:rPr>
          <w:rFonts w:cs="Segoe UI"/>
          <w:b/>
          <w:bCs/>
          <w:i/>
          <w:iCs/>
          <w:szCs w:val="22"/>
          <w:lang w:val="sk-SK" w:bidi="bo-CN"/>
        </w:rPr>
        <w:t xml:space="preserve"> a </w:t>
      </w:r>
      <w:proofErr w:type="spellStart"/>
      <w:r w:rsidRPr="000309B7">
        <w:rPr>
          <w:rFonts w:cs="Segoe UI"/>
          <w:b/>
          <w:bCs/>
          <w:i/>
          <w:iCs/>
          <w:szCs w:val="22"/>
          <w:lang w:val="sk-SK" w:bidi="bo-CN"/>
        </w:rPr>
        <w:t>Beauty</w:t>
      </w:r>
      <w:proofErr w:type="spellEnd"/>
      <w:r w:rsidRPr="000309B7">
        <w:rPr>
          <w:rFonts w:cs="Segoe UI"/>
          <w:b/>
          <w:bCs/>
          <w:i/>
          <w:iCs/>
          <w:szCs w:val="22"/>
          <w:lang w:val="sk-SK" w:bidi="bo-CN"/>
        </w:rPr>
        <w:t xml:space="preserve"> </w:t>
      </w:r>
      <w:proofErr w:type="spellStart"/>
      <w:r w:rsidRPr="000309B7">
        <w:rPr>
          <w:rFonts w:cs="Segoe UI"/>
          <w:b/>
          <w:bCs/>
          <w:i/>
          <w:iCs/>
          <w:szCs w:val="22"/>
          <w:lang w:val="sk-SK" w:bidi="bo-CN"/>
        </w:rPr>
        <w:t>Care</w:t>
      </w:r>
      <w:proofErr w:type="spellEnd"/>
      <w:r w:rsidRPr="000309B7">
        <w:rPr>
          <w:rFonts w:cs="Segoe UI"/>
          <w:b/>
          <w:bCs/>
          <w:i/>
          <w:iCs/>
          <w:szCs w:val="22"/>
          <w:lang w:val="sk-SK" w:bidi="bo-CN"/>
        </w:rPr>
        <w:t xml:space="preserve"> vzniká </w:t>
      </w:r>
      <w:proofErr w:type="spellStart"/>
      <w:r w:rsidRPr="000309B7">
        <w:rPr>
          <w:rFonts w:cs="Segoe UI"/>
          <w:b/>
          <w:bCs/>
          <w:i/>
          <w:iCs/>
          <w:szCs w:val="22"/>
          <w:lang w:val="sk-SK" w:bidi="bo-CN"/>
        </w:rPr>
        <w:t>multiproduktová</w:t>
      </w:r>
      <w:proofErr w:type="spellEnd"/>
      <w:r w:rsidRPr="000309B7">
        <w:rPr>
          <w:rFonts w:cs="Segoe UI"/>
          <w:b/>
          <w:bCs/>
          <w:i/>
          <w:iCs/>
          <w:szCs w:val="22"/>
          <w:lang w:val="sk-SK" w:bidi="bo-CN"/>
        </w:rPr>
        <w:t xml:space="preserve"> platforma s obratom približne 10 mld. eur.</w:t>
      </w:r>
      <w:r w:rsidRPr="000309B7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0309B7">
        <w:rPr>
          <w:rFonts w:cs="Segoe UI"/>
          <w:b/>
          <w:bCs/>
          <w:i/>
          <w:iCs/>
          <w:szCs w:val="22"/>
          <w:lang w:val="sk-SK" w:bidi="bo-CN"/>
        </w:rPr>
        <w:t xml:space="preserve">Sme na dobrej ceste, aby bola naša budúca obchodná divízia </w:t>
      </w:r>
      <w:proofErr w:type="spellStart"/>
      <w:r w:rsidRPr="000309B7">
        <w:rPr>
          <w:rFonts w:cs="Segoe UI"/>
          <w:b/>
          <w:bCs/>
          <w:i/>
          <w:iCs/>
          <w:szCs w:val="22"/>
          <w:lang w:val="sk-SK" w:bidi="bo-CN"/>
        </w:rPr>
        <w:t>Consumer</w:t>
      </w:r>
      <w:proofErr w:type="spellEnd"/>
      <w:r w:rsidRPr="000309B7">
        <w:rPr>
          <w:rFonts w:cs="Segoe UI"/>
          <w:b/>
          <w:bCs/>
          <w:i/>
          <w:iCs/>
          <w:szCs w:val="22"/>
          <w:lang w:val="sk-SK" w:bidi="bo-CN"/>
        </w:rPr>
        <w:t xml:space="preserve"> </w:t>
      </w:r>
      <w:proofErr w:type="spellStart"/>
      <w:r w:rsidRPr="000309B7">
        <w:rPr>
          <w:rFonts w:cs="Segoe UI"/>
          <w:b/>
          <w:bCs/>
          <w:i/>
          <w:iCs/>
          <w:szCs w:val="22"/>
          <w:lang w:val="sk-SK" w:bidi="bo-CN"/>
        </w:rPr>
        <w:t>Brands</w:t>
      </w:r>
      <w:proofErr w:type="spellEnd"/>
      <w:r w:rsidRPr="000309B7">
        <w:rPr>
          <w:rFonts w:cs="Segoe UI"/>
          <w:b/>
          <w:bCs/>
          <w:i/>
          <w:iCs/>
          <w:szCs w:val="22"/>
          <w:lang w:val="sk-SK" w:bidi="bo-CN"/>
        </w:rPr>
        <w:t xml:space="preserve"> plne funkčná najneskôr začiatkom roka 2023.</w:t>
      </w:r>
      <w:r w:rsidRPr="000309B7">
        <w:rPr>
          <w:rFonts w:cs="Segoe UI"/>
          <w:b/>
          <w:bCs/>
          <w:i/>
          <w:iCs/>
          <w:szCs w:val="22"/>
          <w:lang w:val="sk-SK"/>
        </w:rPr>
        <w:t xml:space="preserve"> </w:t>
      </w:r>
      <w:r w:rsidRPr="000309B7">
        <w:rPr>
          <w:rFonts w:cs="Segoe UI"/>
          <w:b/>
          <w:bCs/>
          <w:i/>
          <w:iCs/>
          <w:szCs w:val="22"/>
          <w:lang w:val="sk-SK" w:bidi="bo-CN"/>
        </w:rPr>
        <w:t xml:space="preserve">Ponúkne širšiu základňu na </w:t>
      </w:r>
      <w:proofErr w:type="spellStart"/>
      <w:r w:rsidRPr="000309B7">
        <w:rPr>
          <w:rFonts w:cs="Segoe UI"/>
          <w:b/>
          <w:bCs/>
          <w:i/>
          <w:iCs/>
          <w:szCs w:val="22"/>
          <w:lang w:val="sk-SK" w:bidi="bo-CN"/>
        </w:rPr>
        <w:t>konzistentnejšiu</w:t>
      </w:r>
      <w:proofErr w:type="spellEnd"/>
      <w:r w:rsidRPr="000309B7">
        <w:rPr>
          <w:rFonts w:cs="Segoe UI"/>
          <w:b/>
          <w:bCs/>
          <w:i/>
          <w:iCs/>
          <w:szCs w:val="22"/>
          <w:lang w:val="sk-SK" w:bidi="bo-CN"/>
        </w:rPr>
        <w:t xml:space="preserve"> optimalizáciu nášho portfólia a posunie obchodnú činnosť smerom k vyššiemu rastu a maržiam.“</w:t>
      </w:r>
    </w:p>
    <w:p w14:paraId="69E747EA" w14:textId="77777777" w:rsidR="00D95869" w:rsidRPr="000309B7" w:rsidRDefault="00D95869" w:rsidP="00D95869">
      <w:pPr>
        <w:rPr>
          <w:rFonts w:cs="Segoe UI"/>
          <w:b/>
          <w:bCs/>
          <w:szCs w:val="22"/>
          <w:lang w:val="sk-SK"/>
        </w:rPr>
      </w:pPr>
    </w:p>
    <w:p w14:paraId="68BEC308" w14:textId="77777777" w:rsidR="00D95869" w:rsidRPr="000309B7" w:rsidRDefault="00D95869" w:rsidP="00D95869">
      <w:pPr>
        <w:spacing w:after="120"/>
        <w:ind w:right="-108"/>
        <w:jc w:val="left"/>
        <w:rPr>
          <w:rFonts w:cs="Segoe UI"/>
          <w:b/>
          <w:bCs/>
          <w:szCs w:val="22"/>
          <w:lang w:val="sk-SK"/>
        </w:rPr>
      </w:pPr>
      <w:r w:rsidRPr="000309B7">
        <w:rPr>
          <w:rFonts w:cs="Segoe UI"/>
          <w:b/>
          <w:bCs/>
          <w:szCs w:val="22"/>
          <w:lang w:val="sk-SK" w:bidi="bo-CN"/>
        </w:rPr>
        <w:t>Aktualizovaný výhľad na finančný rok 2022</w:t>
      </w:r>
    </w:p>
    <w:p w14:paraId="794D00BD" w14:textId="2E0BBE9F" w:rsidR="00D95869" w:rsidRPr="000309B7" w:rsidRDefault="00D95869" w:rsidP="00D95869">
      <w:pPr>
        <w:rPr>
          <w:rFonts w:cs="Segoe UI"/>
          <w:b/>
          <w:bCs/>
          <w:szCs w:val="22"/>
          <w:lang w:val="sk-SK"/>
        </w:rPr>
      </w:pPr>
      <w:r w:rsidRPr="000309B7">
        <w:rPr>
          <w:rFonts w:cs="Segoe UI"/>
          <w:b/>
          <w:bCs/>
          <w:szCs w:val="22"/>
          <w:lang w:val="sk-SK" w:bidi="bo-CN"/>
        </w:rPr>
        <w:t>Henkel v súčasnosti očakáva organický rast obratu vo finančnom roku 2022 v rozsahu +4,5 až +6,5 % (pôvodne: +3,5 až +5,5 %).</w:t>
      </w:r>
      <w:r w:rsidRPr="000309B7">
        <w:rPr>
          <w:rFonts w:cs="Segoe UI"/>
          <w:b/>
          <w:bCs/>
          <w:szCs w:val="22"/>
          <w:lang w:val="sk-SK"/>
        </w:rPr>
        <w:t xml:space="preserve"> </w:t>
      </w:r>
      <w:r w:rsidRPr="000309B7">
        <w:rPr>
          <w:rFonts w:cs="Segoe UI"/>
          <w:b/>
          <w:bCs/>
          <w:szCs w:val="22"/>
          <w:lang w:val="sk-SK" w:bidi="bo-CN"/>
        </w:rPr>
        <w:t xml:space="preserve">V prípade divízie </w:t>
      </w:r>
      <w:proofErr w:type="spellStart"/>
      <w:r w:rsidRPr="000309B7">
        <w:rPr>
          <w:rFonts w:cs="Segoe UI"/>
          <w:b/>
          <w:bCs/>
          <w:szCs w:val="22"/>
          <w:lang w:val="sk-SK" w:bidi="bo-CN"/>
        </w:rPr>
        <w:t>Adhesive</w:t>
      </w:r>
      <w:proofErr w:type="spellEnd"/>
      <w:r w:rsidRPr="000309B7">
        <w:rPr>
          <w:rFonts w:cs="Segoe UI"/>
          <w:b/>
          <w:bCs/>
          <w:szCs w:val="22"/>
          <w:lang w:val="sk-SK" w:bidi="bo-CN"/>
        </w:rPr>
        <w:t xml:space="preserve"> Technologies sa aj naďalej očakáva organický rast obratu od +8</w:t>
      </w:r>
      <w:r w:rsidR="006035FE" w:rsidRPr="000309B7">
        <w:rPr>
          <w:rFonts w:cs="Segoe UI"/>
          <w:b/>
          <w:bCs/>
          <w:szCs w:val="22"/>
          <w:lang w:val="sk-SK" w:bidi="bo-CN"/>
        </w:rPr>
        <w:t>,</w:t>
      </w:r>
      <w:r w:rsidRPr="000309B7">
        <w:rPr>
          <w:rFonts w:cs="Segoe UI"/>
          <w:b/>
          <w:bCs/>
          <w:szCs w:val="22"/>
          <w:lang w:val="sk-SK" w:bidi="bo-CN"/>
        </w:rPr>
        <w:t>0 do +10</w:t>
      </w:r>
      <w:r w:rsidR="006035FE" w:rsidRPr="000309B7">
        <w:rPr>
          <w:rFonts w:cs="Segoe UI"/>
          <w:b/>
          <w:bCs/>
          <w:szCs w:val="22"/>
          <w:lang w:val="sk-SK" w:bidi="bo-CN"/>
        </w:rPr>
        <w:t>,</w:t>
      </w:r>
      <w:r w:rsidRPr="000309B7">
        <w:rPr>
          <w:rFonts w:cs="Segoe UI"/>
          <w:b/>
          <w:bCs/>
          <w:szCs w:val="22"/>
          <w:lang w:val="sk-SK" w:bidi="bo-CN"/>
        </w:rPr>
        <w:t>0 %.</w:t>
      </w:r>
      <w:r w:rsidRPr="000309B7">
        <w:rPr>
          <w:rFonts w:cs="Segoe UI"/>
          <w:b/>
          <w:bCs/>
          <w:szCs w:val="22"/>
          <w:lang w:val="sk-SK"/>
        </w:rPr>
        <w:t xml:space="preserve"> </w:t>
      </w:r>
      <w:r w:rsidRPr="000309B7">
        <w:rPr>
          <w:rFonts w:cs="Segoe UI"/>
          <w:b/>
          <w:bCs/>
          <w:szCs w:val="22"/>
          <w:lang w:val="sk-SK" w:bidi="bo-CN"/>
        </w:rPr>
        <w:t xml:space="preserve">Pre divíziu </w:t>
      </w:r>
      <w:proofErr w:type="spellStart"/>
      <w:r w:rsidRPr="000309B7">
        <w:rPr>
          <w:rFonts w:cs="Segoe UI"/>
          <w:b/>
          <w:bCs/>
          <w:szCs w:val="22"/>
          <w:lang w:val="sk-SK" w:bidi="bo-CN"/>
        </w:rPr>
        <w:t>Beauty</w:t>
      </w:r>
      <w:proofErr w:type="spellEnd"/>
      <w:r w:rsidRPr="000309B7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0309B7">
        <w:rPr>
          <w:rFonts w:cs="Segoe UI"/>
          <w:b/>
          <w:bCs/>
          <w:szCs w:val="22"/>
          <w:lang w:val="sk-SK" w:bidi="bo-CN"/>
        </w:rPr>
        <w:t>Care</w:t>
      </w:r>
      <w:proofErr w:type="spellEnd"/>
      <w:r w:rsidRPr="000309B7">
        <w:rPr>
          <w:rFonts w:cs="Segoe UI"/>
          <w:b/>
          <w:bCs/>
          <w:szCs w:val="22"/>
          <w:lang w:val="sk-SK" w:bidi="bo-CN"/>
        </w:rPr>
        <w:t xml:space="preserve"> spoločnosť Henkel aktuálne predpokladá organický rast obratu od -3</w:t>
      </w:r>
      <w:r w:rsidR="006035FE" w:rsidRPr="000309B7">
        <w:rPr>
          <w:rFonts w:cs="Segoe UI"/>
          <w:b/>
          <w:bCs/>
          <w:szCs w:val="22"/>
          <w:lang w:val="sk-SK" w:bidi="bo-CN"/>
        </w:rPr>
        <w:t>,</w:t>
      </w:r>
      <w:r w:rsidRPr="000309B7">
        <w:rPr>
          <w:rFonts w:cs="Segoe UI"/>
          <w:b/>
          <w:bCs/>
          <w:szCs w:val="22"/>
          <w:lang w:val="sk-SK" w:bidi="bo-CN"/>
        </w:rPr>
        <w:t>0 do -1</w:t>
      </w:r>
      <w:r w:rsidR="006035FE" w:rsidRPr="000309B7">
        <w:rPr>
          <w:rFonts w:cs="Segoe UI"/>
          <w:b/>
          <w:bCs/>
          <w:szCs w:val="22"/>
          <w:lang w:val="sk-SK" w:bidi="bo-CN"/>
        </w:rPr>
        <w:t>,</w:t>
      </w:r>
      <w:r w:rsidRPr="000309B7">
        <w:rPr>
          <w:rFonts w:cs="Segoe UI"/>
          <w:b/>
          <w:bCs/>
          <w:szCs w:val="22"/>
          <w:lang w:val="sk-SK" w:bidi="bo-CN"/>
        </w:rPr>
        <w:t>0 % (pôvodne:</w:t>
      </w:r>
      <w:r w:rsidRPr="000309B7">
        <w:rPr>
          <w:rFonts w:cs="Segoe UI"/>
          <w:b/>
          <w:bCs/>
          <w:szCs w:val="22"/>
          <w:lang w:val="sk-SK"/>
        </w:rPr>
        <w:t xml:space="preserve"> -</w:t>
      </w:r>
      <w:r w:rsidRPr="000309B7">
        <w:rPr>
          <w:rFonts w:cs="Segoe UI"/>
          <w:b/>
          <w:bCs/>
          <w:szCs w:val="22"/>
          <w:lang w:val="sk-SK" w:bidi="bo-CN"/>
        </w:rPr>
        <w:t>5,0 až -3</w:t>
      </w:r>
      <w:r w:rsidR="006035FE" w:rsidRPr="000309B7">
        <w:rPr>
          <w:rFonts w:cs="Segoe UI"/>
          <w:b/>
          <w:bCs/>
          <w:szCs w:val="22"/>
          <w:lang w:val="sk-SK" w:bidi="bo-CN"/>
        </w:rPr>
        <w:t>,</w:t>
      </w:r>
      <w:r w:rsidRPr="000309B7">
        <w:rPr>
          <w:rFonts w:cs="Segoe UI"/>
          <w:b/>
          <w:bCs/>
          <w:szCs w:val="22"/>
          <w:lang w:val="sk-SK" w:bidi="bo-CN"/>
        </w:rPr>
        <w:t>0 %).</w:t>
      </w:r>
      <w:r w:rsidRPr="000309B7">
        <w:rPr>
          <w:rFonts w:cs="Segoe UI"/>
          <w:b/>
          <w:bCs/>
          <w:szCs w:val="22"/>
          <w:lang w:val="sk-SK"/>
        </w:rPr>
        <w:t xml:space="preserve"> </w:t>
      </w:r>
      <w:r w:rsidRPr="000309B7">
        <w:rPr>
          <w:rFonts w:cs="Segoe UI"/>
          <w:b/>
          <w:bCs/>
          <w:szCs w:val="22"/>
          <w:lang w:val="sk-SK" w:bidi="bo-CN"/>
        </w:rPr>
        <w:t xml:space="preserve">V prípade divízie </w:t>
      </w:r>
      <w:proofErr w:type="spellStart"/>
      <w:r w:rsidRPr="000309B7">
        <w:rPr>
          <w:rFonts w:cs="Segoe UI"/>
          <w:b/>
          <w:bCs/>
          <w:szCs w:val="22"/>
          <w:lang w:val="sk-SK" w:bidi="bo-CN"/>
        </w:rPr>
        <w:t>Laundry</w:t>
      </w:r>
      <w:proofErr w:type="spellEnd"/>
      <w:r w:rsidRPr="000309B7">
        <w:rPr>
          <w:rFonts w:cs="Segoe UI"/>
          <w:b/>
          <w:bCs/>
          <w:szCs w:val="22"/>
          <w:lang w:val="sk-SK" w:bidi="bo-CN"/>
        </w:rPr>
        <w:t xml:space="preserve"> &amp; Home </w:t>
      </w:r>
      <w:proofErr w:type="spellStart"/>
      <w:r w:rsidRPr="000309B7">
        <w:rPr>
          <w:rFonts w:cs="Segoe UI"/>
          <w:b/>
          <w:bCs/>
          <w:szCs w:val="22"/>
          <w:lang w:val="sk-SK" w:bidi="bo-CN"/>
        </w:rPr>
        <w:t>Care</w:t>
      </w:r>
      <w:proofErr w:type="spellEnd"/>
      <w:r w:rsidRPr="000309B7">
        <w:rPr>
          <w:rFonts w:cs="Segoe UI"/>
          <w:b/>
          <w:bCs/>
          <w:szCs w:val="22"/>
          <w:lang w:val="sk-SK" w:bidi="bo-CN"/>
        </w:rPr>
        <w:t xml:space="preserve"> Henkel v súčasnosti očakáva organický rast obratu približne na úrovni +4,0 až +6,0 % (pôvodne: +2,0 až +4,0 %).</w:t>
      </w:r>
      <w:r w:rsidRPr="000309B7">
        <w:rPr>
          <w:rFonts w:cs="Segoe UI"/>
          <w:b/>
          <w:bCs/>
          <w:szCs w:val="22"/>
          <w:lang w:val="sk-SK"/>
        </w:rPr>
        <w:t xml:space="preserve"> </w:t>
      </w:r>
      <w:r w:rsidRPr="000309B7">
        <w:rPr>
          <w:rFonts w:cs="Segoe UI"/>
          <w:b/>
          <w:bCs/>
          <w:szCs w:val="22"/>
          <w:lang w:val="sk-SK" w:bidi="bo-CN"/>
        </w:rPr>
        <w:t>Upravená marža EBIT na úrovni skupiny by mala ostať nezmenená a dosiahnuť 9,0 až 11,0 %.</w:t>
      </w:r>
      <w:r w:rsidRPr="000309B7">
        <w:rPr>
          <w:rFonts w:cs="Segoe UI"/>
          <w:b/>
          <w:bCs/>
          <w:szCs w:val="22"/>
          <w:lang w:val="sk-SK"/>
        </w:rPr>
        <w:t xml:space="preserve"> </w:t>
      </w:r>
      <w:r w:rsidRPr="000309B7">
        <w:rPr>
          <w:rFonts w:cs="Segoe UI"/>
          <w:b/>
          <w:bCs/>
          <w:szCs w:val="22"/>
          <w:lang w:val="sk-SK" w:bidi="bo-CN"/>
        </w:rPr>
        <w:t>V prípade upravených výnosov na prioritnú akciu (EPS) pri konštantných kurzových sadzbách Henkel aj naďalej očakáva pokles v rozpätí od -35 % do -15 %.</w:t>
      </w:r>
    </w:p>
    <w:p w14:paraId="1A225603" w14:textId="77777777" w:rsidR="00D95869" w:rsidRPr="000309B7" w:rsidRDefault="00D95869" w:rsidP="00D95869">
      <w:pPr>
        <w:rPr>
          <w:rFonts w:cs="Segoe UI"/>
          <w:b/>
          <w:bCs/>
          <w:szCs w:val="22"/>
          <w:lang w:val="sk-SK"/>
        </w:rPr>
      </w:pPr>
    </w:p>
    <w:p w14:paraId="324A749A" w14:textId="77777777" w:rsidR="00D95869" w:rsidRPr="000309B7" w:rsidRDefault="00D95869" w:rsidP="00D95869">
      <w:pPr>
        <w:spacing w:after="120"/>
        <w:ind w:right="-108"/>
        <w:jc w:val="left"/>
        <w:rPr>
          <w:rFonts w:cs="Segoe UI"/>
          <w:b/>
          <w:bCs/>
          <w:szCs w:val="22"/>
          <w:lang w:val="sk-SK"/>
        </w:rPr>
      </w:pPr>
      <w:r w:rsidRPr="000309B7">
        <w:rPr>
          <w:rFonts w:cs="Segoe UI"/>
          <w:b/>
          <w:bCs/>
          <w:szCs w:val="22"/>
          <w:lang w:val="sk-SK" w:bidi="bo-CN"/>
        </w:rPr>
        <w:t>Prebieha ukončenie obchodných aktivít v Rusku a Bielorusku</w:t>
      </w:r>
    </w:p>
    <w:p w14:paraId="6D6804AB" w14:textId="77777777" w:rsidR="00D95869" w:rsidRPr="000309B7" w:rsidRDefault="00D95869" w:rsidP="00D95869">
      <w:pPr>
        <w:rPr>
          <w:rFonts w:cs="Segoe UI"/>
          <w:b/>
          <w:bCs/>
          <w:szCs w:val="22"/>
          <w:lang w:val="sk-SK"/>
        </w:rPr>
      </w:pPr>
      <w:r w:rsidRPr="000309B7">
        <w:rPr>
          <w:rFonts w:cs="Segoe UI"/>
          <w:b/>
          <w:bCs/>
          <w:szCs w:val="22"/>
          <w:lang w:val="sk-SK" w:bidi="bo-CN"/>
        </w:rPr>
        <w:t>V apríli 2022 sa spoločnosť Henkel rozhodla ukončiť svoje obchodné aktivity v Rusku a Bielorusku.</w:t>
      </w:r>
      <w:r w:rsidRPr="000309B7">
        <w:rPr>
          <w:rFonts w:cs="Segoe UI"/>
          <w:b/>
          <w:bCs/>
          <w:szCs w:val="22"/>
          <w:lang w:val="sk-SK"/>
        </w:rPr>
        <w:t xml:space="preserve"> </w:t>
      </w:r>
      <w:r w:rsidRPr="000309B7">
        <w:rPr>
          <w:rFonts w:cs="Segoe UI"/>
          <w:b/>
          <w:bCs/>
          <w:szCs w:val="22"/>
          <w:lang w:val="sk-SK" w:bidi="bo-CN"/>
        </w:rPr>
        <w:t>Dôkladne posudzuje všetky možnosti a celý proces zamýšľa ukončiť do konca roka.</w:t>
      </w:r>
    </w:p>
    <w:p w14:paraId="74F772D5" w14:textId="77777777" w:rsidR="00A027EF" w:rsidRPr="000309B7" w:rsidRDefault="00A027EF" w:rsidP="00A027EF">
      <w:pPr>
        <w:rPr>
          <w:rFonts w:cs="Segoe UI"/>
          <w:szCs w:val="22"/>
          <w:lang w:val="sk-SK"/>
        </w:rPr>
      </w:pPr>
    </w:p>
    <w:p w14:paraId="03EAD0D7" w14:textId="77777777" w:rsidR="00215E66" w:rsidRPr="000309B7" w:rsidRDefault="00215E66" w:rsidP="00215E66">
      <w:pPr>
        <w:spacing w:after="120"/>
        <w:rPr>
          <w:rFonts w:cs="Segoe UI"/>
          <w:b/>
          <w:bCs/>
          <w:szCs w:val="22"/>
          <w:lang w:val="sk-SK"/>
        </w:rPr>
      </w:pPr>
      <w:r w:rsidRPr="000309B7">
        <w:rPr>
          <w:rFonts w:ascii="SegoeUI-Bold" w:hAnsi="SegoeUI-Bold" w:cs="SegoeUI-Bold"/>
          <w:b/>
          <w:bCs/>
          <w:szCs w:val="22"/>
          <w:lang w:val="sk-SK" w:bidi="bo-CN"/>
        </w:rPr>
        <w:t>Obrat a výnosy na úrovni skupiny v prvom polroku 2022</w:t>
      </w:r>
    </w:p>
    <w:p w14:paraId="625A7B81" w14:textId="77777777" w:rsidR="00215E66" w:rsidRPr="000309B7" w:rsidRDefault="00215E66" w:rsidP="00215E66">
      <w:pPr>
        <w:rPr>
          <w:rFonts w:cs="Segoe UI"/>
          <w:szCs w:val="22"/>
          <w:lang w:val="sk-SK"/>
        </w:rPr>
      </w:pPr>
      <w:r w:rsidRPr="000309B7">
        <w:rPr>
          <w:rFonts w:cs="Segoe UI"/>
          <w:b/>
          <w:bCs/>
          <w:szCs w:val="22"/>
          <w:lang w:val="sk-SK" w:bidi="bo-CN"/>
        </w:rPr>
        <w:t>Obrat skupiny</w:t>
      </w:r>
      <w:r w:rsidRPr="000309B7">
        <w:rPr>
          <w:rFonts w:cs="Segoe UI"/>
          <w:szCs w:val="22"/>
          <w:lang w:val="sk-SK" w:bidi="bo-CN"/>
        </w:rPr>
        <w:t xml:space="preserve"> Henkel za prvý polrok 2022 v celkovej výške 10 913 mil. eur bolo o 9,9 % vyšší v porovnaní s rovnakým obdobím predchádzajúceho roka (2. štvrťrok: 5 642 mil. eur, +13,8 %).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b/>
          <w:bCs/>
          <w:szCs w:val="22"/>
          <w:lang w:val="sk-SK" w:bidi="bo-CN"/>
        </w:rPr>
        <w:t xml:space="preserve">Organický obrat, </w:t>
      </w:r>
      <w:r w:rsidRPr="000309B7">
        <w:rPr>
          <w:rFonts w:cs="Segoe UI"/>
          <w:szCs w:val="22"/>
          <w:lang w:val="sk-SK" w:bidi="bo-CN"/>
        </w:rPr>
        <w:t xml:space="preserve">do ktorého sa nezapočítavajú kurzové vplyvy a vplyvy akvizícií a odpredaja, </w:t>
      </w:r>
      <w:r w:rsidRPr="000309B7">
        <w:rPr>
          <w:rFonts w:cs="Segoe UI"/>
          <w:szCs w:val="22"/>
          <w:lang w:val="sk-SK" w:bidi="bo-CN"/>
        </w:rPr>
        <w:lastRenderedPageBreak/>
        <w:t>zaznamenal výrazný rast o 8,9 % (2. štvrťrok: +10,9 %).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>Akvizície a odpredaje mali na obrat negatívny vplyv vo výške -1,4 % (2. štvrťrok: -1,8 %).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>Od začiatku 2. štvrťroka sa sem započítava aj vplyv ohláseného ukončenia obchodných aktivít v Rusku a Bielorusku.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>V dôsledku kurzových vplyvov sa obrat zvýšil o 2,4 % (2. štvrťrok: +4,7 %).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>Započítava sa sem aj vplyv uplatňovania štandardu IAS 29 (finančné výkazníctvo v </w:t>
      </w:r>
      <w:proofErr w:type="spellStart"/>
      <w:r w:rsidRPr="000309B7">
        <w:rPr>
          <w:rFonts w:cs="Segoe UI"/>
          <w:szCs w:val="22"/>
          <w:lang w:val="sk-SK" w:bidi="bo-CN"/>
        </w:rPr>
        <w:t>hyperinflačných</w:t>
      </w:r>
      <w:proofErr w:type="spellEnd"/>
      <w:r w:rsidRPr="000309B7">
        <w:rPr>
          <w:rFonts w:cs="Segoe UI"/>
          <w:szCs w:val="22"/>
          <w:lang w:val="sk-SK" w:bidi="bo-CN"/>
        </w:rPr>
        <w:t xml:space="preserve"> ekonomikách), ktoré je od začiatku účtovného obdobia povinné v Turecku.</w:t>
      </w:r>
    </w:p>
    <w:p w14:paraId="4440F4EE" w14:textId="77777777" w:rsidR="00215E66" w:rsidRPr="000309B7" w:rsidRDefault="00215E66" w:rsidP="00215E66">
      <w:pPr>
        <w:rPr>
          <w:rFonts w:cs="Segoe UI"/>
          <w:szCs w:val="22"/>
          <w:lang w:val="sk-SK"/>
        </w:rPr>
      </w:pPr>
    </w:p>
    <w:p w14:paraId="0B012BFA" w14:textId="77777777" w:rsidR="00215E66" w:rsidRPr="000309B7" w:rsidRDefault="00215E66" w:rsidP="00215E66">
      <w:pPr>
        <w:rPr>
          <w:rFonts w:cs="Segoe UI"/>
          <w:szCs w:val="22"/>
          <w:lang w:val="sk-SK"/>
        </w:rPr>
      </w:pPr>
      <w:r w:rsidRPr="000309B7">
        <w:rPr>
          <w:rFonts w:cs="Segoe UI"/>
          <w:szCs w:val="22"/>
          <w:lang w:val="sk-SK" w:bidi="bo-CN"/>
        </w:rPr>
        <w:t xml:space="preserve">K rastu obratu v prvom polroku najviac prispela divízia </w:t>
      </w:r>
      <w:proofErr w:type="spellStart"/>
      <w:r w:rsidRPr="000309B7">
        <w:rPr>
          <w:rFonts w:cs="Segoe UI"/>
          <w:b/>
          <w:bCs/>
          <w:szCs w:val="22"/>
          <w:lang w:val="sk-SK" w:bidi="bo-CN"/>
        </w:rPr>
        <w:t>Adhesive</w:t>
      </w:r>
      <w:proofErr w:type="spellEnd"/>
      <w:r w:rsidRPr="000309B7">
        <w:rPr>
          <w:rFonts w:cs="Segoe UI"/>
          <w:b/>
          <w:bCs/>
          <w:szCs w:val="22"/>
          <w:lang w:val="sk-SK" w:bidi="bo-CN"/>
        </w:rPr>
        <w:t xml:space="preserve"> Technologies</w:t>
      </w:r>
      <w:r w:rsidRPr="000309B7">
        <w:rPr>
          <w:rFonts w:cs="Segoe UI"/>
          <w:szCs w:val="22"/>
          <w:lang w:val="sk-SK" w:bidi="bo-CN"/>
        </w:rPr>
        <w:t>, ktorá zaznamenala dvojciferný organický rast vo výške 12,2 %.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>Organický rast obratu dosiahla vo všetkých obchodných oblastiach.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 xml:space="preserve">Divízia </w:t>
      </w:r>
      <w:proofErr w:type="spellStart"/>
      <w:r w:rsidRPr="000309B7">
        <w:rPr>
          <w:rFonts w:cs="Segoe UI"/>
          <w:b/>
          <w:bCs/>
          <w:szCs w:val="22"/>
          <w:lang w:val="sk-SK" w:bidi="bo-CN"/>
        </w:rPr>
        <w:t>Beauty</w:t>
      </w:r>
      <w:proofErr w:type="spellEnd"/>
      <w:r w:rsidRPr="000309B7">
        <w:rPr>
          <w:rFonts w:cs="Segoe UI"/>
          <w:szCs w:val="22"/>
          <w:lang w:val="sk-SK" w:bidi="bo-CN"/>
        </w:rPr>
        <w:t xml:space="preserve"> </w:t>
      </w:r>
      <w:proofErr w:type="spellStart"/>
      <w:r w:rsidRPr="000309B7">
        <w:rPr>
          <w:rFonts w:cs="Segoe UI"/>
          <w:b/>
          <w:bCs/>
          <w:szCs w:val="22"/>
          <w:lang w:val="sk-SK" w:bidi="bo-CN"/>
        </w:rPr>
        <w:t>Care</w:t>
      </w:r>
      <w:proofErr w:type="spellEnd"/>
      <w:r w:rsidRPr="000309B7">
        <w:rPr>
          <w:rFonts w:cs="Segoe UI"/>
          <w:szCs w:val="22"/>
          <w:lang w:val="sk-SK" w:bidi="bo-CN"/>
        </w:rPr>
        <w:t xml:space="preserve"> dosiahla v prvom polroku organický rast obratu vo výške 0,4 %.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>Dvojciferný organický rast obratu zaznamenala v segmente profesionálnej vlasovej kozmetiky.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>Naopak segment spotrebného tovaru zaostal za úrovňou z predchádzajúceho roka, a to najmä v dôsledku avizovaných opatrení na zlepšenie portfólia.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 xml:space="preserve">Divízia </w:t>
      </w:r>
      <w:proofErr w:type="spellStart"/>
      <w:r w:rsidRPr="000309B7">
        <w:rPr>
          <w:rFonts w:cs="Segoe UI"/>
          <w:b/>
          <w:bCs/>
          <w:szCs w:val="22"/>
          <w:lang w:val="sk-SK" w:bidi="bo-CN"/>
        </w:rPr>
        <w:t>Laundry</w:t>
      </w:r>
      <w:proofErr w:type="spellEnd"/>
      <w:r w:rsidRPr="000309B7">
        <w:rPr>
          <w:rFonts w:cs="Segoe UI"/>
          <w:b/>
          <w:bCs/>
          <w:szCs w:val="22"/>
          <w:lang w:val="sk-SK" w:bidi="bo-CN"/>
        </w:rPr>
        <w:t xml:space="preserve"> &amp; Home </w:t>
      </w:r>
      <w:proofErr w:type="spellStart"/>
      <w:r w:rsidRPr="000309B7">
        <w:rPr>
          <w:rFonts w:cs="Segoe UI"/>
          <w:b/>
          <w:bCs/>
          <w:szCs w:val="22"/>
          <w:lang w:val="sk-SK" w:bidi="bo-CN"/>
        </w:rPr>
        <w:t>Care</w:t>
      </w:r>
      <w:proofErr w:type="spellEnd"/>
      <w:r w:rsidRPr="000309B7">
        <w:rPr>
          <w:rFonts w:cs="Segoe UI"/>
          <w:szCs w:val="22"/>
          <w:lang w:val="sk-SK" w:bidi="bo-CN"/>
        </w:rPr>
        <w:t xml:space="preserve"> dosiahla výrazný organický rast obratu na úrovni 7,4 %, ku ktorému prispel predovšetkým dvojciferný rast v segmente pracích prostriedkov.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>Segment čistiacich prostriedkov pre domácnosť zaznamenal v prvom polroku pozitívny vývoj organického obratu.</w:t>
      </w:r>
    </w:p>
    <w:p w14:paraId="4700BD4F" w14:textId="77777777" w:rsidR="00215E66" w:rsidRPr="000309B7" w:rsidRDefault="00215E66" w:rsidP="00215E66">
      <w:pPr>
        <w:rPr>
          <w:rFonts w:cs="Segoe UI"/>
          <w:szCs w:val="22"/>
          <w:lang w:val="sk-SK"/>
        </w:rPr>
      </w:pPr>
    </w:p>
    <w:p w14:paraId="026B4EFA" w14:textId="77777777" w:rsidR="00215E66" w:rsidRPr="000309B7" w:rsidRDefault="00215E66" w:rsidP="00215E66">
      <w:pPr>
        <w:rPr>
          <w:rFonts w:cs="Segoe UI"/>
          <w:szCs w:val="22"/>
          <w:lang w:val="sk-SK"/>
        </w:rPr>
      </w:pPr>
      <w:r w:rsidRPr="000309B7">
        <w:rPr>
          <w:rFonts w:cs="Segoe UI"/>
          <w:b/>
          <w:szCs w:val="22"/>
          <w:lang w:val="sk-SK" w:bidi="bo-CN"/>
        </w:rPr>
        <w:t>Rozvíjajúce</w:t>
      </w:r>
      <w:r w:rsidRPr="000309B7">
        <w:rPr>
          <w:rFonts w:cs="Segoe UI"/>
          <w:bCs/>
          <w:szCs w:val="22"/>
          <w:lang w:val="sk-SK" w:bidi="bo-CN"/>
        </w:rPr>
        <w:t xml:space="preserve"> </w:t>
      </w:r>
      <w:r w:rsidRPr="000309B7">
        <w:rPr>
          <w:rFonts w:cs="Segoe UI"/>
          <w:b/>
          <w:szCs w:val="22"/>
          <w:lang w:val="sk-SK" w:bidi="bo-CN"/>
        </w:rPr>
        <w:t xml:space="preserve">sa trhy </w:t>
      </w:r>
      <w:r w:rsidRPr="000309B7">
        <w:rPr>
          <w:rFonts w:cs="Segoe UI"/>
          <w:bCs/>
          <w:szCs w:val="22"/>
          <w:lang w:val="sk-SK" w:bidi="bo-CN"/>
        </w:rPr>
        <w:t>dosiahli dvojciferný organický rast vo výške 12,9 % (2. štvrťrok: +14,6 %),</w:t>
      </w:r>
      <w:r w:rsidRPr="000309B7">
        <w:rPr>
          <w:rFonts w:cs="Segoe UI"/>
          <w:bCs/>
          <w:szCs w:val="22"/>
          <w:lang w:val="sk-SK"/>
        </w:rPr>
        <w:t xml:space="preserve"> </w:t>
      </w:r>
      <w:r w:rsidRPr="000309B7">
        <w:rPr>
          <w:rFonts w:cs="Segoe UI"/>
          <w:bCs/>
          <w:szCs w:val="22"/>
          <w:lang w:val="sk-SK" w:bidi="bo-CN"/>
        </w:rPr>
        <w:t xml:space="preserve">zatiaľ čo </w:t>
      </w:r>
      <w:r w:rsidRPr="000309B7">
        <w:rPr>
          <w:rFonts w:cs="Segoe UI"/>
          <w:b/>
          <w:szCs w:val="22"/>
          <w:lang w:val="sk-SK" w:bidi="bo-CN"/>
        </w:rPr>
        <w:t xml:space="preserve">vyspelé trhy </w:t>
      </w:r>
      <w:r w:rsidRPr="000309B7">
        <w:rPr>
          <w:rFonts w:cs="Segoe UI"/>
          <w:bCs/>
          <w:szCs w:val="22"/>
          <w:lang w:val="sk-SK" w:bidi="bo-CN"/>
        </w:rPr>
        <w:t>organicky vzrástli o 5,5 % (2. štvrťrok: +7,8 %).</w:t>
      </w:r>
    </w:p>
    <w:p w14:paraId="69C1870A" w14:textId="77777777" w:rsidR="00215E66" w:rsidRPr="000309B7" w:rsidRDefault="00215E66" w:rsidP="00215E66">
      <w:pPr>
        <w:rPr>
          <w:rFonts w:cs="Segoe UI"/>
          <w:szCs w:val="22"/>
          <w:lang w:val="sk-SK"/>
        </w:rPr>
      </w:pPr>
    </w:p>
    <w:p w14:paraId="406669A5" w14:textId="77777777" w:rsidR="00215E66" w:rsidRPr="000309B7" w:rsidRDefault="00215E66" w:rsidP="00215E66">
      <w:pPr>
        <w:rPr>
          <w:rFonts w:cs="Segoe UI"/>
          <w:szCs w:val="22"/>
          <w:lang w:val="sk-SK"/>
        </w:rPr>
      </w:pPr>
      <w:r w:rsidRPr="000309B7">
        <w:rPr>
          <w:rFonts w:cs="Segoe UI"/>
          <w:szCs w:val="22"/>
          <w:lang w:val="sk-SK" w:bidi="bo-CN"/>
        </w:rPr>
        <w:t xml:space="preserve">V </w:t>
      </w:r>
      <w:r w:rsidRPr="000309B7">
        <w:rPr>
          <w:rFonts w:cs="Segoe UI"/>
          <w:b/>
          <w:bCs/>
          <w:szCs w:val="22"/>
          <w:lang w:val="sk-SK" w:bidi="bo-CN"/>
        </w:rPr>
        <w:t>západnej Európe</w:t>
      </w:r>
      <w:r w:rsidRPr="000309B7">
        <w:rPr>
          <w:rFonts w:cs="Segoe UI"/>
          <w:szCs w:val="22"/>
          <w:lang w:val="sk-SK" w:bidi="bo-CN"/>
        </w:rPr>
        <w:t xml:space="preserve"> dosiahol rast organického obratu v prvom polroku výšku 2,2 % (2. štvrťrok: +4,8 %).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 xml:space="preserve">Vo </w:t>
      </w:r>
      <w:r w:rsidRPr="000309B7">
        <w:rPr>
          <w:rFonts w:cs="Segoe UI"/>
          <w:b/>
          <w:bCs/>
          <w:szCs w:val="22"/>
          <w:lang w:val="sk-SK" w:bidi="bo-CN"/>
        </w:rPr>
        <w:t xml:space="preserve">východnej Európe </w:t>
      </w:r>
      <w:r w:rsidRPr="000309B7">
        <w:rPr>
          <w:rFonts w:cs="Segoe UI"/>
          <w:szCs w:val="22"/>
          <w:lang w:val="sk-SK" w:bidi="bo-CN"/>
        </w:rPr>
        <w:t>predstavoval organický rast obratu 23,2 % (2. štvrťrok: +26,3 %).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 xml:space="preserve">V </w:t>
      </w:r>
      <w:r w:rsidRPr="000309B7">
        <w:rPr>
          <w:rFonts w:cs="Segoe UI"/>
          <w:b/>
          <w:bCs/>
          <w:szCs w:val="22"/>
          <w:lang w:val="sk-SK" w:bidi="bo-CN"/>
        </w:rPr>
        <w:t xml:space="preserve">Afrike a na Strednom východe </w:t>
      </w:r>
      <w:r w:rsidRPr="000309B7">
        <w:rPr>
          <w:rFonts w:cs="Segoe UI"/>
          <w:szCs w:val="22"/>
          <w:lang w:val="sk-SK" w:bidi="bo-CN"/>
        </w:rPr>
        <w:t>obrat organicky vzrástol o 3,2 % (2. štvrťrok: +5,1%).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>Organický rast obratu v </w:t>
      </w:r>
      <w:r w:rsidRPr="000309B7">
        <w:rPr>
          <w:rFonts w:cs="Segoe UI"/>
          <w:b/>
          <w:bCs/>
          <w:szCs w:val="22"/>
          <w:lang w:val="sk-SK" w:bidi="bo-CN"/>
        </w:rPr>
        <w:t>Severnej Amerike</w:t>
      </w:r>
      <w:r w:rsidRPr="000309B7">
        <w:rPr>
          <w:rFonts w:cs="Segoe UI"/>
          <w:szCs w:val="22"/>
          <w:lang w:val="sk-SK" w:bidi="bo-CN"/>
        </w:rPr>
        <w:t xml:space="preserve"> bol na úrovni 9,2 % (2. štvrťrok: +11,7 %).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b/>
          <w:bCs/>
          <w:szCs w:val="22"/>
          <w:lang w:val="sk-SK" w:bidi="bo-CN"/>
        </w:rPr>
        <w:t xml:space="preserve">Latinská Amerika </w:t>
      </w:r>
      <w:r w:rsidRPr="000309B7">
        <w:rPr>
          <w:rFonts w:cs="Segoe UI"/>
          <w:szCs w:val="22"/>
          <w:lang w:val="sk-SK" w:bidi="bo-CN"/>
        </w:rPr>
        <w:t>zaznamenala organický rast obratu na úrovni 16,9 % (2. štvrťrok: +18,5 %).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>V </w:t>
      </w:r>
      <w:r w:rsidRPr="000309B7">
        <w:rPr>
          <w:rFonts w:cs="Segoe UI"/>
          <w:b/>
          <w:bCs/>
          <w:szCs w:val="22"/>
          <w:lang w:val="sk-SK" w:bidi="bo-CN"/>
        </w:rPr>
        <w:t xml:space="preserve">ázijsko-pacifickom regióne </w:t>
      </w:r>
      <w:r w:rsidRPr="000309B7">
        <w:rPr>
          <w:rFonts w:cs="Segoe UI"/>
          <w:szCs w:val="22"/>
          <w:lang w:val="sk-SK" w:bidi="bo-CN"/>
        </w:rPr>
        <w:t>sa obrat organicky zvýšil o 6,1 % (2. štvrťrok: +6,9 %).</w:t>
      </w:r>
    </w:p>
    <w:p w14:paraId="33EFB5B6" w14:textId="77777777" w:rsidR="00215E66" w:rsidRPr="000309B7" w:rsidRDefault="00215E66" w:rsidP="00215E66">
      <w:pPr>
        <w:rPr>
          <w:rFonts w:cs="Segoe UI"/>
          <w:szCs w:val="22"/>
          <w:lang w:val="sk-SK"/>
        </w:rPr>
      </w:pPr>
    </w:p>
    <w:p w14:paraId="0E1AC7A2" w14:textId="77777777" w:rsidR="00215E66" w:rsidRPr="000309B7" w:rsidRDefault="00215E66" w:rsidP="00215E66">
      <w:pPr>
        <w:rPr>
          <w:rFonts w:cs="Segoe UI"/>
          <w:bCs/>
          <w:szCs w:val="22"/>
          <w:lang w:val="sk-SK"/>
        </w:rPr>
      </w:pPr>
      <w:bookmarkStart w:id="1" w:name="_Hlk109402106"/>
      <w:r w:rsidRPr="000309B7">
        <w:rPr>
          <w:b/>
          <w:bCs/>
          <w:lang w:val="sk-SK" w:bidi="bo-CN"/>
        </w:rPr>
        <w:t xml:space="preserve">Upravený prevádzkový zisk (upravený EBIT) </w:t>
      </w:r>
      <w:r w:rsidRPr="000309B7">
        <w:rPr>
          <w:lang w:val="sk-SK" w:bidi="bo-CN"/>
        </w:rPr>
        <w:t>dosiahol v prvom polroku 1 166 mil. eur v porovnaní s 1 430 mil. eur v rovnakom období predchádzajúceho roka.</w:t>
      </w:r>
      <w:r w:rsidRPr="000309B7">
        <w:rPr>
          <w:lang w:val="sk-SK"/>
        </w:rPr>
        <w:t xml:space="preserve"> </w:t>
      </w:r>
      <w:r w:rsidRPr="000309B7">
        <w:rPr>
          <w:lang w:val="sk-SK" w:bidi="bo-CN"/>
        </w:rPr>
        <w:t>K poklesu došlo najmä pre výrazne vyššie ceny priamych materiálových vstupov.</w:t>
      </w:r>
    </w:p>
    <w:bookmarkEnd w:id="1"/>
    <w:p w14:paraId="34695464" w14:textId="77777777" w:rsidR="00215E66" w:rsidRPr="000309B7" w:rsidRDefault="00215E66" w:rsidP="00215E66">
      <w:pPr>
        <w:rPr>
          <w:rFonts w:cs="Segoe UI"/>
          <w:bCs/>
          <w:szCs w:val="22"/>
          <w:lang w:val="sk-SK"/>
        </w:rPr>
      </w:pPr>
    </w:p>
    <w:p w14:paraId="47D73F31" w14:textId="77777777" w:rsidR="00215E66" w:rsidRPr="000309B7" w:rsidRDefault="00215E66" w:rsidP="00215E66">
      <w:pPr>
        <w:rPr>
          <w:rFonts w:cs="Segoe UI"/>
          <w:szCs w:val="22"/>
          <w:lang w:val="sk-SK"/>
        </w:rPr>
      </w:pPr>
      <w:r w:rsidRPr="000309B7">
        <w:rPr>
          <w:rFonts w:cs="Segoe UI"/>
          <w:b/>
          <w:bCs/>
          <w:szCs w:val="22"/>
          <w:lang w:val="sk-SK" w:bidi="bo-CN"/>
        </w:rPr>
        <w:t xml:space="preserve">Upravená výnosnosť predaja (upravená marža EBIT) </w:t>
      </w:r>
      <w:r w:rsidRPr="000309B7">
        <w:rPr>
          <w:rFonts w:cs="Segoe UI"/>
          <w:szCs w:val="22"/>
          <w:lang w:val="sk-SK" w:bidi="bo-CN"/>
        </w:rPr>
        <w:t>klesla z 14,4 % na 10,7 % z dôvodu výrazne vyšších cien priamych materiálových vstupov.</w:t>
      </w:r>
    </w:p>
    <w:p w14:paraId="27A023DA" w14:textId="77777777" w:rsidR="00215E66" w:rsidRPr="000309B7" w:rsidRDefault="00215E66" w:rsidP="00215E66">
      <w:pPr>
        <w:rPr>
          <w:rFonts w:cs="Segoe UI"/>
          <w:bCs/>
          <w:szCs w:val="22"/>
          <w:lang w:val="sk-SK"/>
        </w:rPr>
      </w:pPr>
      <w:r w:rsidRPr="000309B7">
        <w:rPr>
          <w:rFonts w:cs="Segoe UI"/>
          <w:b/>
          <w:szCs w:val="22"/>
          <w:lang w:val="sk-SK" w:bidi="bo-CN"/>
        </w:rPr>
        <w:t xml:space="preserve">Upravený výnos na prioritnú akciu </w:t>
      </w:r>
      <w:r w:rsidRPr="000309B7">
        <w:rPr>
          <w:rFonts w:cs="Segoe UI"/>
          <w:bCs/>
          <w:szCs w:val="22"/>
          <w:lang w:val="sk-SK" w:bidi="bo-CN"/>
        </w:rPr>
        <w:t>bol 1,95 eur v prvom polroku 2022.</w:t>
      </w:r>
      <w:r w:rsidRPr="000309B7">
        <w:rPr>
          <w:rFonts w:cs="Segoe UI"/>
          <w:bCs/>
          <w:szCs w:val="22"/>
          <w:lang w:val="sk-SK"/>
        </w:rPr>
        <w:t xml:space="preserve"> </w:t>
      </w:r>
      <w:r w:rsidRPr="000309B7">
        <w:rPr>
          <w:rFonts w:cs="Segoe UI"/>
          <w:bCs/>
          <w:szCs w:val="22"/>
          <w:lang w:val="sk-SK" w:bidi="bo-CN"/>
        </w:rPr>
        <w:t>Pri konštantných kurzových sadzbách to predstavuje medziročný pokles vo výške 20,8 %.</w:t>
      </w:r>
      <w:r w:rsidRPr="000309B7">
        <w:rPr>
          <w:rFonts w:cs="Segoe UI"/>
          <w:bCs/>
          <w:szCs w:val="22"/>
          <w:lang w:val="sk-SK"/>
        </w:rPr>
        <w:t xml:space="preserve"> </w:t>
      </w:r>
      <w:r w:rsidRPr="000309B7">
        <w:rPr>
          <w:rFonts w:cs="Segoe UI"/>
          <w:bCs/>
          <w:szCs w:val="22"/>
          <w:lang w:val="sk-SK" w:bidi="bo-CN"/>
        </w:rPr>
        <w:t>Aj tento vývoj bol spôsobený hlavne výrazným zvýšením cien priamych materiálových vstupov.</w:t>
      </w:r>
    </w:p>
    <w:p w14:paraId="458C2EFF" w14:textId="77777777" w:rsidR="00215E66" w:rsidRPr="000309B7" w:rsidRDefault="00215E66" w:rsidP="00215E66">
      <w:pPr>
        <w:rPr>
          <w:rFonts w:cs="Segoe UI"/>
          <w:szCs w:val="22"/>
          <w:lang w:val="sk-SK"/>
        </w:rPr>
      </w:pPr>
    </w:p>
    <w:p w14:paraId="2DF3CD72" w14:textId="77777777" w:rsidR="00215E66" w:rsidRPr="000309B7" w:rsidRDefault="00215E66" w:rsidP="00215E66">
      <w:pPr>
        <w:rPr>
          <w:rFonts w:cs="Segoe UI"/>
          <w:szCs w:val="22"/>
          <w:lang w:val="sk-SK"/>
        </w:rPr>
      </w:pPr>
      <w:r w:rsidRPr="000309B7">
        <w:rPr>
          <w:rFonts w:cs="Segoe UI"/>
          <w:b/>
          <w:bCs/>
          <w:szCs w:val="22"/>
          <w:lang w:val="sk-SK" w:bidi="bo-CN"/>
        </w:rPr>
        <w:lastRenderedPageBreak/>
        <w:t xml:space="preserve">Pomer čistého prevádzkového kapitálu k obratu </w:t>
      </w:r>
      <w:r w:rsidRPr="000309B7">
        <w:rPr>
          <w:rFonts w:cs="Segoe UI"/>
          <w:szCs w:val="22"/>
          <w:lang w:val="sk-SK" w:bidi="bo-CN"/>
        </w:rPr>
        <w:t>sa zvýšil o 1,6 percentuálneho bodu na 5,2 % (rovnaké obdobie predchádzajúceho roka: 3,6 %), a to tiež pod vplyvom prudkého rastu cien surovín.</w:t>
      </w:r>
    </w:p>
    <w:p w14:paraId="7D1D5BF6" w14:textId="77777777" w:rsidR="00215E66" w:rsidRPr="000309B7" w:rsidRDefault="00215E66" w:rsidP="00215E66">
      <w:pPr>
        <w:rPr>
          <w:rFonts w:cs="Segoe UI"/>
          <w:szCs w:val="22"/>
          <w:lang w:val="sk-SK"/>
        </w:rPr>
      </w:pPr>
    </w:p>
    <w:p w14:paraId="6A5DEC7E" w14:textId="77777777" w:rsidR="00215E66" w:rsidRPr="000309B7" w:rsidRDefault="00215E66" w:rsidP="00215E66">
      <w:pPr>
        <w:autoSpaceDE w:val="0"/>
        <w:autoSpaceDN w:val="0"/>
        <w:adjustRightInd w:val="0"/>
        <w:rPr>
          <w:rFonts w:cs="Segoe UI"/>
          <w:szCs w:val="22"/>
          <w:lang w:val="sk-SK"/>
        </w:rPr>
      </w:pPr>
      <w:r w:rsidRPr="000309B7">
        <w:rPr>
          <w:rFonts w:cs="Segoe UI"/>
          <w:b/>
          <w:bCs/>
          <w:szCs w:val="22"/>
          <w:lang w:val="sk-SK" w:bidi="bo-CN"/>
        </w:rPr>
        <w:t xml:space="preserve">Voľný cash </w:t>
      </w:r>
      <w:proofErr w:type="spellStart"/>
      <w:r w:rsidRPr="000309B7">
        <w:rPr>
          <w:rFonts w:cs="Segoe UI"/>
          <w:b/>
          <w:bCs/>
          <w:szCs w:val="22"/>
          <w:lang w:val="sk-SK" w:bidi="bo-CN"/>
        </w:rPr>
        <w:t>flow</w:t>
      </w:r>
      <w:proofErr w:type="spellEnd"/>
      <w:r w:rsidRPr="000309B7">
        <w:rPr>
          <w:rFonts w:cs="Segoe UI"/>
          <w:b/>
          <w:bCs/>
          <w:szCs w:val="22"/>
          <w:lang w:val="sk-SK" w:bidi="bo-CN"/>
        </w:rPr>
        <w:t xml:space="preserve"> </w:t>
      </w:r>
      <w:r w:rsidRPr="000309B7">
        <w:rPr>
          <w:rFonts w:cs="Segoe UI"/>
          <w:szCs w:val="22"/>
          <w:lang w:val="sk-SK" w:bidi="bo-CN"/>
        </w:rPr>
        <w:t xml:space="preserve">v hodnote 46 mil. eur bol nižší v porovnaní s prvým polrokom 2021 (471 mil. eur) najmä z dôvodu slabšieho cash </w:t>
      </w:r>
      <w:proofErr w:type="spellStart"/>
      <w:r w:rsidRPr="000309B7">
        <w:rPr>
          <w:rFonts w:cs="Segoe UI"/>
          <w:szCs w:val="22"/>
          <w:lang w:val="sk-SK" w:bidi="bo-CN"/>
        </w:rPr>
        <w:t>flowu</w:t>
      </w:r>
      <w:proofErr w:type="spellEnd"/>
      <w:r w:rsidRPr="000309B7">
        <w:rPr>
          <w:rFonts w:cs="Segoe UI"/>
          <w:szCs w:val="22"/>
          <w:lang w:val="sk-SK" w:bidi="bo-CN"/>
        </w:rPr>
        <w:t xml:space="preserve"> z prevádzkových činností v dôsledku nižšieho prevádzkového zisku a vyššieho čistého prevádzkového kapitálu.</w:t>
      </w:r>
    </w:p>
    <w:p w14:paraId="30468EFE" w14:textId="77777777" w:rsidR="00215E66" w:rsidRPr="000309B7" w:rsidRDefault="00215E66" w:rsidP="00215E66">
      <w:pPr>
        <w:rPr>
          <w:rFonts w:cs="Segoe UI"/>
          <w:szCs w:val="22"/>
          <w:lang w:val="sk-SK"/>
        </w:rPr>
      </w:pPr>
    </w:p>
    <w:p w14:paraId="1DE86B5C" w14:textId="77777777" w:rsidR="00215E66" w:rsidRPr="000309B7" w:rsidRDefault="00215E66" w:rsidP="00215E66">
      <w:pPr>
        <w:rPr>
          <w:lang w:val="sk-SK"/>
        </w:rPr>
      </w:pPr>
      <w:r w:rsidRPr="000309B7">
        <w:rPr>
          <w:lang w:val="sk-SK" w:bidi="bo-CN"/>
        </w:rPr>
        <w:t xml:space="preserve">K 30. júnu 2022 bola </w:t>
      </w:r>
      <w:r w:rsidRPr="000309B7">
        <w:rPr>
          <w:b/>
          <w:bCs/>
          <w:lang w:val="sk-SK" w:bidi="bo-CN"/>
        </w:rPr>
        <w:t>čistá finančná pozícia</w:t>
      </w:r>
      <w:r w:rsidRPr="000309B7">
        <w:rPr>
          <w:lang w:val="sk-SK" w:bidi="bo-CN"/>
        </w:rPr>
        <w:t xml:space="preserve"> na úrovni -1 441 mil. eur (31. december 2021: -292 mil. eur).</w:t>
      </w:r>
      <w:r w:rsidRPr="000309B7">
        <w:rPr>
          <w:lang w:val="sk-SK"/>
        </w:rPr>
        <w:t xml:space="preserve"> </w:t>
      </w:r>
      <w:r w:rsidRPr="000309B7">
        <w:rPr>
          <w:lang w:val="sk-SK" w:bidi="bo-CN"/>
        </w:rPr>
        <w:t>Tento vývoj odráža aj výdavky na program spätného odkupu akcií, ktorý bol spustený vo februári 2022, vo výške približne 430 mil. eur a výplatu dividend vo výške okolo 800 mil. eur v druhom štvrťroku.</w:t>
      </w:r>
    </w:p>
    <w:p w14:paraId="786B6E07" w14:textId="77777777" w:rsidR="00215E66" w:rsidRPr="000309B7" w:rsidRDefault="00215E66" w:rsidP="00215E66">
      <w:pPr>
        <w:spacing w:after="120"/>
        <w:rPr>
          <w:rFonts w:cs="Segoe UI"/>
          <w:b/>
          <w:bCs/>
          <w:szCs w:val="22"/>
          <w:lang w:val="sk-SK" w:eastAsia="de-DE"/>
        </w:rPr>
      </w:pPr>
    </w:p>
    <w:p w14:paraId="4C68F8EE" w14:textId="77777777" w:rsidR="00215E66" w:rsidRPr="000309B7" w:rsidRDefault="00215E66" w:rsidP="00215E66">
      <w:pPr>
        <w:spacing w:after="120"/>
        <w:rPr>
          <w:rFonts w:cs="Segoe UI"/>
          <w:b/>
          <w:bCs/>
          <w:szCs w:val="22"/>
          <w:lang w:val="sk-SK" w:eastAsia="de-DE"/>
        </w:rPr>
      </w:pPr>
      <w:r w:rsidRPr="000309B7">
        <w:rPr>
          <w:rFonts w:ascii="SegoeUI-Bold" w:hAnsi="SegoeUI-Bold" w:cs="SegoeUI-Bold"/>
          <w:b/>
          <w:bCs/>
          <w:szCs w:val="22"/>
          <w:lang w:val="sk-SK" w:bidi="bo-CN"/>
        </w:rPr>
        <w:t>Výsledky obchodných divízií v prvom polroku 2022</w:t>
      </w:r>
    </w:p>
    <w:p w14:paraId="72229BFF" w14:textId="77777777" w:rsidR="00215E66" w:rsidRPr="000309B7" w:rsidRDefault="00215E66" w:rsidP="00215E66">
      <w:pPr>
        <w:rPr>
          <w:rFonts w:cs="Segoe UI"/>
          <w:szCs w:val="22"/>
          <w:lang w:val="sk-SK"/>
        </w:rPr>
      </w:pPr>
      <w:r w:rsidRPr="000309B7">
        <w:rPr>
          <w:rFonts w:cs="Segoe UI"/>
          <w:szCs w:val="22"/>
          <w:lang w:val="sk-SK" w:bidi="bo-CN"/>
        </w:rPr>
        <w:t xml:space="preserve">V prvom polokru 2022 </w:t>
      </w:r>
      <w:r w:rsidRPr="000309B7">
        <w:rPr>
          <w:rFonts w:cs="Segoe UI"/>
          <w:b/>
          <w:bCs/>
          <w:szCs w:val="22"/>
          <w:lang w:val="sk-SK" w:bidi="bo-CN"/>
        </w:rPr>
        <w:t>obrat</w:t>
      </w:r>
      <w:r w:rsidRPr="000309B7">
        <w:rPr>
          <w:rFonts w:cs="Segoe UI"/>
          <w:szCs w:val="22"/>
          <w:lang w:val="sk-SK" w:bidi="bo-CN"/>
        </w:rPr>
        <w:t xml:space="preserve"> obchodnej divízie </w:t>
      </w:r>
      <w:proofErr w:type="spellStart"/>
      <w:r w:rsidRPr="000309B7">
        <w:rPr>
          <w:rFonts w:cs="Segoe UI"/>
          <w:b/>
          <w:bCs/>
          <w:szCs w:val="22"/>
          <w:lang w:val="sk-SK" w:bidi="bo-CN"/>
        </w:rPr>
        <w:t>Adhesive</w:t>
      </w:r>
      <w:proofErr w:type="spellEnd"/>
      <w:r w:rsidRPr="000309B7">
        <w:rPr>
          <w:rFonts w:cs="Segoe UI"/>
          <w:b/>
          <w:bCs/>
          <w:szCs w:val="22"/>
          <w:lang w:val="sk-SK" w:bidi="bo-CN"/>
        </w:rPr>
        <w:t xml:space="preserve"> Technologies</w:t>
      </w:r>
      <w:r w:rsidRPr="000309B7">
        <w:rPr>
          <w:rFonts w:cs="Segoe UI"/>
          <w:szCs w:val="22"/>
          <w:lang w:val="sk-SK" w:bidi="bo-CN"/>
        </w:rPr>
        <w:t xml:space="preserve"> nominálne vzrástol o 15,0 % na  5 467 mil. eur (2. štvrťrok: 2 836 mil. eur; +18,5 %).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b/>
          <w:bCs/>
          <w:szCs w:val="22"/>
          <w:lang w:val="sk-SK" w:bidi="bo-CN"/>
        </w:rPr>
        <w:t xml:space="preserve">Organický obrat </w:t>
      </w:r>
      <w:r w:rsidRPr="000309B7">
        <w:rPr>
          <w:rFonts w:cs="Segoe UI"/>
          <w:szCs w:val="22"/>
          <w:lang w:val="sk-SK" w:bidi="bo-CN"/>
        </w:rPr>
        <w:t>sa zvýšil o 12,2 % (2. štvrťrok: +13,7 %).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>K uvedenému vývoju prispeli všetky obchodné divízie a regióny.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b/>
          <w:bCs/>
          <w:szCs w:val="22"/>
          <w:lang w:val="sk-SK" w:bidi="bo-CN"/>
        </w:rPr>
        <w:t xml:space="preserve">Upravený prevádzkový zisk </w:t>
      </w:r>
      <w:r w:rsidRPr="000309B7">
        <w:rPr>
          <w:rFonts w:cs="Segoe UI"/>
          <w:szCs w:val="22"/>
          <w:lang w:val="sk-SK" w:bidi="bo-CN"/>
        </w:rPr>
        <w:t>dosiahol v prvom polroku 2022 výšku 743 mil. eur v porovnaní s 820 mil. eur v rovnakom období predchádzajúceho roka.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b/>
          <w:bCs/>
          <w:szCs w:val="22"/>
          <w:lang w:val="sk-SK" w:bidi="bo-CN"/>
        </w:rPr>
        <w:t xml:space="preserve">Upravená výnosnosť predaja </w:t>
      </w:r>
      <w:r w:rsidRPr="000309B7">
        <w:rPr>
          <w:rFonts w:cs="Segoe UI"/>
          <w:szCs w:val="22"/>
          <w:lang w:val="sk-SK" w:bidi="bo-CN"/>
        </w:rPr>
        <w:t>na úrovni 13,6 % bola medziročne nižšia o 3,7 percentuálneho bodu, pričom výnosy boli negatívne zasiahnuté výrazným rastom cien priamych materiálových vstupov.</w:t>
      </w:r>
    </w:p>
    <w:p w14:paraId="34C7882A" w14:textId="77777777" w:rsidR="00215E66" w:rsidRPr="000309B7" w:rsidRDefault="00215E66" w:rsidP="00215E66">
      <w:pPr>
        <w:rPr>
          <w:rFonts w:cs="Segoe UI"/>
          <w:szCs w:val="22"/>
          <w:lang w:val="sk-SK"/>
        </w:rPr>
      </w:pPr>
      <w:bookmarkStart w:id="2" w:name="_Hlk78300139"/>
    </w:p>
    <w:p w14:paraId="65BF76EB" w14:textId="77777777" w:rsidR="00215E66" w:rsidRPr="000309B7" w:rsidRDefault="00215E66" w:rsidP="00215E66">
      <w:pPr>
        <w:rPr>
          <w:rFonts w:cs="Segoe UI"/>
          <w:szCs w:val="22"/>
          <w:lang w:val="sk-SK"/>
        </w:rPr>
      </w:pPr>
      <w:r w:rsidRPr="000309B7">
        <w:rPr>
          <w:rFonts w:cs="Segoe UI"/>
          <w:b/>
          <w:bCs/>
          <w:szCs w:val="22"/>
          <w:lang w:val="sk-SK" w:bidi="bo-CN"/>
        </w:rPr>
        <w:t xml:space="preserve">Obrat </w:t>
      </w:r>
      <w:r w:rsidRPr="000309B7">
        <w:rPr>
          <w:rFonts w:cs="Segoe UI"/>
          <w:szCs w:val="22"/>
          <w:lang w:val="sk-SK" w:bidi="bo-CN"/>
        </w:rPr>
        <w:t xml:space="preserve">obchodnej divízie </w:t>
      </w:r>
      <w:proofErr w:type="spellStart"/>
      <w:r w:rsidRPr="000309B7">
        <w:rPr>
          <w:rFonts w:cs="Segoe UI"/>
          <w:b/>
          <w:bCs/>
          <w:szCs w:val="22"/>
          <w:lang w:val="sk-SK" w:bidi="bo-CN"/>
        </w:rPr>
        <w:t>Beauty</w:t>
      </w:r>
      <w:proofErr w:type="spellEnd"/>
      <w:r w:rsidRPr="000309B7">
        <w:rPr>
          <w:rFonts w:cs="Segoe UI"/>
          <w:b/>
          <w:bCs/>
          <w:szCs w:val="22"/>
          <w:lang w:val="sk-SK" w:bidi="bo-CN"/>
        </w:rPr>
        <w:t xml:space="preserve"> </w:t>
      </w:r>
      <w:proofErr w:type="spellStart"/>
      <w:r w:rsidRPr="000309B7">
        <w:rPr>
          <w:rFonts w:cs="Segoe UI"/>
          <w:b/>
          <w:bCs/>
          <w:szCs w:val="22"/>
          <w:lang w:val="sk-SK" w:bidi="bo-CN"/>
        </w:rPr>
        <w:t>Care</w:t>
      </w:r>
      <w:proofErr w:type="spellEnd"/>
      <w:r w:rsidRPr="000309B7">
        <w:rPr>
          <w:rFonts w:cs="Segoe UI"/>
          <w:szCs w:val="22"/>
          <w:lang w:val="sk-SK" w:bidi="bo-CN"/>
        </w:rPr>
        <w:t xml:space="preserve"> sa za prvých šesť mesiacov roka 2022 </w:t>
      </w:r>
      <w:r w:rsidRPr="000309B7">
        <w:rPr>
          <w:rFonts w:cs="Segoe UI"/>
          <w:b/>
          <w:bCs/>
          <w:szCs w:val="22"/>
          <w:lang w:val="sk-SK" w:bidi="bo-CN"/>
        </w:rPr>
        <w:t xml:space="preserve">organicky </w:t>
      </w:r>
      <w:r w:rsidRPr="000309B7">
        <w:rPr>
          <w:rFonts w:cs="Segoe UI"/>
          <w:szCs w:val="22"/>
          <w:lang w:val="sk-SK" w:bidi="bo-CN"/>
        </w:rPr>
        <w:t>zvýšil o 0,4 % (2. štvrťrok: +2,1 %).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>Nominálne sa zvýšil o 0,2 % a dosiahol 1 842 mil. eur (2. štvrťrok: 950 mil. eur, +3,9 %).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>K uvedenému rastu prispeli najmä dobré výsledky v segmente profesionálnej vlasovej kozmetiky, ktorý si dokázal zachovať silnú výkonnosť z predchádzajúceho roka.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>Na druhej strane segment spotrebného tovaru zaostal za úrovňou z predchádzajúceho roka, a to najmä v dôsledku implementácie opatrení na zlepšenie portfólia avizovaných na rok 2022.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b/>
          <w:bCs/>
          <w:szCs w:val="22"/>
          <w:lang w:val="sk-SK" w:bidi="bo-CN"/>
        </w:rPr>
        <w:t xml:space="preserve">Upravený prevádzkový zisk </w:t>
      </w:r>
      <w:r w:rsidRPr="000309B7">
        <w:rPr>
          <w:rFonts w:cs="Segoe UI"/>
          <w:szCs w:val="22"/>
          <w:lang w:val="sk-SK" w:bidi="bo-CN"/>
        </w:rPr>
        <w:t>dosiahol 169 mil. eur v porovnaní so 183 mil. eur v prvom polroku 2021.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b/>
          <w:bCs/>
          <w:szCs w:val="22"/>
          <w:lang w:val="sk-SK" w:bidi="bo-CN"/>
        </w:rPr>
        <w:t xml:space="preserve">Upravená výnosnosť predaja </w:t>
      </w:r>
      <w:r w:rsidRPr="000309B7">
        <w:rPr>
          <w:rFonts w:cs="Segoe UI"/>
          <w:szCs w:val="22"/>
          <w:lang w:val="sk-SK" w:bidi="bo-CN"/>
        </w:rPr>
        <w:t>v dôsledku vyšších cien priamych materiálových vstupov medziročne klesla o 0,8 percentuálneho bodu na 9,2 %.</w:t>
      </w:r>
    </w:p>
    <w:bookmarkEnd w:id="2"/>
    <w:p w14:paraId="7D41F008" w14:textId="77777777" w:rsidR="00215E66" w:rsidRPr="000309B7" w:rsidRDefault="00215E66" w:rsidP="00215E66">
      <w:pPr>
        <w:rPr>
          <w:rFonts w:cs="Segoe UI"/>
          <w:szCs w:val="22"/>
          <w:lang w:val="sk-SK"/>
        </w:rPr>
      </w:pPr>
    </w:p>
    <w:p w14:paraId="65A25ADD" w14:textId="77777777" w:rsidR="00215E66" w:rsidRPr="000309B7" w:rsidRDefault="00215E66" w:rsidP="00215E66">
      <w:pPr>
        <w:rPr>
          <w:rFonts w:cs="Segoe UI"/>
          <w:szCs w:val="22"/>
          <w:lang w:val="sk-SK"/>
        </w:rPr>
      </w:pPr>
      <w:r w:rsidRPr="000309B7">
        <w:rPr>
          <w:rFonts w:cs="Segoe UI"/>
          <w:szCs w:val="22"/>
          <w:lang w:val="sk-SK" w:bidi="bo-CN"/>
        </w:rPr>
        <w:t xml:space="preserve">Obchodná divízia </w:t>
      </w:r>
      <w:proofErr w:type="spellStart"/>
      <w:r w:rsidRPr="000309B7">
        <w:rPr>
          <w:rFonts w:cs="Segoe UI"/>
          <w:b/>
          <w:bCs/>
          <w:szCs w:val="22"/>
          <w:lang w:val="sk-SK" w:bidi="bo-CN"/>
        </w:rPr>
        <w:t>Laundry</w:t>
      </w:r>
      <w:proofErr w:type="spellEnd"/>
      <w:r w:rsidRPr="000309B7">
        <w:rPr>
          <w:rFonts w:cs="Segoe UI"/>
          <w:b/>
          <w:bCs/>
          <w:szCs w:val="22"/>
          <w:lang w:val="sk-SK" w:bidi="bo-CN"/>
        </w:rPr>
        <w:t xml:space="preserve"> &amp; Home </w:t>
      </w:r>
      <w:proofErr w:type="spellStart"/>
      <w:r w:rsidRPr="000309B7">
        <w:rPr>
          <w:rFonts w:cs="Segoe UI"/>
          <w:b/>
          <w:bCs/>
          <w:szCs w:val="22"/>
          <w:lang w:val="sk-SK" w:bidi="bo-CN"/>
        </w:rPr>
        <w:t>Care</w:t>
      </w:r>
      <w:proofErr w:type="spellEnd"/>
      <w:r w:rsidRPr="000309B7">
        <w:rPr>
          <w:rFonts w:cs="Segoe UI"/>
          <w:szCs w:val="22"/>
          <w:lang w:val="sk-SK" w:bidi="bo-CN"/>
        </w:rPr>
        <w:t xml:space="preserve"> dosiahla v prvom polroku 2022 výrazný </w:t>
      </w:r>
      <w:r w:rsidRPr="000309B7">
        <w:rPr>
          <w:rFonts w:cs="Segoe UI"/>
          <w:b/>
          <w:bCs/>
          <w:szCs w:val="22"/>
          <w:lang w:val="sk-SK" w:bidi="bo-CN"/>
        </w:rPr>
        <w:t>organický</w:t>
      </w:r>
      <w:r w:rsidRPr="000309B7">
        <w:rPr>
          <w:rFonts w:cs="Segoe UI"/>
          <w:szCs w:val="22"/>
          <w:lang w:val="sk-SK" w:bidi="bo-CN"/>
        </w:rPr>
        <w:t xml:space="preserve"> </w:t>
      </w:r>
      <w:r w:rsidRPr="000309B7">
        <w:rPr>
          <w:rFonts w:cs="Segoe UI"/>
          <w:b/>
          <w:bCs/>
          <w:szCs w:val="22"/>
          <w:lang w:val="sk-SK" w:bidi="bo-CN"/>
        </w:rPr>
        <w:t>rast obratu</w:t>
      </w:r>
      <w:r w:rsidRPr="000309B7">
        <w:rPr>
          <w:rFonts w:cs="Segoe UI"/>
          <w:szCs w:val="22"/>
          <w:lang w:val="sk-SK" w:bidi="bo-CN"/>
        </w:rPr>
        <w:t xml:space="preserve"> na úrovni 7,4 % (2. štvrťrok: +3,6 %).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>K uvedenému rastu prispelo predovšetkým dvojciferné zvýšenie obratu v segmente pracích prostriedkov.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>Nominálne sa obrat zvýšil o 6,7 % na 3 494 mil. eur (2. štvrťrok: 1 802 mil. eur; +11,3 %).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b/>
          <w:bCs/>
          <w:szCs w:val="22"/>
          <w:lang w:val="sk-SK" w:bidi="bo-CN"/>
        </w:rPr>
        <w:t xml:space="preserve">Upravený prevádzkový zisk </w:t>
      </w:r>
      <w:r w:rsidRPr="000309B7">
        <w:rPr>
          <w:rFonts w:cs="Segoe UI"/>
          <w:szCs w:val="22"/>
          <w:lang w:val="sk-SK" w:bidi="bo-CN"/>
        </w:rPr>
        <w:t xml:space="preserve">dosiahol hodnotu 313 mil. eur v porovnaní so 490 mil. eur v rovnakom štvrťroku </w:t>
      </w:r>
      <w:r w:rsidRPr="000309B7">
        <w:rPr>
          <w:rFonts w:cs="Segoe UI"/>
          <w:szCs w:val="22"/>
          <w:lang w:val="sk-SK" w:bidi="bo-CN"/>
        </w:rPr>
        <w:lastRenderedPageBreak/>
        <w:t>predchádzajúceho roka.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 xml:space="preserve">Najmä v dôsledku výrazného zvýšenia cien priamych materiálových vstupov </w:t>
      </w:r>
      <w:r w:rsidRPr="000309B7">
        <w:rPr>
          <w:rFonts w:cs="Segoe UI"/>
          <w:b/>
          <w:bCs/>
          <w:szCs w:val="22"/>
          <w:lang w:val="sk-SK" w:bidi="bo-CN"/>
        </w:rPr>
        <w:t xml:space="preserve">upravená výnosnosť predaja </w:t>
      </w:r>
      <w:r w:rsidRPr="000309B7">
        <w:rPr>
          <w:rFonts w:cs="Segoe UI"/>
          <w:szCs w:val="22"/>
          <w:lang w:val="sk-SK" w:bidi="bo-CN"/>
        </w:rPr>
        <w:t>zaostala za úrovňou prvého polroka 2021 a dosiahla 9,0 %.</w:t>
      </w:r>
    </w:p>
    <w:p w14:paraId="2084C926" w14:textId="77777777" w:rsidR="00215E66" w:rsidRPr="000309B7" w:rsidRDefault="00215E66" w:rsidP="00215E66">
      <w:pPr>
        <w:spacing w:after="120"/>
        <w:rPr>
          <w:rFonts w:cs="Segoe UI"/>
          <w:b/>
          <w:bCs/>
          <w:szCs w:val="22"/>
          <w:lang w:val="sk-SK" w:eastAsia="de-DE"/>
        </w:rPr>
      </w:pPr>
    </w:p>
    <w:p w14:paraId="212569C2" w14:textId="77777777" w:rsidR="00215E66" w:rsidRPr="000309B7" w:rsidRDefault="00215E66" w:rsidP="00215E66">
      <w:pPr>
        <w:spacing w:after="120"/>
        <w:rPr>
          <w:rFonts w:cs="Segoe UI"/>
          <w:b/>
          <w:bCs/>
          <w:szCs w:val="22"/>
          <w:lang w:val="sk-SK" w:eastAsia="de-DE"/>
        </w:rPr>
      </w:pPr>
      <w:r w:rsidRPr="000309B7">
        <w:rPr>
          <w:rFonts w:cs="Segoe UI"/>
          <w:b/>
          <w:bCs/>
          <w:szCs w:val="22"/>
          <w:lang w:val="sk-SK" w:eastAsia="de-DE" w:bidi="bo-CN"/>
        </w:rPr>
        <w:t>Agenda zmysluplného rastu: dobrý pokrok v implementácii</w:t>
      </w:r>
    </w:p>
    <w:p w14:paraId="3356FEBC" w14:textId="77777777" w:rsidR="00215E66" w:rsidRPr="000309B7" w:rsidRDefault="00215E66" w:rsidP="00215E66">
      <w:pPr>
        <w:autoSpaceDE w:val="0"/>
        <w:autoSpaceDN w:val="0"/>
        <w:adjustRightInd w:val="0"/>
        <w:rPr>
          <w:rFonts w:cs="Segoe UI"/>
          <w:szCs w:val="22"/>
          <w:lang w:val="sk-SK" w:eastAsia="de-DE"/>
        </w:rPr>
      </w:pPr>
      <w:bookmarkStart w:id="3" w:name="_Hlk109204398"/>
      <w:r w:rsidRPr="000309B7">
        <w:rPr>
          <w:rFonts w:cs="Segoe UI"/>
          <w:szCs w:val="22"/>
          <w:lang w:val="sk-SK" w:eastAsia="de-DE" w:bidi="bo-CN"/>
        </w:rPr>
        <w:t>Spoločnosť Henkel presadzuje agendu zmysluplného rastu, na ktorej implementáciu vypracovala jasný strategický rámec.</w:t>
      </w:r>
      <w:r w:rsidRPr="000309B7">
        <w:rPr>
          <w:rFonts w:cs="Segoe UI"/>
          <w:szCs w:val="22"/>
          <w:lang w:val="sk-SK" w:eastAsia="de-DE"/>
        </w:rPr>
        <w:t xml:space="preserve"> </w:t>
      </w:r>
      <w:r w:rsidRPr="000309B7">
        <w:rPr>
          <w:rFonts w:cs="Segoe UI"/>
          <w:szCs w:val="22"/>
          <w:lang w:val="sk-SK" w:eastAsia="de-DE" w:bidi="bo-CN"/>
        </w:rPr>
        <w:t>Kľúčovými prvkami tohto strategického rámca sú úspešné portfólio, jednoznačná konkurenčná výhoda v oblastiach inovácií, udržateľnosti a digitalizácie, ako aj prevádzkové modely pripravené na budúcnosť, ktoré majú pevnú oporu v silnej firemnej kultúre.</w:t>
      </w:r>
      <w:r w:rsidRPr="000309B7">
        <w:rPr>
          <w:rFonts w:cs="Segoe UI"/>
          <w:szCs w:val="22"/>
          <w:lang w:val="sk-SK" w:eastAsia="de-DE"/>
        </w:rPr>
        <w:t xml:space="preserve"> </w:t>
      </w:r>
    </w:p>
    <w:p w14:paraId="2B77422C" w14:textId="77777777" w:rsidR="00215E66" w:rsidRPr="000309B7" w:rsidRDefault="00215E66" w:rsidP="00215E66">
      <w:pPr>
        <w:autoSpaceDE w:val="0"/>
        <w:autoSpaceDN w:val="0"/>
        <w:adjustRightInd w:val="0"/>
        <w:rPr>
          <w:rFonts w:cs="Segoe UI"/>
          <w:szCs w:val="22"/>
          <w:lang w:val="sk-SK" w:eastAsia="de-DE"/>
        </w:rPr>
      </w:pPr>
    </w:p>
    <w:p w14:paraId="19325D97" w14:textId="77777777" w:rsidR="00215E66" w:rsidRPr="000309B7" w:rsidRDefault="00215E66" w:rsidP="00215E66">
      <w:pPr>
        <w:autoSpaceDE w:val="0"/>
        <w:autoSpaceDN w:val="0"/>
        <w:adjustRightInd w:val="0"/>
        <w:rPr>
          <w:rFonts w:cs="Segoe UI"/>
          <w:szCs w:val="22"/>
          <w:lang w:val="sk-SK" w:eastAsia="de-DE"/>
        </w:rPr>
      </w:pPr>
      <w:r w:rsidRPr="000309B7">
        <w:rPr>
          <w:rFonts w:cs="Segoe UI"/>
          <w:szCs w:val="22"/>
          <w:lang w:val="sk-SK" w:eastAsia="de-DE" w:bidi="bo-CN"/>
        </w:rPr>
        <w:t>V prvom polroku 2022 spoločnosť Henkel pokračovala v implementácii svojej agendy a dosiahla výrazný pokrok vo všetkých jej kľúčových oblastiach.</w:t>
      </w:r>
      <w:r w:rsidRPr="000309B7">
        <w:rPr>
          <w:rFonts w:cs="Segoe UI"/>
          <w:szCs w:val="22"/>
          <w:lang w:val="sk-SK" w:eastAsia="de-DE"/>
        </w:rPr>
        <w:t xml:space="preserve"> </w:t>
      </w:r>
      <w:r w:rsidRPr="000309B7">
        <w:rPr>
          <w:rFonts w:cs="Segoe UI"/>
          <w:szCs w:val="22"/>
          <w:lang w:val="sk-SK" w:eastAsia="de-DE" w:bidi="bo-CN"/>
        </w:rPr>
        <w:t xml:space="preserve">Zlúčením divízií </w:t>
      </w:r>
      <w:proofErr w:type="spellStart"/>
      <w:r w:rsidRPr="000309B7">
        <w:rPr>
          <w:rFonts w:cs="Segoe UI"/>
          <w:szCs w:val="22"/>
          <w:lang w:val="sk-SK" w:eastAsia="de-DE" w:bidi="bo-CN"/>
        </w:rPr>
        <w:t>Laundry</w:t>
      </w:r>
      <w:proofErr w:type="spellEnd"/>
      <w:r w:rsidRPr="000309B7">
        <w:rPr>
          <w:rFonts w:cs="Segoe UI"/>
          <w:szCs w:val="22"/>
          <w:lang w:val="sk-SK" w:eastAsia="de-DE" w:bidi="bo-CN"/>
        </w:rPr>
        <w:t xml:space="preserve"> &amp; Home </w:t>
      </w:r>
      <w:proofErr w:type="spellStart"/>
      <w:r w:rsidRPr="000309B7">
        <w:rPr>
          <w:rFonts w:cs="Segoe UI"/>
          <w:szCs w:val="22"/>
          <w:lang w:val="sk-SK" w:eastAsia="de-DE" w:bidi="bo-CN"/>
        </w:rPr>
        <w:t>Care</w:t>
      </w:r>
      <w:proofErr w:type="spellEnd"/>
      <w:r w:rsidRPr="000309B7">
        <w:rPr>
          <w:rFonts w:cs="Segoe UI"/>
          <w:szCs w:val="22"/>
          <w:lang w:val="sk-SK" w:eastAsia="de-DE" w:bidi="bo-CN"/>
        </w:rPr>
        <w:t xml:space="preserve"> a </w:t>
      </w:r>
      <w:proofErr w:type="spellStart"/>
      <w:r w:rsidRPr="000309B7">
        <w:rPr>
          <w:rFonts w:cs="Segoe UI"/>
          <w:szCs w:val="22"/>
          <w:lang w:val="sk-SK" w:eastAsia="de-DE" w:bidi="bo-CN"/>
        </w:rPr>
        <w:t>Beauty</w:t>
      </w:r>
      <w:proofErr w:type="spellEnd"/>
      <w:r w:rsidRPr="000309B7">
        <w:rPr>
          <w:rFonts w:cs="Segoe UI"/>
          <w:szCs w:val="22"/>
          <w:lang w:val="sk-SK" w:eastAsia="de-DE" w:bidi="bo-CN"/>
        </w:rPr>
        <w:t xml:space="preserve"> </w:t>
      </w:r>
      <w:proofErr w:type="spellStart"/>
      <w:r w:rsidRPr="000309B7">
        <w:rPr>
          <w:rFonts w:cs="Segoe UI"/>
          <w:szCs w:val="22"/>
          <w:lang w:val="sk-SK" w:eastAsia="de-DE" w:bidi="bo-CN"/>
        </w:rPr>
        <w:t>Care</w:t>
      </w:r>
      <w:proofErr w:type="spellEnd"/>
      <w:r w:rsidRPr="000309B7">
        <w:rPr>
          <w:rFonts w:cs="Segoe UI"/>
          <w:szCs w:val="22"/>
          <w:lang w:val="sk-SK" w:eastAsia="de-DE" w:bidi="bo-CN"/>
        </w:rPr>
        <w:t xml:space="preserve"> do novej obchodnej divízie </w:t>
      </w:r>
      <w:r w:rsidRPr="000309B7">
        <w:rPr>
          <w:rFonts w:cs="Segoe UI"/>
          <w:b/>
          <w:bCs/>
          <w:szCs w:val="22"/>
          <w:lang w:val="sk-SK" w:eastAsia="de-DE" w:bidi="bo-CN"/>
        </w:rPr>
        <w:t xml:space="preserve">Henkel </w:t>
      </w:r>
      <w:proofErr w:type="spellStart"/>
      <w:r w:rsidRPr="000309B7">
        <w:rPr>
          <w:rFonts w:cs="Segoe UI"/>
          <w:b/>
          <w:bCs/>
          <w:szCs w:val="22"/>
          <w:lang w:val="sk-SK" w:eastAsia="de-DE" w:bidi="bo-CN"/>
        </w:rPr>
        <w:t>Consumer</w:t>
      </w:r>
      <w:proofErr w:type="spellEnd"/>
      <w:r w:rsidRPr="000309B7">
        <w:rPr>
          <w:rFonts w:cs="Segoe UI"/>
          <w:b/>
          <w:bCs/>
          <w:szCs w:val="22"/>
          <w:lang w:val="sk-SK" w:eastAsia="de-DE" w:bidi="bo-CN"/>
        </w:rPr>
        <w:t xml:space="preserve"> </w:t>
      </w:r>
      <w:proofErr w:type="spellStart"/>
      <w:r w:rsidRPr="000309B7">
        <w:rPr>
          <w:rFonts w:cs="Segoe UI"/>
          <w:b/>
          <w:bCs/>
          <w:szCs w:val="22"/>
          <w:lang w:val="sk-SK" w:eastAsia="de-DE" w:bidi="bo-CN"/>
        </w:rPr>
        <w:t>Brands</w:t>
      </w:r>
      <w:proofErr w:type="spellEnd"/>
      <w:r w:rsidRPr="000309B7">
        <w:rPr>
          <w:rFonts w:cs="Segoe UI"/>
          <w:szCs w:val="22"/>
          <w:lang w:val="sk-SK" w:eastAsia="de-DE" w:bidi="bo-CN"/>
        </w:rPr>
        <w:t xml:space="preserve"> posunula svoju agendu pre zmysluplný rast na novú úroveň.</w:t>
      </w:r>
      <w:r w:rsidRPr="000309B7">
        <w:rPr>
          <w:rFonts w:cs="Segoe UI"/>
          <w:szCs w:val="22"/>
          <w:lang w:val="sk-SK" w:eastAsia="de-DE"/>
        </w:rPr>
        <w:t xml:space="preserve"> </w:t>
      </w:r>
      <w:r w:rsidRPr="000309B7">
        <w:rPr>
          <w:rFonts w:cs="Segoe UI"/>
          <w:szCs w:val="22"/>
          <w:lang w:val="sk-SK" w:eastAsia="de-DE" w:bidi="bo-CN"/>
        </w:rPr>
        <w:t>Štruktúru novej obchodnej divízie tvoria dva globálne segmenty – pracie a čistiace prostriedky pre domácnosť a vlasová kozmetika –, ktoré podporujú globálne funkcie, a štyri regióny.</w:t>
      </w:r>
      <w:r w:rsidRPr="000309B7">
        <w:rPr>
          <w:rFonts w:cs="Segoe UI"/>
          <w:szCs w:val="22"/>
          <w:lang w:val="sk-SK" w:eastAsia="de-DE"/>
        </w:rPr>
        <w:t xml:space="preserve"> </w:t>
      </w:r>
      <w:r w:rsidRPr="000309B7">
        <w:rPr>
          <w:rFonts w:cs="Segoe UI"/>
          <w:szCs w:val="22"/>
          <w:lang w:val="sk-SK" w:eastAsia="de-DE" w:bidi="bo-CN"/>
        </w:rPr>
        <w:t>Ostatné segmenty budú riadené na regionálnej úrovni.</w:t>
      </w:r>
      <w:r w:rsidRPr="000309B7">
        <w:rPr>
          <w:rFonts w:cs="Segoe UI"/>
          <w:szCs w:val="22"/>
          <w:lang w:val="sk-SK" w:eastAsia="de-DE"/>
        </w:rPr>
        <w:t xml:space="preserve"> </w:t>
      </w:r>
      <w:r w:rsidRPr="000309B7">
        <w:rPr>
          <w:rFonts w:cs="Segoe UI"/>
          <w:szCs w:val="22"/>
          <w:lang w:val="sk-SK" w:eastAsia="de-DE" w:bidi="bo-CN"/>
        </w:rPr>
        <w:t>Prvé štyri úrovne manažmentu sú už definované.</w:t>
      </w:r>
      <w:r w:rsidRPr="000309B7">
        <w:rPr>
          <w:rFonts w:cs="Segoe UI"/>
          <w:szCs w:val="22"/>
          <w:lang w:val="sk-SK" w:eastAsia="de-DE"/>
        </w:rPr>
        <w:t xml:space="preserve"> </w:t>
      </w:r>
      <w:r w:rsidRPr="000309B7">
        <w:rPr>
          <w:rFonts w:cs="Segoe UI"/>
          <w:szCs w:val="22"/>
          <w:lang w:val="sk-SK" w:eastAsia="de-DE" w:bidi="bo-CN"/>
        </w:rPr>
        <w:t>Na najväčšom trhu spoločnosti Henkel, USA, by malo byť nové organizačné usporiadanie plne funkčné už od septembra.</w:t>
      </w:r>
    </w:p>
    <w:bookmarkEnd w:id="3"/>
    <w:p w14:paraId="3C3D27E6" w14:textId="77777777" w:rsidR="00215E66" w:rsidRPr="000309B7" w:rsidRDefault="00215E66" w:rsidP="00215E66">
      <w:pPr>
        <w:autoSpaceDE w:val="0"/>
        <w:autoSpaceDN w:val="0"/>
        <w:adjustRightInd w:val="0"/>
        <w:rPr>
          <w:rFonts w:cs="Segoe UI"/>
          <w:szCs w:val="22"/>
          <w:lang w:val="sk-SK"/>
        </w:rPr>
      </w:pPr>
    </w:p>
    <w:p w14:paraId="11306552" w14:textId="77777777" w:rsidR="00215E66" w:rsidRPr="000309B7" w:rsidRDefault="00215E66" w:rsidP="00215E66">
      <w:pPr>
        <w:rPr>
          <w:rFonts w:cs="Segoe UI"/>
          <w:szCs w:val="22"/>
          <w:lang w:val="sk-SK"/>
        </w:rPr>
      </w:pPr>
      <w:r w:rsidRPr="000309B7">
        <w:rPr>
          <w:rFonts w:cs="Segoe UI"/>
          <w:szCs w:val="22"/>
          <w:lang w:val="sk-SK" w:bidi="bo-CN"/>
        </w:rPr>
        <w:t xml:space="preserve">V rámci zlúčenia týchto dvoch spotrebiteľských segmentov a ako súčasť </w:t>
      </w:r>
      <w:r w:rsidRPr="000309B7">
        <w:rPr>
          <w:rFonts w:cs="Segoe UI"/>
          <w:b/>
          <w:bCs/>
          <w:szCs w:val="22"/>
          <w:lang w:val="sk-SK" w:bidi="bo-CN"/>
        </w:rPr>
        <w:t xml:space="preserve">aktívneho riadenia portfólia </w:t>
      </w:r>
      <w:r w:rsidRPr="000309B7">
        <w:rPr>
          <w:rFonts w:cs="Segoe UI"/>
          <w:szCs w:val="22"/>
          <w:lang w:val="sk-SK" w:bidi="bo-CN"/>
        </w:rPr>
        <w:t>sú v súčasnosti predmetom prehodnocovania obchodné aktivity a značky, ktorých celkový obrat predstavuje až 1 miliardu eur.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>Súčasťou tohto postupu je aj odpredaj alebo zrušenie obchodných aktivít, ktoré nespĺňajú kritériá spoločnosti Henkel z hľadiska rastu a ziskovosti.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 xml:space="preserve">V prvom polroku 2022 spoločnosť Henkel už výrazne pokročila v odchode z niektorých segmentov spadajúcich pod divíziu </w:t>
      </w:r>
      <w:proofErr w:type="spellStart"/>
      <w:r w:rsidRPr="000309B7">
        <w:rPr>
          <w:rFonts w:cs="Segoe UI"/>
          <w:szCs w:val="22"/>
          <w:lang w:val="sk-SK" w:bidi="bo-CN"/>
        </w:rPr>
        <w:t>Beauty</w:t>
      </w:r>
      <w:proofErr w:type="spellEnd"/>
      <w:r w:rsidRPr="000309B7">
        <w:rPr>
          <w:rFonts w:cs="Segoe UI"/>
          <w:szCs w:val="22"/>
          <w:lang w:val="sk-SK" w:bidi="bo-CN"/>
        </w:rPr>
        <w:t xml:space="preserve"> </w:t>
      </w:r>
      <w:proofErr w:type="spellStart"/>
      <w:r w:rsidRPr="000309B7">
        <w:rPr>
          <w:rFonts w:cs="Segoe UI"/>
          <w:szCs w:val="22"/>
          <w:lang w:val="sk-SK" w:bidi="bo-CN"/>
        </w:rPr>
        <w:t>Care</w:t>
      </w:r>
      <w:proofErr w:type="spellEnd"/>
      <w:r w:rsidRPr="000309B7">
        <w:rPr>
          <w:rFonts w:cs="Segoe UI"/>
          <w:szCs w:val="22"/>
          <w:lang w:val="sk-SK" w:bidi="bo-CN"/>
        </w:rPr>
        <w:t>, ktoré nepovažuje za kľúčové.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>Ide o súčasť portfóliových opatrení s objemom obratu okolo 200 mil. eur, ktoré by mali byť realizované do konca roka.</w:t>
      </w:r>
    </w:p>
    <w:p w14:paraId="08ABA833" w14:textId="77777777" w:rsidR="00215E66" w:rsidRPr="000309B7" w:rsidRDefault="00215E66" w:rsidP="00215E66">
      <w:pPr>
        <w:rPr>
          <w:rFonts w:cs="Segoe UI"/>
          <w:szCs w:val="22"/>
          <w:lang w:val="sk-SK"/>
        </w:rPr>
      </w:pPr>
      <w:bookmarkStart w:id="4" w:name="_Hlk109204760"/>
    </w:p>
    <w:p w14:paraId="3C6062DA" w14:textId="77777777" w:rsidR="00215E66" w:rsidRPr="000309B7" w:rsidRDefault="00215E66" w:rsidP="00215E66">
      <w:pPr>
        <w:rPr>
          <w:rFonts w:cs="Segoe UI"/>
          <w:szCs w:val="22"/>
          <w:lang w:val="sk-SK"/>
        </w:rPr>
      </w:pPr>
      <w:r w:rsidRPr="000309B7">
        <w:rPr>
          <w:rFonts w:cs="Segoe UI"/>
          <w:szCs w:val="22"/>
          <w:lang w:val="sk-SK" w:bidi="bo-CN"/>
        </w:rPr>
        <w:t xml:space="preserve">Spoločnosť Henkel ďalej posilnila svoje portfólio prostredníctvom </w:t>
      </w:r>
      <w:r w:rsidRPr="000309B7">
        <w:rPr>
          <w:rFonts w:cs="Segoe UI"/>
          <w:b/>
          <w:bCs/>
          <w:szCs w:val="22"/>
          <w:lang w:val="sk-SK" w:bidi="bo-CN"/>
        </w:rPr>
        <w:t>akvizícií.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 xml:space="preserve">V júli 2022 dokončila akvizíciu </w:t>
      </w:r>
      <w:proofErr w:type="spellStart"/>
      <w:r w:rsidRPr="000309B7">
        <w:rPr>
          <w:rFonts w:cs="Segoe UI"/>
          <w:szCs w:val="22"/>
          <w:lang w:val="sk-SK" w:bidi="bo-CN"/>
        </w:rPr>
        <w:t>Shiseido‘s</w:t>
      </w:r>
      <w:proofErr w:type="spellEnd"/>
      <w:r w:rsidRPr="000309B7">
        <w:rPr>
          <w:rFonts w:cs="Segoe UI"/>
          <w:szCs w:val="22"/>
          <w:lang w:val="sk-SK" w:bidi="bo-CN"/>
        </w:rPr>
        <w:t xml:space="preserve"> </w:t>
      </w:r>
      <w:proofErr w:type="spellStart"/>
      <w:r w:rsidRPr="000309B7">
        <w:rPr>
          <w:rFonts w:cs="Segoe UI"/>
          <w:szCs w:val="22"/>
          <w:lang w:val="sk-SK" w:bidi="bo-CN"/>
        </w:rPr>
        <w:t>Hair</w:t>
      </w:r>
      <w:proofErr w:type="spellEnd"/>
      <w:r w:rsidRPr="000309B7">
        <w:rPr>
          <w:rFonts w:cs="Segoe UI"/>
          <w:szCs w:val="22"/>
          <w:lang w:val="sk-SK" w:bidi="bo-CN"/>
        </w:rPr>
        <w:t xml:space="preserve"> Professional v ázijsko-pacifickom regióne,</w:t>
      </w:r>
      <w:r w:rsidRPr="000309B7">
        <w:rPr>
          <w:rFonts w:cs="Segoe UI"/>
          <w:szCs w:val="22"/>
          <w:lang w:val="sk-SK"/>
        </w:rPr>
        <w:t xml:space="preserve"> </w:t>
      </w:r>
      <w:r w:rsidRPr="000309B7">
        <w:rPr>
          <w:rFonts w:cs="Segoe UI"/>
          <w:szCs w:val="22"/>
          <w:lang w:val="sk-SK" w:bidi="bo-CN"/>
        </w:rPr>
        <w:t>čím sa dostala na delené 2. miesto v celosvetovom segmente profesionálnej vlasovej kozmetiky.</w:t>
      </w:r>
      <w:r w:rsidRPr="000309B7">
        <w:rPr>
          <w:rFonts w:cs="Segoe UI"/>
          <w:szCs w:val="22"/>
          <w:lang w:val="sk-SK"/>
        </w:rPr>
        <w:t xml:space="preserve"> </w:t>
      </w:r>
    </w:p>
    <w:bookmarkEnd w:id="4"/>
    <w:p w14:paraId="58BD131F" w14:textId="77777777" w:rsidR="00215E66" w:rsidRPr="000309B7" w:rsidRDefault="00215E66" w:rsidP="00215E66">
      <w:pPr>
        <w:autoSpaceDE w:val="0"/>
        <w:autoSpaceDN w:val="0"/>
        <w:adjustRightInd w:val="0"/>
        <w:rPr>
          <w:rFonts w:cs="Segoe UI"/>
          <w:szCs w:val="22"/>
          <w:lang w:val="sk-SK"/>
        </w:rPr>
      </w:pPr>
    </w:p>
    <w:p w14:paraId="68936281" w14:textId="77777777" w:rsidR="00215E66" w:rsidRPr="000309B7" w:rsidRDefault="00215E66" w:rsidP="00215E66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  <w:r w:rsidRPr="000309B7">
        <w:rPr>
          <w:rFonts w:cs="Segoe UI"/>
          <w:bCs/>
          <w:szCs w:val="22"/>
          <w:lang w:val="sk-SK" w:bidi="bo-CN"/>
        </w:rPr>
        <w:t xml:space="preserve">Na posilnenie svojej </w:t>
      </w:r>
      <w:r w:rsidRPr="000309B7">
        <w:rPr>
          <w:rFonts w:cs="Segoe UI"/>
          <w:b/>
          <w:szCs w:val="22"/>
          <w:lang w:val="sk-SK" w:bidi="bo-CN"/>
        </w:rPr>
        <w:t>konkurencieschopnosti</w:t>
      </w:r>
      <w:r w:rsidRPr="000309B7">
        <w:rPr>
          <w:rFonts w:cs="Segoe UI"/>
          <w:bCs/>
          <w:szCs w:val="22"/>
          <w:lang w:val="sk-SK" w:bidi="bo-CN"/>
        </w:rPr>
        <w:t xml:space="preserve"> a odlíšenie sa od konkurencie sa spoločnosť Henkel zamerala aj na ďalšie zrýchľovanie </w:t>
      </w:r>
      <w:r w:rsidRPr="000309B7">
        <w:rPr>
          <w:rFonts w:cs="Segoe UI"/>
          <w:b/>
          <w:szCs w:val="22"/>
          <w:lang w:val="sk-SK" w:bidi="bo-CN"/>
        </w:rPr>
        <w:t>inovácií</w:t>
      </w:r>
      <w:r w:rsidRPr="000309B7">
        <w:rPr>
          <w:rFonts w:cs="Segoe UI"/>
          <w:bCs/>
          <w:szCs w:val="22"/>
          <w:lang w:val="sk-SK" w:bidi="bo-CN"/>
        </w:rPr>
        <w:t xml:space="preserve">, podporu </w:t>
      </w:r>
      <w:r w:rsidRPr="000309B7">
        <w:rPr>
          <w:rFonts w:cs="Segoe UI"/>
          <w:b/>
          <w:szCs w:val="22"/>
          <w:lang w:val="sk-SK" w:bidi="bo-CN"/>
        </w:rPr>
        <w:t>udržateľnosti</w:t>
      </w:r>
      <w:r w:rsidRPr="000309B7">
        <w:rPr>
          <w:rFonts w:cs="Segoe UI"/>
          <w:bCs/>
          <w:szCs w:val="22"/>
          <w:lang w:val="sk-SK" w:bidi="bo-CN"/>
        </w:rPr>
        <w:t xml:space="preserve"> a  tvorbu vyššej pridanej hodnoty pre svojich zákazníkov a spotrebiteľov prostredníctvom </w:t>
      </w:r>
      <w:r w:rsidRPr="000309B7">
        <w:rPr>
          <w:rFonts w:cs="Segoe UI"/>
          <w:b/>
          <w:szCs w:val="22"/>
          <w:lang w:val="sk-SK" w:bidi="bo-CN"/>
        </w:rPr>
        <w:t>digitalizácie</w:t>
      </w:r>
      <w:r w:rsidRPr="000309B7">
        <w:rPr>
          <w:rFonts w:cs="Segoe UI"/>
          <w:bCs/>
          <w:szCs w:val="22"/>
          <w:lang w:val="sk-SK" w:bidi="bo-CN"/>
        </w:rPr>
        <w:t>.</w:t>
      </w:r>
    </w:p>
    <w:p w14:paraId="7936CB52" w14:textId="77777777" w:rsidR="00215E66" w:rsidRPr="000309B7" w:rsidRDefault="00215E66" w:rsidP="00215E66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</w:p>
    <w:p w14:paraId="46230E89" w14:textId="77777777" w:rsidR="00215E66" w:rsidRPr="000309B7" w:rsidRDefault="00215E66" w:rsidP="00215E66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  <w:r w:rsidRPr="000309B7">
        <w:rPr>
          <w:rFonts w:cs="Segoe UI"/>
          <w:bCs/>
          <w:szCs w:val="22"/>
          <w:lang w:val="sk-SK" w:bidi="bo-CN"/>
        </w:rPr>
        <w:lastRenderedPageBreak/>
        <w:t xml:space="preserve">Kľúčovým pilierom stratégie spoločnosti Henkel je jednoznačná diferenciácia na trhu prostredníctvom úspešných </w:t>
      </w:r>
      <w:r w:rsidRPr="000309B7">
        <w:rPr>
          <w:rFonts w:cs="Segoe UI"/>
          <w:b/>
          <w:szCs w:val="22"/>
          <w:lang w:val="sk-SK" w:bidi="bo-CN"/>
        </w:rPr>
        <w:t>inovácií</w:t>
      </w:r>
      <w:r w:rsidRPr="000309B7">
        <w:rPr>
          <w:rFonts w:cs="Segoe UI"/>
          <w:bCs/>
          <w:szCs w:val="22"/>
          <w:lang w:val="sk-SK" w:bidi="bo-CN"/>
        </w:rPr>
        <w:t>.</w:t>
      </w:r>
      <w:r w:rsidRPr="000309B7">
        <w:rPr>
          <w:rFonts w:cs="Segoe UI"/>
          <w:bCs/>
          <w:szCs w:val="22"/>
          <w:lang w:val="sk-SK"/>
        </w:rPr>
        <w:t xml:space="preserve"> </w:t>
      </w:r>
      <w:r w:rsidRPr="000309B7">
        <w:rPr>
          <w:rFonts w:cs="Segoe UI"/>
          <w:bCs/>
          <w:szCs w:val="22"/>
          <w:lang w:val="sk-SK" w:bidi="bo-CN"/>
        </w:rPr>
        <w:t>S ich podporou bol v prvej polovici roka dosiahnutý značný rast.</w:t>
      </w:r>
      <w:r w:rsidRPr="000309B7">
        <w:rPr>
          <w:rFonts w:cs="Segoe UI"/>
          <w:bCs/>
          <w:szCs w:val="22"/>
          <w:lang w:val="sk-SK"/>
        </w:rPr>
        <w:t xml:space="preserve"> </w:t>
      </w:r>
      <w:bookmarkStart w:id="5" w:name="_Hlk109382178"/>
      <w:r w:rsidRPr="000309B7">
        <w:rPr>
          <w:rFonts w:cs="Segoe UI"/>
          <w:bCs/>
          <w:szCs w:val="22"/>
          <w:lang w:val="sk-SK" w:bidi="bo-CN"/>
        </w:rPr>
        <w:t xml:space="preserve">Napríklad v rámci divízie </w:t>
      </w:r>
      <w:proofErr w:type="spellStart"/>
      <w:r w:rsidRPr="000309B7">
        <w:rPr>
          <w:rFonts w:cs="Segoe UI"/>
          <w:bCs/>
          <w:szCs w:val="22"/>
          <w:lang w:val="sk-SK" w:bidi="bo-CN"/>
        </w:rPr>
        <w:t>Adhesive</w:t>
      </w:r>
      <w:proofErr w:type="spellEnd"/>
      <w:r w:rsidRPr="000309B7">
        <w:rPr>
          <w:rFonts w:cs="Segoe UI"/>
          <w:bCs/>
          <w:szCs w:val="22"/>
          <w:lang w:val="sk-SK" w:bidi="bo-CN"/>
        </w:rPr>
        <w:t xml:space="preserve"> Technologies spoločnosť Henkel vyvinula nové protipožiarne nátery pre batérie elektromobilov.</w:t>
      </w:r>
      <w:r w:rsidRPr="000309B7">
        <w:rPr>
          <w:rFonts w:cs="Segoe UI"/>
          <w:bCs/>
          <w:szCs w:val="22"/>
          <w:lang w:val="sk-SK"/>
        </w:rPr>
        <w:t xml:space="preserve"> </w:t>
      </w:r>
      <w:r w:rsidRPr="000309B7">
        <w:rPr>
          <w:rFonts w:cs="Segoe UI"/>
          <w:bCs/>
          <w:szCs w:val="22"/>
          <w:lang w:val="sk-SK" w:bidi="bo-CN"/>
        </w:rPr>
        <w:t>Nové nátery nielen zvyšujú bezpečnosť cestujúcich, ale zákazníkom z automobilového priemyslu umožňujú zvýšiť nákladovú efektivitu svojej výroby.</w:t>
      </w:r>
      <w:r w:rsidRPr="000309B7">
        <w:rPr>
          <w:rFonts w:cs="Segoe UI"/>
          <w:bCs/>
          <w:szCs w:val="22"/>
          <w:lang w:val="sk-SK"/>
        </w:rPr>
        <w:t xml:space="preserve"> </w:t>
      </w:r>
      <w:r w:rsidRPr="000309B7">
        <w:rPr>
          <w:rFonts w:cs="Segoe UI"/>
          <w:bCs/>
          <w:szCs w:val="22"/>
          <w:lang w:val="sk-SK" w:bidi="bo-CN"/>
        </w:rPr>
        <w:t xml:space="preserve">V segmente vlasovej kozmetiky spoločnosť Henkel obnovila značku </w:t>
      </w:r>
      <w:proofErr w:type="spellStart"/>
      <w:r w:rsidRPr="000309B7">
        <w:rPr>
          <w:rFonts w:cs="Segoe UI"/>
          <w:bCs/>
          <w:szCs w:val="22"/>
          <w:lang w:val="sk-SK" w:bidi="bo-CN"/>
        </w:rPr>
        <w:t>Schauma</w:t>
      </w:r>
      <w:proofErr w:type="spellEnd"/>
      <w:r w:rsidRPr="000309B7">
        <w:rPr>
          <w:rFonts w:cs="Segoe UI"/>
          <w:bCs/>
          <w:szCs w:val="22"/>
          <w:lang w:val="sk-SK" w:bidi="bo-CN"/>
        </w:rPr>
        <w:t xml:space="preserve"> s novým dizajnom udržateľného obalu s obsahom 50 až 100 % recyklovaných plastov.</w:t>
      </w:r>
      <w:r w:rsidRPr="000309B7">
        <w:rPr>
          <w:rFonts w:cs="Segoe UI"/>
          <w:bCs/>
          <w:szCs w:val="22"/>
          <w:lang w:val="sk-SK"/>
        </w:rPr>
        <w:t xml:space="preserve"> </w:t>
      </w:r>
      <w:r w:rsidRPr="000309B7">
        <w:rPr>
          <w:rFonts w:cs="Segoe UI"/>
          <w:bCs/>
          <w:szCs w:val="22"/>
          <w:lang w:val="sk-SK" w:bidi="bo-CN"/>
        </w:rPr>
        <w:t xml:space="preserve">Divízia </w:t>
      </w:r>
      <w:proofErr w:type="spellStart"/>
      <w:r w:rsidRPr="000309B7">
        <w:rPr>
          <w:rFonts w:cs="Segoe UI"/>
          <w:bCs/>
          <w:szCs w:val="22"/>
          <w:lang w:val="sk-SK" w:bidi="bo-CN"/>
        </w:rPr>
        <w:t>Laundry</w:t>
      </w:r>
      <w:proofErr w:type="spellEnd"/>
      <w:r w:rsidRPr="000309B7">
        <w:rPr>
          <w:rFonts w:cs="Segoe UI"/>
          <w:bCs/>
          <w:szCs w:val="22"/>
          <w:lang w:val="sk-SK" w:bidi="bo-CN"/>
        </w:rPr>
        <w:t xml:space="preserve"> &amp; Home </w:t>
      </w:r>
      <w:proofErr w:type="spellStart"/>
      <w:r w:rsidRPr="000309B7">
        <w:rPr>
          <w:rFonts w:cs="Segoe UI"/>
          <w:bCs/>
          <w:szCs w:val="22"/>
          <w:lang w:val="sk-SK" w:bidi="bo-CN"/>
        </w:rPr>
        <w:t>Care</w:t>
      </w:r>
      <w:proofErr w:type="spellEnd"/>
      <w:r w:rsidRPr="000309B7">
        <w:rPr>
          <w:rFonts w:cs="Segoe UI"/>
          <w:bCs/>
          <w:szCs w:val="22"/>
          <w:lang w:val="sk-SK" w:bidi="bo-CN"/>
        </w:rPr>
        <w:t xml:space="preserve"> dosiahla dvojciferný rast a získala ďalšie trhové podiely pre značku </w:t>
      </w:r>
      <w:proofErr w:type="spellStart"/>
      <w:r w:rsidRPr="000309B7">
        <w:rPr>
          <w:rFonts w:cs="Segoe UI"/>
          <w:bCs/>
          <w:szCs w:val="22"/>
          <w:lang w:val="sk-SK" w:bidi="bo-CN"/>
        </w:rPr>
        <w:t>Persil</w:t>
      </w:r>
      <w:proofErr w:type="spellEnd"/>
      <w:r w:rsidRPr="000309B7">
        <w:rPr>
          <w:rFonts w:cs="Segoe UI"/>
          <w:bCs/>
          <w:szCs w:val="22"/>
          <w:lang w:val="sk-SK" w:bidi="bo-CN"/>
        </w:rPr>
        <w:t xml:space="preserve"> vďaka podpore rozšírenia radu udržateľných produktov pripravených na predaj digitálnymi kanálmi.</w:t>
      </w:r>
    </w:p>
    <w:bookmarkEnd w:id="5"/>
    <w:p w14:paraId="49F18073" w14:textId="77777777" w:rsidR="00215E66" w:rsidRPr="000309B7" w:rsidRDefault="00215E66" w:rsidP="00215E66">
      <w:pPr>
        <w:autoSpaceDE w:val="0"/>
        <w:autoSpaceDN w:val="0"/>
        <w:adjustRightInd w:val="0"/>
        <w:rPr>
          <w:rFonts w:cs="Segoe UI"/>
          <w:b/>
          <w:szCs w:val="22"/>
          <w:lang w:val="sk-SK"/>
        </w:rPr>
      </w:pPr>
    </w:p>
    <w:p w14:paraId="50D99E15" w14:textId="77777777" w:rsidR="00215E66" w:rsidRPr="000309B7" w:rsidRDefault="00215E66" w:rsidP="00215E66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  <w:r w:rsidRPr="000309B7">
        <w:rPr>
          <w:rFonts w:cs="Segoe UI"/>
          <w:b/>
          <w:szCs w:val="22"/>
          <w:lang w:val="sk-SK" w:bidi="bo-CN"/>
        </w:rPr>
        <w:t xml:space="preserve">Udržateľnosť </w:t>
      </w:r>
      <w:r w:rsidRPr="000309B7">
        <w:rPr>
          <w:rFonts w:cs="Segoe UI"/>
          <w:bCs/>
          <w:szCs w:val="22"/>
          <w:lang w:val="sk-SK" w:bidi="bo-CN"/>
        </w:rPr>
        <w:t>je dlhodobo jednou z najsilnejších stránok spoločnosti Henkel.</w:t>
      </w:r>
      <w:r w:rsidRPr="000309B7">
        <w:rPr>
          <w:rFonts w:cs="Segoe UI"/>
          <w:bCs/>
          <w:szCs w:val="22"/>
          <w:lang w:val="sk-SK"/>
        </w:rPr>
        <w:t xml:space="preserve"> </w:t>
      </w:r>
      <w:r w:rsidRPr="000309B7">
        <w:rPr>
          <w:rFonts w:cs="Segoe UI"/>
          <w:bCs/>
          <w:szCs w:val="22"/>
          <w:lang w:val="sk-SK" w:bidi="bo-CN"/>
        </w:rPr>
        <w:t xml:space="preserve">V reakcii na rastúcu dôležitosť udržateľného riadenia a zvyšujúce sa očakávania zákazníkov a verejnosti spoločnosť Henkel posilnila svoju dlhodobú stratégiu v oblasti udržateľnosti zavedením nového rámca pod názvom „2030+ </w:t>
      </w:r>
      <w:proofErr w:type="spellStart"/>
      <w:r w:rsidRPr="000309B7">
        <w:rPr>
          <w:rFonts w:cs="Segoe UI"/>
          <w:bCs/>
          <w:szCs w:val="22"/>
          <w:lang w:val="sk-SK" w:bidi="bo-CN"/>
        </w:rPr>
        <w:t>Sustainability</w:t>
      </w:r>
      <w:proofErr w:type="spellEnd"/>
      <w:r w:rsidRPr="000309B7">
        <w:rPr>
          <w:rFonts w:cs="Segoe UI"/>
          <w:bCs/>
          <w:szCs w:val="22"/>
          <w:lang w:val="sk-SK" w:bidi="bo-CN"/>
        </w:rPr>
        <w:t xml:space="preserve"> </w:t>
      </w:r>
      <w:proofErr w:type="spellStart"/>
      <w:r w:rsidRPr="000309B7">
        <w:rPr>
          <w:rFonts w:cs="Segoe UI"/>
          <w:bCs/>
          <w:szCs w:val="22"/>
          <w:lang w:val="sk-SK" w:bidi="bo-CN"/>
        </w:rPr>
        <w:t>Ambition</w:t>
      </w:r>
      <w:proofErr w:type="spellEnd"/>
      <w:r w:rsidRPr="000309B7">
        <w:rPr>
          <w:rFonts w:cs="Segoe UI"/>
          <w:bCs/>
          <w:szCs w:val="22"/>
          <w:lang w:val="sk-SK" w:bidi="bo-CN"/>
        </w:rPr>
        <w:t xml:space="preserve"> </w:t>
      </w:r>
      <w:proofErr w:type="spellStart"/>
      <w:r w:rsidRPr="000309B7">
        <w:rPr>
          <w:rFonts w:cs="Segoe UI"/>
          <w:bCs/>
          <w:szCs w:val="22"/>
          <w:lang w:val="sk-SK" w:bidi="bo-CN"/>
        </w:rPr>
        <w:t>Framework</w:t>
      </w:r>
      <w:proofErr w:type="spellEnd"/>
      <w:r w:rsidRPr="000309B7">
        <w:rPr>
          <w:rFonts w:cs="Segoe UI"/>
          <w:bCs/>
          <w:szCs w:val="22"/>
          <w:lang w:val="sk-SK" w:bidi="bo-CN"/>
        </w:rPr>
        <w:t>“ začiatkom tohto roka.</w:t>
      </w:r>
      <w:r w:rsidRPr="000309B7">
        <w:rPr>
          <w:rFonts w:cs="Segoe UI"/>
          <w:bCs/>
          <w:szCs w:val="22"/>
          <w:lang w:val="sk-SK"/>
        </w:rPr>
        <w:t xml:space="preserve"> </w:t>
      </w:r>
      <w:r w:rsidRPr="000309B7">
        <w:rPr>
          <w:rFonts w:cs="Segoe UI"/>
          <w:bCs/>
          <w:szCs w:val="22"/>
          <w:lang w:val="sk-SK" w:bidi="bo-CN"/>
        </w:rPr>
        <w:t>Na doplnenie existujúcich cieľov si stanovila nové dlhodobé ambiciózne ciele, ktoré majú prispieť k ďalšiemu pokroku v troch oblastiach:</w:t>
      </w:r>
      <w:r w:rsidRPr="000309B7">
        <w:rPr>
          <w:rFonts w:cs="Segoe UI"/>
          <w:bCs/>
          <w:szCs w:val="22"/>
          <w:lang w:val="sk-SK"/>
        </w:rPr>
        <w:t xml:space="preserve"> </w:t>
      </w:r>
      <w:r w:rsidRPr="000309B7">
        <w:rPr>
          <w:rFonts w:cs="Segoe UI"/>
          <w:bCs/>
          <w:szCs w:val="22"/>
          <w:lang w:val="sk-SK" w:bidi="bo-CN"/>
        </w:rPr>
        <w:t>„Regenerujúca planéta“, „Prosperujúce komunity“ a „Dôveryhodný partner“.</w:t>
      </w:r>
    </w:p>
    <w:p w14:paraId="47927175" w14:textId="77777777" w:rsidR="00215E66" w:rsidRPr="000309B7" w:rsidRDefault="00215E66" w:rsidP="00215E66">
      <w:pPr>
        <w:autoSpaceDE w:val="0"/>
        <w:autoSpaceDN w:val="0"/>
        <w:adjustRightInd w:val="0"/>
        <w:rPr>
          <w:rFonts w:cs="Segoe UI"/>
          <w:color w:val="000000"/>
          <w:shd w:val="clear" w:color="auto" w:fill="FFFFFF"/>
          <w:lang w:val="sk-SK"/>
        </w:rPr>
      </w:pPr>
    </w:p>
    <w:p w14:paraId="58176993" w14:textId="77777777" w:rsidR="00215E66" w:rsidRPr="000309B7" w:rsidRDefault="00215E66" w:rsidP="00215E66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  <w:bookmarkStart w:id="6" w:name="_Hlk109206660"/>
      <w:r w:rsidRPr="000309B7">
        <w:rPr>
          <w:rFonts w:cs="Segoe UI"/>
          <w:bCs/>
          <w:szCs w:val="22"/>
          <w:lang w:val="sk-SK" w:bidi="bo-CN"/>
        </w:rPr>
        <w:t>Spoločnosť Henkel dosiahla ďalší pokrok v oblasti trvalej udržateľnosti v prvom polroku 2022.</w:t>
      </w:r>
      <w:r w:rsidRPr="000309B7">
        <w:rPr>
          <w:rFonts w:cs="Segoe UI"/>
          <w:bCs/>
          <w:szCs w:val="22"/>
          <w:lang w:val="sk-SK"/>
        </w:rPr>
        <w:t xml:space="preserve"> </w:t>
      </w:r>
      <w:r w:rsidRPr="000309B7">
        <w:rPr>
          <w:rFonts w:cs="Segoe UI"/>
          <w:bCs/>
          <w:szCs w:val="22"/>
          <w:lang w:val="sk-SK" w:bidi="bo-CN"/>
        </w:rPr>
        <w:t>Pri plnení cieľa dosiahnuť do roku 2030 klimaticky pozitívnu rovnováhu CO2 vo výrobných prevádzkach prešli napríklad tri ďalšie európske prevádzky na používanie 100 % uhlíkovo neutrálnej energie.</w:t>
      </w:r>
      <w:r w:rsidRPr="000309B7">
        <w:rPr>
          <w:rFonts w:cs="Segoe UI"/>
          <w:bCs/>
          <w:szCs w:val="22"/>
          <w:lang w:val="sk-SK"/>
        </w:rPr>
        <w:t xml:space="preserve"> </w:t>
      </w:r>
      <w:r w:rsidRPr="000309B7">
        <w:rPr>
          <w:rFonts w:cs="Segoe UI"/>
          <w:bCs/>
          <w:szCs w:val="22"/>
          <w:lang w:val="sk-SK" w:bidi="bo-CN"/>
        </w:rPr>
        <w:t>Okrem toho spoločnosť Henkel neustále a konzistentne zvyšuje používanie surovín z obnoviteľných zdrojov.</w:t>
      </w:r>
      <w:r w:rsidRPr="000309B7">
        <w:rPr>
          <w:rFonts w:cs="Segoe UI"/>
          <w:bCs/>
          <w:szCs w:val="22"/>
          <w:lang w:val="sk-SK"/>
        </w:rPr>
        <w:t xml:space="preserve"> </w:t>
      </w:r>
      <w:r w:rsidRPr="000309B7">
        <w:rPr>
          <w:rFonts w:cs="Segoe UI"/>
          <w:bCs/>
          <w:szCs w:val="22"/>
          <w:lang w:val="sk-SK" w:bidi="bo-CN"/>
        </w:rPr>
        <w:t>Vďaka partnerstvu so spoločnosťou BASF bolo približne 110 000 ton fosílnych materiálov nahradených materiálmi z obnoviteľných zdrojov.</w:t>
      </w:r>
    </w:p>
    <w:p w14:paraId="1539FE9A" w14:textId="77777777" w:rsidR="00215E66" w:rsidRPr="000309B7" w:rsidRDefault="00215E66" w:rsidP="00215E66">
      <w:pPr>
        <w:autoSpaceDE w:val="0"/>
        <w:autoSpaceDN w:val="0"/>
        <w:adjustRightInd w:val="0"/>
        <w:rPr>
          <w:rFonts w:cs="Segoe UI"/>
          <w:bCs/>
          <w:szCs w:val="22"/>
          <w:lang w:val="sk-SK"/>
        </w:rPr>
      </w:pPr>
    </w:p>
    <w:bookmarkEnd w:id="6"/>
    <w:p w14:paraId="6CE91762" w14:textId="189313B5" w:rsidR="00215E66" w:rsidRPr="000309B7" w:rsidRDefault="00215E66" w:rsidP="00215E66">
      <w:pPr>
        <w:rPr>
          <w:rFonts w:cs="Segoe UI"/>
          <w:bCs/>
          <w:szCs w:val="22"/>
          <w:lang w:val="sk-SK"/>
        </w:rPr>
      </w:pPr>
      <w:r w:rsidRPr="000309B7">
        <w:rPr>
          <w:rFonts w:cs="Segoe UI"/>
          <w:szCs w:val="22"/>
          <w:lang w:val="sk-SK" w:eastAsia="de-DE" w:bidi="bo-CN"/>
        </w:rPr>
        <w:t xml:space="preserve">Popri inováciách a udržateľnosti je </w:t>
      </w:r>
      <w:r w:rsidRPr="000309B7">
        <w:rPr>
          <w:rFonts w:cs="Segoe UI"/>
          <w:b/>
          <w:bCs/>
          <w:szCs w:val="22"/>
          <w:lang w:val="sk-SK" w:eastAsia="de-DE" w:bidi="bo-CN"/>
        </w:rPr>
        <w:t>digitalizácia</w:t>
      </w:r>
      <w:r w:rsidRPr="000309B7">
        <w:rPr>
          <w:rFonts w:cs="Segoe UI"/>
          <w:szCs w:val="22"/>
          <w:lang w:val="sk-SK" w:eastAsia="de-DE" w:bidi="bo-CN"/>
        </w:rPr>
        <w:t xml:space="preserve"> ďalším kľúčovým faktorom na zvýšenie konkurencieschopnosti spoločnosti Henkel.</w:t>
      </w:r>
      <w:r w:rsidRPr="000309B7">
        <w:rPr>
          <w:rFonts w:cs="Segoe UI"/>
          <w:szCs w:val="22"/>
          <w:lang w:val="sk-SK" w:eastAsia="de-DE"/>
        </w:rPr>
        <w:t xml:space="preserve"> </w:t>
      </w:r>
      <w:r w:rsidRPr="000309B7">
        <w:rPr>
          <w:rFonts w:cs="Segoe UI"/>
          <w:szCs w:val="22"/>
          <w:lang w:val="sk-SK" w:eastAsia="de-DE" w:bidi="bo-CN"/>
        </w:rPr>
        <w:t>Podiel obratu generovaného prostredníctvom digitálnych kanálov zaznamenal v prvom polroku dvojciferný rast a dosiahol viac než 20 %.</w:t>
      </w:r>
      <w:r w:rsidRPr="000309B7">
        <w:rPr>
          <w:rFonts w:cs="Segoe UI"/>
          <w:szCs w:val="22"/>
          <w:lang w:val="sk-SK" w:eastAsia="de-DE"/>
        </w:rPr>
        <w:t xml:space="preserve"> </w:t>
      </w:r>
      <w:r w:rsidRPr="000309B7">
        <w:rPr>
          <w:rFonts w:cs="Segoe UI"/>
          <w:szCs w:val="22"/>
          <w:lang w:val="sk-SK" w:eastAsia="de-DE" w:bidi="bo-CN"/>
        </w:rPr>
        <w:t xml:space="preserve">Digitálna obchodná platforma divízie </w:t>
      </w:r>
      <w:proofErr w:type="spellStart"/>
      <w:r w:rsidRPr="000309B7">
        <w:rPr>
          <w:rFonts w:cs="Segoe UI"/>
          <w:bCs/>
          <w:szCs w:val="22"/>
          <w:lang w:val="sk-SK" w:bidi="bo-CN"/>
        </w:rPr>
        <w:t>Adhesive</w:t>
      </w:r>
      <w:proofErr w:type="spellEnd"/>
      <w:r w:rsidRPr="000309B7">
        <w:rPr>
          <w:rFonts w:cs="Segoe UI"/>
          <w:bCs/>
          <w:szCs w:val="22"/>
          <w:lang w:val="sk-SK" w:bidi="bo-CN"/>
        </w:rPr>
        <w:t xml:space="preserve"> Technologies dosiahla v prvom polroku dvojciferný rast.</w:t>
      </w:r>
      <w:r w:rsidRPr="000309B7">
        <w:rPr>
          <w:rFonts w:cs="Segoe UI"/>
          <w:bCs/>
          <w:szCs w:val="22"/>
          <w:lang w:val="sk-SK"/>
        </w:rPr>
        <w:t xml:space="preserve"> </w:t>
      </w:r>
      <w:r w:rsidRPr="000309B7">
        <w:rPr>
          <w:rFonts w:cs="Segoe UI"/>
          <w:bCs/>
          <w:szCs w:val="22"/>
          <w:lang w:val="sk-SK" w:bidi="bo-CN"/>
        </w:rPr>
        <w:t>Vďaka rozšírenej ponuke značiek a výrobkov zaznamenal dvojciferný rast aj e-</w:t>
      </w:r>
      <w:proofErr w:type="spellStart"/>
      <w:r w:rsidRPr="000309B7">
        <w:rPr>
          <w:rFonts w:cs="Segoe UI"/>
          <w:bCs/>
          <w:szCs w:val="22"/>
          <w:lang w:val="sk-SK" w:bidi="bo-CN"/>
        </w:rPr>
        <w:t>shop</w:t>
      </w:r>
      <w:proofErr w:type="spellEnd"/>
      <w:r w:rsidRPr="000309B7">
        <w:rPr>
          <w:rFonts w:cs="Segoe UI"/>
          <w:bCs/>
          <w:szCs w:val="22"/>
          <w:lang w:val="sk-SK" w:bidi="bo-CN"/>
        </w:rPr>
        <w:t xml:space="preserve"> s profesionálnou vlasovou kozmetikou.</w:t>
      </w:r>
      <w:r w:rsidRPr="000309B7">
        <w:rPr>
          <w:rFonts w:cs="Segoe UI"/>
          <w:bCs/>
          <w:szCs w:val="22"/>
          <w:lang w:val="sk-SK"/>
        </w:rPr>
        <w:t xml:space="preserve"> </w:t>
      </w:r>
      <w:r w:rsidRPr="000309B7">
        <w:rPr>
          <w:rFonts w:cs="Segoe UI"/>
          <w:bCs/>
          <w:szCs w:val="22"/>
          <w:lang w:val="sk-SK" w:bidi="bo-CN"/>
        </w:rPr>
        <w:t>Spoločnosť Henkel okrem toho ďalej rozširuje aj svoju digitálnu ponuku výrobkov v segmente pracích a čistiacich prostriedkov pre domácnosť,</w:t>
      </w:r>
      <w:r w:rsidRPr="000309B7">
        <w:rPr>
          <w:rFonts w:cs="Segoe UI"/>
          <w:bCs/>
          <w:szCs w:val="22"/>
          <w:lang w:val="sk-SK"/>
        </w:rPr>
        <w:t xml:space="preserve"> </w:t>
      </w:r>
      <w:r w:rsidRPr="000309B7">
        <w:rPr>
          <w:rFonts w:cs="Segoe UI"/>
          <w:bCs/>
          <w:szCs w:val="22"/>
          <w:lang w:val="sk-SK" w:bidi="bo-CN"/>
        </w:rPr>
        <w:t>k čomu prispieva nová integrovaná technická platform</w:t>
      </w:r>
      <w:r w:rsidR="00ED7C52" w:rsidRPr="000309B7">
        <w:rPr>
          <w:rFonts w:cs="Segoe UI"/>
          <w:bCs/>
          <w:szCs w:val="22"/>
          <w:lang w:val="sk-SK" w:bidi="bo-CN"/>
        </w:rPr>
        <w:t>a</w:t>
      </w:r>
      <w:r w:rsidRPr="000309B7">
        <w:rPr>
          <w:rFonts w:cs="Segoe UI"/>
          <w:bCs/>
          <w:szCs w:val="22"/>
          <w:lang w:val="sk-SK" w:bidi="bo-CN"/>
        </w:rPr>
        <w:t xml:space="preserve"> RAQN.</w:t>
      </w:r>
    </w:p>
    <w:p w14:paraId="453308B5" w14:textId="77777777" w:rsidR="00215E66" w:rsidRPr="000309B7" w:rsidRDefault="00215E66" w:rsidP="00215E66">
      <w:pPr>
        <w:rPr>
          <w:rFonts w:cs="Segoe UI"/>
          <w:szCs w:val="22"/>
          <w:lang w:val="sk-SK" w:eastAsia="de-DE"/>
        </w:rPr>
      </w:pPr>
    </w:p>
    <w:p w14:paraId="51E1D634" w14:textId="77777777" w:rsidR="00215E66" w:rsidRPr="000309B7" w:rsidRDefault="00215E66" w:rsidP="00215E66">
      <w:pPr>
        <w:rPr>
          <w:rStyle w:val="AboutandContactHeadline"/>
          <w:rFonts w:asciiTheme="majorHAnsi" w:hAnsiTheme="majorHAnsi" w:cstheme="majorHAnsi"/>
          <w:b w:val="0"/>
          <w:sz w:val="22"/>
          <w:lang w:val="sk-SK"/>
        </w:rPr>
      </w:pPr>
      <w:bookmarkStart w:id="7" w:name="_Hlk109386180"/>
      <w:r w:rsidRPr="000309B7">
        <w:rPr>
          <w:rStyle w:val="AboutandContactHeadline"/>
          <w:rFonts w:asciiTheme="majorHAnsi" w:hAnsiTheme="majorHAnsi" w:cstheme="majorHAnsi"/>
          <w:b w:val="0"/>
          <w:sz w:val="22"/>
          <w:lang w:val="sk-SK" w:bidi="bo-CN"/>
        </w:rPr>
        <w:t xml:space="preserve">Dôležitými prvkami strategického rámca spoločnosti Henkel sú štíhle a rýchle </w:t>
      </w:r>
      <w:r w:rsidRPr="000309B7">
        <w:rPr>
          <w:rStyle w:val="AboutandContactHeadline"/>
          <w:rFonts w:asciiTheme="majorHAnsi" w:hAnsiTheme="majorHAnsi" w:cstheme="majorHAnsi"/>
          <w:bCs w:val="0"/>
          <w:sz w:val="22"/>
          <w:lang w:val="sk-SK" w:bidi="bo-CN"/>
        </w:rPr>
        <w:t>prevádzkové modely pripravené na budúcnosť</w:t>
      </w:r>
      <w:r w:rsidRPr="000309B7">
        <w:rPr>
          <w:rStyle w:val="AboutandContactHeadline"/>
          <w:rFonts w:asciiTheme="majorHAnsi" w:hAnsiTheme="majorHAnsi" w:cstheme="majorHAnsi"/>
          <w:b w:val="0"/>
          <w:sz w:val="22"/>
          <w:lang w:val="sk-SK" w:bidi="bo-CN"/>
        </w:rPr>
        <w:t>.</w:t>
      </w:r>
      <w:r w:rsidRPr="000309B7">
        <w:rPr>
          <w:rStyle w:val="AboutandContactHeadline"/>
          <w:rFonts w:asciiTheme="majorHAnsi" w:hAnsiTheme="majorHAnsi" w:cstheme="majorHAnsi"/>
          <w:b w:val="0"/>
          <w:sz w:val="22"/>
          <w:lang w:val="sk-SK"/>
        </w:rPr>
        <w:t xml:space="preserve"> </w:t>
      </w:r>
      <w:r w:rsidRPr="000309B7">
        <w:rPr>
          <w:rStyle w:val="AboutandContactHeadline"/>
          <w:rFonts w:asciiTheme="majorHAnsi" w:hAnsiTheme="majorHAnsi" w:cstheme="majorHAnsi"/>
          <w:b w:val="0"/>
          <w:sz w:val="22"/>
          <w:lang w:val="sk-SK" w:bidi="bo-CN"/>
        </w:rPr>
        <w:t xml:space="preserve">Spoločnosť Henkel pokračuje v zmenách, ktoré spustila už </w:t>
      </w:r>
      <w:r w:rsidRPr="000309B7">
        <w:rPr>
          <w:rStyle w:val="AboutandContactHeadline"/>
          <w:rFonts w:asciiTheme="majorHAnsi" w:hAnsiTheme="majorHAnsi" w:cstheme="majorHAnsi"/>
          <w:b w:val="0"/>
          <w:sz w:val="22"/>
          <w:lang w:val="sk-SK" w:bidi="bo-CN"/>
        </w:rPr>
        <w:lastRenderedPageBreak/>
        <w:t>v roku 2020: digitálna divízia Henkel dx disponuje vysoko efektívnymi štruktúrami, ktoré umožňujú zvýšiť investície do IT projektov pri stabilných nákladoch.</w:t>
      </w:r>
      <w:r w:rsidRPr="000309B7">
        <w:rPr>
          <w:rStyle w:val="AboutandContactHeadline"/>
          <w:rFonts w:asciiTheme="majorHAnsi" w:hAnsiTheme="majorHAnsi" w:cstheme="majorHAnsi"/>
          <w:b w:val="0"/>
          <w:sz w:val="22"/>
          <w:lang w:val="sk-SK"/>
        </w:rPr>
        <w:t xml:space="preserve"> </w:t>
      </w:r>
    </w:p>
    <w:p w14:paraId="5FE3698C" w14:textId="77777777" w:rsidR="00215E66" w:rsidRPr="000309B7" w:rsidRDefault="00215E66" w:rsidP="00215E66">
      <w:pPr>
        <w:rPr>
          <w:rStyle w:val="AboutandContactHeadline"/>
          <w:rFonts w:asciiTheme="majorHAnsi" w:hAnsiTheme="majorHAnsi" w:cstheme="majorHAnsi"/>
          <w:b w:val="0"/>
          <w:sz w:val="22"/>
          <w:lang w:val="sk-SK"/>
        </w:rPr>
      </w:pPr>
    </w:p>
    <w:p w14:paraId="325505D7" w14:textId="77777777" w:rsidR="00215E66" w:rsidRPr="000309B7" w:rsidRDefault="00215E66" w:rsidP="00215E66">
      <w:pPr>
        <w:rPr>
          <w:rFonts w:cs="Segoe UI"/>
          <w:szCs w:val="22"/>
          <w:lang w:val="sk-SK" w:eastAsia="de-DE"/>
        </w:rPr>
      </w:pPr>
      <w:bookmarkStart w:id="8" w:name="_Hlk109386825"/>
      <w:bookmarkEnd w:id="7"/>
      <w:r w:rsidRPr="000309B7">
        <w:rPr>
          <w:rFonts w:cs="Segoe UI"/>
          <w:shd w:val="clear" w:color="auto" w:fill="FFFFFF"/>
          <w:lang w:val="sk-SK" w:bidi="bo-CN"/>
        </w:rPr>
        <w:t xml:space="preserve">Rozvíjanie firemnej kultúry spoločnosti Henkel a zrýchľovanie </w:t>
      </w:r>
      <w:r w:rsidRPr="000309B7">
        <w:rPr>
          <w:rFonts w:cs="Segoe UI"/>
          <w:b/>
          <w:bCs/>
          <w:shd w:val="clear" w:color="auto" w:fill="FFFFFF"/>
          <w:lang w:val="sk-SK" w:bidi="bo-CN"/>
        </w:rPr>
        <w:t>kultúrnej transformácie</w:t>
      </w:r>
      <w:r w:rsidRPr="000309B7">
        <w:rPr>
          <w:rFonts w:cs="Segoe UI"/>
          <w:shd w:val="clear" w:color="auto" w:fill="FFFFFF"/>
          <w:lang w:val="sk-SK" w:bidi="bo-CN"/>
        </w:rPr>
        <w:t xml:space="preserve"> sú ďalšími kľúčovými prvkami agendy zmysluplného rastu.</w:t>
      </w:r>
      <w:r w:rsidRPr="000309B7">
        <w:rPr>
          <w:rFonts w:cs="Segoe UI"/>
          <w:color w:val="000000"/>
          <w:shd w:val="clear" w:color="auto" w:fill="FFFFFF"/>
          <w:lang w:val="sk-SK"/>
        </w:rPr>
        <w:t xml:space="preserve"> </w:t>
      </w:r>
      <w:r w:rsidRPr="000309B7">
        <w:rPr>
          <w:rFonts w:cs="Segoe UI"/>
          <w:shd w:val="clear" w:color="auto" w:fill="FFFFFF"/>
          <w:lang w:val="sk-SK" w:bidi="bo-CN"/>
        </w:rPr>
        <w:t>Spoločnosť sa snaží posilniť kultúru spolupráce.</w:t>
      </w:r>
      <w:r w:rsidRPr="000309B7">
        <w:rPr>
          <w:rFonts w:cs="Segoe UI"/>
          <w:color w:val="000000"/>
          <w:shd w:val="clear" w:color="auto" w:fill="FFFFFF"/>
          <w:lang w:val="sk-SK"/>
        </w:rPr>
        <w:t xml:space="preserve"> </w:t>
      </w:r>
      <w:r w:rsidRPr="000309B7">
        <w:rPr>
          <w:rFonts w:cs="Segoe UI"/>
          <w:shd w:val="clear" w:color="auto" w:fill="FFFFFF"/>
          <w:lang w:val="sk-SK" w:bidi="bo-CN"/>
        </w:rPr>
        <w:t>V prvej polovici roka pokračovala v zavádzaní celého súboru opatrení na dosiahnutie tohto cieľa a posilnenie postavenia zamestnancov.</w:t>
      </w:r>
    </w:p>
    <w:p w14:paraId="02CDC4C1" w14:textId="77777777" w:rsidR="00215E66" w:rsidRPr="000309B7" w:rsidRDefault="00215E66" w:rsidP="00215E66">
      <w:pPr>
        <w:rPr>
          <w:lang w:val="sk-SK"/>
        </w:rPr>
      </w:pPr>
    </w:p>
    <w:p w14:paraId="2B01C3B5" w14:textId="77777777" w:rsidR="00215E66" w:rsidRPr="000309B7" w:rsidRDefault="00215E66" w:rsidP="00215E66">
      <w:pPr>
        <w:rPr>
          <w:lang w:val="sk-SK"/>
        </w:rPr>
      </w:pPr>
      <w:r w:rsidRPr="000309B7">
        <w:rPr>
          <w:lang w:val="sk-SK" w:bidi="bo-CN"/>
        </w:rPr>
        <w:t xml:space="preserve">V súvislosti so zlúčením obchodných divízií </w:t>
      </w:r>
      <w:proofErr w:type="spellStart"/>
      <w:r w:rsidRPr="000309B7">
        <w:rPr>
          <w:lang w:val="sk-SK" w:bidi="bo-CN"/>
        </w:rPr>
        <w:t>Laundry</w:t>
      </w:r>
      <w:proofErr w:type="spellEnd"/>
      <w:r w:rsidRPr="000309B7">
        <w:rPr>
          <w:lang w:val="sk-SK" w:bidi="bo-CN"/>
        </w:rPr>
        <w:t xml:space="preserve"> &amp; Home </w:t>
      </w:r>
      <w:proofErr w:type="spellStart"/>
      <w:r w:rsidRPr="000309B7">
        <w:rPr>
          <w:lang w:val="sk-SK" w:bidi="bo-CN"/>
        </w:rPr>
        <w:t>Care</w:t>
      </w:r>
      <w:proofErr w:type="spellEnd"/>
      <w:r w:rsidRPr="000309B7">
        <w:rPr>
          <w:lang w:val="sk-SK" w:bidi="bo-CN"/>
        </w:rPr>
        <w:t xml:space="preserve"> a </w:t>
      </w:r>
      <w:proofErr w:type="spellStart"/>
      <w:r w:rsidRPr="000309B7">
        <w:rPr>
          <w:lang w:val="sk-SK" w:bidi="bo-CN"/>
        </w:rPr>
        <w:t>Beauty</w:t>
      </w:r>
      <w:proofErr w:type="spellEnd"/>
      <w:r w:rsidRPr="000309B7">
        <w:rPr>
          <w:lang w:val="sk-SK" w:bidi="bo-CN"/>
        </w:rPr>
        <w:t xml:space="preserve"> </w:t>
      </w:r>
      <w:proofErr w:type="spellStart"/>
      <w:r w:rsidRPr="000309B7">
        <w:rPr>
          <w:lang w:val="sk-SK" w:bidi="bo-CN"/>
        </w:rPr>
        <w:t>Care</w:t>
      </w:r>
      <w:proofErr w:type="spellEnd"/>
      <w:r w:rsidRPr="000309B7">
        <w:rPr>
          <w:lang w:val="sk-SK" w:bidi="bo-CN"/>
        </w:rPr>
        <w:t xml:space="preserve"> napríklad zaviedla komplexný program manažmentu zmien.</w:t>
      </w:r>
      <w:r w:rsidRPr="000309B7">
        <w:rPr>
          <w:lang w:val="sk-SK"/>
        </w:rPr>
        <w:t xml:space="preserve"> </w:t>
      </w:r>
      <w:r w:rsidRPr="000309B7">
        <w:rPr>
          <w:lang w:val="sk-SK" w:bidi="bo-CN"/>
        </w:rPr>
        <w:t>Program sa zameriava na zvýšenie zručností a transformáciu tímov.</w:t>
      </w:r>
      <w:r w:rsidRPr="000309B7">
        <w:rPr>
          <w:lang w:val="sk-SK"/>
        </w:rPr>
        <w:t xml:space="preserve"> </w:t>
      </w:r>
      <w:r w:rsidRPr="000309B7">
        <w:rPr>
          <w:lang w:val="sk-SK" w:bidi="bo-CN"/>
        </w:rPr>
        <w:t>Na dosiahnutie rodovej rovnosti na všetkých úrovniach riadenia do roku 2025 spoločnosť Henkel prijala ďalšie konkrétne opatrenia a spustila iniciatívy ako Týždeň rozmanitosti, rovnosti a inklúzie.</w:t>
      </w:r>
      <w:r w:rsidRPr="000309B7">
        <w:rPr>
          <w:lang w:val="sk-SK"/>
        </w:rPr>
        <w:t xml:space="preserve"> </w:t>
      </w:r>
      <w:r w:rsidRPr="000309B7">
        <w:rPr>
          <w:lang w:val="sk-SK" w:bidi="bo-CN"/>
        </w:rPr>
        <w:t>V súlade s konceptom „</w:t>
      </w:r>
      <w:proofErr w:type="spellStart"/>
      <w:r w:rsidRPr="000309B7">
        <w:rPr>
          <w:lang w:val="sk-SK" w:bidi="bo-CN"/>
        </w:rPr>
        <w:t>Smart</w:t>
      </w:r>
      <w:proofErr w:type="spellEnd"/>
      <w:r w:rsidRPr="000309B7">
        <w:rPr>
          <w:lang w:val="sk-SK" w:bidi="bo-CN"/>
        </w:rPr>
        <w:t xml:space="preserve"> </w:t>
      </w:r>
      <w:proofErr w:type="spellStart"/>
      <w:r w:rsidRPr="000309B7">
        <w:rPr>
          <w:lang w:val="sk-SK" w:bidi="bo-CN"/>
        </w:rPr>
        <w:t>Work</w:t>
      </w:r>
      <w:proofErr w:type="spellEnd"/>
      <w:r w:rsidRPr="000309B7">
        <w:rPr>
          <w:lang w:val="sk-SK" w:bidi="bo-CN"/>
        </w:rPr>
        <w:t>“ sa zaviedli nové iniciatívy zamerané na duševné zdravie a duševnú pohodu zamestnancov.</w:t>
      </w:r>
    </w:p>
    <w:bookmarkEnd w:id="8"/>
    <w:p w14:paraId="7DBDB4F1" w14:textId="77777777" w:rsidR="00215E66" w:rsidRPr="000309B7" w:rsidRDefault="00215E66" w:rsidP="00215E66">
      <w:pPr>
        <w:rPr>
          <w:rFonts w:cs="Segoe UI"/>
          <w:szCs w:val="22"/>
          <w:lang w:val="sk-SK" w:eastAsia="de-DE"/>
        </w:rPr>
      </w:pPr>
    </w:p>
    <w:p w14:paraId="71D38F9D" w14:textId="77777777" w:rsidR="00215E66" w:rsidRPr="000309B7" w:rsidRDefault="00215E66" w:rsidP="00215E66">
      <w:pPr>
        <w:rPr>
          <w:rFonts w:cs="Segoe UI"/>
          <w:szCs w:val="22"/>
          <w:lang w:val="sk-SK" w:eastAsia="de-DE"/>
        </w:rPr>
      </w:pPr>
      <w:r w:rsidRPr="000309B7">
        <w:rPr>
          <w:rFonts w:cs="Segoe UI"/>
          <w:i/>
          <w:iCs/>
          <w:szCs w:val="22"/>
          <w:lang w:val="sk-SK" w:eastAsia="de-DE" w:bidi="bo-CN"/>
        </w:rPr>
        <w:t xml:space="preserve"> „Napriek tomu, že čelíme dôsledkom pandémie ochorenia COVID aj vojne na Ukrajine, v prvom polroku sa nám podarilo výrazne zvýšiť náš organický aj vykázaný obrat.</w:t>
      </w:r>
      <w:r w:rsidRPr="000309B7">
        <w:rPr>
          <w:rFonts w:cs="Segoe UI"/>
          <w:i/>
          <w:iCs/>
          <w:szCs w:val="22"/>
          <w:lang w:val="sk-SK" w:eastAsia="de-DE"/>
        </w:rPr>
        <w:t xml:space="preserve"> </w:t>
      </w:r>
      <w:r w:rsidRPr="000309B7">
        <w:rPr>
          <w:rFonts w:cs="Segoe UI"/>
          <w:i/>
          <w:iCs/>
          <w:szCs w:val="22"/>
          <w:lang w:val="sk-SK" w:eastAsia="de-DE" w:bidi="bo-CN"/>
        </w:rPr>
        <w:t>Naše výsledky boli podľa očakávania ovplyvnené predovšetkým drastickým zvýšením nákladov na vstupné suroviny a logistiku.</w:t>
      </w:r>
      <w:r w:rsidRPr="000309B7">
        <w:rPr>
          <w:rFonts w:cs="Segoe UI"/>
          <w:i/>
          <w:iCs/>
          <w:szCs w:val="22"/>
          <w:lang w:val="sk-SK" w:eastAsia="de-DE"/>
        </w:rPr>
        <w:t xml:space="preserve"> </w:t>
      </w:r>
      <w:r w:rsidRPr="000309B7">
        <w:rPr>
          <w:rFonts w:cs="Segoe UI"/>
          <w:i/>
          <w:iCs/>
          <w:szCs w:val="22"/>
          <w:lang w:val="sk-SK" w:eastAsia="de-DE" w:bidi="bo-CN"/>
        </w:rPr>
        <w:t>Tento vývoj je zohľadnený aj v našom aktualizovanom výhľade na finančný rok 2022,“</w:t>
      </w:r>
      <w:r w:rsidRPr="000309B7">
        <w:rPr>
          <w:rFonts w:cs="Segoe UI"/>
          <w:szCs w:val="22"/>
          <w:lang w:val="sk-SK" w:eastAsia="de-DE" w:bidi="bo-CN"/>
        </w:rPr>
        <w:t xml:space="preserve"> povedal </w:t>
      </w:r>
      <w:proofErr w:type="spellStart"/>
      <w:r w:rsidRPr="000309B7">
        <w:rPr>
          <w:rFonts w:cs="Segoe UI"/>
          <w:szCs w:val="22"/>
          <w:lang w:val="sk-SK" w:eastAsia="de-DE" w:bidi="bo-CN"/>
        </w:rPr>
        <w:t>Carsten</w:t>
      </w:r>
      <w:proofErr w:type="spellEnd"/>
      <w:r w:rsidRPr="000309B7">
        <w:rPr>
          <w:rFonts w:cs="Segoe UI"/>
          <w:szCs w:val="22"/>
          <w:lang w:val="sk-SK" w:eastAsia="de-DE" w:bidi="bo-CN"/>
        </w:rPr>
        <w:t xml:space="preserve"> </w:t>
      </w:r>
      <w:proofErr w:type="spellStart"/>
      <w:r w:rsidRPr="000309B7">
        <w:rPr>
          <w:rFonts w:cs="Segoe UI"/>
          <w:szCs w:val="22"/>
          <w:lang w:val="sk-SK" w:eastAsia="de-DE" w:bidi="bo-CN"/>
        </w:rPr>
        <w:t>Knobel</w:t>
      </w:r>
      <w:proofErr w:type="spellEnd"/>
      <w:r w:rsidRPr="000309B7">
        <w:rPr>
          <w:rFonts w:cs="Segoe UI"/>
          <w:szCs w:val="22"/>
          <w:lang w:val="sk-SK" w:eastAsia="de-DE" w:bidi="bo-CN"/>
        </w:rPr>
        <w:t>.</w:t>
      </w:r>
      <w:r w:rsidRPr="000309B7">
        <w:rPr>
          <w:rFonts w:cs="Segoe UI"/>
          <w:szCs w:val="22"/>
          <w:lang w:val="sk-SK" w:eastAsia="de-DE"/>
        </w:rPr>
        <w:t xml:space="preserve"> </w:t>
      </w:r>
      <w:r w:rsidRPr="000309B7">
        <w:rPr>
          <w:rFonts w:cs="Segoe UI"/>
          <w:i/>
          <w:iCs/>
          <w:szCs w:val="22"/>
          <w:lang w:val="sk-SK" w:eastAsia="de-DE" w:bidi="bo-CN"/>
        </w:rPr>
        <w:t xml:space="preserve">„Sme hrdí na pokrok, ktorý sme dosiahli v implementácii našej strategickej agendy pre zmysluplný rast, v ktorej budeme pokračovať aj v tomto celkovo náročnom trhovom prostredí.“ </w:t>
      </w:r>
    </w:p>
    <w:p w14:paraId="5272DA07" w14:textId="77777777" w:rsidR="00A027EF" w:rsidRPr="000309B7" w:rsidRDefault="00A027EF" w:rsidP="00A027EF">
      <w:pPr>
        <w:rPr>
          <w:rFonts w:cs="Segoe UI"/>
          <w:szCs w:val="22"/>
          <w:lang w:val="sk-SK"/>
        </w:rPr>
      </w:pPr>
    </w:p>
    <w:p w14:paraId="74DCD38C" w14:textId="77777777" w:rsidR="007F0F63" w:rsidRPr="000309B7" w:rsidRDefault="007F0F63" w:rsidP="00643D8A">
      <w:pPr>
        <w:rPr>
          <w:rFonts w:cs="Segoe UI"/>
          <w:szCs w:val="22"/>
          <w:lang w:val="sk-SK"/>
        </w:rPr>
      </w:pPr>
    </w:p>
    <w:p w14:paraId="33781753" w14:textId="77777777" w:rsidR="00ED6D8E" w:rsidRPr="000309B7" w:rsidRDefault="00ED6D8E" w:rsidP="00ED6D8E">
      <w:pPr>
        <w:rPr>
          <w:rStyle w:val="AboutandContactHeadline"/>
          <w:lang w:val="sk-SK"/>
        </w:rPr>
      </w:pPr>
      <w:r w:rsidRPr="000309B7">
        <w:rPr>
          <w:rStyle w:val="AboutandContactHeadline"/>
          <w:lang w:val="sk-SK"/>
        </w:rPr>
        <w:t>O spoločnosti Henkel</w:t>
      </w:r>
    </w:p>
    <w:p w14:paraId="1FEEC7B3" w14:textId="06B17DF7" w:rsidR="00BB5D0B" w:rsidRPr="000309B7" w:rsidRDefault="00ED6D8E" w:rsidP="00ED6D8E">
      <w:pPr>
        <w:rPr>
          <w:rStyle w:val="AboutandContactHeadline"/>
          <w:b w:val="0"/>
          <w:bCs w:val="0"/>
          <w:lang w:val="sk-SK"/>
        </w:rPr>
      </w:pPr>
      <w:r w:rsidRPr="000309B7">
        <w:rPr>
          <w:rStyle w:val="AboutandContactHeadline"/>
          <w:b w:val="0"/>
          <w:bCs w:val="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0309B7">
        <w:rPr>
          <w:rStyle w:val="AboutandContactHeadline"/>
          <w:b w:val="0"/>
          <w:bCs w:val="0"/>
          <w:lang w:val="sk-SK"/>
        </w:rPr>
        <w:t>Adhesive</w:t>
      </w:r>
      <w:proofErr w:type="spellEnd"/>
      <w:r w:rsidRPr="000309B7">
        <w:rPr>
          <w:rStyle w:val="AboutandContactHeadline"/>
          <w:b w:val="0"/>
          <w:bCs w:val="0"/>
          <w:lang w:val="sk-SK"/>
        </w:rPr>
        <w:t xml:space="preserve"> Technologies celosvetovým lídrom na trhu v rámci všetkých priemyselných segmentov. V oblastiach </w:t>
      </w:r>
      <w:proofErr w:type="spellStart"/>
      <w:r w:rsidRPr="000309B7">
        <w:rPr>
          <w:rStyle w:val="AboutandContactHeadline"/>
          <w:b w:val="0"/>
          <w:bCs w:val="0"/>
          <w:lang w:val="sk-SK"/>
        </w:rPr>
        <w:t>Laundry</w:t>
      </w:r>
      <w:proofErr w:type="spellEnd"/>
      <w:r w:rsidRPr="000309B7">
        <w:rPr>
          <w:rStyle w:val="AboutandContactHeadline"/>
          <w:b w:val="0"/>
          <w:bCs w:val="0"/>
          <w:lang w:val="sk-SK"/>
        </w:rPr>
        <w:t xml:space="preserve"> &amp; Home </w:t>
      </w:r>
      <w:proofErr w:type="spellStart"/>
      <w:r w:rsidRPr="000309B7">
        <w:rPr>
          <w:rStyle w:val="AboutandContactHeadline"/>
          <w:b w:val="0"/>
          <w:bCs w:val="0"/>
          <w:lang w:val="sk-SK"/>
        </w:rPr>
        <w:t>Care</w:t>
      </w:r>
      <w:proofErr w:type="spellEnd"/>
      <w:r w:rsidRPr="000309B7">
        <w:rPr>
          <w:rStyle w:val="AboutandContactHeadline"/>
          <w:b w:val="0"/>
          <w:bCs w:val="0"/>
          <w:lang w:val="sk-SK"/>
        </w:rPr>
        <w:t xml:space="preserve"> a </w:t>
      </w:r>
      <w:proofErr w:type="spellStart"/>
      <w:r w:rsidRPr="000309B7">
        <w:rPr>
          <w:rStyle w:val="AboutandContactHeadline"/>
          <w:b w:val="0"/>
          <w:bCs w:val="0"/>
          <w:lang w:val="sk-SK"/>
        </w:rPr>
        <w:t>Beauty</w:t>
      </w:r>
      <w:proofErr w:type="spellEnd"/>
      <w:r w:rsidRPr="000309B7">
        <w:rPr>
          <w:rStyle w:val="AboutandContactHeadline"/>
          <w:b w:val="0"/>
          <w:bCs w:val="0"/>
          <w:lang w:val="sk-SK"/>
        </w:rPr>
        <w:t xml:space="preserve"> </w:t>
      </w:r>
      <w:proofErr w:type="spellStart"/>
      <w:r w:rsidRPr="000309B7">
        <w:rPr>
          <w:rStyle w:val="AboutandContactHeadline"/>
          <w:b w:val="0"/>
          <w:bCs w:val="0"/>
          <w:lang w:val="sk-SK"/>
        </w:rPr>
        <w:t>Care</w:t>
      </w:r>
      <w:proofErr w:type="spellEnd"/>
      <w:r w:rsidRPr="000309B7">
        <w:rPr>
          <w:rStyle w:val="AboutandContactHeadline"/>
          <w:b w:val="0"/>
          <w:bCs w:val="0"/>
          <w:lang w:val="sk-SK"/>
        </w:rPr>
        <w:t xml:space="preserve">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Prioritné akcie spoločnosti Henkel sú kótované na nemeckom akciovom indexe DAX. Viac informácií nájdete na stránke </w:t>
      </w:r>
      <w:hyperlink r:id="rId11" w:history="1">
        <w:r w:rsidRPr="000309B7">
          <w:rPr>
            <w:rStyle w:val="Hypertextovprepojenie"/>
            <w:szCs w:val="24"/>
            <w:lang w:val="sk-SK"/>
          </w:rPr>
          <w:t>www.henkel.com</w:t>
        </w:r>
      </w:hyperlink>
      <w:r w:rsidRPr="000309B7">
        <w:rPr>
          <w:rStyle w:val="AboutandContactHeadline"/>
          <w:b w:val="0"/>
          <w:bCs w:val="0"/>
          <w:lang w:val="sk-SK"/>
        </w:rPr>
        <w:t>.</w:t>
      </w:r>
    </w:p>
    <w:p w14:paraId="6EB00309" w14:textId="77777777" w:rsidR="00600C97" w:rsidRPr="000309B7" w:rsidRDefault="00600C97" w:rsidP="00600C97">
      <w:pPr>
        <w:rPr>
          <w:rStyle w:val="AboutandContactHeadline"/>
          <w:lang w:val="sk-SK"/>
        </w:rPr>
      </w:pPr>
    </w:p>
    <w:p w14:paraId="5E5D194A" w14:textId="03304ABE" w:rsidR="00600C97" w:rsidRPr="000309B7" w:rsidRDefault="00600C97" w:rsidP="00600C97">
      <w:pPr>
        <w:rPr>
          <w:rStyle w:val="AboutandContactHeadline"/>
          <w:lang w:val="sk-SK"/>
        </w:rPr>
      </w:pPr>
      <w:r w:rsidRPr="000309B7">
        <w:rPr>
          <w:rStyle w:val="AboutandContactHeadline"/>
          <w:lang w:val="sk-SK"/>
        </w:rPr>
        <w:t>O spoločnosti Henkel Slovensko</w:t>
      </w:r>
    </w:p>
    <w:p w14:paraId="34A00A71" w14:textId="17A11E89" w:rsidR="00600C97" w:rsidRPr="000309B7" w:rsidRDefault="00600C97" w:rsidP="00600C97">
      <w:pPr>
        <w:rPr>
          <w:rStyle w:val="AboutandContactHeadline"/>
          <w:b w:val="0"/>
          <w:bCs w:val="0"/>
          <w:lang w:val="sk-SK"/>
        </w:rPr>
      </w:pPr>
      <w:r w:rsidRPr="000309B7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0309B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0309B7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0309B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0309B7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</w:t>
      </w:r>
      <w:r w:rsidRPr="000309B7">
        <w:rPr>
          <w:rStyle w:val="AboutandContactHeadline"/>
          <w:b w:val="0"/>
          <w:bCs w:val="0"/>
          <w:lang w:val="sk-SK"/>
        </w:rPr>
        <w:lastRenderedPageBreak/>
        <w:t xml:space="preserve">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Pr="000309B7">
          <w:rPr>
            <w:rStyle w:val="Hypertextovprepojenie"/>
            <w:szCs w:val="24"/>
            <w:lang w:val="sk-SK"/>
          </w:rPr>
          <w:t>www.henkel.sk</w:t>
        </w:r>
      </w:hyperlink>
      <w:r w:rsidRPr="000309B7">
        <w:rPr>
          <w:rStyle w:val="AboutandContactHeadline"/>
          <w:b w:val="0"/>
          <w:bCs w:val="0"/>
          <w:lang w:val="sk-SK"/>
        </w:rPr>
        <w:t>.</w:t>
      </w:r>
    </w:p>
    <w:p w14:paraId="4D74948D" w14:textId="6F6A2B51" w:rsidR="008C56CF" w:rsidRPr="000309B7" w:rsidRDefault="008C56CF" w:rsidP="00BF6E82">
      <w:pPr>
        <w:rPr>
          <w:rStyle w:val="AboutandContactHeadline"/>
          <w:lang w:val="sk-SK"/>
        </w:rPr>
      </w:pPr>
    </w:p>
    <w:p w14:paraId="51474588" w14:textId="77777777" w:rsidR="008C56CF" w:rsidRPr="000309B7" w:rsidRDefault="008C56CF" w:rsidP="00BF6E82">
      <w:pPr>
        <w:rPr>
          <w:rStyle w:val="AboutandContactHeadline"/>
          <w:lang w:val="sk-SK"/>
        </w:rPr>
      </w:pPr>
    </w:p>
    <w:p w14:paraId="0ED67B46" w14:textId="77777777" w:rsidR="006E719D" w:rsidRPr="000309B7" w:rsidRDefault="006E719D" w:rsidP="006E719D">
      <w:pPr>
        <w:rPr>
          <w:rStyle w:val="AboutandContactBody"/>
          <w:b/>
          <w:bCs/>
          <w:sz w:val="20"/>
          <w:szCs w:val="20"/>
          <w:lang w:val="sk-SK"/>
        </w:rPr>
      </w:pPr>
      <w:r w:rsidRPr="000309B7">
        <w:rPr>
          <w:rStyle w:val="AboutandContactBody"/>
          <w:b/>
          <w:bCs/>
          <w:sz w:val="20"/>
          <w:szCs w:val="20"/>
          <w:lang w:val="sk-SK"/>
        </w:rPr>
        <w:t xml:space="preserve">Kontakt  </w:t>
      </w:r>
    </w:p>
    <w:p w14:paraId="5543F0EA" w14:textId="77777777" w:rsidR="006E719D" w:rsidRPr="000309B7" w:rsidRDefault="006E719D" w:rsidP="006E719D">
      <w:pPr>
        <w:rPr>
          <w:rStyle w:val="AboutandContactBody"/>
          <w:sz w:val="20"/>
          <w:szCs w:val="20"/>
          <w:lang w:val="sk-SK"/>
        </w:rPr>
      </w:pPr>
      <w:r w:rsidRPr="000309B7">
        <w:rPr>
          <w:rStyle w:val="AboutandContactBody"/>
          <w:sz w:val="20"/>
          <w:szCs w:val="20"/>
          <w:lang w:val="sk-SK"/>
        </w:rPr>
        <w:t xml:space="preserve">Zuzana </w:t>
      </w:r>
      <w:proofErr w:type="spellStart"/>
      <w:r w:rsidRPr="000309B7">
        <w:rPr>
          <w:rStyle w:val="AboutandContactBody"/>
          <w:sz w:val="20"/>
          <w:szCs w:val="20"/>
          <w:lang w:val="sk-SK"/>
        </w:rPr>
        <w:t>Kaňuchová</w:t>
      </w:r>
      <w:proofErr w:type="spellEnd"/>
      <w:r w:rsidRPr="000309B7">
        <w:rPr>
          <w:rStyle w:val="AboutandContactBody"/>
          <w:sz w:val="20"/>
          <w:szCs w:val="20"/>
          <w:lang w:val="sk-SK"/>
        </w:rPr>
        <w:tab/>
      </w:r>
      <w:r w:rsidRPr="000309B7">
        <w:rPr>
          <w:rStyle w:val="AboutandContactBody"/>
          <w:sz w:val="20"/>
          <w:szCs w:val="20"/>
          <w:lang w:val="sk-SK"/>
        </w:rPr>
        <w:tab/>
      </w:r>
      <w:r w:rsidRPr="000309B7">
        <w:rPr>
          <w:rStyle w:val="AboutandContactBody"/>
          <w:sz w:val="20"/>
          <w:szCs w:val="20"/>
          <w:lang w:val="sk-SK"/>
        </w:rPr>
        <w:tab/>
      </w:r>
      <w:r w:rsidRPr="000309B7">
        <w:rPr>
          <w:rStyle w:val="AboutandContactBody"/>
          <w:sz w:val="20"/>
          <w:szCs w:val="20"/>
          <w:lang w:val="sk-SK"/>
        </w:rPr>
        <w:tab/>
      </w:r>
      <w:r w:rsidRPr="000309B7">
        <w:rPr>
          <w:rStyle w:val="AboutandContactBody"/>
          <w:sz w:val="20"/>
          <w:szCs w:val="20"/>
          <w:lang w:val="sk-SK"/>
        </w:rPr>
        <w:tab/>
      </w:r>
      <w:r w:rsidRPr="000309B7">
        <w:rPr>
          <w:rStyle w:val="AboutandContactBody"/>
          <w:sz w:val="20"/>
          <w:szCs w:val="20"/>
          <w:lang w:val="sk-SK"/>
        </w:rPr>
        <w:tab/>
      </w:r>
    </w:p>
    <w:p w14:paraId="2A7E1B99" w14:textId="77777777" w:rsidR="006E719D" w:rsidRPr="000309B7" w:rsidRDefault="006E719D" w:rsidP="006E719D">
      <w:pPr>
        <w:rPr>
          <w:rStyle w:val="AboutandContactBody"/>
          <w:sz w:val="20"/>
          <w:szCs w:val="20"/>
          <w:lang w:val="sk-SK"/>
        </w:rPr>
      </w:pPr>
      <w:r w:rsidRPr="000309B7">
        <w:rPr>
          <w:rStyle w:val="AboutandContactBody"/>
          <w:sz w:val="20"/>
          <w:szCs w:val="20"/>
          <w:lang w:val="sk-SK"/>
        </w:rPr>
        <w:t xml:space="preserve">Riaditeľka </w:t>
      </w:r>
      <w:proofErr w:type="spellStart"/>
      <w:r w:rsidRPr="000309B7">
        <w:rPr>
          <w:rStyle w:val="AboutandContactBody"/>
          <w:sz w:val="20"/>
          <w:szCs w:val="20"/>
          <w:lang w:val="sk-SK"/>
        </w:rPr>
        <w:t>korporátnej</w:t>
      </w:r>
      <w:proofErr w:type="spellEnd"/>
      <w:r w:rsidRPr="000309B7">
        <w:rPr>
          <w:rStyle w:val="AboutandContactBody"/>
          <w:sz w:val="20"/>
          <w:szCs w:val="20"/>
          <w:lang w:val="sk-SK"/>
        </w:rPr>
        <w:t xml:space="preserve"> komunikácie</w:t>
      </w:r>
      <w:r w:rsidRPr="000309B7">
        <w:rPr>
          <w:rStyle w:val="AboutandContactBody"/>
          <w:sz w:val="20"/>
          <w:szCs w:val="20"/>
          <w:lang w:val="sk-SK"/>
        </w:rPr>
        <w:tab/>
      </w:r>
      <w:r w:rsidRPr="000309B7">
        <w:rPr>
          <w:rStyle w:val="AboutandContactBody"/>
          <w:sz w:val="20"/>
          <w:szCs w:val="20"/>
          <w:lang w:val="sk-SK"/>
        </w:rPr>
        <w:tab/>
      </w:r>
      <w:r w:rsidRPr="000309B7">
        <w:rPr>
          <w:rStyle w:val="AboutandContactBody"/>
          <w:sz w:val="20"/>
          <w:szCs w:val="20"/>
          <w:lang w:val="sk-SK"/>
        </w:rPr>
        <w:tab/>
      </w:r>
    </w:p>
    <w:p w14:paraId="42F58736" w14:textId="77777777" w:rsidR="006E719D" w:rsidRPr="000309B7" w:rsidRDefault="006E719D" w:rsidP="006E719D">
      <w:pPr>
        <w:rPr>
          <w:rStyle w:val="AboutandContactBody"/>
          <w:sz w:val="20"/>
          <w:szCs w:val="20"/>
          <w:lang w:val="sk-SK"/>
        </w:rPr>
      </w:pPr>
    </w:p>
    <w:p w14:paraId="6050F928" w14:textId="77777777" w:rsidR="006E719D" w:rsidRPr="000309B7" w:rsidRDefault="006E719D" w:rsidP="006E719D">
      <w:pPr>
        <w:rPr>
          <w:rStyle w:val="AboutandContactBody"/>
          <w:sz w:val="20"/>
          <w:szCs w:val="20"/>
          <w:lang w:val="sk-SK"/>
        </w:rPr>
      </w:pPr>
      <w:r w:rsidRPr="000309B7">
        <w:rPr>
          <w:rStyle w:val="AboutandContactBody"/>
          <w:sz w:val="20"/>
          <w:szCs w:val="20"/>
          <w:lang w:val="sk-SK"/>
        </w:rPr>
        <w:t>Telefón: +421 917 160 597</w:t>
      </w:r>
      <w:r w:rsidRPr="000309B7">
        <w:rPr>
          <w:rStyle w:val="AboutandContactBody"/>
          <w:sz w:val="20"/>
          <w:szCs w:val="20"/>
          <w:lang w:val="sk-SK"/>
        </w:rPr>
        <w:tab/>
      </w:r>
      <w:r w:rsidRPr="000309B7">
        <w:rPr>
          <w:rStyle w:val="AboutandContactBody"/>
          <w:sz w:val="20"/>
          <w:szCs w:val="20"/>
          <w:lang w:val="sk-SK"/>
        </w:rPr>
        <w:tab/>
      </w:r>
      <w:r w:rsidRPr="000309B7">
        <w:rPr>
          <w:rStyle w:val="AboutandContactBody"/>
          <w:sz w:val="20"/>
          <w:szCs w:val="20"/>
          <w:lang w:val="sk-SK"/>
        </w:rPr>
        <w:tab/>
      </w:r>
    </w:p>
    <w:p w14:paraId="0BFF6B34" w14:textId="70496E61" w:rsidR="00BF6E82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0309B7">
        <w:rPr>
          <w:rStyle w:val="AboutandContactBody"/>
          <w:sz w:val="20"/>
          <w:szCs w:val="20"/>
          <w:lang w:val="sk-SK"/>
        </w:rPr>
        <w:t xml:space="preserve">E-mail:  </w:t>
      </w:r>
      <w:hyperlink r:id="rId13" w:history="1">
        <w:r w:rsidR="00BB1DFA" w:rsidRPr="000309B7">
          <w:rPr>
            <w:rStyle w:val="Hypertextovprepojenie"/>
            <w:sz w:val="20"/>
            <w:szCs w:val="20"/>
            <w:lang w:val="sk-SK"/>
          </w:rPr>
          <w:t>zuzana.kanuchova@henkel.com</w:t>
        </w:r>
      </w:hyperlink>
      <w:r w:rsidR="00BB1DFA" w:rsidRPr="00FF139F">
        <w:rPr>
          <w:rStyle w:val="AboutandContactBody"/>
          <w:sz w:val="20"/>
          <w:szCs w:val="20"/>
          <w:lang w:val="sk-SK"/>
        </w:rPr>
        <w:t xml:space="preserve"> </w:t>
      </w:r>
    </w:p>
    <w:sectPr w:rsidR="00BF6E82" w:rsidRPr="00FF139F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38BB" w14:textId="77777777" w:rsidR="009613ED" w:rsidRDefault="009613ED">
      <w:r>
        <w:separator/>
      </w:r>
    </w:p>
  </w:endnote>
  <w:endnote w:type="continuationSeparator" w:id="0">
    <w:p w14:paraId="37E84C1D" w14:textId="77777777" w:rsidR="009613ED" w:rsidRDefault="009613ED">
      <w:r>
        <w:continuationSeparator/>
      </w:r>
    </w:p>
  </w:endnote>
  <w:endnote w:type="continuationNotice" w:id="1">
    <w:p w14:paraId="1779C839" w14:textId="77777777" w:rsidR="009613ED" w:rsidRDefault="009613E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-Bold">
    <w:altName w:val="Segoe UI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0309B7">
      <w:fldChar w:fldCharType="begin"/>
    </w:r>
    <w:r w:rsidR="000309B7">
      <w:instrText xml:space="preserve"> NUMPAGES  \* Arabic  \* MERGEFORMAT </w:instrText>
    </w:r>
    <w:r w:rsidR="000309B7">
      <w:fldChar w:fldCharType="separate"/>
    </w:r>
    <w:r>
      <w:t>2</w:t>
    </w:r>
    <w:r w:rsidR="000309B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9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9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A88B" w14:textId="77777777" w:rsidR="009613ED" w:rsidRDefault="009613ED">
      <w:r>
        <w:separator/>
      </w:r>
    </w:p>
  </w:footnote>
  <w:footnote w:type="continuationSeparator" w:id="0">
    <w:p w14:paraId="704CD2CC" w14:textId="77777777" w:rsidR="009613ED" w:rsidRDefault="009613ED">
      <w:r>
        <w:continuationSeparator/>
      </w:r>
    </w:p>
  </w:footnote>
  <w:footnote w:type="continuationNotice" w:id="1">
    <w:p w14:paraId="03443731" w14:textId="77777777" w:rsidR="009613ED" w:rsidRDefault="009613E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1BB0640" w:rsidR="00CF6F33" w:rsidRPr="003876AC" w:rsidRDefault="0059722C" w:rsidP="00EB46D9">
    <w:pPr>
      <w:pStyle w:val="Hlavika"/>
      <w:rPr>
        <w:lang w:val="sk-SK"/>
      </w:rPr>
    </w:pPr>
    <w:r w:rsidRPr="003876AC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6AC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CE4BEB" w:rsidRPr="003876AC">
      <w:rPr>
        <w:noProof/>
        <w:lang w:val="sk-SK"/>
      </w:rPr>
      <w:t>Tlačová</w:t>
    </w:r>
    <w:r w:rsidR="00B422EC" w:rsidRPr="003876AC">
      <w:rPr>
        <w:lang w:val="sk-SK"/>
      </w:rPr>
      <w:t xml:space="preserve"> </w:t>
    </w:r>
    <w:r w:rsidR="00CE4BEB" w:rsidRPr="003876AC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D485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E21656"/>
    <w:multiLevelType w:val="hybridMultilevel"/>
    <w:tmpl w:val="EE8CF3B2"/>
    <w:numStyleLink w:val="Importovantl1"/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337">
    <w:abstractNumId w:val="2"/>
  </w:num>
  <w:num w:numId="2" w16cid:durableId="122650485">
    <w:abstractNumId w:val="1"/>
  </w:num>
  <w:num w:numId="3" w16cid:durableId="1313870647">
    <w:abstractNumId w:val="9"/>
  </w:num>
  <w:num w:numId="4" w16cid:durableId="1325471364">
    <w:abstractNumId w:val="7"/>
  </w:num>
  <w:num w:numId="5" w16cid:durableId="204098463">
    <w:abstractNumId w:val="5"/>
  </w:num>
  <w:num w:numId="6" w16cid:durableId="1262301861">
    <w:abstractNumId w:val="8"/>
  </w:num>
  <w:num w:numId="7" w16cid:durableId="2122138509">
    <w:abstractNumId w:val="10"/>
  </w:num>
  <w:num w:numId="8" w16cid:durableId="24136447">
    <w:abstractNumId w:val="3"/>
  </w:num>
  <w:num w:numId="9" w16cid:durableId="397436182">
    <w:abstractNumId w:val="4"/>
  </w:num>
  <w:num w:numId="10" w16cid:durableId="1620333554">
    <w:abstractNumId w:val="0"/>
  </w:num>
  <w:num w:numId="11" w16cid:durableId="1738821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9B7"/>
    <w:rsid w:val="00030F51"/>
    <w:rsid w:val="00035A84"/>
    <w:rsid w:val="00040CC9"/>
    <w:rsid w:val="00051E86"/>
    <w:rsid w:val="000575F9"/>
    <w:rsid w:val="000618FC"/>
    <w:rsid w:val="00067071"/>
    <w:rsid w:val="000722E8"/>
    <w:rsid w:val="00080D10"/>
    <w:rsid w:val="0008357F"/>
    <w:rsid w:val="000A30A3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5533"/>
    <w:rsid w:val="00126D4A"/>
    <w:rsid w:val="00132DA9"/>
    <w:rsid w:val="0013305B"/>
    <w:rsid w:val="00133B99"/>
    <w:rsid w:val="001443BD"/>
    <w:rsid w:val="001577E9"/>
    <w:rsid w:val="0016067E"/>
    <w:rsid w:val="0016138C"/>
    <w:rsid w:val="001731CE"/>
    <w:rsid w:val="001842AF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15E66"/>
    <w:rsid w:val="00220628"/>
    <w:rsid w:val="002304D2"/>
    <w:rsid w:val="00234ABD"/>
    <w:rsid w:val="00236E2A"/>
    <w:rsid w:val="00237F62"/>
    <w:rsid w:val="00241209"/>
    <w:rsid w:val="00243615"/>
    <w:rsid w:val="0024586A"/>
    <w:rsid w:val="00247968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26E5"/>
    <w:rsid w:val="002E4FFB"/>
    <w:rsid w:val="002E7802"/>
    <w:rsid w:val="002E7DED"/>
    <w:rsid w:val="002F0F39"/>
    <w:rsid w:val="002F7E11"/>
    <w:rsid w:val="00304087"/>
    <w:rsid w:val="00310ACD"/>
    <w:rsid w:val="0031379F"/>
    <w:rsid w:val="00320A26"/>
    <w:rsid w:val="00321344"/>
    <w:rsid w:val="00331EF1"/>
    <w:rsid w:val="0033451C"/>
    <w:rsid w:val="00336854"/>
    <w:rsid w:val="0034015C"/>
    <w:rsid w:val="0034425D"/>
    <w:rsid w:val="003442F4"/>
    <w:rsid w:val="00353705"/>
    <w:rsid w:val="003562E8"/>
    <w:rsid w:val="0036357D"/>
    <w:rsid w:val="003649BC"/>
    <w:rsid w:val="00365E44"/>
    <w:rsid w:val="00367AA1"/>
    <w:rsid w:val="00372E36"/>
    <w:rsid w:val="00374902"/>
    <w:rsid w:val="00376EE9"/>
    <w:rsid w:val="00377CBB"/>
    <w:rsid w:val="003876AC"/>
    <w:rsid w:val="003877B6"/>
    <w:rsid w:val="00393887"/>
    <w:rsid w:val="00394141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C7CAF"/>
    <w:rsid w:val="004D059B"/>
    <w:rsid w:val="004D4CB6"/>
    <w:rsid w:val="004E3341"/>
    <w:rsid w:val="004F10C1"/>
    <w:rsid w:val="004F2316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0C5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C97"/>
    <w:rsid w:val="006035FE"/>
    <w:rsid w:val="00607256"/>
    <w:rsid w:val="006144B1"/>
    <w:rsid w:val="00616D39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E719D"/>
    <w:rsid w:val="006F0406"/>
    <w:rsid w:val="006F0FC7"/>
    <w:rsid w:val="006F39A9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72204"/>
    <w:rsid w:val="00777A75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499C"/>
    <w:rsid w:val="007B4D4B"/>
    <w:rsid w:val="007D2A02"/>
    <w:rsid w:val="007E6EA1"/>
    <w:rsid w:val="007F021E"/>
    <w:rsid w:val="007F0F63"/>
    <w:rsid w:val="007F2B1E"/>
    <w:rsid w:val="007F62B4"/>
    <w:rsid w:val="00801517"/>
    <w:rsid w:val="00803AF6"/>
    <w:rsid w:val="0080678C"/>
    <w:rsid w:val="00817AE8"/>
    <w:rsid w:val="00817DE8"/>
    <w:rsid w:val="008229F5"/>
    <w:rsid w:val="0082699A"/>
    <w:rsid w:val="00833CEB"/>
    <w:rsid w:val="008372D2"/>
    <w:rsid w:val="008377BC"/>
    <w:rsid w:val="008439E0"/>
    <w:rsid w:val="00844C17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1FEB"/>
    <w:rsid w:val="008B5622"/>
    <w:rsid w:val="008C56CF"/>
    <w:rsid w:val="008D76C5"/>
    <w:rsid w:val="008E0AFA"/>
    <w:rsid w:val="008E5025"/>
    <w:rsid w:val="008E6502"/>
    <w:rsid w:val="008E75D3"/>
    <w:rsid w:val="008E7E7A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613ED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7029"/>
    <w:rsid w:val="00A01F56"/>
    <w:rsid w:val="00A027EF"/>
    <w:rsid w:val="00A044D6"/>
    <w:rsid w:val="00A04ADB"/>
    <w:rsid w:val="00A07277"/>
    <w:rsid w:val="00A11E0F"/>
    <w:rsid w:val="00A26CB6"/>
    <w:rsid w:val="00A32F82"/>
    <w:rsid w:val="00A32F8B"/>
    <w:rsid w:val="00A3756F"/>
    <w:rsid w:val="00A41419"/>
    <w:rsid w:val="00A42D6F"/>
    <w:rsid w:val="00A45A62"/>
    <w:rsid w:val="00A5385C"/>
    <w:rsid w:val="00A54AC5"/>
    <w:rsid w:val="00A55DC3"/>
    <w:rsid w:val="00A56D41"/>
    <w:rsid w:val="00A61353"/>
    <w:rsid w:val="00A66DB1"/>
    <w:rsid w:val="00A67A92"/>
    <w:rsid w:val="00A87470"/>
    <w:rsid w:val="00A87870"/>
    <w:rsid w:val="00A91A70"/>
    <w:rsid w:val="00AA1B85"/>
    <w:rsid w:val="00AB1CB6"/>
    <w:rsid w:val="00AB1D9A"/>
    <w:rsid w:val="00AC224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249A"/>
    <w:rsid w:val="00BA3952"/>
    <w:rsid w:val="00BA5B46"/>
    <w:rsid w:val="00BA7F4E"/>
    <w:rsid w:val="00BB1DFA"/>
    <w:rsid w:val="00BB58ED"/>
    <w:rsid w:val="00BB5D0B"/>
    <w:rsid w:val="00BC0995"/>
    <w:rsid w:val="00BE793A"/>
    <w:rsid w:val="00BF2B82"/>
    <w:rsid w:val="00BF432A"/>
    <w:rsid w:val="00BF6E82"/>
    <w:rsid w:val="00C01E3B"/>
    <w:rsid w:val="00C060C7"/>
    <w:rsid w:val="00C24C17"/>
    <w:rsid w:val="00C3758F"/>
    <w:rsid w:val="00C40B88"/>
    <w:rsid w:val="00C42C93"/>
    <w:rsid w:val="00C47D87"/>
    <w:rsid w:val="00C5376E"/>
    <w:rsid w:val="00C808A6"/>
    <w:rsid w:val="00C8337D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E4BEB"/>
    <w:rsid w:val="00CF3F82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5869"/>
    <w:rsid w:val="00DA1E18"/>
    <w:rsid w:val="00DA2009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11BD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6D8E"/>
    <w:rsid w:val="00ED7C52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4714F"/>
    <w:rsid w:val="00F47EED"/>
    <w:rsid w:val="00F50B46"/>
    <w:rsid w:val="00F50D1F"/>
    <w:rsid w:val="00F6203E"/>
    <w:rsid w:val="00F635FC"/>
    <w:rsid w:val="00F63D03"/>
    <w:rsid w:val="00F65E2F"/>
    <w:rsid w:val="00F67DF1"/>
    <w:rsid w:val="00F67FA8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B77EB"/>
    <w:rsid w:val="00FC0F62"/>
    <w:rsid w:val="00FC4477"/>
    <w:rsid w:val="00FC46FB"/>
    <w:rsid w:val="00FD0A38"/>
    <w:rsid w:val="00FD2BD3"/>
    <w:rsid w:val="00FD4CCA"/>
    <w:rsid w:val="00FE2A9E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 3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uiPriority w:val="34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C01E3B"/>
    <w:pPr>
      <w:numPr>
        <w:numId w:val="8"/>
      </w:numPr>
    </w:pPr>
  </w:style>
  <w:style w:type="paragraph" w:styleId="Zkladntext">
    <w:name w:val="Body Text"/>
    <w:basedOn w:val="Normlny"/>
    <w:link w:val="ZkladntextChar"/>
    <w:rsid w:val="00A41419"/>
    <w:pPr>
      <w:spacing w:line="360" w:lineRule="auto"/>
    </w:pPr>
    <w:rPr>
      <w:rFonts w:ascii="Arial" w:hAnsi="Arial"/>
      <w:lang w:val="de-DE" w:eastAsia="de-DE"/>
    </w:rPr>
  </w:style>
  <w:style w:type="character" w:customStyle="1" w:styleId="ZkladntextChar">
    <w:name w:val="Základný text Char"/>
    <w:basedOn w:val="Predvolenpsmoodseku"/>
    <w:link w:val="Zkladntext"/>
    <w:rsid w:val="00A41419"/>
    <w:rPr>
      <w:rFonts w:ascii="Arial" w:hAnsi="Arial"/>
      <w:sz w:val="22"/>
      <w:lang w:val="de-DE" w:eastAsia="de-DE"/>
    </w:rPr>
  </w:style>
  <w:style w:type="paragraph" w:styleId="Zoznamsodrkami3">
    <w:name w:val="List Bullet 3"/>
    <w:basedOn w:val="Normlny"/>
    <w:uiPriority w:val="99"/>
    <w:rsid w:val="00616D39"/>
    <w:pPr>
      <w:tabs>
        <w:tab w:val="num" w:pos="926"/>
      </w:tabs>
      <w:ind w:left="926" w:hanging="360"/>
      <w:contextualSpacing/>
    </w:pPr>
  </w:style>
  <w:style w:type="paragraph" w:styleId="Revzia">
    <w:name w:val="Revision"/>
    <w:hidden/>
    <w:uiPriority w:val="62"/>
    <w:unhideWhenUsed/>
    <w:rsid w:val="006035F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BAEF4E51-7044-420E-AEED-46761F81E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55</TotalTime>
  <Pages>8</Pages>
  <Words>2639</Words>
  <Characters>15660</Characters>
  <Application>Microsoft Office Word</Application>
  <DocSecurity>0</DocSecurity>
  <Lines>130</Lines>
  <Paragraphs>36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18263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76</cp:revision>
  <cp:lastPrinted>2016-11-16T01:11:00Z</cp:lastPrinted>
  <dcterms:created xsi:type="dcterms:W3CDTF">2020-07-16T10:22:00Z</dcterms:created>
  <dcterms:modified xsi:type="dcterms:W3CDTF">2022-08-18T16:16:00Z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</Properties>
</file>