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F0A4" w14:textId="77777777" w:rsidR="008E3965" w:rsidRPr="00725AF7" w:rsidRDefault="008E3965" w:rsidP="008E3965">
      <w:pPr>
        <w:pStyle w:val="MonthDayYear"/>
        <w:tabs>
          <w:tab w:val="left" w:pos="7093"/>
        </w:tabs>
        <w:rPr>
          <w:lang w:val="cs-CZ"/>
        </w:rPr>
      </w:pPr>
      <w:r w:rsidRPr="00725AF7">
        <w:rPr>
          <w:lang w:val="cs-CZ"/>
        </w:rPr>
        <w:t>15. srpen 2022</w:t>
      </w:r>
    </w:p>
    <w:p w14:paraId="0DBA7C74" w14:textId="77777777" w:rsidR="008E3965" w:rsidRPr="00725AF7" w:rsidRDefault="008E3965" w:rsidP="008E3965">
      <w:pPr>
        <w:pStyle w:val="Topline"/>
        <w:spacing w:after="360"/>
        <w:rPr>
          <w:lang w:val="cs-CZ"/>
        </w:rPr>
      </w:pPr>
      <w:r w:rsidRPr="00725AF7">
        <w:rPr>
          <w:lang w:val="cs-CZ"/>
        </w:rPr>
        <w:t xml:space="preserve">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zveřejnila pololetní výsledky</w:t>
      </w:r>
    </w:p>
    <w:p w14:paraId="46451C72" w14:textId="77777777" w:rsidR="008E3965" w:rsidRPr="00725AF7" w:rsidRDefault="008E3965" w:rsidP="008E3965">
      <w:pPr>
        <w:jc w:val="left"/>
        <w:rPr>
          <w:b/>
          <w:bCs/>
          <w:sz w:val="32"/>
          <w:szCs w:val="32"/>
          <w:lang w:val="cs-CZ"/>
        </w:rPr>
      </w:pPr>
      <w:proofErr w:type="spellStart"/>
      <w:r w:rsidRPr="00725AF7">
        <w:rPr>
          <w:b/>
          <w:bCs/>
          <w:sz w:val="32"/>
          <w:szCs w:val="32"/>
          <w:lang w:val="cs-CZ"/>
        </w:rPr>
        <w:t>Henkel</w:t>
      </w:r>
      <w:proofErr w:type="spellEnd"/>
      <w:r w:rsidRPr="00725AF7">
        <w:rPr>
          <w:b/>
          <w:bCs/>
          <w:sz w:val="32"/>
          <w:szCs w:val="32"/>
          <w:lang w:val="cs-CZ"/>
        </w:rPr>
        <w:t xml:space="preserve"> výrazně zvyšuje obrat, pokračuje v implementaci strategické agendy a zlepšuje výhled na rok 2022</w:t>
      </w:r>
    </w:p>
    <w:p w14:paraId="646124FE" w14:textId="77777777" w:rsidR="008E3965" w:rsidRPr="00725AF7" w:rsidRDefault="008E3965" w:rsidP="008E3965">
      <w:pPr>
        <w:rPr>
          <w:lang w:val="cs-CZ"/>
        </w:rPr>
      </w:pPr>
    </w:p>
    <w:p w14:paraId="6B9F6282" w14:textId="77777777" w:rsidR="0016539F" w:rsidRPr="00725AF7" w:rsidRDefault="0016539F" w:rsidP="0016539F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contextualSpacing w:val="0"/>
        <w:jc w:val="left"/>
        <w:rPr>
          <w:b/>
          <w:bCs/>
          <w:lang w:val="cs-CZ"/>
        </w:rPr>
      </w:pPr>
      <w:bookmarkStart w:id="0" w:name="_Hlk43712519"/>
      <w:r w:rsidRPr="00725AF7">
        <w:rPr>
          <w:b/>
          <w:bCs/>
          <w:lang w:val="cs-CZ"/>
        </w:rPr>
        <w:t>Obrat skupiny se v prvním pololetí roku 2022 organicky zvýšil o 8,9 % na přibližně 10,9 miliardy eur (nominálně +9,9 %), k čemuž přispěly všechny obchodní divize a regiony</w:t>
      </w:r>
    </w:p>
    <w:p w14:paraId="5C9308EA" w14:textId="77777777" w:rsidR="0016539F" w:rsidRPr="00725AF7" w:rsidRDefault="0016539F" w:rsidP="0016539F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contextualSpacing w:val="0"/>
        <w:jc w:val="left"/>
        <w:rPr>
          <w:b/>
          <w:bCs/>
          <w:lang w:val="cs-CZ"/>
        </w:rPr>
      </w:pPr>
      <w:r w:rsidRPr="00725AF7">
        <w:rPr>
          <w:b/>
          <w:bCs/>
          <w:lang w:val="cs-CZ"/>
        </w:rPr>
        <w:t>Výnosy byly podle očekávání oslabeny drastickým nárůstem cen vstupů:</w:t>
      </w:r>
    </w:p>
    <w:p w14:paraId="0FC9E43C" w14:textId="77777777" w:rsidR="0016539F" w:rsidRPr="004E33C7" w:rsidRDefault="0016539F" w:rsidP="0016539F">
      <w:pPr>
        <w:pStyle w:val="Odsekzoznamu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6" w:lineRule="auto"/>
        <w:contextualSpacing w:val="0"/>
        <w:jc w:val="left"/>
        <w:rPr>
          <w:b/>
          <w:bCs/>
          <w:lang w:val="cs-CZ"/>
        </w:rPr>
      </w:pPr>
      <w:r w:rsidRPr="00725AF7">
        <w:rPr>
          <w:b/>
          <w:bCs/>
          <w:lang w:val="cs-CZ"/>
        </w:rPr>
        <w:t>Provozní zisk (EBIT)* dosáhl 1</w:t>
      </w:r>
      <w:r w:rsidRPr="003E6398">
        <w:rPr>
          <w:b/>
          <w:bCs/>
          <w:lang w:val="cs-CZ"/>
        </w:rPr>
        <w:t xml:space="preserve"> </w:t>
      </w:r>
      <w:r w:rsidRPr="004E33C7">
        <w:rPr>
          <w:b/>
          <w:bCs/>
          <w:lang w:val="cs-CZ"/>
        </w:rPr>
        <w:t>166 milionu eur (-18,5 %)</w:t>
      </w:r>
    </w:p>
    <w:p w14:paraId="4F458280" w14:textId="77777777" w:rsidR="0016539F" w:rsidRPr="004E33C7" w:rsidRDefault="0016539F" w:rsidP="0016539F">
      <w:pPr>
        <w:pStyle w:val="Odsekzoznamu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6" w:lineRule="auto"/>
        <w:contextualSpacing w:val="0"/>
        <w:jc w:val="left"/>
        <w:rPr>
          <w:b/>
          <w:bCs/>
          <w:lang w:val="cs-CZ"/>
        </w:rPr>
      </w:pPr>
      <w:r w:rsidRPr="004E33C7">
        <w:rPr>
          <w:b/>
          <w:bCs/>
          <w:lang w:val="cs-CZ"/>
        </w:rPr>
        <w:t>Marže EBIT* na úrovni 10,7 % (-370 bazických bodů)</w:t>
      </w:r>
    </w:p>
    <w:p w14:paraId="38AC44E3" w14:textId="77777777" w:rsidR="0016539F" w:rsidRPr="004E33C7" w:rsidRDefault="0016539F" w:rsidP="0016539F">
      <w:pPr>
        <w:pStyle w:val="Odsekzoznamu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6" w:lineRule="auto"/>
        <w:contextualSpacing w:val="0"/>
        <w:jc w:val="left"/>
        <w:rPr>
          <w:b/>
          <w:bCs/>
          <w:lang w:val="cs-CZ"/>
        </w:rPr>
      </w:pPr>
      <w:r w:rsidRPr="004E33C7">
        <w:rPr>
          <w:b/>
          <w:bCs/>
          <w:lang w:val="cs-CZ"/>
        </w:rPr>
        <w:t>Výnos na prioritní akcii (EPS)* se snížil o 20,8 % na 1,95 eura při konstantních kurzových sazbách</w:t>
      </w:r>
    </w:p>
    <w:p w14:paraId="43DB90E1" w14:textId="77777777" w:rsidR="0016539F" w:rsidRPr="004E33C7" w:rsidRDefault="0016539F" w:rsidP="0016539F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contextualSpacing w:val="0"/>
        <w:jc w:val="left"/>
        <w:rPr>
          <w:b/>
          <w:bCs/>
          <w:lang w:val="cs-CZ"/>
        </w:rPr>
      </w:pPr>
      <w:r w:rsidRPr="004E33C7">
        <w:rPr>
          <w:b/>
          <w:bCs/>
          <w:lang w:val="cs-CZ"/>
        </w:rPr>
        <w:t xml:space="preserve">Úspěšně postupuje implementace agendy pro smysluplný růst a slučování spotřebitelských divizí do divize </w:t>
      </w:r>
      <w:proofErr w:type="spellStart"/>
      <w:r w:rsidRPr="004E33C7">
        <w:rPr>
          <w:b/>
          <w:bCs/>
          <w:lang w:val="cs-CZ"/>
        </w:rPr>
        <w:t>Henkel</w:t>
      </w:r>
      <w:proofErr w:type="spellEnd"/>
      <w:r w:rsidRPr="004E33C7">
        <w:rPr>
          <w:b/>
          <w:bCs/>
          <w:lang w:val="cs-CZ"/>
        </w:rPr>
        <w:t xml:space="preserve"> </w:t>
      </w:r>
      <w:proofErr w:type="spellStart"/>
      <w:r w:rsidRPr="004E33C7">
        <w:rPr>
          <w:b/>
          <w:bCs/>
          <w:lang w:val="cs-CZ"/>
        </w:rPr>
        <w:t>Consumer</w:t>
      </w:r>
      <w:proofErr w:type="spellEnd"/>
      <w:r w:rsidRPr="004E33C7">
        <w:rPr>
          <w:b/>
          <w:bCs/>
          <w:lang w:val="cs-CZ"/>
        </w:rPr>
        <w:t xml:space="preserve"> </w:t>
      </w:r>
      <w:proofErr w:type="spellStart"/>
      <w:r w:rsidRPr="004E33C7">
        <w:rPr>
          <w:b/>
          <w:bCs/>
          <w:lang w:val="cs-CZ"/>
        </w:rPr>
        <w:t>Brands</w:t>
      </w:r>
      <w:proofErr w:type="spellEnd"/>
    </w:p>
    <w:p w14:paraId="5951EE77" w14:textId="77777777" w:rsidR="0016539F" w:rsidRPr="004E33C7" w:rsidRDefault="0016539F" w:rsidP="0016539F">
      <w:pPr>
        <w:pStyle w:val="Odsekzoznamu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contextualSpacing w:val="0"/>
        <w:jc w:val="left"/>
        <w:rPr>
          <w:b/>
          <w:bCs/>
          <w:lang w:val="cs-CZ"/>
        </w:rPr>
      </w:pPr>
      <w:r w:rsidRPr="004E33C7">
        <w:rPr>
          <w:b/>
          <w:bCs/>
          <w:lang w:val="cs-CZ"/>
        </w:rPr>
        <w:t>Aktualizovaný výhled na finanční rok 2022:</w:t>
      </w:r>
    </w:p>
    <w:p w14:paraId="37362632" w14:textId="77777777" w:rsidR="0016539F" w:rsidRPr="004E33C7" w:rsidRDefault="0016539F" w:rsidP="0016539F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6" w:lineRule="auto"/>
        <w:contextualSpacing w:val="0"/>
        <w:jc w:val="left"/>
        <w:rPr>
          <w:b/>
          <w:bCs/>
          <w:lang w:val="cs-CZ"/>
        </w:rPr>
      </w:pPr>
      <w:r w:rsidRPr="004E33C7">
        <w:rPr>
          <w:b/>
          <w:bCs/>
          <w:lang w:val="cs-CZ"/>
        </w:rPr>
        <w:t>Organický růst obratu: zvýšení na +4,5 až +6,5 %</w:t>
      </w:r>
    </w:p>
    <w:p w14:paraId="33641346" w14:textId="77777777" w:rsidR="0016539F" w:rsidRPr="004E33C7" w:rsidRDefault="0016539F" w:rsidP="0016539F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6" w:lineRule="auto"/>
        <w:contextualSpacing w:val="0"/>
        <w:jc w:val="left"/>
        <w:rPr>
          <w:b/>
          <w:bCs/>
          <w:lang w:val="cs-CZ"/>
        </w:rPr>
      </w:pPr>
      <w:r w:rsidRPr="004E33C7">
        <w:rPr>
          <w:b/>
          <w:bCs/>
          <w:lang w:val="cs-CZ"/>
        </w:rPr>
        <w:t>Marže EBIT*: nezměněna v rozmezí 9,0 až 11,0 %</w:t>
      </w:r>
    </w:p>
    <w:p w14:paraId="2144265E" w14:textId="77777777" w:rsidR="0016539F" w:rsidRPr="004E33C7" w:rsidRDefault="0016539F" w:rsidP="0016539F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6" w:lineRule="auto"/>
        <w:contextualSpacing w:val="0"/>
        <w:jc w:val="left"/>
        <w:rPr>
          <w:b/>
          <w:bCs/>
          <w:lang w:val="cs-CZ"/>
        </w:rPr>
      </w:pPr>
      <w:r w:rsidRPr="004E33C7">
        <w:rPr>
          <w:b/>
          <w:bCs/>
          <w:lang w:val="cs-CZ"/>
        </w:rPr>
        <w:t xml:space="preserve">V případě výnosů na prioritní akcii (EPS)* při konstantních kurzových sazbách </w:t>
      </w:r>
      <w:proofErr w:type="spellStart"/>
      <w:r w:rsidRPr="004E33C7">
        <w:rPr>
          <w:b/>
          <w:bCs/>
          <w:lang w:val="cs-CZ"/>
        </w:rPr>
        <w:t>Henkel</w:t>
      </w:r>
      <w:proofErr w:type="spellEnd"/>
      <w:r w:rsidRPr="004E33C7">
        <w:rPr>
          <w:b/>
          <w:bCs/>
          <w:lang w:val="cs-CZ"/>
        </w:rPr>
        <w:t xml:space="preserve"> nadále očekává pokles v rozpětí od -35 % do -15 %</w:t>
      </w:r>
    </w:p>
    <w:bookmarkEnd w:id="0"/>
    <w:p w14:paraId="09F7E4B7" w14:textId="77777777" w:rsidR="008E3965" w:rsidRPr="004E33C7" w:rsidRDefault="008E3965" w:rsidP="008E3965">
      <w:pPr>
        <w:rPr>
          <w:b/>
          <w:bCs/>
          <w:lang w:val="cs-CZ"/>
        </w:rPr>
      </w:pPr>
    </w:p>
    <w:p w14:paraId="060DF4DC" w14:textId="77777777" w:rsidR="008E3965" w:rsidRPr="004E33C7" w:rsidRDefault="008E3965" w:rsidP="008E3965">
      <w:pPr>
        <w:rPr>
          <w:b/>
          <w:bCs/>
          <w:lang w:val="cs-CZ"/>
        </w:rPr>
      </w:pPr>
      <w:r w:rsidRPr="004E33C7">
        <w:rPr>
          <w:b/>
          <w:bCs/>
          <w:lang w:val="cs-CZ"/>
        </w:rPr>
        <w:t xml:space="preserve">Düsseldorf – V prvním pololetí roku 2022 společnost </w:t>
      </w:r>
      <w:proofErr w:type="spellStart"/>
      <w:r w:rsidRPr="004E33C7">
        <w:rPr>
          <w:b/>
          <w:bCs/>
          <w:lang w:val="cs-CZ"/>
        </w:rPr>
        <w:t>Henkel</w:t>
      </w:r>
      <w:proofErr w:type="spellEnd"/>
      <w:r w:rsidRPr="004E33C7">
        <w:rPr>
          <w:b/>
          <w:bCs/>
          <w:lang w:val="cs-CZ"/>
        </w:rPr>
        <w:t xml:space="preserve"> zvýšila obrat na úrovni skupiny na přibližně 10,9 miliard eur, což odpovídá výraznému zvýšení organického obratu až o 8,9 %. K uvedenému pozitivnímu vývoji přispěly všechny obchodní divize a regiony. Výnosy v prvním pololetí byly podle očekávání zasaženy drastickým nárůstem cen surovin a logistiky. Navzdory výraznému zvýšení cen výrobků, přísnému řízení nákladů a dalšímu zlepšení efektivnosti se tento vliv nepodařilo v plném rozsahu kompenzovat.</w:t>
      </w:r>
    </w:p>
    <w:p w14:paraId="60774E1F" w14:textId="77777777" w:rsidR="008E3965" w:rsidRPr="004E33C7" w:rsidRDefault="008E3965" w:rsidP="008E3965">
      <w:pPr>
        <w:rPr>
          <w:b/>
          <w:bCs/>
          <w:lang w:val="cs-CZ"/>
        </w:rPr>
      </w:pPr>
    </w:p>
    <w:p w14:paraId="5BFCEFEC" w14:textId="77777777" w:rsidR="008E3965" w:rsidRPr="00725AF7" w:rsidRDefault="008E3965" w:rsidP="008E3965">
      <w:pPr>
        <w:rPr>
          <w:b/>
          <w:bCs/>
          <w:lang w:val="cs-CZ"/>
        </w:rPr>
      </w:pPr>
      <w:r w:rsidRPr="00725AF7">
        <w:rPr>
          <w:b/>
          <w:bCs/>
          <w:i/>
          <w:iCs/>
          <w:lang w:val="cs-CZ"/>
        </w:rPr>
        <w:t xml:space="preserve"> „Ve velmi náročném tržním prostředí obrat za prvních šest měsíců převýšil naše předchozí očekávání, zatímco výnosy se vyvíjely v souladu s naším výhledem na finanční rok 2022. Vzhledem k tomuto vývoji jsme zvýšili celoroční výhled organického růstu obratu na úrovni skupiny a potvrdili jsme výhled vývoje marže EBIT a výnosů na prioritní akcii,“ </w:t>
      </w:r>
      <w:r w:rsidRPr="00725AF7">
        <w:rPr>
          <w:b/>
          <w:bCs/>
          <w:lang w:val="cs-CZ"/>
        </w:rPr>
        <w:t xml:space="preserve">řekl předseda představenstva společnosti </w:t>
      </w:r>
      <w:proofErr w:type="spellStart"/>
      <w:r w:rsidRPr="00725AF7">
        <w:rPr>
          <w:b/>
          <w:bCs/>
          <w:lang w:val="cs-CZ"/>
        </w:rPr>
        <w:t>Henkel</w:t>
      </w:r>
      <w:proofErr w:type="spellEnd"/>
      <w:r w:rsidRPr="00725AF7">
        <w:rPr>
          <w:b/>
          <w:bCs/>
          <w:lang w:val="cs-CZ"/>
        </w:rPr>
        <w:t xml:space="preserve"> </w:t>
      </w:r>
      <w:proofErr w:type="spellStart"/>
      <w:r w:rsidRPr="00725AF7">
        <w:rPr>
          <w:b/>
          <w:bCs/>
          <w:lang w:val="cs-CZ"/>
        </w:rPr>
        <w:t>Carsten</w:t>
      </w:r>
      <w:proofErr w:type="spellEnd"/>
      <w:r w:rsidRPr="00725AF7">
        <w:rPr>
          <w:b/>
          <w:bCs/>
          <w:lang w:val="cs-CZ"/>
        </w:rPr>
        <w:t xml:space="preserve"> </w:t>
      </w:r>
      <w:proofErr w:type="spellStart"/>
      <w:r w:rsidRPr="00725AF7">
        <w:rPr>
          <w:b/>
          <w:bCs/>
          <w:lang w:val="cs-CZ"/>
        </w:rPr>
        <w:t>Knobel</w:t>
      </w:r>
      <w:proofErr w:type="spellEnd"/>
      <w:r w:rsidRPr="00725AF7">
        <w:rPr>
          <w:b/>
          <w:bCs/>
          <w:lang w:val="cs-CZ"/>
        </w:rPr>
        <w:t>.</w:t>
      </w:r>
    </w:p>
    <w:p w14:paraId="118D29D2" w14:textId="77777777" w:rsidR="008E3965" w:rsidRPr="00725AF7" w:rsidRDefault="008E3965" w:rsidP="008E3965">
      <w:pPr>
        <w:rPr>
          <w:b/>
          <w:bCs/>
          <w:lang w:val="cs-CZ"/>
        </w:rPr>
      </w:pPr>
    </w:p>
    <w:p w14:paraId="6F8A2525" w14:textId="77777777" w:rsidR="008E3965" w:rsidRPr="00725AF7" w:rsidRDefault="008E3965" w:rsidP="008E3965">
      <w:pPr>
        <w:rPr>
          <w:b/>
          <w:bCs/>
          <w:i/>
          <w:iCs/>
          <w:lang w:val="cs-CZ"/>
        </w:rPr>
      </w:pPr>
      <w:r w:rsidRPr="00725AF7">
        <w:rPr>
          <w:b/>
          <w:bCs/>
          <w:i/>
          <w:iCs/>
          <w:lang w:val="cs-CZ"/>
        </w:rPr>
        <w:t xml:space="preserve"> „Neustále pokračujeme v implementaci naší strategie zaměřené na smysluplný růst, v níž jsme v prvním pololetí roku 2022 dosáhli výrazného pokroku – zejména díky silnému odhodlání našich zaměstnanců na celém světě. S naší divizí </w:t>
      </w:r>
      <w:proofErr w:type="spellStart"/>
      <w:r w:rsidRPr="00725AF7">
        <w:rPr>
          <w:b/>
          <w:bCs/>
          <w:i/>
          <w:iCs/>
          <w:lang w:val="cs-CZ"/>
        </w:rPr>
        <w:t>Adhesive</w:t>
      </w:r>
      <w:proofErr w:type="spellEnd"/>
      <w:r w:rsidRPr="00725AF7">
        <w:rPr>
          <w:b/>
          <w:bCs/>
          <w:i/>
          <w:iCs/>
          <w:lang w:val="cs-CZ"/>
        </w:rPr>
        <w:t xml:space="preserve"> Technologies jsme globálním lídrem v oblasti inovativních řešení s důrazem na budoucí trendy jako mobilita, konektivita a udržitelnost. Sloučením našich spotřebitelských divizí </w:t>
      </w:r>
      <w:proofErr w:type="spellStart"/>
      <w:r w:rsidRPr="00725AF7">
        <w:rPr>
          <w:b/>
          <w:bCs/>
          <w:i/>
          <w:iCs/>
          <w:lang w:val="cs-CZ"/>
        </w:rPr>
        <w:t>Laundry</w:t>
      </w:r>
      <w:proofErr w:type="spellEnd"/>
      <w:r w:rsidRPr="00725AF7">
        <w:rPr>
          <w:b/>
          <w:bCs/>
          <w:i/>
          <w:iCs/>
          <w:lang w:val="cs-CZ"/>
        </w:rPr>
        <w:t xml:space="preserve"> &amp; </w:t>
      </w:r>
      <w:proofErr w:type="spellStart"/>
      <w:r w:rsidRPr="00725AF7">
        <w:rPr>
          <w:b/>
          <w:bCs/>
          <w:i/>
          <w:iCs/>
          <w:lang w:val="cs-CZ"/>
        </w:rPr>
        <w:t>Home</w:t>
      </w:r>
      <w:proofErr w:type="spellEnd"/>
      <w:r w:rsidRPr="00725AF7">
        <w:rPr>
          <w:b/>
          <w:bCs/>
          <w:i/>
          <w:iCs/>
          <w:lang w:val="cs-CZ"/>
        </w:rPr>
        <w:t xml:space="preserve"> Care a </w:t>
      </w:r>
      <w:proofErr w:type="spellStart"/>
      <w:r w:rsidRPr="00725AF7">
        <w:rPr>
          <w:b/>
          <w:bCs/>
          <w:i/>
          <w:iCs/>
          <w:lang w:val="cs-CZ"/>
        </w:rPr>
        <w:t>Beauty</w:t>
      </w:r>
      <w:proofErr w:type="spellEnd"/>
      <w:r w:rsidRPr="00725AF7">
        <w:rPr>
          <w:b/>
          <w:bCs/>
          <w:i/>
          <w:iCs/>
          <w:lang w:val="cs-CZ"/>
        </w:rPr>
        <w:t xml:space="preserve"> Care vzniká </w:t>
      </w:r>
      <w:proofErr w:type="spellStart"/>
      <w:r w:rsidRPr="00725AF7">
        <w:rPr>
          <w:b/>
          <w:bCs/>
          <w:i/>
          <w:iCs/>
          <w:lang w:val="cs-CZ"/>
        </w:rPr>
        <w:t>multiproduktová</w:t>
      </w:r>
      <w:proofErr w:type="spellEnd"/>
      <w:r w:rsidRPr="00725AF7">
        <w:rPr>
          <w:b/>
          <w:bCs/>
          <w:i/>
          <w:iCs/>
          <w:lang w:val="cs-CZ"/>
        </w:rPr>
        <w:t xml:space="preserve"> platforma s obratem přibližně 10 miliard eur. Jsme na dobré cestě, aby byla naše příští obchodní divize </w:t>
      </w:r>
      <w:proofErr w:type="spellStart"/>
      <w:r w:rsidRPr="00725AF7">
        <w:rPr>
          <w:b/>
          <w:bCs/>
          <w:i/>
          <w:iCs/>
          <w:lang w:val="cs-CZ"/>
        </w:rPr>
        <w:t>Consumer</w:t>
      </w:r>
      <w:proofErr w:type="spellEnd"/>
      <w:r w:rsidRPr="00725AF7">
        <w:rPr>
          <w:b/>
          <w:bCs/>
          <w:i/>
          <w:iCs/>
          <w:lang w:val="cs-CZ"/>
        </w:rPr>
        <w:t xml:space="preserve"> </w:t>
      </w:r>
      <w:proofErr w:type="spellStart"/>
      <w:r w:rsidRPr="00725AF7">
        <w:rPr>
          <w:b/>
          <w:bCs/>
          <w:i/>
          <w:iCs/>
          <w:lang w:val="cs-CZ"/>
        </w:rPr>
        <w:t>Brands</w:t>
      </w:r>
      <w:proofErr w:type="spellEnd"/>
      <w:r w:rsidRPr="00725AF7">
        <w:rPr>
          <w:b/>
          <w:bCs/>
          <w:i/>
          <w:iCs/>
          <w:lang w:val="cs-CZ"/>
        </w:rPr>
        <w:t xml:space="preserve"> plně funkční nejpozději začátkem roku 2023. Nabídne širší základnu pro konzistentnější optimalizaci našeho portfolia a posune obchodní činnost směrem k vyššímu růstu a maržím.“</w:t>
      </w:r>
    </w:p>
    <w:p w14:paraId="21BFDDB3" w14:textId="77777777" w:rsidR="008E3965" w:rsidRPr="00725AF7" w:rsidRDefault="008E3965" w:rsidP="008E3965">
      <w:pPr>
        <w:rPr>
          <w:b/>
          <w:bCs/>
          <w:lang w:val="cs-CZ"/>
        </w:rPr>
      </w:pPr>
    </w:p>
    <w:p w14:paraId="58A8ED2C" w14:textId="77777777" w:rsidR="008E3965" w:rsidRPr="00725AF7" w:rsidRDefault="008E3965" w:rsidP="008E3965">
      <w:pPr>
        <w:spacing w:after="120"/>
        <w:jc w:val="left"/>
        <w:rPr>
          <w:b/>
          <w:bCs/>
          <w:lang w:val="cs-CZ"/>
        </w:rPr>
      </w:pPr>
      <w:r w:rsidRPr="00725AF7">
        <w:rPr>
          <w:b/>
          <w:bCs/>
          <w:lang w:val="cs-CZ"/>
        </w:rPr>
        <w:t>Aktualizovaný výhled na finanční rok 2022:</w:t>
      </w:r>
    </w:p>
    <w:p w14:paraId="639FA652" w14:textId="77777777" w:rsidR="008E3965" w:rsidRPr="00725AF7" w:rsidRDefault="008E3965" w:rsidP="008E3965">
      <w:pPr>
        <w:rPr>
          <w:b/>
          <w:bCs/>
          <w:lang w:val="cs-CZ"/>
        </w:rPr>
      </w:pPr>
      <w:proofErr w:type="spellStart"/>
      <w:r w:rsidRPr="00725AF7">
        <w:rPr>
          <w:b/>
          <w:bCs/>
          <w:lang w:val="cs-CZ"/>
        </w:rPr>
        <w:t>Henkel</w:t>
      </w:r>
      <w:proofErr w:type="spellEnd"/>
      <w:r w:rsidRPr="00725AF7">
        <w:rPr>
          <w:b/>
          <w:bCs/>
          <w:lang w:val="cs-CZ"/>
        </w:rPr>
        <w:t xml:space="preserve"> v současnosti očekává organický růst obratu ve finančním roce 2022 v rozsahu +4,5 až +6,5 % (původně: +3,5 až +5,5 %). V případě divize </w:t>
      </w:r>
      <w:proofErr w:type="spellStart"/>
      <w:r w:rsidRPr="00725AF7">
        <w:rPr>
          <w:b/>
          <w:bCs/>
          <w:lang w:val="cs-CZ"/>
        </w:rPr>
        <w:t>Adhesive</w:t>
      </w:r>
      <w:proofErr w:type="spellEnd"/>
      <w:r w:rsidRPr="00725AF7">
        <w:rPr>
          <w:b/>
          <w:bCs/>
          <w:lang w:val="cs-CZ"/>
        </w:rPr>
        <w:t xml:space="preserve"> Technologies se i nadále očekává organický růst obratu od +8,0 do +10,0 %. Pro divizi </w:t>
      </w:r>
      <w:proofErr w:type="spellStart"/>
      <w:r w:rsidRPr="00725AF7">
        <w:rPr>
          <w:b/>
          <w:bCs/>
          <w:lang w:val="cs-CZ"/>
        </w:rPr>
        <w:t>Beauty</w:t>
      </w:r>
      <w:proofErr w:type="spellEnd"/>
      <w:r w:rsidRPr="00725AF7">
        <w:rPr>
          <w:b/>
          <w:bCs/>
          <w:lang w:val="cs-CZ"/>
        </w:rPr>
        <w:t xml:space="preserve"> Care společnost </w:t>
      </w:r>
      <w:proofErr w:type="spellStart"/>
      <w:r w:rsidRPr="00725AF7">
        <w:rPr>
          <w:b/>
          <w:bCs/>
          <w:lang w:val="cs-CZ"/>
        </w:rPr>
        <w:t>Henkel</w:t>
      </w:r>
      <w:proofErr w:type="spellEnd"/>
      <w:r w:rsidRPr="00725AF7">
        <w:rPr>
          <w:b/>
          <w:bCs/>
          <w:lang w:val="cs-CZ"/>
        </w:rPr>
        <w:t xml:space="preserve"> aktuálně předpokládá organický růst obratu od -3,0 do -1,0 % (původně: -5,0 až -3,0 %). V případě divize </w:t>
      </w:r>
      <w:proofErr w:type="spellStart"/>
      <w:r w:rsidRPr="00725AF7">
        <w:rPr>
          <w:b/>
          <w:bCs/>
          <w:lang w:val="cs-CZ"/>
        </w:rPr>
        <w:t>Laundry</w:t>
      </w:r>
      <w:proofErr w:type="spellEnd"/>
      <w:r w:rsidRPr="00725AF7">
        <w:rPr>
          <w:b/>
          <w:bCs/>
          <w:lang w:val="cs-CZ"/>
        </w:rPr>
        <w:t xml:space="preserve"> &amp; </w:t>
      </w:r>
      <w:proofErr w:type="spellStart"/>
      <w:r w:rsidRPr="00725AF7">
        <w:rPr>
          <w:b/>
          <w:bCs/>
          <w:lang w:val="cs-CZ"/>
        </w:rPr>
        <w:t>Home</w:t>
      </w:r>
      <w:proofErr w:type="spellEnd"/>
      <w:r w:rsidRPr="00725AF7">
        <w:rPr>
          <w:b/>
          <w:bCs/>
          <w:lang w:val="cs-CZ"/>
        </w:rPr>
        <w:t xml:space="preserve"> Care </w:t>
      </w:r>
      <w:proofErr w:type="spellStart"/>
      <w:r w:rsidRPr="00725AF7">
        <w:rPr>
          <w:b/>
          <w:bCs/>
          <w:lang w:val="cs-CZ"/>
        </w:rPr>
        <w:t>Henkel</w:t>
      </w:r>
      <w:proofErr w:type="spellEnd"/>
      <w:r w:rsidRPr="00725AF7">
        <w:rPr>
          <w:b/>
          <w:bCs/>
          <w:lang w:val="cs-CZ"/>
        </w:rPr>
        <w:t xml:space="preserve"> nyní očekává organický růst obratu přibližně na úrovni +4,0 až +6,0 % (původně: +2,0 až +4,0 %). Upravená marže EBIT na úrovni skupiny by měla zůstat nezměněna a měla by dosáhnout 9,0 až 11,0 %. V případě upravených výnosů na prioritní akcii (EPS) při konstantních kurzových sazbách </w:t>
      </w:r>
      <w:proofErr w:type="spellStart"/>
      <w:r w:rsidRPr="00725AF7">
        <w:rPr>
          <w:b/>
          <w:bCs/>
          <w:lang w:val="cs-CZ"/>
        </w:rPr>
        <w:t>Henkel</w:t>
      </w:r>
      <w:proofErr w:type="spellEnd"/>
      <w:r w:rsidRPr="00725AF7">
        <w:rPr>
          <w:b/>
          <w:bCs/>
          <w:lang w:val="cs-CZ"/>
        </w:rPr>
        <w:t xml:space="preserve"> i nadále očekává pokles v rozpětí od -35 % do -15 %.</w:t>
      </w:r>
    </w:p>
    <w:p w14:paraId="7EBC82DC" w14:textId="77777777" w:rsidR="008E3965" w:rsidRPr="00725AF7" w:rsidRDefault="008E3965" w:rsidP="008E3965">
      <w:pPr>
        <w:rPr>
          <w:b/>
          <w:bCs/>
          <w:lang w:val="cs-CZ"/>
        </w:rPr>
      </w:pPr>
    </w:p>
    <w:p w14:paraId="20F5216B" w14:textId="77777777" w:rsidR="008E3965" w:rsidRPr="00725AF7" w:rsidRDefault="008E3965" w:rsidP="008E3965">
      <w:pPr>
        <w:spacing w:after="120"/>
        <w:jc w:val="left"/>
        <w:rPr>
          <w:b/>
          <w:bCs/>
          <w:lang w:val="cs-CZ"/>
        </w:rPr>
      </w:pPr>
      <w:r w:rsidRPr="00725AF7">
        <w:rPr>
          <w:b/>
          <w:bCs/>
          <w:lang w:val="cs-CZ"/>
        </w:rPr>
        <w:t>Probíhá ukončení obchodních aktivit v Rusku a Bělorusku</w:t>
      </w:r>
    </w:p>
    <w:p w14:paraId="770FC422" w14:textId="77777777" w:rsidR="008E3965" w:rsidRPr="00725AF7" w:rsidRDefault="008E3965" w:rsidP="008E3965">
      <w:pPr>
        <w:rPr>
          <w:b/>
          <w:bCs/>
          <w:lang w:val="cs-CZ"/>
        </w:rPr>
      </w:pPr>
      <w:r w:rsidRPr="00725AF7">
        <w:rPr>
          <w:b/>
          <w:bCs/>
          <w:lang w:val="cs-CZ"/>
        </w:rPr>
        <w:t xml:space="preserve">V dubnu 2022 se společnost </w:t>
      </w:r>
      <w:proofErr w:type="spellStart"/>
      <w:r w:rsidRPr="00725AF7">
        <w:rPr>
          <w:b/>
          <w:bCs/>
          <w:lang w:val="cs-CZ"/>
        </w:rPr>
        <w:t>Henkel</w:t>
      </w:r>
      <w:proofErr w:type="spellEnd"/>
      <w:r w:rsidRPr="00725AF7">
        <w:rPr>
          <w:b/>
          <w:bCs/>
          <w:lang w:val="cs-CZ"/>
        </w:rPr>
        <w:t xml:space="preserve"> rozhodla ukončit své obchodní aktivity v Rusku a Bělorusku. Důkladně posuzuje všechny možnosti a celý proces hodlá ukončit do konce roku.</w:t>
      </w:r>
    </w:p>
    <w:p w14:paraId="32E44A62" w14:textId="77777777" w:rsidR="008E3965" w:rsidRPr="00725AF7" w:rsidRDefault="008E3965" w:rsidP="008E3965">
      <w:pPr>
        <w:spacing w:after="120"/>
        <w:rPr>
          <w:b/>
          <w:bCs/>
          <w:lang w:val="cs-CZ"/>
        </w:rPr>
      </w:pPr>
    </w:p>
    <w:p w14:paraId="7B065928" w14:textId="77777777" w:rsidR="008E3965" w:rsidRPr="00725AF7" w:rsidRDefault="008E3965" w:rsidP="008E3965">
      <w:pPr>
        <w:spacing w:line="240" w:lineRule="auto"/>
        <w:jc w:val="left"/>
        <w:rPr>
          <w:lang w:val="cs-CZ"/>
        </w:rPr>
      </w:pPr>
      <w:r w:rsidRPr="00725AF7">
        <w:rPr>
          <w:rFonts w:ascii="SegoeUI-Bold" w:eastAsia="SegoeUI-Bold" w:hAnsi="SegoeUI-Bold" w:cs="SegoeUI-Bold"/>
          <w:b/>
          <w:bCs/>
          <w:lang w:val="cs-CZ"/>
        </w:rPr>
        <w:br w:type="page"/>
      </w:r>
    </w:p>
    <w:p w14:paraId="3D973F47" w14:textId="77777777" w:rsidR="008E3965" w:rsidRPr="00725AF7" w:rsidRDefault="008E3965" w:rsidP="008E3965">
      <w:pPr>
        <w:spacing w:after="120"/>
        <w:rPr>
          <w:rFonts w:ascii="SegoeUI-Bold" w:eastAsia="SegoeUI-Bold" w:hAnsi="SegoeUI-Bold" w:cs="SegoeUI-Bold"/>
          <w:b/>
          <w:bCs/>
          <w:lang w:val="cs-CZ"/>
        </w:rPr>
      </w:pPr>
      <w:r w:rsidRPr="00725AF7">
        <w:rPr>
          <w:rFonts w:ascii="SegoeUI-Bold" w:eastAsia="SegoeUI-Bold" w:hAnsi="SegoeUI-Bold" w:cs="SegoeUI-Bold"/>
          <w:b/>
          <w:bCs/>
          <w:lang w:val="cs-CZ"/>
        </w:rPr>
        <w:lastRenderedPageBreak/>
        <w:t>Obrat a výnosy na úrovni skupiny v prvním pololetí roku 2022</w:t>
      </w:r>
    </w:p>
    <w:p w14:paraId="6E63686C" w14:textId="77777777" w:rsidR="008E3965" w:rsidRPr="00725AF7" w:rsidRDefault="008E3965" w:rsidP="008E3965">
      <w:pPr>
        <w:rPr>
          <w:lang w:val="cs-CZ"/>
        </w:rPr>
      </w:pPr>
      <w:r w:rsidRPr="00725AF7">
        <w:rPr>
          <w:b/>
          <w:bCs/>
          <w:lang w:val="cs-CZ"/>
        </w:rPr>
        <w:t>Obrat skupiny</w:t>
      </w:r>
      <w:r w:rsidRPr="00725AF7">
        <w:rPr>
          <w:lang w:val="cs-CZ"/>
        </w:rPr>
        <w:t xml:space="preserve">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za první pololetí 2022 v celkové výši 10 913 milionů eur byl o 9,9 % vyšší ve srovnání se stejným obdobím předchozího roku (2. čtvrtletí: 5 642 milionů eur, +13,8 %). </w:t>
      </w:r>
      <w:r w:rsidRPr="00725AF7">
        <w:rPr>
          <w:b/>
          <w:bCs/>
          <w:lang w:val="cs-CZ"/>
        </w:rPr>
        <w:t xml:space="preserve">Organický obrat, </w:t>
      </w:r>
      <w:r w:rsidRPr="00725AF7">
        <w:rPr>
          <w:lang w:val="cs-CZ"/>
        </w:rPr>
        <w:t>do kterého se nepřičítají kurzové vlivy a vlivy akvizic a odprodeje, zaznamenal výrazný růst o 8,9 % (2. čtvrtletí: +10,9 %). Akvizice a odprodeje měly na obrat negativní vliv ve výši -1,4 % (2. čtvrtletí: -1,8 %). Od začátku 2. čtvrtletí se sem přičítá i vliv ohlášeného ukončení obchodních aktivit v Rusku a Bělorusku. V důsledku kurzových vlivů se obrat zvýšil o 2,4 % (2. čtvrtletí: +4,7 %). Přičítá se sem také vliv uplatňování standardu IAS 29 (finanční výkaznictví v hyperinflačních ekonomikách), které je od začátku účetního období povinné v Turecku.</w:t>
      </w:r>
    </w:p>
    <w:p w14:paraId="76A9EB12" w14:textId="77777777" w:rsidR="008E3965" w:rsidRPr="00725AF7" w:rsidRDefault="008E3965" w:rsidP="008E3965">
      <w:pPr>
        <w:rPr>
          <w:lang w:val="cs-CZ"/>
        </w:rPr>
      </w:pPr>
    </w:p>
    <w:p w14:paraId="6FAC0AD8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K růstu obratu v prvním pololetí nejvíce přispěla divize </w:t>
      </w:r>
      <w:proofErr w:type="spellStart"/>
      <w:r w:rsidRPr="00725AF7">
        <w:rPr>
          <w:b/>
          <w:bCs/>
          <w:lang w:val="cs-CZ"/>
        </w:rPr>
        <w:t>Adhesive</w:t>
      </w:r>
      <w:proofErr w:type="spellEnd"/>
      <w:r w:rsidRPr="00725AF7">
        <w:rPr>
          <w:b/>
          <w:bCs/>
          <w:lang w:val="cs-CZ"/>
        </w:rPr>
        <w:t xml:space="preserve"> Technologies</w:t>
      </w:r>
      <w:r w:rsidRPr="00725AF7">
        <w:rPr>
          <w:lang w:val="cs-CZ"/>
        </w:rPr>
        <w:t xml:space="preserve">, která zaznamenala dvouciferný organický růst ve výši 12,2 %. Organického růstu obratu dosáhla ve všech obchodních oblastech. Divize </w:t>
      </w:r>
      <w:proofErr w:type="spellStart"/>
      <w:r w:rsidRPr="00725AF7">
        <w:rPr>
          <w:b/>
          <w:bCs/>
          <w:lang w:val="cs-CZ"/>
        </w:rPr>
        <w:t>Beauty</w:t>
      </w:r>
      <w:proofErr w:type="spellEnd"/>
      <w:r w:rsidRPr="00725AF7">
        <w:rPr>
          <w:b/>
          <w:bCs/>
          <w:lang w:val="cs-CZ"/>
        </w:rPr>
        <w:t xml:space="preserve"> Care</w:t>
      </w:r>
      <w:r w:rsidRPr="00725AF7">
        <w:rPr>
          <w:lang w:val="cs-CZ"/>
        </w:rPr>
        <w:t xml:space="preserve"> dosáhla v prvním pololetí organického růstu obratu ve výši 0,4 %. Dvouciferný organický růst obratu zaznamenala v segmentu profesionální vlasové kosmetiky. Naopak segment spotřebního zboží zaostal za úrovní z předchozího roku, a to zejména v důsledku avizovaných opatření ke zlepšení portfolia. Divize </w:t>
      </w:r>
      <w:proofErr w:type="spellStart"/>
      <w:r w:rsidRPr="00725AF7">
        <w:rPr>
          <w:b/>
          <w:bCs/>
          <w:lang w:val="cs-CZ"/>
        </w:rPr>
        <w:t>Laundry</w:t>
      </w:r>
      <w:proofErr w:type="spellEnd"/>
      <w:r w:rsidRPr="00725AF7">
        <w:rPr>
          <w:b/>
          <w:bCs/>
          <w:lang w:val="cs-CZ"/>
        </w:rPr>
        <w:t xml:space="preserve"> &amp; </w:t>
      </w:r>
      <w:proofErr w:type="spellStart"/>
      <w:r w:rsidRPr="00725AF7">
        <w:rPr>
          <w:b/>
          <w:bCs/>
          <w:lang w:val="cs-CZ"/>
        </w:rPr>
        <w:t>Home</w:t>
      </w:r>
      <w:proofErr w:type="spellEnd"/>
      <w:r w:rsidRPr="00725AF7">
        <w:rPr>
          <w:b/>
          <w:bCs/>
          <w:lang w:val="cs-CZ"/>
        </w:rPr>
        <w:t xml:space="preserve"> Care</w:t>
      </w:r>
      <w:r w:rsidRPr="00725AF7">
        <w:rPr>
          <w:lang w:val="cs-CZ"/>
        </w:rPr>
        <w:t xml:space="preserve"> dosáhla výrazného organického růstu obratu na úrovni 7,4 %, ke kterému přispěl především dvouciferný růst v segmentu pracích prostředků. Segment čistících prostředků pro domácnost zaznamenal v prvním pololetí pozitivní vývoj organického obratu.</w:t>
      </w:r>
    </w:p>
    <w:p w14:paraId="362903AB" w14:textId="77777777" w:rsidR="008E3965" w:rsidRPr="00725AF7" w:rsidRDefault="008E3965" w:rsidP="008E3965">
      <w:pPr>
        <w:rPr>
          <w:lang w:val="cs-CZ"/>
        </w:rPr>
      </w:pPr>
    </w:p>
    <w:p w14:paraId="5E7E930E" w14:textId="77777777" w:rsidR="008E3965" w:rsidRPr="00725AF7" w:rsidRDefault="008E3965" w:rsidP="008E3965">
      <w:pPr>
        <w:rPr>
          <w:lang w:val="cs-CZ"/>
        </w:rPr>
      </w:pPr>
      <w:r w:rsidRPr="00725AF7">
        <w:rPr>
          <w:b/>
          <w:bCs/>
          <w:lang w:val="cs-CZ"/>
        </w:rPr>
        <w:t>Rozvíjející</w:t>
      </w:r>
      <w:r w:rsidRPr="00725AF7">
        <w:rPr>
          <w:lang w:val="cs-CZ"/>
        </w:rPr>
        <w:t xml:space="preserve"> </w:t>
      </w:r>
      <w:r w:rsidRPr="00725AF7">
        <w:rPr>
          <w:b/>
          <w:bCs/>
          <w:lang w:val="cs-CZ"/>
        </w:rPr>
        <w:t xml:space="preserve">se trhy </w:t>
      </w:r>
      <w:r w:rsidRPr="00725AF7">
        <w:rPr>
          <w:lang w:val="cs-CZ"/>
        </w:rPr>
        <w:t xml:space="preserve">dosáhly dvouciferného organického růstu ve výši 12,9 % (2. čtvrtletí: +14,6 %), zatímco </w:t>
      </w:r>
      <w:r w:rsidRPr="00725AF7">
        <w:rPr>
          <w:b/>
          <w:bCs/>
          <w:lang w:val="cs-CZ"/>
        </w:rPr>
        <w:t xml:space="preserve">vyspělé trhy </w:t>
      </w:r>
      <w:r w:rsidRPr="00725AF7">
        <w:rPr>
          <w:lang w:val="cs-CZ"/>
        </w:rPr>
        <w:t>organicky vzrostly o 5,5 % (2. čtvrtletí: +7,8 %).</w:t>
      </w:r>
    </w:p>
    <w:p w14:paraId="38DC7B6B" w14:textId="77777777" w:rsidR="008E3965" w:rsidRPr="00725AF7" w:rsidRDefault="008E3965" w:rsidP="008E3965">
      <w:pPr>
        <w:rPr>
          <w:lang w:val="cs-CZ"/>
        </w:rPr>
      </w:pPr>
    </w:p>
    <w:p w14:paraId="7D7790F5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V </w:t>
      </w:r>
      <w:r w:rsidRPr="00725AF7">
        <w:rPr>
          <w:b/>
          <w:bCs/>
          <w:lang w:val="cs-CZ"/>
        </w:rPr>
        <w:t>západní Evropě</w:t>
      </w:r>
      <w:r w:rsidRPr="00725AF7">
        <w:rPr>
          <w:lang w:val="cs-CZ"/>
        </w:rPr>
        <w:t xml:space="preserve"> dosáhl růst organického obratu v prvním pololetí výše 2,2 % (2. čtvrtletí: +4,8 %). Ve </w:t>
      </w:r>
      <w:r w:rsidRPr="00725AF7">
        <w:rPr>
          <w:b/>
          <w:bCs/>
          <w:lang w:val="cs-CZ"/>
        </w:rPr>
        <w:t xml:space="preserve">východní Evropě </w:t>
      </w:r>
      <w:r w:rsidRPr="00725AF7">
        <w:rPr>
          <w:lang w:val="cs-CZ"/>
        </w:rPr>
        <w:t xml:space="preserve">činil organický růst obratu 23,2 % (2. čtvrtletí: +26,3 %). V </w:t>
      </w:r>
      <w:r w:rsidRPr="00725AF7">
        <w:rPr>
          <w:b/>
          <w:bCs/>
          <w:lang w:val="cs-CZ"/>
        </w:rPr>
        <w:t xml:space="preserve">Africe a na Blízkém východě </w:t>
      </w:r>
      <w:r w:rsidRPr="00725AF7">
        <w:rPr>
          <w:lang w:val="cs-CZ"/>
        </w:rPr>
        <w:t>obrat organicky vzrostl o 3,2 % (2. čtvrtletí: +5,1 %). Organický růst obratu v </w:t>
      </w:r>
      <w:r w:rsidRPr="00725AF7">
        <w:rPr>
          <w:b/>
          <w:bCs/>
          <w:lang w:val="cs-CZ"/>
        </w:rPr>
        <w:t>Severní Americe</w:t>
      </w:r>
      <w:r w:rsidRPr="00725AF7">
        <w:rPr>
          <w:lang w:val="cs-CZ"/>
        </w:rPr>
        <w:t xml:space="preserve"> byl na úrovni 9,2 % (2. čtvrtletí: +11,7 %). </w:t>
      </w:r>
      <w:r w:rsidRPr="00725AF7">
        <w:rPr>
          <w:b/>
          <w:bCs/>
          <w:lang w:val="cs-CZ"/>
        </w:rPr>
        <w:t>Latinská Amerika zaznamenala organický růst obratu na úrovni 16,9 % (2. čtvrtletí: +18,5 %).</w:t>
      </w:r>
      <w:r w:rsidRPr="00725AF7">
        <w:rPr>
          <w:lang w:val="cs-CZ"/>
        </w:rPr>
        <w:t xml:space="preserve"> V asijsko-pacifickém regionu se obrat organicky zvýšil o 6,1 % (2. čtvrtletí: +6,9 %).</w:t>
      </w:r>
    </w:p>
    <w:p w14:paraId="6F010614" w14:textId="77777777" w:rsidR="008E3965" w:rsidRPr="00725AF7" w:rsidRDefault="008E3965" w:rsidP="008E3965">
      <w:pPr>
        <w:rPr>
          <w:lang w:val="cs-CZ"/>
        </w:rPr>
      </w:pPr>
    </w:p>
    <w:p w14:paraId="15532FDE" w14:textId="77777777" w:rsidR="008E3965" w:rsidRPr="00725AF7" w:rsidRDefault="008E3965" w:rsidP="008E3965">
      <w:pPr>
        <w:rPr>
          <w:lang w:val="cs-CZ"/>
        </w:rPr>
      </w:pPr>
      <w:bookmarkStart w:id="1" w:name="_Hlk109402106"/>
      <w:r w:rsidRPr="00725AF7">
        <w:rPr>
          <w:b/>
          <w:bCs/>
          <w:lang w:val="cs-CZ"/>
        </w:rPr>
        <w:t xml:space="preserve">Upravený provozní zisk (upravený EBIT) </w:t>
      </w:r>
      <w:r w:rsidRPr="00725AF7">
        <w:rPr>
          <w:lang w:val="cs-CZ"/>
        </w:rPr>
        <w:t>dosáhl v prvním pololetí 1 166 milionů eur ve srovnání s 1 430 miliony eur ve stejném období předchozího roku. K poklesu došlo zejména kvůli výrazně vyšší ceny přímých materiálových vstupů.</w:t>
      </w:r>
      <w:bookmarkEnd w:id="1"/>
    </w:p>
    <w:p w14:paraId="33602234" w14:textId="77777777" w:rsidR="008E3965" w:rsidRPr="00725AF7" w:rsidRDefault="008E3965" w:rsidP="008E3965">
      <w:pPr>
        <w:rPr>
          <w:lang w:val="cs-CZ"/>
        </w:rPr>
      </w:pPr>
    </w:p>
    <w:p w14:paraId="0A0CF478" w14:textId="77777777" w:rsidR="008E3965" w:rsidRPr="00725AF7" w:rsidRDefault="008E3965" w:rsidP="008E3965">
      <w:pPr>
        <w:rPr>
          <w:lang w:val="cs-CZ"/>
        </w:rPr>
      </w:pPr>
      <w:r w:rsidRPr="00725AF7">
        <w:rPr>
          <w:b/>
          <w:bCs/>
          <w:lang w:val="cs-CZ"/>
        </w:rPr>
        <w:t xml:space="preserve">Upravená výnosnost prodeje (upravená marže EBIT) </w:t>
      </w:r>
      <w:r w:rsidRPr="00725AF7">
        <w:rPr>
          <w:lang w:val="cs-CZ"/>
        </w:rPr>
        <w:t>klesla ze 14,4 % na 10,7 % z důvodu výrazně vyšších cen přímých materiálových vstupů.</w:t>
      </w:r>
    </w:p>
    <w:p w14:paraId="2E0B4F53" w14:textId="77777777" w:rsidR="008E3965" w:rsidRPr="00725AF7" w:rsidRDefault="008E3965" w:rsidP="008E3965">
      <w:pPr>
        <w:rPr>
          <w:lang w:val="cs-CZ"/>
        </w:rPr>
      </w:pPr>
      <w:r w:rsidRPr="00725AF7">
        <w:rPr>
          <w:b/>
          <w:bCs/>
          <w:lang w:val="cs-CZ"/>
        </w:rPr>
        <w:lastRenderedPageBreak/>
        <w:t xml:space="preserve">Upravený výnos na prioritní akcii </w:t>
      </w:r>
      <w:r w:rsidRPr="00725AF7">
        <w:rPr>
          <w:lang w:val="cs-CZ"/>
        </w:rPr>
        <w:t>byl 1,95 eur v prvním pololetí roku 2022. Při konstantních kurzových sazbách to činí meziroční pokles ve výši 20,8 %. I tento vývoj byl způsoben hlavně výrazným zvýšením cen přímých materiálových vstupů.</w:t>
      </w:r>
    </w:p>
    <w:p w14:paraId="02EEF1AE" w14:textId="77777777" w:rsidR="008E3965" w:rsidRPr="00725AF7" w:rsidRDefault="008E3965" w:rsidP="008E3965">
      <w:pPr>
        <w:rPr>
          <w:lang w:val="cs-CZ"/>
        </w:rPr>
      </w:pPr>
    </w:p>
    <w:p w14:paraId="23BA617A" w14:textId="77777777" w:rsidR="008E3965" w:rsidRPr="00725AF7" w:rsidRDefault="008E3965" w:rsidP="008E3965">
      <w:pPr>
        <w:rPr>
          <w:lang w:val="cs-CZ"/>
        </w:rPr>
      </w:pPr>
      <w:r w:rsidRPr="00725AF7">
        <w:rPr>
          <w:b/>
          <w:bCs/>
          <w:lang w:val="cs-CZ"/>
        </w:rPr>
        <w:t xml:space="preserve">Poměr čistého provozního kapitálu k obratu </w:t>
      </w:r>
      <w:r w:rsidRPr="00725AF7">
        <w:rPr>
          <w:lang w:val="cs-CZ"/>
        </w:rPr>
        <w:t>se zvýšil o 1,6 procentního bodu na 5,2 % (stejné období předchozího roku: 3,6 %), a to také pod vlivem prudkého růstu cen surovin.</w:t>
      </w:r>
    </w:p>
    <w:p w14:paraId="403A40D1" w14:textId="77777777" w:rsidR="008E3965" w:rsidRPr="00725AF7" w:rsidRDefault="008E3965" w:rsidP="008E3965">
      <w:pPr>
        <w:rPr>
          <w:lang w:val="cs-CZ"/>
        </w:rPr>
      </w:pPr>
    </w:p>
    <w:p w14:paraId="15D564F3" w14:textId="77777777" w:rsidR="008E3965" w:rsidRPr="00725AF7" w:rsidRDefault="008E3965" w:rsidP="008E3965">
      <w:pPr>
        <w:rPr>
          <w:lang w:val="cs-CZ"/>
        </w:rPr>
      </w:pPr>
      <w:r w:rsidRPr="00725AF7">
        <w:rPr>
          <w:b/>
          <w:bCs/>
          <w:lang w:val="cs-CZ"/>
        </w:rPr>
        <w:t xml:space="preserve">Volný cash </w:t>
      </w:r>
      <w:proofErr w:type="spellStart"/>
      <w:r w:rsidRPr="00725AF7">
        <w:rPr>
          <w:b/>
          <w:bCs/>
          <w:lang w:val="cs-CZ"/>
        </w:rPr>
        <w:t>flow</w:t>
      </w:r>
      <w:proofErr w:type="spellEnd"/>
      <w:r w:rsidRPr="00725AF7">
        <w:rPr>
          <w:b/>
          <w:bCs/>
          <w:lang w:val="cs-CZ"/>
        </w:rPr>
        <w:t xml:space="preserve"> </w:t>
      </w:r>
      <w:r w:rsidRPr="00725AF7">
        <w:rPr>
          <w:lang w:val="cs-CZ"/>
        </w:rPr>
        <w:t xml:space="preserve">v hodnotě 46 milionů eur byl nižší ve srovnání s prvním pololetím roku 2021 (471 milionů eur) zejména z důvodu slabšího cash </w:t>
      </w:r>
      <w:proofErr w:type="spellStart"/>
      <w:r w:rsidRPr="00725AF7">
        <w:rPr>
          <w:lang w:val="cs-CZ"/>
        </w:rPr>
        <w:t>flow</w:t>
      </w:r>
      <w:proofErr w:type="spellEnd"/>
      <w:r w:rsidRPr="00725AF7">
        <w:rPr>
          <w:lang w:val="cs-CZ"/>
        </w:rPr>
        <w:t xml:space="preserve"> z provozních činností v důsledku nižšího provozního zisku a vyššího čistého provozního kapitálu.</w:t>
      </w:r>
    </w:p>
    <w:p w14:paraId="368E7BA5" w14:textId="77777777" w:rsidR="008E3965" w:rsidRPr="00725AF7" w:rsidRDefault="008E3965" w:rsidP="008E3965">
      <w:pPr>
        <w:rPr>
          <w:shd w:val="clear" w:color="auto" w:fill="FFFF00"/>
          <w:lang w:val="cs-CZ"/>
        </w:rPr>
      </w:pPr>
    </w:p>
    <w:p w14:paraId="132A39B8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K 30. červnu 2022 byla </w:t>
      </w:r>
      <w:r w:rsidRPr="00725AF7">
        <w:rPr>
          <w:b/>
          <w:bCs/>
          <w:lang w:val="cs-CZ"/>
        </w:rPr>
        <w:t>čistá finanční pozice</w:t>
      </w:r>
      <w:r w:rsidRPr="00725AF7">
        <w:rPr>
          <w:lang w:val="cs-CZ"/>
        </w:rPr>
        <w:t xml:space="preserve"> na úrovni -1 441 milionů eur (31. prosinec 2021: -292 milionů eur). Tento vývoj odráží také výdaje na program zpětného odkupu akcií, který byl spuštěn v únoru 2022, ve výši přibližně 430 milionů eur a výplatu dividend ve výši kolem 800 milionů eur ve druhém čtvrtletí.</w:t>
      </w:r>
    </w:p>
    <w:p w14:paraId="55F4F3FA" w14:textId="77777777" w:rsidR="008E3965" w:rsidRPr="00725AF7" w:rsidRDefault="008E3965" w:rsidP="008E3965">
      <w:pPr>
        <w:spacing w:after="120"/>
        <w:rPr>
          <w:b/>
          <w:bCs/>
          <w:lang w:val="cs-CZ"/>
        </w:rPr>
      </w:pPr>
    </w:p>
    <w:p w14:paraId="31409723" w14:textId="77777777" w:rsidR="008E3965" w:rsidRPr="00725AF7" w:rsidRDefault="008E3965" w:rsidP="008E3965">
      <w:pPr>
        <w:spacing w:after="120"/>
        <w:rPr>
          <w:rFonts w:ascii="SegoeUI-Bold" w:eastAsia="SegoeUI-Bold" w:hAnsi="SegoeUI-Bold" w:cs="SegoeUI-Bold"/>
          <w:b/>
          <w:bCs/>
          <w:lang w:val="cs-CZ"/>
        </w:rPr>
      </w:pPr>
      <w:r w:rsidRPr="00725AF7">
        <w:rPr>
          <w:rFonts w:ascii="SegoeUI-Bold" w:eastAsia="SegoeUI-Bold" w:hAnsi="SegoeUI-Bold" w:cs="SegoeUI-Bold"/>
          <w:b/>
          <w:bCs/>
          <w:lang w:val="cs-CZ"/>
        </w:rPr>
        <w:t>Výsledky obchodních divizí v prvním pololetí roku 2022</w:t>
      </w:r>
    </w:p>
    <w:p w14:paraId="15F2E0F9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V prvním pololetí roku 2022 </w:t>
      </w:r>
      <w:r w:rsidRPr="00725AF7">
        <w:rPr>
          <w:b/>
          <w:bCs/>
          <w:lang w:val="cs-CZ"/>
        </w:rPr>
        <w:t>obrat</w:t>
      </w:r>
      <w:r w:rsidRPr="00725AF7">
        <w:rPr>
          <w:lang w:val="cs-CZ"/>
        </w:rPr>
        <w:t xml:space="preserve"> obchodní divize </w:t>
      </w:r>
      <w:proofErr w:type="spellStart"/>
      <w:r w:rsidRPr="00725AF7">
        <w:rPr>
          <w:b/>
          <w:bCs/>
          <w:lang w:val="cs-CZ"/>
        </w:rPr>
        <w:t>Adhesive</w:t>
      </w:r>
      <w:proofErr w:type="spellEnd"/>
      <w:r w:rsidRPr="00725AF7">
        <w:rPr>
          <w:b/>
          <w:bCs/>
          <w:lang w:val="cs-CZ"/>
        </w:rPr>
        <w:t xml:space="preserve"> Technologies</w:t>
      </w:r>
      <w:r w:rsidRPr="00725AF7">
        <w:rPr>
          <w:lang w:val="cs-CZ"/>
        </w:rPr>
        <w:t xml:space="preserve"> nominálně vzrostl o 15,0 % na 5 467 milionů eur (2. čtvrtletí: 2 836 milionů eur; +18,5 %). </w:t>
      </w:r>
      <w:r w:rsidRPr="00725AF7">
        <w:rPr>
          <w:b/>
          <w:bCs/>
          <w:lang w:val="cs-CZ"/>
        </w:rPr>
        <w:t xml:space="preserve">Organický obrat </w:t>
      </w:r>
      <w:r w:rsidRPr="00725AF7">
        <w:rPr>
          <w:lang w:val="cs-CZ"/>
        </w:rPr>
        <w:t xml:space="preserve">se zvýšil o 12,2 % (2. čtvrtletí: +13,7 %). K uvedenému vývoji přispěly všechny obchodní divize a regiony. </w:t>
      </w:r>
      <w:r w:rsidRPr="00725AF7">
        <w:rPr>
          <w:b/>
          <w:bCs/>
          <w:lang w:val="cs-CZ"/>
        </w:rPr>
        <w:t xml:space="preserve">Upravený provozní zisk </w:t>
      </w:r>
      <w:r w:rsidRPr="00725AF7">
        <w:rPr>
          <w:lang w:val="cs-CZ"/>
        </w:rPr>
        <w:t xml:space="preserve">dosáhl v prvním pololetí roku 2022 výše 743 milionů eur ve srovnání s 820 miliony eur ve stejném období předchozího roku. </w:t>
      </w:r>
      <w:r w:rsidRPr="00725AF7">
        <w:rPr>
          <w:b/>
          <w:bCs/>
          <w:lang w:val="cs-CZ"/>
        </w:rPr>
        <w:t xml:space="preserve">Upravená výnosnost prodeje </w:t>
      </w:r>
      <w:r w:rsidRPr="00725AF7">
        <w:rPr>
          <w:lang w:val="cs-CZ"/>
        </w:rPr>
        <w:t>na úrovni 13,6 % byla meziročně nižší o 3,7 procentního bodu, přičemž výnosy byly negativně zasaženy výrazným růstem cen přímých materiálových vstupů.</w:t>
      </w:r>
    </w:p>
    <w:p w14:paraId="21AD8055" w14:textId="77777777" w:rsidR="008E3965" w:rsidRPr="00725AF7" w:rsidRDefault="008E3965" w:rsidP="008E3965">
      <w:pPr>
        <w:rPr>
          <w:lang w:val="cs-CZ"/>
        </w:rPr>
      </w:pPr>
      <w:bookmarkStart w:id="2" w:name="_Hlk78300139"/>
    </w:p>
    <w:p w14:paraId="1821087C" w14:textId="77777777" w:rsidR="008E3965" w:rsidRPr="00725AF7" w:rsidRDefault="008E3965" w:rsidP="008E3965">
      <w:pPr>
        <w:rPr>
          <w:lang w:val="cs-CZ"/>
        </w:rPr>
      </w:pPr>
      <w:r w:rsidRPr="00725AF7">
        <w:rPr>
          <w:b/>
          <w:bCs/>
          <w:lang w:val="cs-CZ"/>
        </w:rPr>
        <w:t xml:space="preserve">Obrat </w:t>
      </w:r>
      <w:r w:rsidRPr="00725AF7">
        <w:rPr>
          <w:lang w:val="cs-CZ"/>
        </w:rPr>
        <w:t xml:space="preserve">obchodní divize </w:t>
      </w:r>
      <w:proofErr w:type="spellStart"/>
      <w:r w:rsidRPr="00725AF7">
        <w:rPr>
          <w:b/>
          <w:bCs/>
          <w:lang w:val="cs-CZ"/>
        </w:rPr>
        <w:t>Beauty</w:t>
      </w:r>
      <w:proofErr w:type="spellEnd"/>
      <w:r w:rsidRPr="00725AF7">
        <w:rPr>
          <w:b/>
          <w:bCs/>
          <w:lang w:val="cs-CZ"/>
        </w:rPr>
        <w:t xml:space="preserve"> Care</w:t>
      </w:r>
      <w:r w:rsidRPr="00725AF7">
        <w:rPr>
          <w:lang w:val="cs-CZ"/>
        </w:rPr>
        <w:t xml:space="preserve"> se za prvních šest měsíců roku 2022 </w:t>
      </w:r>
      <w:r w:rsidRPr="00725AF7">
        <w:rPr>
          <w:b/>
          <w:bCs/>
          <w:lang w:val="cs-CZ"/>
        </w:rPr>
        <w:t xml:space="preserve">organicky </w:t>
      </w:r>
      <w:r w:rsidRPr="00725AF7">
        <w:rPr>
          <w:lang w:val="cs-CZ"/>
        </w:rPr>
        <w:t xml:space="preserve">zvýšil o 0,4 % (2. čtvrtletí: +2,1 %). Nominálně se zvýšil o 0,2 % a dosáhl 1 842 milionů eur (2. čtvrtletí: 950 milionů eur, +3,9 %). K uvedenému růstu přispěly zejména dobré výsledky v segmentu profesionální vlasové kosmetiky, který si dokázal zachovat silnou výkonnost z předchozího roku. Na druhé straně segment spotřebního zboží zaostal za úrovní z předchozího roku, a to zejména v důsledku implementace opatření ke zlepšení portfolia avizovaných pro rok 2022. </w:t>
      </w:r>
      <w:r w:rsidRPr="00725AF7">
        <w:rPr>
          <w:b/>
          <w:bCs/>
          <w:lang w:val="cs-CZ"/>
        </w:rPr>
        <w:t xml:space="preserve">Upravený provozní zisk </w:t>
      </w:r>
      <w:r w:rsidRPr="00725AF7">
        <w:rPr>
          <w:lang w:val="cs-CZ"/>
        </w:rPr>
        <w:t xml:space="preserve">dosáhl 169 milionů eur ve srovnání se 183 miliony eur v prvním pololetí roku 2021. </w:t>
      </w:r>
      <w:r w:rsidRPr="00725AF7">
        <w:rPr>
          <w:b/>
          <w:bCs/>
          <w:lang w:val="cs-CZ"/>
        </w:rPr>
        <w:t xml:space="preserve">Upravená výnosnost prodeje </w:t>
      </w:r>
      <w:r w:rsidRPr="00725AF7">
        <w:rPr>
          <w:lang w:val="cs-CZ"/>
        </w:rPr>
        <w:t>v důsledku vyšších cen přímých materiálových vstupů meziročně klesla o 0,8 procentního bodu na 9,2 %.</w:t>
      </w:r>
      <w:bookmarkEnd w:id="2"/>
    </w:p>
    <w:p w14:paraId="464F3B16" w14:textId="77777777" w:rsidR="008E3965" w:rsidRPr="00725AF7" w:rsidRDefault="008E3965" w:rsidP="008E3965">
      <w:pPr>
        <w:rPr>
          <w:lang w:val="cs-CZ"/>
        </w:rPr>
      </w:pPr>
    </w:p>
    <w:p w14:paraId="689AA41D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Obchodní divize </w:t>
      </w:r>
      <w:proofErr w:type="spellStart"/>
      <w:r w:rsidRPr="00725AF7">
        <w:rPr>
          <w:b/>
          <w:bCs/>
          <w:lang w:val="cs-CZ"/>
        </w:rPr>
        <w:t>Laundry</w:t>
      </w:r>
      <w:proofErr w:type="spellEnd"/>
      <w:r w:rsidRPr="00725AF7">
        <w:rPr>
          <w:b/>
          <w:bCs/>
          <w:lang w:val="cs-CZ"/>
        </w:rPr>
        <w:t xml:space="preserve"> &amp; </w:t>
      </w:r>
      <w:proofErr w:type="spellStart"/>
      <w:r w:rsidRPr="00725AF7">
        <w:rPr>
          <w:b/>
          <w:bCs/>
          <w:lang w:val="cs-CZ"/>
        </w:rPr>
        <w:t>Home</w:t>
      </w:r>
      <w:proofErr w:type="spellEnd"/>
      <w:r w:rsidRPr="00725AF7">
        <w:rPr>
          <w:b/>
          <w:bCs/>
          <w:lang w:val="cs-CZ"/>
        </w:rPr>
        <w:t xml:space="preserve"> Care</w:t>
      </w:r>
      <w:r w:rsidRPr="00725AF7">
        <w:rPr>
          <w:lang w:val="cs-CZ"/>
        </w:rPr>
        <w:t xml:space="preserve"> dosáhla v prvním pololetí roku 2022 výrazného </w:t>
      </w:r>
      <w:r w:rsidRPr="00725AF7">
        <w:rPr>
          <w:b/>
          <w:bCs/>
          <w:lang w:val="cs-CZ"/>
        </w:rPr>
        <w:t>organického růstu obratu</w:t>
      </w:r>
      <w:r w:rsidRPr="00725AF7">
        <w:rPr>
          <w:lang w:val="cs-CZ"/>
        </w:rPr>
        <w:t xml:space="preserve"> na úrovni 7,4 % (2. čtvrtletí: +3,6 %).  Tento růst byl tažen </w:t>
      </w:r>
      <w:r w:rsidRPr="00725AF7">
        <w:rPr>
          <w:lang w:val="cs-CZ"/>
        </w:rPr>
        <w:lastRenderedPageBreak/>
        <w:t xml:space="preserve">především dvouciferným nárůstem obratu v segmentu pracích prostředků. Nominálně se obrat zvýšil o 6,7 % na 3 494 milionů eur (2. čtvrtletí: 1 802 milionů eur; +11,3 %). </w:t>
      </w:r>
      <w:r w:rsidRPr="00725AF7">
        <w:rPr>
          <w:b/>
          <w:bCs/>
          <w:lang w:val="cs-CZ"/>
        </w:rPr>
        <w:t xml:space="preserve">Upravený provozní zisk </w:t>
      </w:r>
      <w:r w:rsidRPr="00725AF7">
        <w:rPr>
          <w:lang w:val="cs-CZ"/>
        </w:rPr>
        <w:t xml:space="preserve">činil 313 milionů eur ve srovnání s 490 miliony eur ve stejném čtvrtletí předchozího roku. Zejména v důsledku výrazného nárůstu cen přímých materiálových vstupů se </w:t>
      </w:r>
      <w:r w:rsidRPr="00725AF7">
        <w:rPr>
          <w:b/>
          <w:bCs/>
          <w:lang w:val="cs-CZ"/>
        </w:rPr>
        <w:t>upravená výnosnost prodeje</w:t>
      </w:r>
      <w:r w:rsidRPr="00725AF7">
        <w:rPr>
          <w:lang w:val="cs-CZ"/>
        </w:rPr>
        <w:t xml:space="preserve"> nedostala na úroveň první poloviny roku 2021 a činila 9,0 %.</w:t>
      </w:r>
    </w:p>
    <w:p w14:paraId="0F96E6AC" w14:textId="77777777" w:rsidR="008E3965" w:rsidRPr="00725AF7" w:rsidRDefault="008E3965" w:rsidP="008E3965">
      <w:pPr>
        <w:spacing w:after="120"/>
        <w:rPr>
          <w:b/>
          <w:bCs/>
          <w:lang w:val="cs-CZ"/>
        </w:rPr>
      </w:pPr>
    </w:p>
    <w:p w14:paraId="2B1C0ACF" w14:textId="77777777" w:rsidR="008E3965" w:rsidRPr="00725AF7" w:rsidRDefault="008E3965" w:rsidP="008E3965">
      <w:pPr>
        <w:spacing w:after="120"/>
        <w:rPr>
          <w:b/>
          <w:bCs/>
          <w:lang w:val="cs-CZ"/>
        </w:rPr>
      </w:pPr>
      <w:r w:rsidRPr="00725AF7">
        <w:rPr>
          <w:b/>
          <w:bCs/>
          <w:lang w:val="cs-CZ"/>
        </w:rPr>
        <w:t>Agenda smysluplného růstu: dobrý pokrok v implementaci</w:t>
      </w:r>
    </w:p>
    <w:p w14:paraId="6DD7751F" w14:textId="77777777" w:rsidR="008E3965" w:rsidRPr="00725AF7" w:rsidRDefault="008E3965" w:rsidP="008E3965">
      <w:pPr>
        <w:rPr>
          <w:lang w:val="cs-CZ"/>
        </w:rPr>
      </w:pPr>
      <w:bookmarkStart w:id="3" w:name="_Hlk109204398"/>
      <w:r w:rsidRPr="00725AF7">
        <w:rPr>
          <w:lang w:val="cs-CZ"/>
        </w:rPr>
        <w:t xml:space="preserve">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sleduje smysluplnou agendu růstu, pro jejíž realizaci vyvinula jasný strategický rámec. Klíčovými prvky tohoto strategického rámce jsou úspěšné portfolio, jasná konkurenční výhoda v oblasti inovací, udržitelnosti a digitalizace, jakož i provozní modely, které obstojí i v budoucnu a které se pevně opírají o silnou firemní kulturu. </w:t>
      </w:r>
    </w:p>
    <w:p w14:paraId="7DB522DD" w14:textId="77777777" w:rsidR="008E3965" w:rsidRPr="00725AF7" w:rsidRDefault="008E3965" w:rsidP="008E3965">
      <w:pPr>
        <w:rPr>
          <w:lang w:val="cs-CZ"/>
        </w:rPr>
      </w:pPr>
    </w:p>
    <w:p w14:paraId="29077B30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V první polovině roku 2022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pokračovala v realizaci své agendy a dosáhla významného pokroku ve všech svých klíčových oblastech. Sloučením divizí </w:t>
      </w:r>
      <w:proofErr w:type="spellStart"/>
      <w:r w:rsidRPr="00725AF7">
        <w:rPr>
          <w:lang w:val="cs-CZ"/>
        </w:rPr>
        <w:t>Laundry</w:t>
      </w:r>
      <w:proofErr w:type="spellEnd"/>
      <w:r w:rsidRPr="00725AF7">
        <w:rPr>
          <w:lang w:val="cs-CZ"/>
        </w:rPr>
        <w:t xml:space="preserve"> &amp; </w:t>
      </w:r>
      <w:proofErr w:type="spellStart"/>
      <w:r w:rsidRPr="00725AF7">
        <w:rPr>
          <w:lang w:val="cs-CZ"/>
        </w:rPr>
        <w:t>Home</w:t>
      </w:r>
      <w:proofErr w:type="spellEnd"/>
      <w:r w:rsidRPr="00725AF7">
        <w:rPr>
          <w:lang w:val="cs-CZ"/>
        </w:rPr>
        <w:t xml:space="preserve"> Care a </w:t>
      </w:r>
      <w:proofErr w:type="spellStart"/>
      <w:r w:rsidRPr="00725AF7">
        <w:rPr>
          <w:lang w:val="cs-CZ"/>
        </w:rPr>
        <w:t>Beauty</w:t>
      </w:r>
      <w:proofErr w:type="spellEnd"/>
      <w:r w:rsidRPr="00725AF7">
        <w:rPr>
          <w:lang w:val="cs-CZ"/>
        </w:rPr>
        <w:t xml:space="preserve"> Care do nové obchodní divize </w:t>
      </w:r>
      <w:proofErr w:type="spellStart"/>
      <w:r w:rsidRPr="00725AF7">
        <w:rPr>
          <w:b/>
          <w:bCs/>
          <w:lang w:val="cs-CZ"/>
        </w:rPr>
        <w:t>Henkel</w:t>
      </w:r>
      <w:proofErr w:type="spellEnd"/>
      <w:r w:rsidRPr="00725AF7">
        <w:rPr>
          <w:b/>
          <w:bCs/>
          <w:lang w:val="cs-CZ"/>
        </w:rPr>
        <w:t xml:space="preserve"> </w:t>
      </w:r>
      <w:proofErr w:type="spellStart"/>
      <w:r w:rsidRPr="00725AF7">
        <w:rPr>
          <w:b/>
          <w:bCs/>
          <w:lang w:val="cs-CZ"/>
        </w:rPr>
        <w:t>Consumer</w:t>
      </w:r>
      <w:proofErr w:type="spellEnd"/>
      <w:r w:rsidRPr="00725AF7">
        <w:rPr>
          <w:b/>
          <w:bCs/>
          <w:lang w:val="cs-CZ"/>
        </w:rPr>
        <w:t xml:space="preserve"> </w:t>
      </w:r>
      <w:proofErr w:type="spellStart"/>
      <w:r w:rsidRPr="00725AF7">
        <w:rPr>
          <w:b/>
          <w:bCs/>
          <w:lang w:val="cs-CZ"/>
        </w:rPr>
        <w:t>Brands</w:t>
      </w:r>
      <w:proofErr w:type="spellEnd"/>
      <w:r w:rsidRPr="00725AF7">
        <w:rPr>
          <w:lang w:val="cs-CZ"/>
        </w:rPr>
        <w:t xml:space="preserve"> posunula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svou agendu smysluplného růstu na novou úroveň. Struktura nové obchodní divize se skládá ze dvou globálních segmentů – čisticích prostředků pro domácnost a vlasy, a produktů péče o vlasy podporujících globální funkce – a čtyř regionů. Ostatní segmenty budou řízeny na regionální úrovni. První čtyři úrovně řízení jsou již definovány. Na největším trhu společnosti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>, v USA, by nové organizační uspořádání mělo být plně funkční do září.</w:t>
      </w:r>
      <w:bookmarkEnd w:id="3"/>
    </w:p>
    <w:p w14:paraId="1F0DA081" w14:textId="77777777" w:rsidR="008E3965" w:rsidRPr="00725AF7" w:rsidRDefault="008E3965" w:rsidP="008E3965">
      <w:pPr>
        <w:rPr>
          <w:lang w:val="cs-CZ"/>
        </w:rPr>
      </w:pPr>
    </w:p>
    <w:p w14:paraId="68D333F3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V rámci fúze těchto dvou spotřebitelských segmentů a jako součást </w:t>
      </w:r>
      <w:r w:rsidRPr="00725AF7">
        <w:rPr>
          <w:b/>
          <w:bCs/>
          <w:lang w:val="cs-CZ"/>
        </w:rPr>
        <w:t xml:space="preserve">aktivního řízení portfolia </w:t>
      </w:r>
      <w:r w:rsidRPr="00725AF7">
        <w:rPr>
          <w:lang w:val="cs-CZ"/>
        </w:rPr>
        <w:t xml:space="preserve">jsou nyní přezkoumávány obchodní aktivity a značky, jejichž celkový obrat dosahuje až 1 miliardy eur. Tento postup zahrnuje také prodej nebo zrušení obchodních aktivit, které nesplňují kritéria společnosti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pro růst a ziskovost. V první polovině roku 2022 již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učinila významný pokrok v odchodu z některých segmentů spadajících do divize </w:t>
      </w:r>
      <w:proofErr w:type="spellStart"/>
      <w:r w:rsidRPr="00725AF7">
        <w:rPr>
          <w:lang w:val="cs-CZ"/>
        </w:rPr>
        <w:t>Beauty</w:t>
      </w:r>
      <w:proofErr w:type="spellEnd"/>
      <w:r w:rsidRPr="00725AF7">
        <w:rPr>
          <w:lang w:val="cs-CZ"/>
        </w:rPr>
        <w:t xml:space="preserve"> Care, které nepovažuje za klíčové. Jedná se o součást portfoliových opatření s objemem obratu kolem 200 milionů eur, která by měla být provedena do konce roku.</w:t>
      </w:r>
    </w:p>
    <w:p w14:paraId="097CEF3C" w14:textId="77777777" w:rsidR="008E3965" w:rsidRPr="00725AF7" w:rsidRDefault="008E3965" w:rsidP="008E3965">
      <w:pPr>
        <w:rPr>
          <w:lang w:val="cs-CZ"/>
        </w:rPr>
      </w:pPr>
      <w:bookmarkStart w:id="4" w:name="_Hlk109204760"/>
    </w:p>
    <w:p w14:paraId="18F2913D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dále posílila své portfolio prostřednictvím </w:t>
      </w:r>
      <w:r w:rsidRPr="00725AF7">
        <w:rPr>
          <w:b/>
          <w:bCs/>
          <w:lang w:val="cs-CZ"/>
        </w:rPr>
        <w:t>akvizic.</w:t>
      </w:r>
      <w:r w:rsidRPr="00725AF7">
        <w:rPr>
          <w:lang w:val="cs-CZ"/>
        </w:rPr>
        <w:t xml:space="preserve"> V červenci 2022 dokončila akvizici společnosti </w:t>
      </w:r>
      <w:proofErr w:type="spellStart"/>
      <w:r w:rsidRPr="00725AF7">
        <w:rPr>
          <w:lang w:val="cs-CZ"/>
        </w:rPr>
        <w:t>Shiseido's</w:t>
      </w:r>
      <w:proofErr w:type="spellEnd"/>
      <w:r w:rsidRPr="00725AF7">
        <w:rPr>
          <w:lang w:val="cs-CZ"/>
        </w:rPr>
        <w:t xml:space="preserve"> </w:t>
      </w:r>
      <w:proofErr w:type="spellStart"/>
      <w:r w:rsidRPr="00725AF7">
        <w:rPr>
          <w:lang w:val="cs-CZ"/>
        </w:rPr>
        <w:t>Hair</w:t>
      </w:r>
      <w:proofErr w:type="spellEnd"/>
      <w:r w:rsidRPr="00725AF7">
        <w:rPr>
          <w:lang w:val="cs-CZ"/>
        </w:rPr>
        <w:t xml:space="preserve"> Professional v asijsko-pacifickém regionu a obsadila 2. místo v globálním segmentu profesionální vlasové kosmetiky. </w:t>
      </w:r>
      <w:bookmarkEnd w:id="4"/>
    </w:p>
    <w:p w14:paraId="2CBA8CBB" w14:textId="77777777" w:rsidR="008E3965" w:rsidRPr="00725AF7" w:rsidRDefault="008E3965" w:rsidP="008E3965">
      <w:pPr>
        <w:rPr>
          <w:lang w:val="cs-CZ"/>
        </w:rPr>
      </w:pPr>
    </w:p>
    <w:p w14:paraId="0BB5A4EC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Aby posílila svou </w:t>
      </w:r>
      <w:r w:rsidRPr="00725AF7">
        <w:rPr>
          <w:b/>
          <w:bCs/>
          <w:lang w:val="cs-CZ"/>
        </w:rPr>
        <w:t>konkurenceschopnost</w:t>
      </w:r>
      <w:r w:rsidRPr="00725AF7">
        <w:rPr>
          <w:lang w:val="cs-CZ"/>
        </w:rPr>
        <w:t xml:space="preserve"> a odlišila se od konkurence, zaměřila se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také na další urychlení </w:t>
      </w:r>
      <w:r w:rsidRPr="00725AF7">
        <w:rPr>
          <w:b/>
          <w:bCs/>
          <w:lang w:val="cs-CZ"/>
        </w:rPr>
        <w:t>inovací</w:t>
      </w:r>
      <w:r w:rsidRPr="00725AF7">
        <w:rPr>
          <w:lang w:val="cs-CZ"/>
        </w:rPr>
        <w:t xml:space="preserve">, podporu </w:t>
      </w:r>
      <w:r w:rsidRPr="00725AF7">
        <w:rPr>
          <w:b/>
          <w:bCs/>
          <w:lang w:val="cs-CZ"/>
        </w:rPr>
        <w:t>udržitelnosti</w:t>
      </w:r>
      <w:r w:rsidRPr="00725AF7">
        <w:rPr>
          <w:lang w:val="cs-CZ"/>
        </w:rPr>
        <w:t xml:space="preserve"> a vytváření větší přidané hodnoty pro své zákazníky a spotřebitele prostřednictvím </w:t>
      </w:r>
      <w:r w:rsidRPr="00725AF7">
        <w:rPr>
          <w:b/>
          <w:bCs/>
          <w:lang w:val="cs-CZ"/>
        </w:rPr>
        <w:t>digitalizace</w:t>
      </w:r>
      <w:r w:rsidRPr="00725AF7">
        <w:rPr>
          <w:lang w:val="cs-CZ"/>
        </w:rPr>
        <w:t>.</w:t>
      </w:r>
    </w:p>
    <w:p w14:paraId="5284B40C" w14:textId="77777777" w:rsidR="008E3965" w:rsidRPr="00725AF7" w:rsidRDefault="008E3965" w:rsidP="008E3965">
      <w:pPr>
        <w:rPr>
          <w:lang w:val="cs-CZ"/>
        </w:rPr>
      </w:pPr>
    </w:p>
    <w:p w14:paraId="47FC00AF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lastRenderedPageBreak/>
        <w:t xml:space="preserve">Klíčovým pilířem strategie společnosti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je jasná diferenciace na trhu prostřednictvím úspěšných </w:t>
      </w:r>
      <w:r w:rsidRPr="00725AF7">
        <w:rPr>
          <w:b/>
          <w:bCs/>
          <w:lang w:val="cs-CZ"/>
        </w:rPr>
        <w:t>inovací</w:t>
      </w:r>
      <w:r w:rsidRPr="00725AF7">
        <w:rPr>
          <w:lang w:val="cs-CZ"/>
        </w:rPr>
        <w:t xml:space="preserve">. S jejich podporou bylo v první polovině roku dosaženo značného růstu. </w:t>
      </w:r>
      <w:bookmarkStart w:id="5" w:name="_Hlk109382178"/>
      <w:r w:rsidRPr="00725AF7">
        <w:rPr>
          <w:lang w:val="cs-CZ"/>
        </w:rPr>
        <w:t xml:space="preserve">Například v rámci divize </w:t>
      </w:r>
      <w:proofErr w:type="spellStart"/>
      <w:r w:rsidRPr="00725AF7">
        <w:rPr>
          <w:lang w:val="cs-CZ"/>
        </w:rPr>
        <w:t>Adhesive</w:t>
      </w:r>
      <w:proofErr w:type="spellEnd"/>
      <w:r w:rsidRPr="00725AF7">
        <w:rPr>
          <w:lang w:val="cs-CZ"/>
        </w:rPr>
        <w:t xml:space="preserve"> Technologies vyvinula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nové ohnivzdorné povlaky pro baterie elektrických vozidel. Nové nátěry nejen zvyšují bezpečnost cestujících, ale také umožňují zákazníkům z automobilového průmyslu zvýšit nákladovou efektivitu jejich výroby. V segmentu vlasové kosmetiky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znovu uvedla na trh značku </w:t>
      </w:r>
      <w:proofErr w:type="spellStart"/>
      <w:r w:rsidRPr="00725AF7">
        <w:rPr>
          <w:lang w:val="cs-CZ"/>
        </w:rPr>
        <w:t>Schauma</w:t>
      </w:r>
      <w:proofErr w:type="spellEnd"/>
      <w:r w:rsidRPr="00725AF7">
        <w:rPr>
          <w:lang w:val="cs-CZ"/>
        </w:rPr>
        <w:t xml:space="preserve"> s novým udržitelným designem obalů obsahujících 50 až 100 % recyklovaných plastů. Divize </w:t>
      </w:r>
      <w:proofErr w:type="spellStart"/>
      <w:r w:rsidRPr="00725AF7">
        <w:rPr>
          <w:lang w:val="cs-CZ"/>
        </w:rPr>
        <w:t>Laundry</w:t>
      </w:r>
      <w:proofErr w:type="spellEnd"/>
      <w:r w:rsidRPr="00725AF7">
        <w:rPr>
          <w:lang w:val="cs-CZ"/>
        </w:rPr>
        <w:t xml:space="preserve"> &amp; </w:t>
      </w:r>
      <w:proofErr w:type="spellStart"/>
      <w:r w:rsidRPr="00725AF7">
        <w:rPr>
          <w:lang w:val="cs-CZ"/>
        </w:rPr>
        <w:t>Home</w:t>
      </w:r>
      <w:proofErr w:type="spellEnd"/>
      <w:r w:rsidRPr="00725AF7">
        <w:rPr>
          <w:lang w:val="cs-CZ"/>
        </w:rPr>
        <w:t xml:space="preserve"> Care dosáhla dvouciferného růstu a získala další podíly na trhu pro značku </w:t>
      </w:r>
      <w:proofErr w:type="spellStart"/>
      <w:r w:rsidRPr="00725AF7">
        <w:rPr>
          <w:lang w:val="cs-CZ"/>
        </w:rPr>
        <w:t>Persil</w:t>
      </w:r>
      <w:proofErr w:type="spellEnd"/>
      <w:r w:rsidRPr="00725AF7">
        <w:rPr>
          <w:lang w:val="cs-CZ"/>
        </w:rPr>
        <w:t xml:space="preserve"> podporou rozšíření řady udržitelných produktů připravených k prodeji prostřednictvím digitálních kanálů.</w:t>
      </w:r>
      <w:bookmarkEnd w:id="5"/>
    </w:p>
    <w:p w14:paraId="29B308A0" w14:textId="77777777" w:rsidR="008E3965" w:rsidRPr="00725AF7" w:rsidRDefault="008E3965" w:rsidP="008E3965">
      <w:pPr>
        <w:rPr>
          <w:b/>
          <w:bCs/>
          <w:lang w:val="cs-CZ"/>
        </w:rPr>
      </w:pPr>
    </w:p>
    <w:p w14:paraId="545EADCD" w14:textId="77777777" w:rsidR="008E3965" w:rsidRPr="00725AF7" w:rsidRDefault="008E3965" w:rsidP="008E3965">
      <w:pPr>
        <w:rPr>
          <w:lang w:val="cs-CZ"/>
        </w:rPr>
      </w:pPr>
      <w:r w:rsidRPr="00725AF7">
        <w:rPr>
          <w:b/>
          <w:bCs/>
          <w:lang w:val="cs-CZ"/>
        </w:rPr>
        <w:t>Udržitelnost</w:t>
      </w:r>
      <w:r w:rsidRPr="00725AF7">
        <w:rPr>
          <w:lang w:val="cs-CZ"/>
        </w:rPr>
        <w:t xml:space="preserve"> je již dlouho jednou ze silných stránek společnosti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. V reakci na rostoucí význam udržitelného řízení a rostoucí očekávání zákazníků a veřejnosti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posílila svou dlouhodobou strategii udržitelnosti zavedením nového rámce nazvaného „2030+ </w:t>
      </w:r>
      <w:proofErr w:type="spellStart"/>
      <w:r w:rsidRPr="00725AF7">
        <w:rPr>
          <w:lang w:val="cs-CZ"/>
        </w:rPr>
        <w:t>Sustainability</w:t>
      </w:r>
      <w:proofErr w:type="spellEnd"/>
      <w:r w:rsidRPr="00725AF7">
        <w:rPr>
          <w:lang w:val="cs-CZ"/>
        </w:rPr>
        <w:t xml:space="preserve"> </w:t>
      </w:r>
      <w:proofErr w:type="spellStart"/>
      <w:r w:rsidRPr="00725AF7">
        <w:rPr>
          <w:lang w:val="cs-CZ"/>
        </w:rPr>
        <w:t>Ambition</w:t>
      </w:r>
      <w:proofErr w:type="spellEnd"/>
      <w:r w:rsidRPr="00725AF7">
        <w:rPr>
          <w:lang w:val="cs-CZ"/>
        </w:rPr>
        <w:t xml:space="preserve"> Framework“ na začátku tohoto roku. Aby doplnila své stávající cíle, stanovila si nové dlouhodobé ambiciózní cíle, jež mají přispět k dalšímu pokroku ve třech oblastech: „Regenerující planeta“, „Prosperující komunity“ a „Důvěryhodný partner“.</w:t>
      </w:r>
    </w:p>
    <w:p w14:paraId="4F3E7CD8" w14:textId="77777777" w:rsidR="008E3965" w:rsidRPr="00725AF7" w:rsidRDefault="008E3965" w:rsidP="008E3965">
      <w:pPr>
        <w:rPr>
          <w:shd w:val="clear" w:color="auto" w:fill="FFFFFF"/>
          <w:lang w:val="cs-CZ"/>
        </w:rPr>
      </w:pPr>
    </w:p>
    <w:p w14:paraId="2B484F79" w14:textId="77777777" w:rsidR="008E3965" w:rsidRPr="00725AF7" w:rsidRDefault="008E3965" w:rsidP="008E3965">
      <w:pPr>
        <w:rPr>
          <w:lang w:val="cs-CZ"/>
        </w:rPr>
      </w:pPr>
      <w:bookmarkStart w:id="6" w:name="_Hlk109206660"/>
      <w:r w:rsidRPr="00725AF7">
        <w:rPr>
          <w:lang w:val="cs-CZ"/>
        </w:rPr>
        <w:t xml:space="preserve">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dosáhla dalšího pokroku v oblasti udržitelnosti v první polovině roku 2022. Například tři další evropské provozovny přešly na využívání 100 % uhlíkově neutrální energie, aby splnily klimaticky pozitivní bilanci CO2 ve výrobních zařízeních do roku 2030. Kromě toho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neustále a konzistentně zvyšuje využívání obnovitelných surovin. Díky partnerství se společností BASF bylo přibližně 110 000 tun fosilních materiálů nahrazeno obnovitelnými materiály.</w:t>
      </w:r>
    </w:p>
    <w:bookmarkEnd w:id="6"/>
    <w:p w14:paraId="101DA91B" w14:textId="77777777" w:rsidR="008E3965" w:rsidRPr="00725AF7" w:rsidRDefault="008E3965" w:rsidP="008E3965">
      <w:pPr>
        <w:rPr>
          <w:lang w:val="cs-CZ"/>
        </w:rPr>
      </w:pPr>
    </w:p>
    <w:p w14:paraId="5CED239C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Vedle inovací a udržitelnosti je </w:t>
      </w:r>
      <w:r w:rsidRPr="00725AF7">
        <w:rPr>
          <w:b/>
          <w:bCs/>
          <w:lang w:val="cs-CZ"/>
        </w:rPr>
        <w:t>digitalizace</w:t>
      </w:r>
      <w:r w:rsidRPr="00725AF7">
        <w:rPr>
          <w:lang w:val="cs-CZ"/>
        </w:rPr>
        <w:t xml:space="preserve"> dalším klíčovým faktorem pro zvýšení konkurenceschopnosti společnosti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. Podíl obratu generovaného prostřednictvím digitálních kanálů zaznamenal v první polovině roku dvouciferný růst a dosáhl více než 20 %. Digitální obchodní platforma divize </w:t>
      </w:r>
      <w:proofErr w:type="spellStart"/>
      <w:r w:rsidRPr="00725AF7">
        <w:rPr>
          <w:lang w:val="cs-CZ"/>
        </w:rPr>
        <w:t>Adhesive</w:t>
      </w:r>
      <w:proofErr w:type="spellEnd"/>
      <w:r w:rsidRPr="00725AF7">
        <w:rPr>
          <w:lang w:val="cs-CZ"/>
        </w:rPr>
        <w:t xml:space="preserve"> Technologies dosáhla v první polovině roku dvouciferného růstu. Díky rozšířené nabídce značek a produktů zaznamenal dvouciferný růst také e-shop s profesionální vlasovou kosmetikou. Kromě toho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dále rozšiřuje svůj digitální sortiment v segmentu pracích prostředků pro domácnost, ke kterému přispívá nová integrovaná technická platforma RAQN.</w:t>
      </w:r>
    </w:p>
    <w:p w14:paraId="107BF75C" w14:textId="77777777" w:rsidR="008E3965" w:rsidRPr="00725AF7" w:rsidRDefault="008E3965" w:rsidP="008E3965">
      <w:pPr>
        <w:rPr>
          <w:lang w:val="cs-CZ"/>
        </w:rPr>
      </w:pPr>
    </w:p>
    <w:p w14:paraId="7ECD362C" w14:textId="77777777" w:rsidR="008E3965" w:rsidRPr="00725AF7" w:rsidRDefault="008E3965" w:rsidP="008E3965">
      <w:pPr>
        <w:rPr>
          <w:lang w:val="cs-CZ"/>
        </w:rPr>
      </w:pPr>
      <w:bookmarkStart w:id="7" w:name="_Hlk109386180"/>
      <w:r w:rsidRPr="00725AF7">
        <w:rPr>
          <w:lang w:val="cs-CZ"/>
        </w:rPr>
        <w:t xml:space="preserve">Důležitými prvky strategického rámce společnosti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jsou štíhlé, rychlé </w:t>
      </w:r>
      <w:r w:rsidRPr="00725AF7">
        <w:rPr>
          <w:b/>
          <w:bCs/>
          <w:lang w:val="cs-CZ"/>
        </w:rPr>
        <w:t>provozní modely připravené na budoucnost</w:t>
      </w:r>
      <w:r w:rsidRPr="00725AF7">
        <w:rPr>
          <w:lang w:val="cs-CZ"/>
        </w:rPr>
        <w:t xml:space="preserve">.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pokračuje ve změnách, které uvedla na trh v roce 2020: digitální divize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</w:t>
      </w:r>
      <w:proofErr w:type="spellStart"/>
      <w:r w:rsidRPr="00725AF7">
        <w:rPr>
          <w:lang w:val="cs-CZ"/>
        </w:rPr>
        <w:t>dx</w:t>
      </w:r>
      <w:proofErr w:type="spellEnd"/>
      <w:r w:rsidRPr="00725AF7">
        <w:rPr>
          <w:lang w:val="cs-CZ"/>
        </w:rPr>
        <w:t xml:space="preserve"> má vysoce efektivní struktury, které umožňují zvýšit investice do IT projektů za stabilní náklady. </w:t>
      </w:r>
    </w:p>
    <w:bookmarkEnd w:id="7"/>
    <w:p w14:paraId="21A42734" w14:textId="77777777" w:rsidR="008E3965" w:rsidRPr="00725AF7" w:rsidRDefault="008E3965" w:rsidP="008E3965">
      <w:pPr>
        <w:rPr>
          <w:lang w:val="cs-CZ"/>
        </w:rPr>
      </w:pPr>
    </w:p>
    <w:p w14:paraId="3180BB0D" w14:textId="77777777" w:rsidR="008E3965" w:rsidRPr="00725AF7" w:rsidRDefault="008E3965" w:rsidP="008E3965">
      <w:pPr>
        <w:rPr>
          <w:lang w:val="cs-CZ"/>
        </w:rPr>
      </w:pPr>
      <w:bookmarkStart w:id="8" w:name="_Hlk109386825"/>
      <w:r w:rsidRPr="00725AF7">
        <w:rPr>
          <w:shd w:val="clear" w:color="auto" w:fill="FFFFFF"/>
          <w:lang w:val="cs-CZ"/>
        </w:rPr>
        <w:t xml:space="preserve">Rozvoj firemní kultury společnosti </w:t>
      </w:r>
      <w:proofErr w:type="spellStart"/>
      <w:r w:rsidRPr="00725AF7">
        <w:rPr>
          <w:shd w:val="clear" w:color="auto" w:fill="FFFFFF"/>
          <w:lang w:val="cs-CZ"/>
        </w:rPr>
        <w:t>Henkel</w:t>
      </w:r>
      <w:proofErr w:type="spellEnd"/>
      <w:r w:rsidRPr="00725AF7">
        <w:rPr>
          <w:shd w:val="clear" w:color="auto" w:fill="FFFFFF"/>
          <w:lang w:val="cs-CZ"/>
        </w:rPr>
        <w:t xml:space="preserve"> a urychlení </w:t>
      </w:r>
      <w:r w:rsidRPr="00725AF7">
        <w:rPr>
          <w:b/>
          <w:bCs/>
          <w:shd w:val="clear" w:color="auto" w:fill="FFFFFF"/>
          <w:lang w:val="cs-CZ"/>
        </w:rPr>
        <w:t>kulturní transformace</w:t>
      </w:r>
      <w:r w:rsidRPr="00725AF7">
        <w:rPr>
          <w:shd w:val="clear" w:color="auto" w:fill="FFFFFF"/>
          <w:lang w:val="cs-CZ"/>
        </w:rPr>
        <w:t xml:space="preserve"> jsou dalšími klíčovými prvky agendy smysluplného růstu. Společnost usiluje o posílení kultury spolupráce.</w:t>
      </w:r>
      <w:r>
        <w:rPr>
          <w:shd w:val="clear" w:color="auto" w:fill="FFFFFF"/>
          <w:lang w:val="cs-CZ"/>
        </w:rPr>
        <w:t xml:space="preserve"> </w:t>
      </w:r>
      <w:r w:rsidRPr="00725AF7">
        <w:rPr>
          <w:shd w:val="clear" w:color="auto" w:fill="FFFFFF"/>
          <w:lang w:val="cs-CZ"/>
        </w:rPr>
        <w:t xml:space="preserve">V první polovině roku pokračovala v zavádění kompletního souboru opatření k dosažení tohoto cíle a posílení postavení zaměstnanců. </w:t>
      </w:r>
    </w:p>
    <w:p w14:paraId="3294AE4D" w14:textId="77777777" w:rsidR="008E3965" w:rsidRPr="00725AF7" w:rsidRDefault="008E3965" w:rsidP="008E3965">
      <w:pPr>
        <w:rPr>
          <w:lang w:val="cs-CZ"/>
        </w:rPr>
      </w:pPr>
    </w:p>
    <w:p w14:paraId="0CEF8BE1" w14:textId="77777777" w:rsidR="008E3965" w:rsidRPr="00725AF7" w:rsidRDefault="008E3965" w:rsidP="008E3965">
      <w:pPr>
        <w:rPr>
          <w:lang w:val="cs-CZ"/>
        </w:rPr>
      </w:pPr>
      <w:r w:rsidRPr="00725AF7">
        <w:rPr>
          <w:lang w:val="cs-CZ"/>
        </w:rPr>
        <w:t xml:space="preserve">Například v souvislosti se sloučením obchodních divizí </w:t>
      </w:r>
      <w:proofErr w:type="spellStart"/>
      <w:r w:rsidRPr="00725AF7">
        <w:rPr>
          <w:lang w:val="cs-CZ"/>
        </w:rPr>
        <w:t>Laundry</w:t>
      </w:r>
      <w:proofErr w:type="spellEnd"/>
      <w:r w:rsidRPr="00725AF7">
        <w:rPr>
          <w:lang w:val="cs-CZ"/>
        </w:rPr>
        <w:t xml:space="preserve"> &amp; </w:t>
      </w:r>
      <w:proofErr w:type="spellStart"/>
      <w:r w:rsidRPr="00725AF7">
        <w:rPr>
          <w:lang w:val="cs-CZ"/>
        </w:rPr>
        <w:t>Home</w:t>
      </w:r>
      <w:proofErr w:type="spellEnd"/>
      <w:r w:rsidRPr="00725AF7">
        <w:rPr>
          <w:lang w:val="cs-CZ"/>
        </w:rPr>
        <w:t xml:space="preserve"> Care a </w:t>
      </w:r>
      <w:proofErr w:type="spellStart"/>
      <w:r w:rsidRPr="00725AF7">
        <w:rPr>
          <w:lang w:val="cs-CZ"/>
        </w:rPr>
        <w:t>Beauty</w:t>
      </w:r>
      <w:proofErr w:type="spellEnd"/>
      <w:r w:rsidRPr="00725AF7">
        <w:rPr>
          <w:lang w:val="cs-CZ"/>
        </w:rPr>
        <w:t xml:space="preserve"> Care zavedla komplexní program řízení změn. Program se zaměřuje na zvyšování dovedností a transformaci týmů. S cílem dosáhnout rodové rovnosti na všech úrovních správy do roku 2025 přijala společnost </w:t>
      </w:r>
      <w:proofErr w:type="spellStart"/>
      <w:r w:rsidRPr="00725AF7">
        <w:rPr>
          <w:lang w:val="cs-CZ"/>
        </w:rPr>
        <w:t>Henkel</w:t>
      </w:r>
      <w:proofErr w:type="spellEnd"/>
      <w:r w:rsidRPr="00725AF7">
        <w:rPr>
          <w:lang w:val="cs-CZ"/>
        </w:rPr>
        <w:t xml:space="preserve"> další konkrétní opatření a zahájila iniciativy, jako je Týden rozmanitosti, rovnosti a inkluze. V souladu s konceptem „Smart </w:t>
      </w:r>
      <w:proofErr w:type="spellStart"/>
      <w:r w:rsidRPr="00725AF7">
        <w:rPr>
          <w:lang w:val="cs-CZ"/>
        </w:rPr>
        <w:t>Work</w:t>
      </w:r>
      <w:proofErr w:type="spellEnd"/>
      <w:r w:rsidRPr="00725AF7">
        <w:rPr>
          <w:lang w:val="cs-CZ"/>
        </w:rPr>
        <w:t>“ byly zavedeny nové iniciativy zaměřené na duševní zdraví a pohodu zaměstnanců.</w:t>
      </w:r>
      <w:bookmarkEnd w:id="8"/>
    </w:p>
    <w:p w14:paraId="5CD5EA4A" w14:textId="77777777" w:rsidR="008E3965" w:rsidRPr="00725AF7" w:rsidRDefault="008E3965" w:rsidP="008E3965">
      <w:pPr>
        <w:rPr>
          <w:shd w:val="clear" w:color="auto" w:fill="FFFF00"/>
          <w:lang w:val="cs-CZ"/>
        </w:rPr>
      </w:pPr>
    </w:p>
    <w:p w14:paraId="1589F187" w14:textId="77777777" w:rsidR="008E3965" w:rsidRPr="007A70D0" w:rsidRDefault="008E3965" w:rsidP="008E3965">
      <w:pPr>
        <w:rPr>
          <w:i/>
          <w:iCs/>
          <w:lang w:val="cs-CZ"/>
        </w:rPr>
      </w:pPr>
      <w:bookmarkStart w:id="9" w:name="_Hlk109211145"/>
      <w:r w:rsidRPr="00725AF7">
        <w:rPr>
          <w:lang w:val="cs-CZ"/>
        </w:rPr>
        <w:t xml:space="preserve"> </w:t>
      </w:r>
      <w:r w:rsidRPr="007A70D0">
        <w:rPr>
          <w:i/>
          <w:iCs/>
          <w:lang w:val="cs-CZ"/>
        </w:rPr>
        <w:t>„Navzdory následkům pandemie COVID i války na Ukrajině se nám v první polovině roku podařilo výrazně zvýšit náš organický i vykázaný obrat. Naše výsledky byly podle očekávání ovlivněny především drastickým nárůstem nákladů na vstupní suroviny a logistiku. Tento vývoj se odráží také v našem aktualizovaném výhledu na finanční rok 2022,“</w:t>
      </w:r>
      <w:r w:rsidRPr="00725AF7">
        <w:rPr>
          <w:lang w:val="cs-CZ"/>
        </w:rPr>
        <w:t xml:space="preserve"> řekl </w:t>
      </w:r>
      <w:proofErr w:type="spellStart"/>
      <w:r w:rsidRPr="00725AF7">
        <w:rPr>
          <w:lang w:val="cs-CZ"/>
        </w:rPr>
        <w:t>Carsten</w:t>
      </w:r>
      <w:proofErr w:type="spellEnd"/>
      <w:r w:rsidRPr="00725AF7">
        <w:rPr>
          <w:lang w:val="cs-CZ"/>
        </w:rPr>
        <w:t xml:space="preserve"> </w:t>
      </w:r>
      <w:proofErr w:type="spellStart"/>
      <w:r w:rsidRPr="00725AF7">
        <w:rPr>
          <w:lang w:val="cs-CZ"/>
        </w:rPr>
        <w:t>Knobel</w:t>
      </w:r>
      <w:proofErr w:type="spellEnd"/>
      <w:r w:rsidRPr="00725AF7">
        <w:rPr>
          <w:lang w:val="cs-CZ"/>
        </w:rPr>
        <w:t xml:space="preserve">. </w:t>
      </w:r>
      <w:r w:rsidRPr="007A70D0">
        <w:rPr>
          <w:i/>
          <w:iCs/>
          <w:lang w:val="cs-CZ"/>
        </w:rPr>
        <w:t>„Jsme hrdí na pokrok, kterého jsme dosáhli při realizaci naší strategické agendy pro smysluplný růst, ve které budeme pokračovat navzdory tomuto celkově náročnému tržnímu prostředí.“</w:t>
      </w:r>
      <w:bookmarkEnd w:id="9"/>
    </w:p>
    <w:p w14:paraId="72155D67" w14:textId="67433C52" w:rsidR="00BB090F" w:rsidRPr="00BB090F" w:rsidRDefault="00BB090F" w:rsidP="00BB090F">
      <w:pPr>
        <w:rPr>
          <w:rFonts w:cs="Segoe UI"/>
          <w:b/>
          <w:bCs/>
          <w:szCs w:val="22"/>
          <w:lang w:val="cs-CZ"/>
        </w:rPr>
      </w:pPr>
    </w:p>
    <w:p w14:paraId="38AD34F3" w14:textId="77777777" w:rsidR="00BB090F" w:rsidRPr="00BB090F" w:rsidRDefault="00BB090F" w:rsidP="00BB090F">
      <w:pPr>
        <w:rPr>
          <w:rFonts w:cs="Segoe UI"/>
          <w:b/>
          <w:bCs/>
          <w:szCs w:val="22"/>
          <w:lang w:val="cs-CZ"/>
        </w:rPr>
      </w:pPr>
    </w:p>
    <w:p w14:paraId="64CF9133" w14:textId="016CB621" w:rsidR="0000744B" w:rsidRPr="0000744B" w:rsidRDefault="0000744B" w:rsidP="0000744B">
      <w:pPr>
        <w:rPr>
          <w:rStyle w:val="AboutandContactHeadline"/>
          <w:lang w:val="cs-CZ"/>
        </w:rPr>
      </w:pPr>
      <w:r w:rsidRPr="0000744B">
        <w:rPr>
          <w:rStyle w:val="AboutandContactHeadline"/>
          <w:lang w:val="cs-CZ"/>
        </w:rPr>
        <w:t xml:space="preserve">O společnosti </w:t>
      </w:r>
      <w:proofErr w:type="spellStart"/>
      <w:r w:rsidRPr="0000744B">
        <w:rPr>
          <w:rStyle w:val="AboutandContactHeadline"/>
          <w:lang w:val="cs-CZ"/>
        </w:rPr>
        <w:t>Henkel</w:t>
      </w:r>
      <w:proofErr w:type="spellEnd"/>
    </w:p>
    <w:p w14:paraId="0A0247FE" w14:textId="61CAE83E" w:rsidR="0000744B" w:rsidRPr="0000744B" w:rsidRDefault="0000744B" w:rsidP="0000744B">
      <w:pPr>
        <w:rPr>
          <w:rStyle w:val="AboutandContactHeadline"/>
          <w:b w:val="0"/>
          <w:bCs w:val="0"/>
          <w:lang w:val="cs-CZ"/>
        </w:rPr>
      </w:pPr>
      <w:r w:rsidRPr="0000744B">
        <w:rPr>
          <w:rStyle w:val="AboutandContactHeadline"/>
          <w:b w:val="0"/>
          <w:bCs w:val="0"/>
          <w:lang w:val="cs-CZ"/>
        </w:rPr>
        <w:t xml:space="preserve">Společnost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působí celosvětově s vyrovnaným a diverzifikovaným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portfóliem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produktů. Díky silným značkám, inovacím a technologiím má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vedoucí postavení na trhu jak ve spotřebitelských, tak v průmyslových odvětvích. V oblasti lepidel je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divize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Adhesive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Laundry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&amp;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Home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Care a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Beauty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Care je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202</w:t>
      </w:r>
      <w:r w:rsidR="00231B84">
        <w:rPr>
          <w:rStyle w:val="AboutandContactHeadline"/>
          <w:b w:val="0"/>
          <w:bCs w:val="0"/>
          <w:lang w:val="cs-CZ"/>
        </w:rPr>
        <w:t>1</w:t>
      </w:r>
      <w:r w:rsidRPr="0000744B">
        <w:rPr>
          <w:rStyle w:val="AboutandContactHeadline"/>
          <w:b w:val="0"/>
          <w:bCs w:val="0"/>
          <w:lang w:val="cs-CZ"/>
        </w:rPr>
        <w:t xml:space="preserve"> dosáhla obratu </w:t>
      </w:r>
      <w:r w:rsidR="0057611C">
        <w:rPr>
          <w:rStyle w:val="AboutandContactHeadline"/>
          <w:b w:val="0"/>
          <w:bCs w:val="0"/>
          <w:lang w:val="cs-CZ"/>
        </w:rPr>
        <w:t>víc než 20</w:t>
      </w:r>
      <w:r w:rsidRPr="0000744B">
        <w:rPr>
          <w:rStyle w:val="AboutandContactHeadline"/>
          <w:b w:val="0"/>
          <w:bCs w:val="0"/>
          <w:lang w:val="cs-CZ"/>
        </w:rPr>
        <w:t xml:space="preserve"> mld. eur a upraveného provozního zisku přibližně ve výši 2,</w:t>
      </w:r>
      <w:r w:rsidR="0057611C">
        <w:rPr>
          <w:rStyle w:val="AboutandContactHeadline"/>
          <w:b w:val="0"/>
          <w:bCs w:val="0"/>
          <w:lang w:val="cs-CZ"/>
        </w:rPr>
        <w:t>7</w:t>
      </w:r>
      <w:r w:rsidRPr="0000744B">
        <w:rPr>
          <w:rStyle w:val="AboutandContactHeadline"/>
          <w:b w:val="0"/>
          <w:bCs w:val="0"/>
          <w:lang w:val="cs-CZ"/>
        </w:rPr>
        <w:t xml:space="preserve"> mld. eur.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zaměstnává 5</w:t>
      </w:r>
      <w:r w:rsidR="0057611C">
        <w:rPr>
          <w:rStyle w:val="AboutandContactHeadline"/>
          <w:b w:val="0"/>
          <w:bCs w:val="0"/>
          <w:lang w:val="cs-CZ"/>
        </w:rPr>
        <w:t>2</w:t>
      </w:r>
      <w:r w:rsidRPr="0000744B">
        <w:rPr>
          <w:rStyle w:val="AboutandContactHeadline"/>
          <w:b w:val="0"/>
          <w:bCs w:val="0"/>
          <w:lang w:val="cs-CZ"/>
        </w:rPr>
        <w:t xml:space="preserve"> 000 lidí po celém světě, kteří spolu tvoří zanícený a velmi různorodý tým, který spojuje silná firemní kultura a společný zájem tvořit trvale udržitelné hodnoty a který sdílí společné hodnoty. Jako uznávaný lídr v oblasti udržitelnosti je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na předních příčkách mnoha mezinárodních indexů a hodnocení. Prioritní akcie společnosti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jsou kótovány na německém akciovém indexu DAX. Více informací naleznete na stránce </w:t>
      </w:r>
      <w:hyperlink r:id="rId11" w:history="1">
        <w:r w:rsidR="00587F0F" w:rsidRPr="000E7FB5">
          <w:rPr>
            <w:rStyle w:val="Hypertextovprepojenie"/>
            <w:szCs w:val="24"/>
            <w:lang w:val="cs-CZ"/>
          </w:rPr>
          <w:t>www.henkel.com</w:t>
        </w:r>
      </w:hyperlink>
      <w:r w:rsidR="00587F0F">
        <w:rPr>
          <w:rStyle w:val="AboutandContactHeadline"/>
          <w:b w:val="0"/>
          <w:bCs w:val="0"/>
          <w:lang w:val="cs-CZ"/>
        </w:rPr>
        <w:t>.</w:t>
      </w:r>
    </w:p>
    <w:p w14:paraId="1490956C" w14:textId="77777777" w:rsidR="0000744B" w:rsidRDefault="0000744B" w:rsidP="0000744B">
      <w:pPr>
        <w:rPr>
          <w:rStyle w:val="AboutandContactHeadline"/>
          <w:lang w:val="cs-CZ"/>
        </w:rPr>
      </w:pPr>
    </w:p>
    <w:p w14:paraId="2A4278EA" w14:textId="77777777" w:rsidR="00306C60" w:rsidRPr="002708C3" w:rsidRDefault="00306C60" w:rsidP="00306C60">
      <w:pPr>
        <w:spacing w:line="240" w:lineRule="auto"/>
        <w:jc w:val="left"/>
        <w:rPr>
          <w:b/>
          <w:bCs/>
          <w:sz w:val="18"/>
          <w:szCs w:val="18"/>
          <w:lang w:val="cs-CZ"/>
        </w:rPr>
      </w:pPr>
    </w:p>
    <w:p w14:paraId="19B2F94B" w14:textId="77777777" w:rsidR="0000744B" w:rsidRPr="0000744B" w:rsidRDefault="0000744B" w:rsidP="0000744B">
      <w:pPr>
        <w:rPr>
          <w:rStyle w:val="AboutandContactHeadline"/>
          <w:lang w:val="cs-CZ"/>
        </w:rPr>
      </w:pPr>
    </w:p>
    <w:p w14:paraId="0ED67B46" w14:textId="77777777" w:rsidR="006E719D" w:rsidRPr="002A21D8" w:rsidRDefault="006E719D" w:rsidP="006E719D">
      <w:pPr>
        <w:rPr>
          <w:rStyle w:val="AboutandContactBody"/>
          <w:b/>
          <w:bCs/>
          <w:sz w:val="20"/>
          <w:szCs w:val="20"/>
          <w:lang w:val="cs-CZ"/>
        </w:rPr>
      </w:pPr>
      <w:r w:rsidRPr="002A21D8">
        <w:rPr>
          <w:rStyle w:val="AboutandContactBody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2A21D8" w:rsidRDefault="006E719D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 xml:space="preserve">Zuzana </w:t>
      </w:r>
      <w:proofErr w:type="spellStart"/>
      <w:r w:rsidRPr="002A21D8">
        <w:rPr>
          <w:rStyle w:val="AboutandContactBody"/>
          <w:sz w:val="20"/>
          <w:szCs w:val="20"/>
          <w:lang w:val="cs-CZ"/>
        </w:rPr>
        <w:t>Kaňuchová</w:t>
      </w:r>
      <w:proofErr w:type="spellEnd"/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</w:p>
    <w:p w14:paraId="42F58736" w14:textId="506FC643" w:rsidR="006E719D" w:rsidRPr="002A21D8" w:rsidRDefault="00600518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>Ředitelka korporátní komunikace</w:t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</w:p>
    <w:p w14:paraId="3F359FFF" w14:textId="77777777" w:rsidR="00600518" w:rsidRPr="002A21D8" w:rsidRDefault="00600518" w:rsidP="006E719D">
      <w:pPr>
        <w:rPr>
          <w:rStyle w:val="AboutandContactBody"/>
          <w:sz w:val="20"/>
          <w:szCs w:val="20"/>
          <w:lang w:val="cs-CZ"/>
        </w:rPr>
      </w:pPr>
    </w:p>
    <w:p w14:paraId="6050F928" w14:textId="67A016FA" w:rsidR="006E719D" w:rsidRPr="002A21D8" w:rsidRDefault="006E719D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>Telef</w:t>
      </w:r>
      <w:r w:rsidR="00600518" w:rsidRPr="002A21D8">
        <w:rPr>
          <w:rStyle w:val="AboutandContactBody"/>
          <w:sz w:val="20"/>
          <w:szCs w:val="20"/>
          <w:lang w:val="cs-CZ"/>
        </w:rPr>
        <w:t>o</w:t>
      </w:r>
      <w:r w:rsidRPr="002A21D8">
        <w:rPr>
          <w:rStyle w:val="AboutandContactBody"/>
          <w:sz w:val="20"/>
          <w:szCs w:val="20"/>
          <w:lang w:val="cs-CZ"/>
        </w:rPr>
        <w:t>n: +421 917 160 597</w:t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</w:p>
    <w:p w14:paraId="0BFF6B34" w14:textId="70496E61" w:rsidR="00BF6E82" w:rsidRPr="002A21D8" w:rsidRDefault="006E719D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 xml:space="preserve">E-mail:  </w:t>
      </w:r>
      <w:hyperlink r:id="rId12" w:history="1">
        <w:r w:rsidR="00BB1DFA" w:rsidRPr="002A21D8">
          <w:rPr>
            <w:rStyle w:val="Hypertextovprepojenie"/>
            <w:sz w:val="20"/>
            <w:szCs w:val="20"/>
            <w:lang w:val="cs-CZ"/>
          </w:rPr>
          <w:t>zuzana.kanuchova@henkel.com</w:t>
        </w:r>
      </w:hyperlink>
      <w:r w:rsidR="00BB1DFA" w:rsidRPr="002A21D8">
        <w:rPr>
          <w:rStyle w:val="AboutandContactBody"/>
          <w:sz w:val="20"/>
          <w:szCs w:val="20"/>
          <w:lang w:val="cs-CZ"/>
        </w:rPr>
        <w:t xml:space="preserve"> </w:t>
      </w:r>
    </w:p>
    <w:sectPr w:rsidR="00BF6E82" w:rsidRPr="002A21D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72F9" w14:textId="77777777" w:rsidR="007B2FD3" w:rsidRDefault="007B2FD3">
      <w:r>
        <w:separator/>
      </w:r>
    </w:p>
  </w:endnote>
  <w:endnote w:type="continuationSeparator" w:id="0">
    <w:p w14:paraId="32DAAE91" w14:textId="77777777" w:rsidR="007B2FD3" w:rsidRDefault="007B2FD3">
      <w:r>
        <w:continuationSeparator/>
      </w:r>
    </w:p>
  </w:endnote>
  <w:endnote w:type="continuationNotice" w:id="1">
    <w:p w14:paraId="467B6D8B" w14:textId="77777777" w:rsidR="007B2FD3" w:rsidRDefault="007B2F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SegoeUI-Bold">
    <w:altName w:val="Segoe U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6539F">
      <w:fldChar w:fldCharType="begin"/>
    </w:r>
    <w:r w:rsidR="0016539F">
      <w:instrText xml:space="preserve"> NUMPAGES  \* Arabic  \* MERGEFORMAT </w:instrText>
    </w:r>
    <w:r w:rsidR="0016539F">
      <w:fldChar w:fldCharType="separate"/>
    </w:r>
    <w:r>
      <w:t>2</w:t>
    </w:r>
    <w:r w:rsidR="001653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1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2D86" w14:textId="77777777" w:rsidR="007B2FD3" w:rsidRDefault="007B2FD3">
      <w:r>
        <w:separator/>
      </w:r>
    </w:p>
  </w:footnote>
  <w:footnote w:type="continuationSeparator" w:id="0">
    <w:p w14:paraId="7495799A" w14:textId="77777777" w:rsidR="007B2FD3" w:rsidRDefault="007B2FD3">
      <w:r>
        <w:continuationSeparator/>
      </w:r>
    </w:p>
  </w:footnote>
  <w:footnote w:type="continuationNotice" w:id="1">
    <w:p w14:paraId="7E0A5AC9" w14:textId="77777777" w:rsidR="007B2FD3" w:rsidRDefault="007B2F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854977" w:rsidR="00CF6F33" w:rsidRPr="001F5D54" w:rsidRDefault="0059722C" w:rsidP="00EB46D9">
    <w:pPr>
      <w:pStyle w:val="Hlavika"/>
      <w:rPr>
        <w:lang w:val="cs-CZ"/>
      </w:rPr>
    </w:pPr>
    <w:r w:rsidRPr="001F5D54">
      <w:rPr>
        <w:noProof/>
        <w:lang w:val="cs-CZ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D54">
      <w:rPr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5D54" w:rsidRPr="001F5D54">
      <w:rPr>
        <w:noProof/>
        <w:lang w:val="cs-CZ"/>
      </w:rPr>
      <w:t>Tisková</w:t>
    </w:r>
    <w:r w:rsidR="00B422EC" w:rsidRPr="001F5D54">
      <w:rPr>
        <w:lang w:val="cs-CZ"/>
      </w:rPr>
      <w:t xml:space="preserve"> </w:t>
    </w:r>
    <w:r w:rsidR="001F5D54" w:rsidRPr="001F5D54">
      <w:rPr>
        <w:lang w:val="cs-CZ"/>
      </w:rPr>
      <w:t>z</w:t>
    </w:r>
    <w:r w:rsidR="00CE4BEB" w:rsidRPr="001F5D54">
      <w:rPr>
        <w:lang w:val="cs-CZ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E21656"/>
    <w:multiLevelType w:val="hybridMultilevel"/>
    <w:tmpl w:val="EE8CF3B2"/>
    <w:numStyleLink w:val="Importovantl1"/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A06DFF"/>
    <w:multiLevelType w:val="hybridMultilevel"/>
    <w:tmpl w:val="18D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479F7"/>
    <w:multiLevelType w:val="hybridMultilevel"/>
    <w:tmpl w:val="EE8CF3B2"/>
    <w:numStyleLink w:val="Importovantl1"/>
  </w:abstractNum>
  <w:abstractNum w:abstractNumId="9" w15:restartNumberingAfterBreak="0">
    <w:nsid w:val="61A964B9"/>
    <w:multiLevelType w:val="hybridMultilevel"/>
    <w:tmpl w:val="C10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7091B"/>
    <w:multiLevelType w:val="hybridMultilevel"/>
    <w:tmpl w:val="EE8CF3B2"/>
    <w:numStyleLink w:val="Importovantl1"/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5657">
    <w:abstractNumId w:val="1"/>
  </w:num>
  <w:num w:numId="2" w16cid:durableId="1746564325">
    <w:abstractNumId w:val="0"/>
  </w:num>
  <w:num w:numId="3" w16cid:durableId="2107142591">
    <w:abstractNumId w:val="11"/>
  </w:num>
  <w:num w:numId="4" w16cid:durableId="595141210">
    <w:abstractNumId w:val="6"/>
  </w:num>
  <w:num w:numId="5" w16cid:durableId="1356226179">
    <w:abstractNumId w:val="4"/>
  </w:num>
  <w:num w:numId="6" w16cid:durableId="12727571">
    <w:abstractNumId w:val="7"/>
  </w:num>
  <w:num w:numId="7" w16cid:durableId="2015112908">
    <w:abstractNumId w:val="12"/>
  </w:num>
  <w:num w:numId="8" w16cid:durableId="1447698084">
    <w:abstractNumId w:val="5"/>
  </w:num>
  <w:num w:numId="9" w16cid:durableId="2083940114">
    <w:abstractNumId w:val="2"/>
  </w:num>
  <w:num w:numId="10" w16cid:durableId="1029531628">
    <w:abstractNumId w:val="3"/>
  </w:num>
  <w:num w:numId="11" w16cid:durableId="390348366">
    <w:abstractNumId w:val="8"/>
  </w:num>
  <w:num w:numId="12" w16cid:durableId="1178038878">
    <w:abstractNumId w:val="10"/>
  </w:num>
  <w:num w:numId="13" w16cid:durableId="1842891905">
    <w:abstractNumId w:val="10"/>
    <w:lvlOverride w:ilvl="0">
      <w:lvl w:ilvl="0" w:tplc="89B43F68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1000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1B636A0">
        <w:start w:val="1"/>
        <w:numFmt w:val="bullet"/>
        <w:lvlText w:val="-"/>
        <w:lvlJc w:val="left"/>
        <w:pPr>
          <w:ind w:left="7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661D5E">
        <w:start w:val="1"/>
        <w:numFmt w:val="bullet"/>
        <w:lvlText w:val="▪"/>
        <w:lvlJc w:val="left"/>
        <w:pPr>
          <w:ind w:left="14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9849A8">
        <w:start w:val="1"/>
        <w:numFmt w:val="bullet"/>
        <w:lvlText w:val="•"/>
        <w:lvlJc w:val="left"/>
        <w:pPr>
          <w:ind w:left="21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E8AEE">
        <w:start w:val="1"/>
        <w:numFmt w:val="bullet"/>
        <w:lvlText w:val="o"/>
        <w:lvlJc w:val="left"/>
        <w:pPr>
          <w:ind w:left="286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296C8">
        <w:start w:val="1"/>
        <w:numFmt w:val="bullet"/>
        <w:lvlText w:val="▪"/>
        <w:lvlJc w:val="left"/>
        <w:pPr>
          <w:ind w:left="358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DABA32">
        <w:start w:val="1"/>
        <w:numFmt w:val="bullet"/>
        <w:lvlText w:val="•"/>
        <w:lvlJc w:val="left"/>
        <w:pPr>
          <w:ind w:left="43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208C9A">
        <w:start w:val="1"/>
        <w:numFmt w:val="bullet"/>
        <w:lvlText w:val="o"/>
        <w:lvlJc w:val="left"/>
        <w:pPr>
          <w:ind w:left="50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441512">
        <w:start w:val="1"/>
        <w:numFmt w:val="bullet"/>
        <w:lvlText w:val="▪"/>
        <w:lvlJc w:val="left"/>
        <w:pPr>
          <w:ind w:left="57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80309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44B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4A98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067E"/>
    <w:rsid w:val="0016138C"/>
    <w:rsid w:val="0016539F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5D54"/>
    <w:rsid w:val="001F7110"/>
    <w:rsid w:val="001F7E96"/>
    <w:rsid w:val="00202284"/>
    <w:rsid w:val="00212488"/>
    <w:rsid w:val="00220628"/>
    <w:rsid w:val="002304D2"/>
    <w:rsid w:val="00231B84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1D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E55"/>
    <w:rsid w:val="002F7E11"/>
    <w:rsid w:val="00304087"/>
    <w:rsid w:val="00306C60"/>
    <w:rsid w:val="00310ACD"/>
    <w:rsid w:val="0031379F"/>
    <w:rsid w:val="003174DF"/>
    <w:rsid w:val="00320A26"/>
    <w:rsid w:val="00321344"/>
    <w:rsid w:val="0032364A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2F97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CEA"/>
    <w:rsid w:val="0055571E"/>
    <w:rsid w:val="00556F67"/>
    <w:rsid w:val="00571A2F"/>
    <w:rsid w:val="0057611C"/>
    <w:rsid w:val="005833F0"/>
    <w:rsid w:val="00586CAF"/>
    <w:rsid w:val="005873E9"/>
    <w:rsid w:val="00587F0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518"/>
    <w:rsid w:val="00600C97"/>
    <w:rsid w:val="00607256"/>
    <w:rsid w:val="00613100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739"/>
    <w:rsid w:val="00682EB9"/>
    <w:rsid w:val="0068441A"/>
    <w:rsid w:val="00690B19"/>
    <w:rsid w:val="006A0A3C"/>
    <w:rsid w:val="006A79F0"/>
    <w:rsid w:val="006B47EE"/>
    <w:rsid w:val="006B499F"/>
    <w:rsid w:val="006D1E1E"/>
    <w:rsid w:val="006D4996"/>
    <w:rsid w:val="006D54AB"/>
    <w:rsid w:val="006E3006"/>
    <w:rsid w:val="006E5032"/>
    <w:rsid w:val="006E5BDA"/>
    <w:rsid w:val="006E719D"/>
    <w:rsid w:val="006F0FC7"/>
    <w:rsid w:val="006F39A9"/>
    <w:rsid w:val="006F5B3F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266D3"/>
    <w:rsid w:val="0073096C"/>
    <w:rsid w:val="00742398"/>
    <w:rsid w:val="007507B5"/>
    <w:rsid w:val="0075091D"/>
    <w:rsid w:val="00753A24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2FD3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6530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75143"/>
    <w:rsid w:val="00880E72"/>
    <w:rsid w:val="008825EE"/>
    <w:rsid w:val="0088596E"/>
    <w:rsid w:val="0089796A"/>
    <w:rsid w:val="008A2375"/>
    <w:rsid w:val="008B1FEB"/>
    <w:rsid w:val="008C56CF"/>
    <w:rsid w:val="008D31C9"/>
    <w:rsid w:val="008D76C5"/>
    <w:rsid w:val="008E0AFA"/>
    <w:rsid w:val="008E3965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87E"/>
    <w:rsid w:val="009D1522"/>
    <w:rsid w:val="009D7252"/>
    <w:rsid w:val="009E5EB4"/>
    <w:rsid w:val="00A01F56"/>
    <w:rsid w:val="00A044D6"/>
    <w:rsid w:val="00A04ADB"/>
    <w:rsid w:val="00A064B9"/>
    <w:rsid w:val="00A11E0F"/>
    <w:rsid w:val="00A26CB6"/>
    <w:rsid w:val="00A32F82"/>
    <w:rsid w:val="00A32F8B"/>
    <w:rsid w:val="00A3756F"/>
    <w:rsid w:val="00A42D6F"/>
    <w:rsid w:val="00A45A62"/>
    <w:rsid w:val="00A50098"/>
    <w:rsid w:val="00A54AC5"/>
    <w:rsid w:val="00A55DC3"/>
    <w:rsid w:val="00A56D41"/>
    <w:rsid w:val="00A61353"/>
    <w:rsid w:val="00A66DB1"/>
    <w:rsid w:val="00A67A92"/>
    <w:rsid w:val="00A87870"/>
    <w:rsid w:val="00A91A70"/>
    <w:rsid w:val="00A9216C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090F"/>
    <w:rsid w:val="00BB1DFA"/>
    <w:rsid w:val="00BB58ED"/>
    <w:rsid w:val="00BB5D0B"/>
    <w:rsid w:val="00BC0995"/>
    <w:rsid w:val="00BE34E5"/>
    <w:rsid w:val="00BE793A"/>
    <w:rsid w:val="00BF2B82"/>
    <w:rsid w:val="00BF432A"/>
    <w:rsid w:val="00BF6C1E"/>
    <w:rsid w:val="00BF6E82"/>
    <w:rsid w:val="00C060C7"/>
    <w:rsid w:val="00C24C17"/>
    <w:rsid w:val="00C3758F"/>
    <w:rsid w:val="00C40B88"/>
    <w:rsid w:val="00C42C93"/>
    <w:rsid w:val="00C43BE0"/>
    <w:rsid w:val="00C47D87"/>
    <w:rsid w:val="00C5376E"/>
    <w:rsid w:val="00C808A6"/>
    <w:rsid w:val="00C97091"/>
    <w:rsid w:val="00C97260"/>
    <w:rsid w:val="00CA2001"/>
    <w:rsid w:val="00CB3731"/>
    <w:rsid w:val="00CB5B6C"/>
    <w:rsid w:val="00CB7564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33DA"/>
    <w:rsid w:val="00ED6D8E"/>
    <w:rsid w:val="00EE1A8C"/>
    <w:rsid w:val="00EE4643"/>
    <w:rsid w:val="00EE7699"/>
    <w:rsid w:val="00EF1330"/>
    <w:rsid w:val="00EF15FF"/>
    <w:rsid w:val="00EF7111"/>
    <w:rsid w:val="00EF7D1A"/>
    <w:rsid w:val="00F00D99"/>
    <w:rsid w:val="00F02E48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0BFF"/>
    <w:rsid w:val="00F8309B"/>
    <w:rsid w:val="00F833C9"/>
    <w:rsid w:val="00F90064"/>
    <w:rsid w:val="00F96AFD"/>
    <w:rsid w:val="00FA1398"/>
    <w:rsid w:val="00FA2E19"/>
    <w:rsid w:val="00FA697F"/>
    <w:rsid w:val="00FB082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F80BFF"/>
    <w:pPr>
      <w:numPr>
        <w:numId w:val="9"/>
      </w:numPr>
    </w:pPr>
  </w:style>
  <w:style w:type="paragraph" w:styleId="Zkladntext">
    <w:name w:val="Body Text"/>
    <w:link w:val="ZkladntextChar"/>
    <w:rsid w:val="003236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character" w:customStyle="1" w:styleId="ZkladntextChar">
    <w:name w:val="Základný text Char"/>
    <w:basedOn w:val="Predvolenpsmoodseku"/>
    <w:link w:val="Zkladntext"/>
    <w:rsid w:val="0032364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paragraph" w:customStyle="1" w:styleId="Predvolen">
    <w:name w:val="Predvolené"/>
    <w:rsid w:val="006D1E1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  <w:rsid w:val="006D1E1E"/>
  </w:style>
  <w:style w:type="character" w:customStyle="1" w:styleId="Hyperlink0">
    <w:name w:val="Hyperlink.0"/>
    <w:basedOn w:val="iadne"/>
    <w:rsid w:val="006D1E1E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BE03-B1A1-4D9A-B0B5-A76A74ED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45</TotalTime>
  <Pages>7</Pages>
  <Words>2547</Words>
  <Characters>14720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17233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72</cp:revision>
  <cp:lastPrinted>2016-11-16T01:11:00Z</cp:lastPrinted>
  <dcterms:created xsi:type="dcterms:W3CDTF">2020-07-16T10:22:00Z</dcterms:created>
  <dcterms:modified xsi:type="dcterms:W3CDTF">2022-08-19T12:25:00Z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