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3944090" w:rsidR="004C034F" w:rsidRPr="00A16FC1" w:rsidRDefault="004C034F" w:rsidP="00E41377">
      <w:pPr>
        <w:pStyle w:val="MonthDayYear"/>
        <w:tabs>
          <w:tab w:val="left" w:pos="7513"/>
        </w:tabs>
        <w:jc w:val="left"/>
      </w:pPr>
    </w:p>
    <w:p w14:paraId="55D5E39A" w14:textId="517F369C" w:rsidR="00B422EC" w:rsidRPr="00A16FC1" w:rsidRDefault="00E41377" w:rsidP="00E41377">
      <w:pPr>
        <w:pStyle w:val="MonthDayYear"/>
        <w:tabs>
          <w:tab w:val="left" w:pos="7513"/>
        </w:tabs>
        <w:jc w:val="left"/>
      </w:pPr>
      <w:r w:rsidRPr="00A16FC1">
        <w:tab/>
      </w:r>
      <w:r w:rsidR="00D07A0C" w:rsidRPr="00A16FC1">
        <w:t>August</w:t>
      </w:r>
      <w:r w:rsidR="004423B1">
        <w:t xml:space="preserve"> 1</w:t>
      </w:r>
      <w:r w:rsidR="00A16FC1">
        <w:t>5,</w:t>
      </w:r>
      <w:r w:rsidR="00BF6E82" w:rsidRPr="00A16FC1">
        <w:t xml:space="preserve"> 20</w:t>
      </w:r>
      <w:r w:rsidR="00F635FC" w:rsidRPr="00A16FC1">
        <w:t>2</w:t>
      </w:r>
      <w:r w:rsidR="0001450F" w:rsidRPr="00A16FC1">
        <w:t>2</w:t>
      </w:r>
    </w:p>
    <w:p w14:paraId="09896324" w14:textId="358F3D11" w:rsidR="007F0F63" w:rsidRPr="00A16FC1" w:rsidRDefault="004B7CCC" w:rsidP="00635616">
      <w:pPr>
        <w:pStyle w:val="Topline"/>
        <w:spacing w:after="360"/>
        <w:rPr>
          <w:rFonts w:asciiTheme="majorHAnsi" w:hAnsiTheme="majorHAnsi" w:cstheme="majorHAnsi"/>
        </w:rPr>
      </w:pPr>
      <w:r w:rsidRPr="00A16FC1">
        <w:rPr>
          <w:rFonts w:asciiTheme="majorHAnsi" w:hAnsiTheme="majorHAnsi" w:cstheme="majorHAnsi"/>
        </w:rPr>
        <w:t xml:space="preserve">Henkel </w:t>
      </w:r>
      <w:r w:rsidR="004125D4">
        <w:rPr>
          <w:rFonts w:asciiTheme="majorHAnsi" w:hAnsiTheme="majorHAnsi" w:cstheme="majorHAnsi"/>
        </w:rPr>
        <w:t>reports on</w:t>
      </w:r>
      <w:r w:rsidR="004125D4" w:rsidRPr="00A16FC1">
        <w:rPr>
          <w:rFonts w:asciiTheme="majorHAnsi" w:hAnsiTheme="majorHAnsi" w:cstheme="majorHAnsi"/>
        </w:rPr>
        <w:t xml:space="preserve"> </w:t>
      </w:r>
      <w:r w:rsidR="00A16FC1" w:rsidRPr="00A16FC1">
        <w:rPr>
          <w:rFonts w:asciiTheme="majorHAnsi" w:hAnsiTheme="majorHAnsi" w:cstheme="majorHAnsi"/>
        </w:rPr>
        <w:t xml:space="preserve">half-year </w:t>
      </w:r>
      <w:r w:rsidR="004125D4">
        <w:rPr>
          <w:rFonts w:asciiTheme="majorHAnsi" w:hAnsiTheme="majorHAnsi" w:cstheme="majorHAnsi"/>
        </w:rPr>
        <w:t>performance</w:t>
      </w:r>
    </w:p>
    <w:p w14:paraId="76AD0789" w14:textId="63792374" w:rsidR="007F0F63" w:rsidRPr="00A16FC1" w:rsidRDefault="00A16FC1" w:rsidP="00635616">
      <w:pPr>
        <w:jc w:val="left"/>
        <w:rPr>
          <w:rStyle w:val="Headline"/>
          <w:rFonts w:asciiTheme="majorHAnsi" w:hAnsiTheme="majorHAnsi" w:cstheme="majorHAnsi"/>
        </w:rPr>
      </w:pPr>
      <w:r w:rsidRPr="00A16FC1">
        <w:rPr>
          <w:rStyle w:val="Headline"/>
          <w:rFonts w:asciiTheme="majorHAnsi" w:hAnsiTheme="majorHAnsi" w:cstheme="majorHAnsi"/>
        </w:rPr>
        <w:t xml:space="preserve">Henkel significantly increases sales, drives strategic </w:t>
      </w:r>
      <w:proofErr w:type="gramStart"/>
      <w:r w:rsidRPr="00A16FC1">
        <w:rPr>
          <w:rStyle w:val="Headline"/>
          <w:rFonts w:asciiTheme="majorHAnsi" w:hAnsiTheme="majorHAnsi" w:cstheme="majorHAnsi"/>
        </w:rPr>
        <w:t>agenda</w:t>
      </w:r>
      <w:proofErr w:type="gramEnd"/>
      <w:r w:rsidRPr="00A16FC1">
        <w:rPr>
          <w:rStyle w:val="Headline"/>
          <w:rFonts w:asciiTheme="majorHAnsi" w:hAnsiTheme="majorHAnsi" w:cstheme="majorHAnsi"/>
        </w:rPr>
        <w:t xml:space="preserve"> and raises sales </w:t>
      </w:r>
      <w:r w:rsidR="005A2CCC">
        <w:rPr>
          <w:rStyle w:val="Headline"/>
          <w:rFonts w:asciiTheme="majorHAnsi" w:hAnsiTheme="majorHAnsi" w:cstheme="majorHAnsi"/>
        </w:rPr>
        <w:t>guidance</w:t>
      </w:r>
      <w:r w:rsidRPr="00A16FC1">
        <w:rPr>
          <w:rStyle w:val="Headline"/>
          <w:rFonts w:asciiTheme="majorHAnsi" w:hAnsiTheme="majorHAnsi" w:cstheme="majorHAnsi"/>
        </w:rPr>
        <w:t xml:space="preserve"> for 2022</w:t>
      </w:r>
    </w:p>
    <w:p w14:paraId="6706FA18" w14:textId="77777777" w:rsidR="00852511" w:rsidRPr="00A16FC1" w:rsidRDefault="00852511" w:rsidP="00365E44"/>
    <w:p w14:paraId="016710F2" w14:textId="76A780EF" w:rsidR="0001002C" w:rsidRPr="00A16FC1" w:rsidRDefault="00A16FC1" w:rsidP="006655D3">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43712519"/>
      <w:r w:rsidRPr="00A16FC1">
        <w:rPr>
          <w:rFonts w:asciiTheme="majorHAnsi" w:hAnsiTheme="majorHAnsi" w:cstheme="majorHAnsi"/>
          <w:b/>
          <w:szCs w:val="22"/>
        </w:rPr>
        <w:t xml:space="preserve">Group sales </w:t>
      </w:r>
      <w:r w:rsidR="004423B1" w:rsidRPr="00A16FC1">
        <w:rPr>
          <w:rFonts w:asciiTheme="majorHAnsi" w:hAnsiTheme="majorHAnsi" w:cstheme="majorHAnsi"/>
          <w:b/>
          <w:szCs w:val="22"/>
        </w:rPr>
        <w:t xml:space="preserve">in the first half </w:t>
      </w:r>
      <w:r w:rsidR="004423B1">
        <w:rPr>
          <w:rFonts w:asciiTheme="majorHAnsi" w:hAnsiTheme="majorHAnsi" w:cstheme="majorHAnsi"/>
          <w:b/>
          <w:szCs w:val="22"/>
        </w:rPr>
        <w:t xml:space="preserve">of 2022 </w:t>
      </w:r>
      <w:r w:rsidR="00BF0564">
        <w:rPr>
          <w:rFonts w:asciiTheme="majorHAnsi" w:hAnsiTheme="majorHAnsi" w:cstheme="majorHAnsi"/>
          <w:b/>
          <w:szCs w:val="22"/>
        </w:rPr>
        <w:t>grew</w:t>
      </w:r>
      <w:r w:rsidR="00BF0564" w:rsidRPr="00A16FC1">
        <w:rPr>
          <w:rFonts w:asciiTheme="majorHAnsi" w:hAnsiTheme="majorHAnsi" w:cstheme="majorHAnsi"/>
          <w:b/>
          <w:szCs w:val="22"/>
        </w:rPr>
        <w:t xml:space="preserve"> </w:t>
      </w:r>
      <w:r w:rsidRPr="00A16FC1">
        <w:rPr>
          <w:rFonts w:asciiTheme="majorHAnsi" w:hAnsiTheme="majorHAnsi" w:cstheme="majorHAnsi"/>
          <w:b/>
          <w:szCs w:val="22"/>
        </w:rPr>
        <w:t xml:space="preserve">organically by +8.9 percent to around </w:t>
      </w:r>
      <w:r w:rsidR="00BF0564">
        <w:rPr>
          <w:rFonts w:asciiTheme="majorHAnsi" w:hAnsiTheme="majorHAnsi" w:cstheme="majorHAnsi"/>
          <w:b/>
          <w:szCs w:val="22"/>
        </w:rPr>
        <w:br/>
      </w:r>
      <w:r w:rsidRPr="00A16FC1">
        <w:rPr>
          <w:rFonts w:asciiTheme="majorHAnsi" w:hAnsiTheme="majorHAnsi" w:cstheme="majorHAnsi"/>
          <w:b/>
          <w:szCs w:val="22"/>
        </w:rPr>
        <w:t>10.9 billion euros (nominal +9.9 percent), driven by all business units and regions</w:t>
      </w:r>
    </w:p>
    <w:p w14:paraId="3B8FD12B" w14:textId="6FEB4148" w:rsidR="00793A4C" w:rsidRPr="004423B1" w:rsidRDefault="006B3A37" w:rsidP="00604E54">
      <w:pPr>
        <w:pStyle w:val="ListParagraph"/>
        <w:numPr>
          <w:ilvl w:val="0"/>
          <w:numId w:val="7"/>
        </w:numPr>
        <w:spacing w:after="80"/>
        <w:ind w:right="-108"/>
        <w:contextualSpacing w:val="0"/>
        <w:jc w:val="left"/>
        <w:rPr>
          <w:rFonts w:asciiTheme="majorHAnsi" w:hAnsiTheme="majorHAnsi" w:cstheme="majorHAnsi"/>
          <w:b/>
          <w:szCs w:val="22"/>
        </w:rPr>
      </w:pPr>
      <w:r w:rsidRPr="004423B1">
        <w:rPr>
          <w:rFonts w:asciiTheme="majorHAnsi" w:hAnsiTheme="majorHAnsi" w:cstheme="majorHAnsi"/>
          <w:b/>
          <w:szCs w:val="22"/>
        </w:rPr>
        <w:t xml:space="preserve">Earnings impacted, as expected, </w:t>
      </w:r>
      <w:r w:rsidR="004423B1" w:rsidRPr="004423B1">
        <w:rPr>
          <w:rFonts w:asciiTheme="majorHAnsi" w:hAnsiTheme="majorHAnsi" w:cstheme="majorHAnsi"/>
          <w:b/>
          <w:szCs w:val="22"/>
        </w:rPr>
        <w:t>by drastic input cost headwinds</w:t>
      </w:r>
      <w:r w:rsidRPr="004423B1">
        <w:rPr>
          <w:rFonts w:asciiTheme="majorHAnsi" w:hAnsiTheme="majorHAnsi" w:cstheme="majorHAnsi"/>
          <w:b/>
          <w:szCs w:val="22"/>
        </w:rPr>
        <w:t>:</w:t>
      </w:r>
    </w:p>
    <w:p w14:paraId="58752EFB" w14:textId="11D46798" w:rsidR="00793A4C" w:rsidRPr="000F70AD" w:rsidRDefault="006260F9" w:rsidP="00793A4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0F70AD">
        <w:rPr>
          <w:rFonts w:asciiTheme="majorHAnsi" w:hAnsiTheme="majorHAnsi" w:cstheme="majorHAnsi"/>
          <w:b/>
          <w:szCs w:val="22"/>
        </w:rPr>
        <w:t>Operating profit</w:t>
      </w:r>
      <w:r w:rsidR="00793A4C" w:rsidRPr="000F70AD">
        <w:rPr>
          <w:rFonts w:asciiTheme="majorHAnsi" w:hAnsiTheme="majorHAnsi" w:cstheme="majorHAnsi"/>
          <w:b/>
          <w:szCs w:val="22"/>
        </w:rPr>
        <w:t xml:space="preserve"> (EBIT)* </w:t>
      </w:r>
      <w:r w:rsidR="000F70AD" w:rsidRPr="000F70AD">
        <w:rPr>
          <w:rFonts w:asciiTheme="majorHAnsi" w:hAnsiTheme="majorHAnsi" w:cstheme="majorHAnsi"/>
          <w:b/>
          <w:szCs w:val="22"/>
        </w:rPr>
        <w:t>reaches</w:t>
      </w:r>
      <w:r w:rsidR="00793A4C" w:rsidRPr="000F70AD">
        <w:rPr>
          <w:rFonts w:asciiTheme="majorHAnsi" w:hAnsiTheme="majorHAnsi" w:cstheme="majorHAnsi"/>
          <w:b/>
          <w:szCs w:val="22"/>
        </w:rPr>
        <w:t xml:space="preserve"> </w:t>
      </w:r>
      <w:r w:rsidR="00BB63A8" w:rsidRPr="000F70AD">
        <w:rPr>
          <w:rFonts w:asciiTheme="majorHAnsi" w:hAnsiTheme="majorHAnsi" w:cstheme="majorHAnsi"/>
          <w:b/>
          <w:szCs w:val="22"/>
        </w:rPr>
        <w:t>1</w:t>
      </w:r>
      <w:r w:rsidR="000F70AD" w:rsidRPr="000F70AD">
        <w:rPr>
          <w:rFonts w:asciiTheme="majorHAnsi" w:hAnsiTheme="majorHAnsi" w:cstheme="majorHAnsi"/>
          <w:b/>
          <w:szCs w:val="22"/>
        </w:rPr>
        <w:t>,</w:t>
      </w:r>
      <w:r w:rsidR="00BB63A8" w:rsidRPr="000F70AD">
        <w:rPr>
          <w:rFonts w:asciiTheme="majorHAnsi" w:hAnsiTheme="majorHAnsi" w:cstheme="majorHAnsi"/>
          <w:b/>
          <w:szCs w:val="22"/>
        </w:rPr>
        <w:t>16</w:t>
      </w:r>
      <w:r w:rsidR="004E77CD" w:rsidRPr="000F70AD">
        <w:rPr>
          <w:rFonts w:asciiTheme="majorHAnsi" w:hAnsiTheme="majorHAnsi" w:cstheme="majorHAnsi"/>
          <w:b/>
          <w:szCs w:val="22"/>
        </w:rPr>
        <w:t>6</w:t>
      </w:r>
      <w:r w:rsidR="00793A4C" w:rsidRPr="000F70AD">
        <w:rPr>
          <w:rFonts w:asciiTheme="majorHAnsi" w:hAnsiTheme="majorHAnsi" w:cstheme="majorHAnsi"/>
          <w:b/>
          <w:szCs w:val="22"/>
        </w:rPr>
        <w:t xml:space="preserve"> </w:t>
      </w:r>
      <w:r w:rsidR="000F70AD" w:rsidRPr="000F70AD">
        <w:rPr>
          <w:rFonts w:asciiTheme="majorHAnsi" w:hAnsiTheme="majorHAnsi" w:cstheme="majorHAnsi"/>
          <w:b/>
          <w:szCs w:val="22"/>
        </w:rPr>
        <w:t>m</w:t>
      </w:r>
      <w:r w:rsidR="00793A4C" w:rsidRPr="000F70AD">
        <w:rPr>
          <w:rFonts w:asciiTheme="majorHAnsi" w:hAnsiTheme="majorHAnsi" w:cstheme="majorHAnsi"/>
          <w:b/>
          <w:szCs w:val="22"/>
        </w:rPr>
        <w:t>i</w:t>
      </w:r>
      <w:r w:rsidR="000F70AD" w:rsidRPr="000F70AD">
        <w:rPr>
          <w:rFonts w:asciiTheme="majorHAnsi" w:hAnsiTheme="majorHAnsi" w:cstheme="majorHAnsi"/>
          <w:b/>
          <w:szCs w:val="22"/>
        </w:rPr>
        <w:t>llion</w:t>
      </w:r>
      <w:r w:rsidR="00793A4C" w:rsidRPr="000F70AD">
        <w:rPr>
          <w:rFonts w:asciiTheme="majorHAnsi" w:hAnsiTheme="majorHAnsi" w:cstheme="majorHAnsi"/>
          <w:b/>
          <w:szCs w:val="22"/>
        </w:rPr>
        <w:t xml:space="preserve"> </w:t>
      </w:r>
      <w:r w:rsidR="000F70AD" w:rsidRPr="000F70AD">
        <w:rPr>
          <w:rFonts w:asciiTheme="majorHAnsi" w:hAnsiTheme="majorHAnsi" w:cstheme="majorHAnsi"/>
          <w:b/>
          <w:szCs w:val="22"/>
        </w:rPr>
        <w:t>euros</w:t>
      </w:r>
      <w:r w:rsidR="000F70AD">
        <w:rPr>
          <w:rFonts w:asciiTheme="majorHAnsi" w:hAnsiTheme="majorHAnsi" w:cstheme="majorHAnsi"/>
          <w:b/>
          <w:szCs w:val="22"/>
        </w:rPr>
        <w:t xml:space="preserve"> </w:t>
      </w:r>
      <w:r w:rsidR="00793A4C" w:rsidRPr="000F70AD">
        <w:rPr>
          <w:rFonts w:asciiTheme="majorHAnsi" w:hAnsiTheme="majorHAnsi" w:cstheme="majorHAnsi"/>
          <w:b/>
          <w:szCs w:val="22"/>
        </w:rPr>
        <w:t>(-</w:t>
      </w:r>
      <w:r w:rsidR="0094024E" w:rsidRPr="000F70AD">
        <w:rPr>
          <w:rFonts w:asciiTheme="majorHAnsi" w:hAnsiTheme="majorHAnsi" w:cstheme="majorHAnsi"/>
          <w:b/>
          <w:szCs w:val="22"/>
        </w:rPr>
        <w:t>18</w:t>
      </w:r>
      <w:r w:rsidR="00BF0564">
        <w:rPr>
          <w:rFonts w:asciiTheme="majorHAnsi" w:hAnsiTheme="majorHAnsi" w:cstheme="majorHAnsi"/>
          <w:b/>
          <w:szCs w:val="22"/>
        </w:rPr>
        <w:t>.</w:t>
      </w:r>
      <w:r w:rsidR="0094024E" w:rsidRPr="000F70AD">
        <w:rPr>
          <w:rFonts w:asciiTheme="majorHAnsi" w:hAnsiTheme="majorHAnsi" w:cstheme="majorHAnsi"/>
          <w:b/>
          <w:szCs w:val="22"/>
        </w:rPr>
        <w:t>5</w:t>
      </w:r>
      <w:r w:rsidR="00793A4C" w:rsidRPr="000F70AD">
        <w:rPr>
          <w:rFonts w:asciiTheme="majorHAnsi" w:hAnsiTheme="majorHAnsi" w:cstheme="majorHAnsi"/>
          <w:b/>
          <w:szCs w:val="22"/>
        </w:rPr>
        <w:t>%)</w:t>
      </w:r>
    </w:p>
    <w:p w14:paraId="229837D0" w14:textId="1CD850FB" w:rsidR="00793A4C" w:rsidRPr="000F70AD" w:rsidRDefault="00793A4C" w:rsidP="00793A4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0F70AD">
        <w:rPr>
          <w:rFonts w:asciiTheme="majorHAnsi" w:hAnsiTheme="majorHAnsi" w:cstheme="majorHAnsi"/>
          <w:b/>
          <w:szCs w:val="22"/>
        </w:rPr>
        <w:t>EBIT</w:t>
      </w:r>
      <w:r w:rsidR="000F70AD" w:rsidRPr="000F70AD">
        <w:rPr>
          <w:rFonts w:asciiTheme="majorHAnsi" w:hAnsiTheme="majorHAnsi" w:cstheme="majorHAnsi"/>
          <w:b/>
          <w:szCs w:val="22"/>
        </w:rPr>
        <w:t xml:space="preserve"> margin</w:t>
      </w:r>
      <w:r w:rsidRPr="000F70AD">
        <w:rPr>
          <w:rFonts w:asciiTheme="majorHAnsi" w:hAnsiTheme="majorHAnsi" w:cstheme="majorHAnsi"/>
          <w:b/>
          <w:szCs w:val="22"/>
        </w:rPr>
        <w:t xml:space="preserve">* </w:t>
      </w:r>
      <w:r w:rsidR="000F70AD" w:rsidRPr="000F70AD">
        <w:rPr>
          <w:rFonts w:asciiTheme="majorHAnsi" w:hAnsiTheme="majorHAnsi" w:cstheme="majorHAnsi"/>
          <w:b/>
          <w:szCs w:val="22"/>
        </w:rPr>
        <w:t>at</w:t>
      </w:r>
      <w:r w:rsidRPr="000F70AD">
        <w:rPr>
          <w:rFonts w:asciiTheme="majorHAnsi" w:hAnsiTheme="majorHAnsi" w:cstheme="majorHAnsi"/>
          <w:b/>
          <w:szCs w:val="22"/>
        </w:rPr>
        <w:t xml:space="preserve"> 1</w:t>
      </w:r>
      <w:r w:rsidR="008B119F" w:rsidRPr="000F70AD">
        <w:rPr>
          <w:rFonts w:asciiTheme="majorHAnsi" w:hAnsiTheme="majorHAnsi" w:cstheme="majorHAnsi"/>
          <w:b/>
          <w:szCs w:val="22"/>
        </w:rPr>
        <w:t>0</w:t>
      </w:r>
      <w:r w:rsidR="000F70AD" w:rsidRPr="000F70AD">
        <w:rPr>
          <w:rFonts w:asciiTheme="majorHAnsi" w:hAnsiTheme="majorHAnsi" w:cstheme="majorHAnsi"/>
          <w:b/>
          <w:szCs w:val="22"/>
        </w:rPr>
        <w:t>.</w:t>
      </w:r>
      <w:r w:rsidR="008B119F" w:rsidRPr="000F70AD">
        <w:rPr>
          <w:rFonts w:asciiTheme="majorHAnsi" w:hAnsiTheme="majorHAnsi" w:cstheme="majorHAnsi"/>
          <w:b/>
          <w:szCs w:val="22"/>
        </w:rPr>
        <w:t>7</w:t>
      </w:r>
      <w:r w:rsidRPr="000F70AD">
        <w:rPr>
          <w:rFonts w:asciiTheme="majorHAnsi" w:hAnsiTheme="majorHAnsi" w:cstheme="majorHAnsi"/>
          <w:b/>
          <w:szCs w:val="22"/>
        </w:rPr>
        <w:t>% (-</w:t>
      </w:r>
      <w:r w:rsidR="00BB63A8" w:rsidRPr="000F70AD">
        <w:rPr>
          <w:rFonts w:asciiTheme="majorHAnsi" w:hAnsiTheme="majorHAnsi" w:cstheme="majorHAnsi"/>
          <w:b/>
          <w:szCs w:val="22"/>
        </w:rPr>
        <w:t>370</w:t>
      </w:r>
      <w:r w:rsidRPr="000F70AD">
        <w:rPr>
          <w:rFonts w:asciiTheme="majorHAnsi" w:hAnsiTheme="majorHAnsi" w:cstheme="majorHAnsi"/>
          <w:b/>
          <w:szCs w:val="22"/>
        </w:rPr>
        <w:t xml:space="preserve"> </w:t>
      </w:r>
      <w:r w:rsidR="000F70AD" w:rsidRPr="000F70AD">
        <w:rPr>
          <w:rFonts w:asciiTheme="majorHAnsi" w:hAnsiTheme="majorHAnsi" w:cstheme="majorHAnsi"/>
          <w:b/>
          <w:szCs w:val="22"/>
        </w:rPr>
        <w:t>basis points</w:t>
      </w:r>
      <w:r w:rsidRPr="000F70AD">
        <w:rPr>
          <w:rFonts w:asciiTheme="majorHAnsi" w:hAnsiTheme="majorHAnsi" w:cstheme="majorHAnsi"/>
          <w:b/>
          <w:szCs w:val="22"/>
        </w:rPr>
        <w:t>)</w:t>
      </w:r>
    </w:p>
    <w:p w14:paraId="44A1FE3B" w14:textId="6AD11058" w:rsidR="00793A4C" w:rsidRPr="000F70AD" w:rsidRDefault="00793A4C" w:rsidP="00793A4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0F70AD">
        <w:rPr>
          <w:rFonts w:asciiTheme="majorHAnsi" w:hAnsiTheme="majorHAnsi" w:cstheme="majorHAnsi"/>
          <w:b/>
          <w:szCs w:val="22"/>
        </w:rPr>
        <w:t>E</w:t>
      </w:r>
      <w:r w:rsidR="000F70AD" w:rsidRPr="000F70AD">
        <w:rPr>
          <w:rFonts w:asciiTheme="majorHAnsi" w:hAnsiTheme="majorHAnsi" w:cstheme="majorHAnsi"/>
          <w:b/>
          <w:szCs w:val="22"/>
        </w:rPr>
        <w:t>arnings per prefer</w:t>
      </w:r>
      <w:r w:rsidR="000F70AD">
        <w:rPr>
          <w:rFonts w:asciiTheme="majorHAnsi" w:hAnsiTheme="majorHAnsi" w:cstheme="majorHAnsi"/>
          <w:b/>
          <w:szCs w:val="22"/>
        </w:rPr>
        <w:t>r</w:t>
      </w:r>
      <w:r w:rsidR="000F70AD" w:rsidRPr="000F70AD">
        <w:rPr>
          <w:rFonts w:asciiTheme="majorHAnsi" w:hAnsiTheme="majorHAnsi" w:cstheme="majorHAnsi"/>
          <w:b/>
          <w:szCs w:val="22"/>
        </w:rPr>
        <w:t>ed share</w:t>
      </w:r>
      <w:r w:rsidRPr="000F70AD">
        <w:rPr>
          <w:rFonts w:asciiTheme="majorHAnsi" w:hAnsiTheme="majorHAnsi" w:cstheme="majorHAnsi"/>
          <w:b/>
          <w:szCs w:val="22"/>
        </w:rPr>
        <w:t xml:space="preserve"> (EPS)* </w:t>
      </w:r>
      <w:r w:rsidR="000F70AD" w:rsidRPr="000F70AD">
        <w:rPr>
          <w:rFonts w:asciiTheme="majorHAnsi" w:hAnsiTheme="majorHAnsi" w:cstheme="majorHAnsi"/>
          <w:b/>
          <w:szCs w:val="22"/>
        </w:rPr>
        <w:t>at</w:t>
      </w:r>
      <w:r w:rsidRPr="000F70AD">
        <w:rPr>
          <w:rFonts w:asciiTheme="majorHAnsi" w:hAnsiTheme="majorHAnsi" w:cstheme="majorHAnsi"/>
          <w:b/>
          <w:szCs w:val="22"/>
        </w:rPr>
        <w:t xml:space="preserve"> </w:t>
      </w:r>
      <w:r w:rsidR="00BB63A8" w:rsidRPr="000F70AD">
        <w:rPr>
          <w:rFonts w:asciiTheme="majorHAnsi" w:hAnsiTheme="majorHAnsi" w:cstheme="majorHAnsi"/>
          <w:b/>
          <w:szCs w:val="22"/>
        </w:rPr>
        <w:t>1</w:t>
      </w:r>
      <w:r w:rsidR="000F70AD" w:rsidRPr="000F70AD">
        <w:rPr>
          <w:rFonts w:asciiTheme="majorHAnsi" w:hAnsiTheme="majorHAnsi" w:cstheme="majorHAnsi"/>
          <w:b/>
          <w:szCs w:val="22"/>
        </w:rPr>
        <w:t>.</w:t>
      </w:r>
      <w:r w:rsidR="00BB63A8" w:rsidRPr="000F70AD">
        <w:rPr>
          <w:rFonts w:asciiTheme="majorHAnsi" w:hAnsiTheme="majorHAnsi" w:cstheme="majorHAnsi"/>
          <w:b/>
          <w:szCs w:val="22"/>
        </w:rPr>
        <w:t>95</w:t>
      </w:r>
      <w:r w:rsidR="008B119F" w:rsidRPr="000F70AD">
        <w:rPr>
          <w:rFonts w:asciiTheme="majorHAnsi" w:hAnsiTheme="majorHAnsi" w:cstheme="majorHAnsi"/>
          <w:b/>
          <w:szCs w:val="22"/>
        </w:rPr>
        <w:t xml:space="preserve"> </w:t>
      </w:r>
      <w:r w:rsidR="000F70AD">
        <w:rPr>
          <w:rFonts w:asciiTheme="majorHAnsi" w:hAnsiTheme="majorHAnsi" w:cstheme="majorHAnsi"/>
          <w:b/>
          <w:szCs w:val="22"/>
        </w:rPr>
        <w:t>euros</w:t>
      </w:r>
      <w:r w:rsidRPr="000F70AD">
        <w:rPr>
          <w:rFonts w:asciiTheme="majorHAnsi" w:hAnsiTheme="majorHAnsi" w:cstheme="majorHAnsi"/>
          <w:b/>
          <w:szCs w:val="22"/>
        </w:rPr>
        <w:t>, -</w:t>
      </w:r>
      <w:r w:rsidR="00BB63A8" w:rsidRPr="000F70AD">
        <w:rPr>
          <w:rFonts w:asciiTheme="majorHAnsi" w:hAnsiTheme="majorHAnsi" w:cstheme="majorHAnsi"/>
          <w:b/>
          <w:szCs w:val="22"/>
        </w:rPr>
        <w:t>20</w:t>
      </w:r>
      <w:r w:rsidR="000F70AD">
        <w:rPr>
          <w:rFonts w:asciiTheme="majorHAnsi" w:hAnsiTheme="majorHAnsi" w:cstheme="majorHAnsi"/>
          <w:b/>
          <w:szCs w:val="22"/>
        </w:rPr>
        <w:t>.</w:t>
      </w:r>
      <w:r w:rsidR="00BB63A8" w:rsidRPr="000F70AD">
        <w:rPr>
          <w:rFonts w:asciiTheme="majorHAnsi" w:hAnsiTheme="majorHAnsi" w:cstheme="majorHAnsi"/>
          <w:b/>
          <w:szCs w:val="22"/>
        </w:rPr>
        <w:t>8</w:t>
      </w:r>
      <w:r w:rsidRPr="000F70AD">
        <w:rPr>
          <w:rFonts w:asciiTheme="majorHAnsi" w:hAnsiTheme="majorHAnsi" w:cstheme="majorHAnsi"/>
          <w:b/>
          <w:szCs w:val="22"/>
        </w:rPr>
        <w:t xml:space="preserve">% </w:t>
      </w:r>
      <w:r w:rsidR="000F70AD">
        <w:rPr>
          <w:rFonts w:asciiTheme="majorHAnsi" w:hAnsiTheme="majorHAnsi" w:cstheme="majorHAnsi"/>
          <w:b/>
          <w:szCs w:val="22"/>
        </w:rPr>
        <w:t>at constant</w:t>
      </w:r>
      <w:r w:rsidRPr="000F70AD">
        <w:rPr>
          <w:rFonts w:asciiTheme="majorHAnsi" w:hAnsiTheme="majorHAnsi" w:cstheme="majorHAnsi"/>
          <w:b/>
          <w:szCs w:val="22"/>
        </w:rPr>
        <w:t xml:space="preserve"> </w:t>
      </w:r>
      <w:r w:rsidR="000F70AD">
        <w:rPr>
          <w:rFonts w:asciiTheme="majorHAnsi" w:hAnsiTheme="majorHAnsi" w:cstheme="majorHAnsi"/>
          <w:b/>
          <w:szCs w:val="22"/>
        </w:rPr>
        <w:t>exchange rates</w:t>
      </w:r>
    </w:p>
    <w:p w14:paraId="1DCB5E20" w14:textId="609CECCE" w:rsidR="00F5043C" w:rsidRPr="004C76C0" w:rsidRDefault="004C76C0" w:rsidP="00DE55CF">
      <w:pPr>
        <w:pStyle w:val="ListParagraph"/>
        <w:numPr>
          <w:ilvl w:val="0"/>
          <w:numId w:val="7"/>
        </w:numPr>
        <w:spacing w:after="80"/>
        <w:ind w:left="357" w:right="-108" w:hanging="357"/>
        <w:contextualSpacing w:val="0"/>
        <w:jc w:val="left"/>
        <w:rPr>
          <w:rFonts w:asciiTheme="majorHAnsi" w:hAnsiTheme="majorHAnsi" w:cstheme="majorHAnsi"/>
          <w:b/>
          <w:szCs w:val="22"/>
        </w:rPr>
      </w:pPr>
      <w:r w:rsidRPr="004C76C0">
        <w:rPr>
          <w:rFonts w:asciiTheme="majorHAnsi" w:hAnsiTheme="majorHAnsi" w:cstheme="majorHAnsi"/>
          <w:b/>
          <w:szCs w:val="22"/>
        </w:rPr>
        <w:t>Good progress in implementing the purposeful growth agenda and in merging the consumer businesses into Henkel Consumer Brands</w:t>
      </w:r>
    </w:p>
    <w:p w14:paraId="1741095F" w14:textId="2FB32806" w:rsidR="00391A5F" w:rsidRDefault="004C76C0" w:rsidP="00391A5F">
      <w:pPr>
        <w:pStyle w:val="ListParagraph"/>
        <w:numPr>
          <w:ilvl w:val="0"/>
          <w:numId w:val="7"/>
        </w:numPr>
        <w:spacing w:after="80"/>
        <w:ind w:left="357" w:right="-108" w:hanging="357"/>
        <w:contextualSpacing w:val="0"/>
        <w:jc w:val="left"/>
        <w:rPr>
          <w:rFonts w:asciiTheme="majorHAnsi" w:hAnsiTheme="majorHAnsi" w:cstheme="majorHAnsi"/>
          <w:b/>
          <w:szCs w:val="22"/>
          <w:lang w:val="de-DE"/>
        </w:rPr>
      </w:pPr>
      <w:r>
        <w:rPr>
          <w:rFonts w:asciiTheme="majorHAnsi" w:hAnsiTheme="majorHAnsi" w:cstheme="majorHAnsi"/>
          <w:b/>
          <w:szCs w:val="22"/>
          <w:lang w:val="de-DE"/>
        </w:rPr>
        <w:t>Outlook</w:t>
      </w:r>
      <w:r w:rsidR="00391A5F" w:rsidRPr="007B3805">
        <w:rPr>
          <w:rFonts w:asciiTheme="majorHAnsi" w:hAnsiTheme="majorHAnsi" w:cstheme="majorHAnsi"/>
          <w:b/>
          <w:szCs w:val="22"/>
          <w:lang w:val="de-DE"/>
        </w:rPr>
        <w:t xml:space="preserve"> f</w:t>
      </w:r>
      <w:r>
        <w:rPr>
          <w:rFonts w:asciiTheme="majorHAnsi" w:hAnsiTheme="majorHAnsi" w:cstheme="majorHAnsi"/>
          <w:b/>
          <w:szCs w:val="22"/>
          <w:lang w:val="de-DE"/>
        </w:rPr>
        <w:t>or fiscal</w:t>
      </w:r>
      <w:r w:rsidR="00391A5F" w:rsidRPr="007B3805">
        <w:rPr>
          <w:rFonts w:asciiTheme="majorHAnsi" w:hAnsiTheme="majorHAnsi" w:cstheme="majorHAnsi"/>
          <w:b/>
          <w:szCs w:val="22"/>
          <w:lang w:val="de-DE"/>
        </w:rPr>
        <w:t xml:space="preserve"> 202</w:t>
      </w:r>
      <w:r w:rsidR="00F5043C">
        <w:rPr>
          <w:rFonts w:asciiTheme="majorHAnsi" w:hAnsiTheme="majorHAnsi" w:cstheme="majorHAnsi"/>
          <w:b/>
          <w:szCs w:val="22"/>
          <w:lang w:val="de-DE"/>
        </w:rPr>
        <w:t>2</w:t>
      </w:r>
      <w:r w:rsidR="00391A5F" w:rsidRPr="007B3805">
        <w:rPr>
          <w:rFonts w:asciiTheme="majorHAnsi" w:hAnsiTheme="majorHAnsi" w:cstheme="majorHAnsi"/>
          <w:b/>
          <w:szCs w:val="22"/>
          <w:lang w:val="de-DE"/>
        </w:rPr>
        <w:t xml:space="preserve"> </w:t>
      </w:r>
      <w:r>
        <w:rPr>
          <w:rFonts w:asciiTheme="majorHAnsi" w:hAnsiTheme="majorHAnsi" w:cstheme="majorHAnsi"/>
          <w:b/>
          <w:szCs w:val="22"/>
          <w:lang w:val="de-DE"/>
        </w:rPr>
        <w:t>updated</w:t>
      </w:r>
      <w:r w:rsidR="004220F5">
        <w:rPr>
          <w:rFonts w:asciiTheme="majorHAnsi" w:hAnsiTheme="majorHAnsi" w:cstheme="majorHAnsi"/>
          <w:b/>
          <w:szCs w:val="22"/>
          <w:lang w:val="de-DE"/>
        </w:rPr>
        <w:t>:</w:t>
      </w:r>
    </w:p>
    <w:p w14:paraId="6481FFA1" w14:textId="73ED4590" w:rsidR="00F5043C" w:rsidRPr="004C76C0" w:rsidRDefault="00F5043C" w:rsidP="00F5043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4C76C0">
        <w:rPr>
          <w:rFonts w:asciiTheme="majorHAnsi" w:hAnsiTheme="majorHAnsi" w:cstheme="majorHAnsi"/>
          <w:b/>
          <w:szCs w:val="22"/>
        </w:rPr>
        <w:t>Organ</w:t>
      </w:r>
      <w:r w:rsidR="004C76C0" w:rsidRPr="004C76C0">
        <w:rPr>
          <w:rFonts w:asciiTheme="majorHAnsi" w:hAnsiTheme="majorHAnsi" w:cstheme="majorHAnsi"/>
          <w:b/>
          <w:szCs w:val="22"/>
        </w:rPr>
        <w:t>ic sales growth</w:t>
      </w:r>
      <w:r w:rsidR="00A41A4C" w:rsidRPr="004C76C0">
        <w:rPr>
          <w:rFonts w:asciiTheme="majorHAnsi" w:hAnsiTheme="majorHAnsi" w:cstheme="majorHAnsi"/>
          <w:b/>
          <w:szCs w:val="22"/>
        </w:rPr>
        <w:t xml:space="preserve">: </w:t>
      </w:r>
      <w:r w:rsidR="004C76C0" w:rsidRPr="004C76C0">
        <w:rPr>
          <w:rFonts w:asciiTheme="majorHAnsi" w:hAnsiTheme="majorHAnsi" w:cstheme="majorHAnsi"/>
          <w:b/>
          <w:szCs w:val="22"/>
        </w:rPr>
        <w:t>increased</w:t>
      </w:r>
      <w:r w:rsidR="00A41A4C" w:rsidRPr="004C76C0">
        <w:rPr>
          <w:rFonts w:asciiTheme="majorHAnsi" w:hAnsiTheme="majorHAnsi" w:cstheme="majorHAnsi"/>
          <w:b/>
          <w:szCs w:val="22"/>
        </w:rPr>
        <w:t xml:space="preserve"> </w:t>
      </w:r>
      <w:r w:rsidR="004C76C0">
        <w:rPr>
          <w:rFonts w:asciiTheme="majorHAnsi" w:hAnsiTheme="majorHAnsi" w:cstheme="majorHAnsi"/>
          <w:b/>
          <w:szCs w:val="22"/>
        </w:rPr>
        <w:t xml:space="preserve">to </w:t>
      </w:r>
      <w:r w:rsidRPr="004C76C0">
        <w:rPr>
          <w:rFonts w:asciiTheme="majorHAnsi" w:hAnsiTheme="majorHAnsi" w:cstheme="majorHAnsi"/>
          <w:b/>
          <w:szCs w:val="22"/>
        </w:rPr>
        <w:t>+</w:t>
      </w:r>
      <w:r w:rsidR="00A41A4C" w:rsidRPr="004C76C0">
        <w:rPr>
          <w:rFonts w:asciiTheme="majorHAnsi" w:hAnsiTheme="majorHAnsi" w:cstheme="majorHAnsi"/>
          <w:b/>
          <w:szCs w:val="22"/>
        </w:rPr>
        <w:t>4</w:t>
      </w:r>
      <w:r w:rsidR="004C76C0" w:rsidRPr="004C76C0">
        <w:rPr>
          <w:rFonts w:asciiTheme="majorHAnsi" w:hAnsiTheme="majorHAnsi" w:cstheme="majorHAnsi"/>
          <w:b/>
          <w:szCs w:val="22"/>
        </w:rPr>
        <w:t>.</w:t>
      </w:r>
      <w:r w:rsidRPr="004C76C0">
        <w:rPr>
          <w:rFonts w:asciiTheme="majorHAnsi" w:hAnsiTheme="majorHAnsi" w:cstheme="majorHAnsi"/>
          <w:b/>
          <w:szCs w:val="22"/>
        </w:rPr>
        <w:t xml:space="preserve">5 </w:t>
      </w:r>
      <w:r w:rsidR="004C76C0">
        <w:rPr>
          <w:rFonts w:asciiTheme="majorHAnsi" w:hAnsiTheme="majorHAnsi" w:cstheme="majorHAnsi"/>
          <w:b/>
          <w:szCs w:val="22"/>
        </w:rPr>
        <w:t>to</w:t>
      </w:r>
      <w:r w:rsidRPr="004C76C0">
        <w:rPr>
          <w:rFonts w:asciiTheme="majorHAnsi" w:hAnsiTheme="majorHAnsi" w:cstheme="majorHAnsi"/>
          <w:b/>
          <w:szCs w:val="22"/>
        </w:rPr>
        <w:t xml:space="preserve"> +</w:t>
      </w:r>
      <w:r w:rsidR="00A41A4C" w:rsidRPr="004C76C0">
        <w:rPr>
          <w:rFonts w:asciiTheme="majorHAnsi" w:hAnsiTheme="majorHAnsi" w:cstheme="majorHAnsi"/>
          <w:b/>
          <w:szCs w:val="22"/>
        </w:rPr>
        <w:t>6</w:t>
      </w:r>
      <w:r w:rsidR="004C76C0">
        <w:rPr>
          <w:rFonts w:asciiTheme="majorHAnsi" w:hAnsiTheme="majorHAnsi" w:cstheme="majorHAnsi"/>
          <w:b/>
          <w:szCs w:val="22"/>
        </w:rPr>
        <w:t>.</w:t>
      </w:r>
      <w:r w:rsidRPr="004C76C0">
        <w:rPr>
          <w:rFonts w:asciiTheme="majorHAnsi" w:hAnsiTheme="majorHAnsi" w:cstheme="majorHAnsi"/>
          <w:b/>
          <w:szCs w:val="22"/>
        </w:rPr>
        <w:t xml:space="preserve">5 </w:t>
      </w:r>
      <w:r w:rsidR="004C76C0">
        <w:rPr>
          <w:rFonts w:asciiTheme="majorHAnsi" w:hAnsiTheme="majorHAnsi" w:cstheme="majorHAnsi"/>
          <w:b/>
          <w:szCs w:val="22"/>
        </w:rPr>
        <w:t>percent</w:t>
      </w:r>
    </w:p>
    <w:p w14:paraId="6A38BDFE" w14:textId="31A75EDD" w:rsidR="00F5043C" w:rsidRPr="004C76C0" w:rsidRDefault="00F5043C" w:rsidP="00F5043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4C76C0">
        <w:rPr>
          <w:rFonts w:asciiTheme="majorHAnsi" w:hAnsiTheme="majorHAnsi" w:cstheme="majorHAnsi"/>
          <w:b/>
          <w:szCs w:val="22"/>
        </w:rPr>
        <w:t>EBIT</w:t>
      </w:r>
      <w:r w:rsidR="004C76C0">
        <w:rPr>
          <w:rFonts w:asciiTheme="majorHAnsi" w:hAnsiTheme="majorHAnsi" w:cstheme="majorHAnsi"/>
          <w:b/>
          <w:szCs w:val="22"/>
        </w:rPr>
        <w:t xml:space="preserve"> margin</w:t>
      </w:r>
      <w:r w:rsidRPr="004C76C0">
        <w:rPr>
          <w:rFonts w:asciiTheme="majorHAnsi" w:hAnsiTheme="majorHAnsi" w:cstheme="majorHAnsi"/>
          <w:b/>
          <w:szCs w:val="22"/>
        </w:rPr>
        <w:t xml:space="preserve">*: </w:t>
      </w:r>
      <w:r w:rsidR="00A41A4C" w:rsidRPr="004C76C0">
        <w:rPr>
          <w:rFonts w:asciiTheme="majorHAnsi" w:hAnsiTheme="majorHAnsi" w:cstheme="majorHAnsi"/>
          <w:b/>
          <w:szCs w:val="22"/>
        </w:rPr>
        <w:t>un</w:t>
      </w:r>
      <w:r w:rsidR="004C76C0" w:rsidRPr="004C76C0">
        <w:rPr>
          <w:rFonts w:asciiTheme="majorHAnsi" w:hAnsiTheme="majorHAnsi" w:cstheme="majorHAnsi"/>
          <w:b/>
          <w:szCs w:val="22"/>
        </w:rPr>
        <w:t>changed</w:t>
      </w:r>
      <w:r w:rsidR="00A41A4C" w:rsidRPr="004C76C0">
        <w:rPr>
          <w:rFonts w:asciiTheme="majorHAnsi" w:hAnsiTheme="majorHAnsi" w:cstheme="majorHAnsi"/>
          <w:b/>
          <w:szCs w:val="22"/>
        </w:rPr>
        <w:t xml:space="preserve"> </w:t>
      </w:r>
      <w:r w:rsidR="004C76C0" w:rsidRPr="004C76C0">
        <w:rPr>
          <w:rFonts w:asciiTheme="majorHAnsi" w:hAnsiTheme="majorHAnsi" w:cstheme="majorHAnsi"/>
          <w:b/>
          <w:szCs w:val="22"/>
        </w:rPr>
        <w:t>at</w:t>
      </w:r>
      <w:r w:rsidRPr="004C76C0">
        <w:rPr>
          <w:rFonts w:asciiTheme="majorHAnsi" w:hAnsiTheme="majorHAnsi" w:cstheme="majorHAnsi"/>
          <w:b/>
          <w:szCs w:val="22"/>
        </w:rPr>
        <w:t xml:space="preserve"> 9</w:t>
      </w:r>
      <w:r w:rsidR="004C76C0" w:rsidRPr="004C76C0">
        <w:rPr>
          <w:rFonts w:asciiTheme="majorHAnsi" w:hAnsiTheme="majorHAnsi" w:cstheme="majorHAnsi"/>
          <w:b/>
          <w:szCs w:val="22"/>
        </w:rPr>
        <w:t>.</w:t>
      </w:r>
      <w:r w:rsidRPr="004C76C0">
        <w:rPr>
          <w:rFonts w:asciiTheme="majorHAnsi" w:hAnsiTheme="majorHAnsi" w:cstheme="majorHAnsi"/>
          <w:b/>
          <w:szCs w:val="22"/>
        </w:rPr>
        <w:t xml:space="preserve">0 </w:t>
      </w:r>
      <w:r w:rsidR="004C76C0">
        <w:rPr>
          <w:rFonts w:asciiTheme="majorHAnsi" w:hAnsiTheme="majorHAnsi" w:cstheme="majorHAnsi"/>
          <w:b/>
          <w:szCs w:val="22"/>
        </w:rPr>
        <w:t>to</w:t>
      </w:r>
      <w:r w:rsidRPr="004C76C0">
        <w:rPr>
          <w:rFonts w:asciiTheme="majorHAnsi" w:hAnsiTheme="majorHAnsi" w:cstheme="majorHAnsi"/>
          <w:b/>
          <w:szCs w:val="22"/>
        </w:rPr>
        <w:t xml:space="preserve"> 11</w:t>
      </w:r>
      <w:r w:rsidR="004C76C0" w:rsidRPr="004C76C0">
        <w:rPr>
          <w:rFonts w:asciiTheme="majorHAnsi" w:hAnsiTheme="majorHAnsi" w:cstheme="majorHAnsi"/>
          <w:b/>
          <w:szCs w:val="22"/>
        </w:rPr>
        <w:t>.</w:t>
      </w:r>
      <w:r w:rsidRPr="004C76C0">
        <w:rPr>
          <w:rFonts w:asciiTheme="majorHAnsi" w:hAnsiTheme="majorHAnsi" w:cstheme="majorHAnsi"/>
          <w:b/>
          <w:szCs w:val="22"/>
        </w:rPr>
        <w:t xml:space="preserve">0 </w:t>
      </w:r>
      <w:r w:rsidR="004C76C0" w:rsidRPr="004C76C0">
        <w:rPr>
          <w:rFonts w:asciiTheme="majorHAnsi" w:hAnsiTheme="majorHAnsi" w:cstheme="majorHAnsi"/>
          <w:b/>
          <w:szCs w:val="22"/>
        </w:rPr>
        <w:t>per</w:t>
      </w:r>
      <w:r w:rsidR="004C76C0">
        <w:rPr>
          <w:rFonts w:asciiTheme="majorHAnsi" w:hAnsiTheme="majorHAnsi" w:cstheme="majorHAnsi"/>
          <w:b/>
          <w:szCs w:val="22"/>
        </w:rPr>
        <w:t>cent</w:t>
      </w:r>
    </w:p>
    <w:p w14:paraId="34CDF95F" w14:textId="08B63ACF" w:rsidR="0001002C" w:rsidRPr="000A23CD" w:rsidRDefault="00F5043C" w:rsidP="000A23CD">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0A23CD">
        <w:rPr>
          <w:rFonts w:asciiTheme="majorHAnsi" w:hAnsiTheme="majorHAnsi" w:cstheme="majorHAnsi"/>
          <w:b/>
          <w:szCs w:val="22"/>
        </w:rPr>
        <w:t>E</w:t>
      </w:r>
      <w:r w:rsidR="00D738B2" w:rsidRPr="000A23CD">
        <w:rPr>
          <w:rFonts w:asciiTheme="majorHAnsi" w:hAnsiTheme="majorHAnsi" w:cstheme="majorHAnsi"/>
          <w:b/>
          <w:szCs w:val="22"/>
        </w:rPr>
        <w:t>arnings per preferred share</w:t>
      </w:r>
      <w:r w:rsidRPr="000A23CD">
        <w:rPr>
          <w:rFonts w:asciiTheme="majorHAnsi" w:hAnsiTheme="majorHAnsi" w:cstheme="majorHAnsi"/>
          <w:b/>
          <w:szCs w:val="22"/>
        </w:rPr>
        <w:t xml:space="preserve"> (EPS)* </w:t>
      </w:r>
      <w:r w:rsidR="00D738B2" w:rsidRPr="000A23CD">
        <w:rPr>
          <w:rFonts w:asciiTheme="majorHAnsi" w:hAnsiTheme="majorHAnsi" w:cstheme="majorHAnsi"/>
          <w:b/>
          <w:szCs w:val="22"/>
        </w:rPr>
        <w:t>at constant exchange rates</w:t>
      </w:r>
      <w:r w:rsidRPr="000A23CD">
        <w:rPr>
          <w:rFonts w:asciiTheme="majorHAnsi" w:hAnsiTheme="majorHAnsi" w:cstheme="majorHAnsi"/>
          <w:b/>
          <w:szCs w:val="22"/>
        </w:rPr>
        <w:t>:</w:t>
      </w:r>
      <w:r w:rsidR="00D56358" w:rsidRPr="000A23CD">
        <w:rPr>
          <w:rFonts w:asciiTheme="majorHAnsi" w:hAnsiTheme="majorHAnsi" w:cstheme="majorHAnsi"/>
          <w:b/>
          <w:szCs w:val="22"/>
        </w:rPr>
        <w:t xml:space="preserve"> </w:t>
      </w:r>
      <w:r w:rsidR="000A23CD" w:rsidRPr="00D47B66">
        <w:rPr>
          <w:rFonts w:asciiTheme="majorHAnsi" w:hAnsiTheme="majorHAnsi" w:cstheme="majorHAnsi"/>
          <w:b/>
          <w:szCs w:val="22"/>
        </w:rPr>
        <w:t>unchan</w:t>
      </w:r>
      <w:r w:rsidR="000A23CD" w:rsidRPr="000A23CD">
        <w:rPr>
          <w:rFonts w:asciiTheme="majorHAnsi" w:hAnsiTheme="majorHAnsi" w:cstheme="majorHAnsi"/>
          <w:b/>
          <w:szCs w:val="22"/>
        </w:rPr>
        <w:t xml:space="preserve">ged a decline in the range of -35 to -15 </w:t>
      </w:r>
      <w:r w:rsidR="000A23CD">
        <w:rPr>
          <w:rFonts w:asciiTheme="majorHAnsi" w:hAnsiTheme="majorHAnsi" w:cstheme="majorHAnsi"/>
          <w:b/>
          <w:szCs w:val="22"/>
        </w:rPr>
        <w:t>percent</w:t>
      </w:r>
    </w:p>
    <w:p w14:paraId="2F609B08" w14:textId="77777777" w:rsidR="000A23CD" w:rsidRDefault="000A23CD" w:rsidP="00D56358">
      <w:pPr>
        <w:rPr>
          <w:rFonts w:cs="Segoe UI"/>
          <w:b/>
          <w:bCs/>
          <w:szCs w:val="22"/>
        </w:rPr>
      </w:pPr>
    </w:p>
    <w:p w14:paraId="63BC1C39" w14:textId="5C49C829" w:rsidR="00D56358" w:rsidRPr="00D56358" w:rsidRDefault="0001002C" w:rsidP="00D56358">
      <w:pPr>
        <w:rPr>
          <w:rFonts w:cs="Segoe UI"/>
          <w:b/>
          <w:bCs/>
          <w:szCs w:val="22"/>
        </w:rPr>
      </w:pPr>
      <w:r w:rsidRPr="00D56358">
        <w:rPr>
          <w:rFonts w:cs="Segoe UI"/>
          <w:b/>
          <w:bCs/>
          <w:szCs w:val="22"/>
        </w:rPr>
        <w:t>Düsseldorf –</w:t>
      </w:r>
      <w:bookmarkStart w:id="1" w:name="_Hlk109033326"/>
      <w:r w:rsidR="004B7CCC" w:rsidRPr="00D56358">
        <w:rPr>
          <w:rFonts w:cs="Segoe UI"/>
          <w:b/>
          <w:bCs/>
          <w:szCs w:val="22"/>
        </w:rPr>
        <w:t xml:space="preserve"> </w:t>
      </w:r>
      <w:bookmarkEnd w:id="0"/>
      <w:bookmarkEnd w:id="1"/>
      <w:r w:rsidR="00D56358">
        <w:rPr>
          <w:rFonts w:cs="Segoe UI"/>
          <w:b/>
          <w:bCs/>
          <w:szCs w:val="22"/>
        </w:rPr>
        <w:t>I</w:t>
      </w:r>
      <w:r w:rsidR="00D56358" w:rsidRPr="00D56358">
        <w:rPr>
          <w:rFonts w:cs="Segoe UI"/>
          <w:b/>
          <w:bCs/>
          <w:szCs w:val="22"/>
        </w:rPr>
        <w:t>n the first half of 2022</w:t>
      </w:r>
      <w:r w:rsidR="00BF0564">
        <w:rPr>
          <w:rFonts w:cs="Segoe UI"/>
          <w:b/>
          <w:bCs/>
          <w:szCs w:val="22"/>
        </w:rPr>
        <w:t>,</w:t>
      </w:r>
      <w:r w:rsidR="00D56358">
        <w:rPr>
          <w:rFonts w:cs="Segoe UI"/>
          <w:b/>
          <w:bCs/>
          <w:szCs w:val="22"/>
        </w:rPr>
        <w:t xml:space="preserve"> </w:t>
      </w:r>
      <w:r w:rsidR="00D56358" w:rsidRPr="00D56358">
        <w:rPr>
          <w:rFonts w:cs="Segoe UI"/>
          <w:b/>
          <w:bCs/>
          <w:szCs w:val="22"/>
        </w:rPr>
        <w:t xml:space="preserve">Henkel </w:t>
      </w:r>
      <w:r w:rsidR="004125D4">
        <w:rPr>
          <w:rFonts w:cs="Segoe UI"/>
          <w:b/>
          <w:bCs/>
          <w:szCs w:val="22"/>
        </w:rPr>
        <w:t>increased</w:t>
      </w:r>
      <w:r w:rsidR="00D56358" w:rsidRPr="00D56358">
        <w:rPr>
          <w:rFonts w:cs="Segoe UI"/>
          <w:b/>
          <w:bCs/>
          <w:szCs w:val="22"/>
        </w:rPr>
        <w:t xml:space="preserve"> Group sales to around 10.9 billion euros. This corresponds to significant organic sales growth of +8.9 percent. Th</w:t>
      </w:r>
      <w:r w:rsidR="004125D4">
        <w:rPr>
          <w:rFonts w:cs="Segoe UI"/>
          <w:b/>
          <w:bCs/>
          <w:szCs w:val="22"/>
        </w:rPr>
        <w:t>is</w:t>
      </w:r>
      <w:r w:rsidR="00D56358" w:rsidRPr="00D56358">
        <w:rPr>
          <w:rFonts w:cs="Segoe UI"/>
          <w:b/>
          <w:bCs/>
          <w:szCs w:val="22"/>
        </w:rPr>
        <w:t xml:space="preserve"> </w:t>
      </w:r>
      <w:r w:rsidR="00C43087">
        <w:rPr>
          <w:rFonts w:cs="Segoe UI"/>
          <w:b/>
          <w:bCs/>
          <w:szCs w:val="22"/>
        </w:rPr>
        <w:t xml:space="preserve">positive </w:t>
      </w:r>
      <w:r w:rsidR="004125D4">
        <w:rPr>
          <w:rFonts w:cs="Segoe UI"/>
          <w:b/>
          <w:bCs/>
          <w:szCs w:val="22"/>
        </w:rPr>
        <w:t xml:space="preserve">development </w:t>
      </w:r>
      <w:r w:rsidR="00D56358" w:rsidRPr="00D56358">
        <w:rPr>
          <w:rFonts w:cs="Segoe UI"/>
          <w:b/>
          <w:bCs/>
          <w:szCs w:val="22"/>
        </w:rPr>
        <w:t xml:space="preserve">was driven by all business units and regions. As expected, the earnings in the first half of the year </w:t>
      </w:r>
      <w:r w:rsidR="004125D4">
        <w:rPr>
          <w:rFonts w:cs="Segoe UI"/>
          <w:b/>
          <w:bCs/>
          <w:szCs w:val="22"/>
        </w:rPr>
        <w:t>were</w:t>
      </w:r>
      <w:r w:rsidR="004125D4" w:rsidRPr="00D56358">
        <w:rPr>
          <w:rFonts w:cs="Segoe UI"/>
          <w:b/>
          <w:bCs/>
          <w:szCs w:val="22"/>
        </w:rPr>
        <w:t xml:space="preserve"> </w:t>
      </w:r>
      <w:r w:rsidR="00D56358" w:rsidRPr="00D56358">
        <w:rPr>
          <w:rFonts w:cs="Segoe UI"/>
          <w:b/>
          <w:bCs/>
          <w:szCs w:val="22"/>
        </w:rPr>
        <w:t xml:space="preserve">impacted by the </w:t>
      </w:r>
      <w:r w:rsidR="004423B1">
        <w:rPr>
          <w:rFonts w:cs="Segoe UI"/>
          <w:b/>
          <w:bCs/>
          <w:szCs w:val="22"/>
        </w:rPr>
        <w:t>drastic</w:t>
      </w:r>
      <w:r w:rsidR="00D56358" w:rsidRPr="00D56358">
        <w:rPr>
          <w:rFonts w:cs="Segoe UI"/>
          <w:b/>
          <w:bCs/>
          <w:szCs w:val="22"/>
        </w:rPr>
        <w:t xml:space="preserve"> rise in material and logistics prices. Despite </w:t>
      </w:r>
      <w:r w:rsidR="00B953F9">
        <w:rPr>
          <w:rFonts w:cs="Segoe UI"/>
          <w:b/>
          <w:bCs/>
          <w:szCs w:val="22"/>
        </w:rPr>
        <w:t xml:space="preserve">significant </w:t>
      </w:r>
      <w:r w:rsidR="00D56358" w:rsidRPr="00D56358">
        <w:rPr>
          <w:rFonts w:cs="Segoe UI"/>
          <w:b/>
          <w:bCs/>
          <w:szCs w:val="22"/>
        </w:rPr>
        <w:t xml:space="preserve">price increases, strict cost management and further efficiency improvements </w:t>
      </w:r>
      <w:r w:rsidR="00503762" w:rsidRPr="00D56358">
        <w:rPr>
          <w:rFonts w:cs="Segoe UI"/>
          <w:b/>
          <w:bCs/>
          <w:szCs w:val="22"/>
        </w:rPr>
        <w:t xml:space="preserve">these effects </w:t>
      </w:r>
      <w:r w:rsidR="00503762">
        <w:rPr>
          <w:rFonts w:cs="Segoe UI"/>
          <w:b/>
          <w:bCs/>
          <w:szCs w:val="22"/>
        </w:rPr>
        <w:t xml:space="preserve">could not fully be </w:t>
      </w:r>
      <w:r w:rsidR="00D56358" w:rsidRPr="00D56358">
        <w:rPr>
          <w:rFonts w:cs="Segoe UI"/>
          <w:b/>
          <w:bCs/>
          <w:szCs w:val="22"/>
        </w:rPr>
        <w:t>compensate</w:t>
      </w:r>
      <w:r w:rsidR="00503762">
        <w:rPr>
          <w:rFonts w:cs="Segoe UI"/>
          <w:b/>
          <w:bCs/>
          <w:szCs w:val="22"/>
        </w:rPr>
        <w:t>d</w:t>
      </w:r>
      <w:r w:rsidR="00D56358" w:rsidRPr="00D56358">
        <w:rPr>
          <w:rFonts w:cs="Segoe UI"/>
          <w:b/>
          <w:bCs/>
          <w:szCs w:val="22"/>
        </w:rPr>
        <w:t>.</w:t>
      </w:r>
    </w:p>
    <w:p w14:paraId="00BBEF75" w14:textId="13E625F0" w:rsidR="004C034F" w:rsidRPr="00D56358" w:rsidRDefault="002002AB" w:rsidP="004B7CCC">
      <w:pPr>
        <w:rPr>
          <w:rFonts w:cs="Segoe UI"/>
          <w:b/>
          <w:bCs/>
          <w:szCs w:val="22"/>
        </w:rPr>
      </w:pPr>
      <w:r w:rsidRPr="00B34F1F">
        <w:rPr>
          <w:rFonts w:asciiTheme="majorHAnsi" w:hAnsiTheme="majorHAnsi" w:cstheme="majorHAnsi"/>
          <w:noProof/>
          <w:sz w:val="24"/>
        </w:rPr>
        <mc:AlternateContent>
          <mc:Choice Requires="wps">
            <w:drawing>
              <wp:anchor distT="45720" distB="45720" distL="114300" distR="114300" simplePos="0" relativeHeight="251661312" behindDoc="0" locked="0" layoutInCell="1" allowOverlap="1" wp14:anchorId="47DC80B1" wp14:editId="0924717E">
                <wp:simplePos x="0" y="0"/>
                <wp:positionH relativeFrom="margin">
                  <wp:posOffset>-60960</wp:posOffset>
                </wp:positionH>
                <wp:positionV relativeFrom="paragraph">
                  <wp:posOffset>666750</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D2642" w14:textId="3B45C933" w:rsidR="0001002C" w:rsidRPr="006260F9" w:rsidRDefault="0001002C" w:rsidP="00044E68">
                            <w:pPr>
                              <w:autoSpaceDE w:val="0"/>
                              <w:autoSpaceDN w:val="0"/>
                              <w:adjustRightInd w:val="0"/>
                              <w:spacing w:after="60" w:line="240" w:lineRule="auto"/>
                              <w:rPr>
                                <w:sz w:val="16"/>
                                <w:szCs w:val="16"/>
                              </w:rPr>
                            </w:pPr>
                            <w:r w:rsidRPr="006260F9">
                              <w:rPr>
                                <w:sz w:val="16"/>
                                <w:szCs w:val="16"/>
                              </w:rPr>
                              <w:t xml:space="preserve">* </w:t>
                            </w:r>
                            <w:r w:rsidR="006260F9" w:rsidRPr="006260F9">
                              <w:rPr>
                                <w:rFonts w:ascii="SegoeUI" w:hAnsi="SegoeUI" w:cs="SegoeUI"/>
                                <w:sz w:val="16"/>
                                <w:szCs w:val="16"/>
                              </w:rPr>
                              <w:t>Adjusted for one-time expenses and income, and for restructuring expenses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C80B1" id="_x0000_t202" coordsize="21600,21600" o:spt="202" path="m,l,21600r21600,l21600,xe">
                <v:stroke joinstyle="miter"/>
                <v:path gradientshapeok="t" o:connecttype="rect"/>
              </v:shapetype>
              <v:shape id="Textfeld 8" o:spid="_x0000_s1026" type="#_x0000_t202" style="position:absolute;left:0;text-align:left;margin-left:-4.8pt;margin-top:52.5pt;width:423.25pt;height:2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" stroked="f">
                <v:textbox>
                  <w:txbxContent>
                    <w:p w14:paraId="384D2642" w14:textId="3B45C933" w:rsidR="0001002C" w:rsidRPr="006260F9" w:rsidRDefault="0001002C" w:rsidP="00044E68">
                      <w:pPr>
                        <w:autoSpaceDE w:val="0"/>
                        <w:autoSpaceDN w:val="0"/>
                        <w:adjustRightInd w:val="0"/>
                        <w:spacing w:after="60" w:line="240" w:lineRule="auto"/>
                        <w:rPr>
                          <w:sz w:val="16"/>
                          <w:szCs w:val="16"/>
                        </w:rPr>
                      </w:pPr>
                      <w:r w:rsidRPr="006260F9">
                        <w:rPr>
                          <w:sz w:val="16"/>
                          <w:szCs w:val="16"/>
                        </w:rPr>
                        <w:t xml:space="preserve">* </w:t>
                      </w:r>
                      <w:r w:rsidR="006260F9" w:rsidRPr="006260F9">
                        <w:rPr>
                          <w:rFonts w:ascii="SegoeUI" w:hAnsi="SegoeUI" w:cs="SegoeUI"/>
                          <w:sz w:val="16"/>
                          <w:szCs w:val="16"/>
                        </w:rPr>
                        <w:t>Adjusted for one-time expenses and income, and for restructuring expenses</w:t>
                      </w:r>
                    </w:p>
                  </w:txbxContent>
                </v:textbox>
                <w10:wrap anchorx="margin"/>
              </v:shape>
            </w:pict>
          </mc:Fallback>
        </mc:AlternateContent>
      </w:r>
    </w:p>
    <w:p w14:paraId="798E4490" w14:textId="23D3C928" w:rsidR="004B7CCC" w:rsidRPr="00435150" w:rsidRDefault="00435150" w:rsidP="004B7CCC">
      <w:pPr>
        <w:rPr>
          <w:rFonts w:cs="Segoe UI"/>
          <w:b/>
          <w:bCs/>
          <w:szCs w:val="22"/>
        </w:rPr>
      </w:pPr>
      <w:r>
        <w:rPr>
          <w:rFonts w:cs="Segoe UI"/>
          <w:b/>
          <w:bCs/>
          <w:szCs w:val="22"/>
        </w:rPr>
        <w:lastRenderedPageBreak/>
        <w:t>“</w:t>
      </w:r>
      <w:r w:rsidR="0084201F">
        <w:rPr>
          <w:rFonts w:cs="Segoe UI"/>
          <w:b/>
          <w:bCs/>
          <w:szCs w:val="22"/>
        </w:rPr>
        <w:t xml:space="preserve">In </w:t>
      </w:r>
      <w:r w:rsidR="0013225D" w:rsidRPr="00435150">
        <w:rPr>
          <w:rFonts w:cs="Segoe UI"/>
          <w:b/>
          <w:bCs/>
          <w:szCs w:val="22"/>
        </w:rPr>
        <w:t>a</w:t>
      </w:r>
      <w:r w:rsidRPr="00435150">
        <w:rPr>
          <w:rFonts w:cs="Segoe UI"/>
          <w:b/>
          <w:bCs/>
          <w:szCs w:val="22"/>
        </w:rPr>
        <w:t xml:space="preserve"> </w:t>
      </w:r>
      <w:r w:rsidR="004125D4">
        <w:rPr>
          <w:rFonts w:cs="Segoe UI"/>
          <w:b/>
          <w:bCs/>
          <w:szCs w:val="22"/>
        </w:rPr>
        <w:t>very</w:t>
      </w:r>
      <w:r w:rsidR="004125D4" w:rsidRPr="00435150">
        <w:rPr>
          <w:rFonts w:cs="Segoe UI"/>
          <w:b/>
          <w:bCs/>
          <w:szCs w:val="22"/>
        </w:rPr>
        <w:t xml:space="preserve"> </w:t>
      </w:r>
      <w:r w:rsidR="004423B1">
        <w:rPr>
          <w:rFonts w:cs="Segoe UI"/>
          <w:b/>
          <w:bCs/>
          <w:szCs w:val="22"/>
        </w:rPr>
        <w:t>challenging</w:t>
      </w:r>
      <w:r w:rsidRPr="00435150">
        <w:rPr>
          <w:rFonts w:cs="Segoe UI"/>
          <w:b/>
          <w:bCs/>
          <w:szCs w:val="22"/>
        </w:rPr>
        <w:t xml:space="preserve"> environment, sales performance in the first six months exceeded </w:t>
      </w:r>
      <w:r w:rsidR="00A11B1B">
        <w:rPr>
          <w:rFonts w:cs="Segoe UI"/>
          <w:b/>
          <w:bCs/>
          <w:szCs w:val="22"/>
        </w:rPr>
        <w:t>the</w:t>
      </w:r>
      <w:r w:rsidRPr="00435150">
        <w:rPr>
          <w:rFonts w:cs="Segoe UI"/>
          <w:b/>
          <w:bCs/>
          <w:szCs w:val="22"/>
        </w:rPr>
        <w:t xml:space="preserve"> previous expectations for the full year</w:t>
      </w:r>
      <w:r w:rsidR="004125D4">
        <w:rPr>
          <w:rFonts w:cs="Segoe UI"/>
          <w:b/>
          <w:bCs/>
          <w:szCs w:val="22"/>
        </w:rPr>
        <w:t>, while ea</w:t>
      </w:r>
      <w:r w:rsidRPr="00435150">
        <w:rPr>
          <w:rFonts w:cs="Segoe UI"/>
          <w:b/>
          <w:bCs/>
          <w:szCs w:val="22"/>
        </w:rPr>
        <w:t>rnings developed in line with our Group guidance for fiscal 2022. In view of th</w:t>
      </w:r>
      <w:r w:rsidR="00503762">
        <w:rPr>
          <w:rFonts w:cs="Segoe UI"/>
          <w:b/>
          <w:bCs/>
          <w:szCs w:val="22"/>
        </w:rPr>
        <w:t>is</w:t>
      </w:r>
      <w:r w:rsidRPr="00435150">
        <w:rPr>
          <w:rFonts w:cs="Segoe UI"/>
          <w:b/>
          <w:bCs/>
          <w:szCs w:val="22"/>
        </w:rPr>
        <w:t xml:space="preserve"> development, we have raised our full-year guidance for organic sales growth for the Group and confirmed </w:t>
      </w:r>
      <w:r w:rsidR="00503762">
        <w:rPr>
          <w:rFonts w:cs="Segoe UI"/>
          <w:b/>
          <w:bCs/>
          <w:szCs w:val="22"/>
        </w:rPr>
        <w:t>our guidance</w:t>
      </w:r>
      <w:r w:rsidR="00810E17">
        <w:rPr>
          <w:rFonts w:cs="Segoe UI"/>
          <w:b/>
          <w:bCs/>
          <w:szCs w:val="22"/>
        </w:rPr>
        <w:t xml:space="preserve"> for the EBIT margin and earnings per preferred share</w:t>
      </w:r>
      <w:r>
        <w:rPr>
          <w:rFonts w:cs="Segoe UI"/>
          <w:b/>
          <w:bCs/>
          <w:szCs w:val="22"/>
        </w:rPr>
        <w:t>”</w:t>
      </w:r>
      <w:r w:rsidR="00044E68" w:rsidRPr="00435150">
        <w:rPr>
          <w:rFonts w:cs="Segoe UI"/>
          <w:b/>
          <w:bCs/>
          <w:szCs w:val="22"/>
        </w:rPr>
        <w:t>,</w:t>
      </w:r>
      <w:r w:rsidR="004B7CCC" w:rsidRPr="00435150">
        <w:rPr>
          <w:rFonts w:cs="Segoe UI"/>
          <w:b/>
          <w:bCs/>
          <w:szCs w:val="22"/>
        </w:rPr>
        <w:t xml:space="preserve"> sa</w:t>
      </w:r>
      <w:r>
        <w:rPr>
          <w:rFonts w:cs="Segoe UI"/>
          <w:b/>
          <w:bCs/>
          <w:szCs w:val="22"/>
        </w:rPr>
        <w:t>id</w:t>
      </w:r>
      <w:r w:rsidR="004B7CCC" w:rsidRPr="00435150">
        <w:rPr>
          <w:rFonts w:cs="Segoe UI"/>
          <w:b/>
          <w:bCs/>
          <w:szCs w:val="22"/>
        </w:rPr>
        <w:t xml:space="preserve"> </w:t>
      </w:r>
      <w:r w:rsidRPr="00435150">
        <w:rPr>
          <w:rFonts w:cs="Segoe UI"/>
          <w:b/>
          <w:bCs/>
          <w:szCs w:val="22"/>
        </w:rPr>
        <w:t>Henkel</w:t>
      </w:r>
      <w:r>
        <w:rPr>
          <w:rFonts w:cs="Segoe UI"/>
          <w:b/>
          <w:bCs/>
          <w:szCs w:val="22"/>
        </w:rPr>
        <w:t xml:space="preserve"> CEO</w:t>
      </w:r>
      <w:r w:rsidRPr="00435150">
        <w:rPr>
          <w:rFonts w:cs="Segoe UI"/>
          <w:b/>
          <w:bCs/>
          <w:szCs w:val="22"/>
        </w:rPr>
        <w:t xml:space="preserve"> </w:t>
      </w:r>
      <w:r w:rsidR="004B7CCC" w:rsidRPr="00435150">
        <w:rPr>
          <w:rFonts w:cs="Segoe UI"/>
          <w:b/>
          <w:bCs/>
          <w:szCs w:val="22"/>
        </w:rPr>
        <w:t xml:space="preserve">Carsten </w:t>
      </w:r>
      <w:proofErr w:type="spellStart"/>
      <w:r w:rsidR="004B7CCC" w:rsidRPr="00435150">
        <w:rPr>
          <w:rFonts w:cs="Segoe UI"/>
          <w:b/>
          <w:bCs/>
          <w:szCs w:val="22"/>
        </w:rPr>
        <w:t>Knobel</w:t>
      </w:r>
      <w:proofErr w:type="spellEnd"/>
      <w:r>
        <w:rPr>
          <w:rFonts w:cs="Segoe UI"/>
          <w:b/>
          <w:bCs/>
          <w:szCs w:val="22"/>
        </w:rPr>
        <w:t>.</w:t>
      </w:r>
    </w:p>
    <w:p w14:paraId="5AEA3269" w14:textId="77777777" w:rsidR="004B7CCC" w:rsidRPr="00435150" w:rsidRDefault="004B7CCC" w:rsidP="004B7CCC">
      <w:pPr>
        <w:rPr>
          <w:rFonts w:cs="Segoe UI"/>
          <w:b/>
          <w:bCs/>
          <w:szCs w:val="22"/>
        </w:rPr>
      </w:pPr>
    </w:p>
    <w:p w14:paraId="26C96FBA" w14:textId="6018F7E0" w:rsidR="004B7CCC" w:rsidRPr="00DA4D27" w:rsidRDefault="00DA4D27" w:rsidP="00DA4D27">
      <w:pPr>
        <w:rPr>
          <w:rFonts w:cs="Segoe UI"/>
          <w:b/>
          <w:bCs/>
          <w:szCs w:val="22"/>
        </w:rPr>
      </w:pPr>
      <w:r>
        <w:rPr>
          <w:rFonts w:cs="Segoe UI"/>
          <w:b/>
          <w:bCs/>
          <w:szCs w:val="22"/>
        </w:rPr>
        <w:t>“</w:t>
      </w:r>
      <w:r w:rsidR="00810E17">
        <w:rPr>
          <w:rFonts w:cs="Segoe UI"/>
          <w:b/>
          <w:bCs/>
          <w:szCs w:val="22"/>
        </w:rPr>
        <w:t>W</w:t>
      </w:r>
      <w:r w:rsidRPr="00DA4D27">
        <w:rPr>
          <w:rFonts w:cs="Segoe UI"/>
          <w:b/>
          <w:bCs/>
          <w:szCs w:val="22"/>
        </w:rPr>
        <w:t xml:space="preserve">e are consistently </w:t>
      </w:r>
      <w:r w:rsidR="004125D4">
        <w:rPr>
          <w:rFonts w:cs="Segoe UI"/>
          <w:b/>
          <w:bCs/>
          <w:szCs w:val="22"/>
        </w:rPr>
        <w:t>advancing</w:t>
      </w:r>
      <w:r w:rsidR="004125D4" w:rsidRPr="00DA4D27">
        <w:rPr>
          <w:rFonts w:cs="Segoe UI"/>
          <w:b/>
          <w:bCs/>
          <w:szCs w:val="22"/>
        </w:rPr>
        <w:t xml:space="preserve"> </w:t>
      </w:r>
      <w:r w:rsidRPr="00DA4D27">
        <w:rPr>
          <w:rFonts w:cs="Segoe UI"/>
          <w:b/>
          <w:bCs/>
          <w:szCs w:val="22"/>
        </w:rPr>
        <w:t>our strategy for purposeful growth and made good progress in implement</w:t>
      </w:r>
      <w:r w:rsidR="00503762">
        <w:rPr>
          <w:rFonts w:cs="Segoe UI"/>
          <w:b/>
          <w:bCs/>
          <w:szCs w:val="22"/>
        </w:rPr>
        <w:t xml:space="preserve">ation </w:t>
      </w:r>
      <w:r w:rsidRPr="00DA4D27">
        <w:rPr>
          <w:rFonts w:cs="Segoe UI"/>
          <w:b/>
          <w:bCs/>
          <w:szCs w:val="22"/>
        </w:rPr>
        <w:t xml:space="preserve">in the first half of 2022 </w:t>
      </w:r>
      <w:r>
        <w:rPr>
          <w:rFonts w:cs="Segoe UI"/>
          <w:b/>
          <w:bCs/>
          <w:szCs w:val="22"/>
        </w:rPr>
        <w:t xml:space="preserve">– </w:t>
      </w:r>
      <w:r w:rsidRPr="00DA4D27">
        <w:rPr>
          <w:rFonts w:cs="Segoe UI"/>
          <w:b/>
          <w:bCs/>
          <w:szCs w:val="22"/>
        </w:rPr>
        <w:t xml:space="preserve">thanks above all to the </w:t>
      </w:r>
      <w:r w:rsidR="004125D4">
        <w:rPr>
          <w:rFonts w:cs="Segoe UI"/>
          <w:b/>
          <w:bCs/>
          <w:szCs w:val="22"/>
        </w:rPr>
        <w:t>strong</w:t>
      </w:r>
      <w:r w:rsidR="004125D4" w:rsidRPr="00DA4D27">
        <w:rPr>
          <w:rFonts w:cs="Segoe UI"/>
          <w:b/>
          <w:bCs/>
          <w:szCs w:val="22"/>
        </w:rPr>
        <w:t xml:space="preserve"> </w:t>
      </w:r>
      <w:r w:rsidRPr="00DA4D27">
        <w:rPr>
          <w:rFonts w:cs="Segoe UI"/>
          <w:b/>
          <w:bCs/>
          <w:szCs w:val="22"/>
        </w:rPr>
        <w:t>commitment of our employees worldwide. With our Adhesive Technologies business, we are a global leader in providing innovative solution</w:t>
      </w:r>
      <w:r w:rsidR="004125D4">
        <w:rPr>
          <w:rFonts w:cs="Segoe UI"/>
          <w:b/>
          <w:bCs/>
          <w:szCs w:val="22"/>
        </w:rPr>
        <w:t xml:space="preserve">s, </w:t>
      </w:r>
      <w:r w:rsidRPr="00DA4D27">
        <w:rPr>
          <w:rFonts w:cs="Segoe UI"/>
          <w:b/>
          <w:bCs/>
          <w:szCs w:val="22"/>
        </w:rPr>
        <w:t>focus</w:t>
      </w:r>
      <w:r w:rsidR="004125D4">
        <w:rPr>
          <w:rFonts w:cs="Segoe UI"/>
          <w:b/>
          <w:bCs/>
          <w:szCs w:val="22"/>
        </w:rPr>
        <w:t>ing</w:t>
      </w:r>
      <w:r w:rsidRPr="00DA4D27">
        <w:rPr>
          <w:rFonts w:cs="Segoe UI"/>
          <w:b/>
          <w:bCs/>
          <w:szCs w:val="22"/>
        </w:rPr>
        <w:t xml:space="preserve"> on future trends such as mobility, </w:t>
      </w:r>
      <w:proofErr w:type="gramStart"/>
      <w:r w:rsidRPr="00DA4D27">
        <w:rPr>
          <w:rFonts w:cs="Segoe UI"/>
          <w:b/>
          <w:bCs/>
          <w:szCs w:val="22"/>
        </w:rPr>
        <w:t>connectivity</w:t>
      </w:r>
      <w:proofErr w:type="gramEnd"/>
      <w:r w:rsidRPr="00DA4D27">
        <w:rPr>
          <w:rFonts w:cs="Segoe UI"/>
          <w:b/>
          <w:bCs/>
          <w:szCs w:val="22"/>
        </w:rPr>
        <w:t xml:space="preserve"> and sustainability. By combining the Laundry &amp; Home Care and Beauty Care consumer businesses, we are </w:t>
      </w:r>
      <w:r w:rsidR="004125D4">
        <w:rPr>
          <w:rFonts w:cs="Segoe UI"/>
          <w:b/>
          <w:bCs/>
          <w:szCs w:val="22"/>
        </w:rPr>
        <w:t xml:space="preserve">now </w:t>
      </w:r>
      <w:r w:rsidRPr="00DA4D27">
        <w:rPr>
          <w:rFonts w:cs="Segoe UI"/>
          <w:b/>
          <w:bCs/>
          <w:szCs w:val="22"/>
        </w:rPr>
        <w:t xml:space="preserve">creating a multicategory platform with sales of around 10 billion euros. We are </w:t>
      </w:r>
      <w:r w:rsidR="00570CF0">
        <w:rPr>
          <w:rFonts w:cs="Segoe UI"/>
          <w:b/>
          <w:bCs/>
          <w:szCs w:val="22"/>
        </w:rPr>
        <w:t>well on track</w:t>
      </w:r>
      <w:r w:rsidRPr="00DA4D27">
        <w:rPr>
          <w:rFonts w:cs="Segoe UI"/>
          <w:b/>
          <w:bCs/>
          <w:szCs w:val="22"/>
        </w:rPr>
        <w:t xml:space="preserve"> </w:t>
      </w:r>
      <w:r w:rsidR="00570CF0">
        <w:rPr>
          <w:rFonts w:cs="Segoe UI"/>
          <w:b/>
          <w:bCs/>
          <w:szCs w:val="22"/>
        </w:rPr>
        <w:t>and</w:t>
      </w:r>
      <w:r w:rsidR="00BF0564">
        <w:rPr>
          <w:rFonts w:cs="Segoe UI"/>
          <w:b/>
          <w:bCs/>
          <w:szCs w:val="22"/>
        </w:rPr>
        <w:t xml:space="preserve"> </w:t>
      </w:r>
      <w:r w:rsidR="00624E82">
        <w:rPr>
          <w:rFonts w:cs="Segoe UI"/>
          <w:b/>
          <w:bCs/>
          <w:szCs w:val="22"/>
        </w:rPr>
        <w:t>aim</w:t>
      </w:r>
      <w:r w:rsidRPr="00DA4D27">
        <w:rPr>
          <w:rFonts w:cs="Segoe UI"/>
          <w:b/>
          <w:bCs/>
          <w:szCs w:val="22"/>
        </w:rPr>
        <w:t xml:space="preserve"> to have our future Consumer Brands business </w:t>
      </w:r>
      <w:r w:rsidR="00BF0564" w:rsidRPr="00DA4D27">
        <w:rPr>
          <w:rFonts w:cs="Segoe UI"/>
          <w:b/>
          <w:bCs/>
          <w:szCs w:val="22"/>
        </w:rPr>
        <w:t>establish</w:t>
      </w:r>
      <w:r w:rsidR="00BF0564">
        <w:rPr>
          <w:rFonts w:cs="Segoe UI"/>
          <w:b/>
          <w:bCs/>
          <w:szCs w:val="22"/>
        </w:rPr>
        <w:t>ed</w:t>
      </w:r>
      <w:r w:rsidR="00BF0564" w:rsidRPr="00DA4D27">
        <w:rPr>
          <w:rFonts w:cs="Segoe UI"/>
          <w:b/>
          <w:bCs/>
          <w:szCs w:val="22"/>
        </w:rPr>
        <w:t xml:space="preserve"> </w:t>
      </w:r>
      <w:r w:rsidR="00570CF0">
        <w:rPr>
          <w:rFonts w:cs="Segoe UI"/>
          <w:b/>
          <w:bCs/>
          <w:szCs w:val="22"/>
        </w:rPr>
        <w:t>lates</w:t>
      </w:r>
      <w:r w:rsidR="00C43087">
        <w:rPr>
          <w:rFonts w:cs="Segoe UI"/>
          <w:b/>
          <w:bCs/>
          <w:szCs w:val="22"/>
        </w:rPr>
        <w:t>t</w:t>
      </w:r>
      <w:r w:rsidR="00570CF0">
        <w:rPr>
          <w:rFonts w:cs="Segoe UI"/>
          <w:b/>
          <w:bCs/>
          <w:szCs w:val="22"/>
        </w:rPr>
        <w:t xml:space="preserve"> </w:t>
      </w:r>
      <w:r w:rsidRPr="00DA4D27">
        <w:rPr>
          <w:rFonts w:cs="Segoe UI"/>
          <w:b/>
          <w:bCs/>
          <w:szCs w:val="22"/>
        </w:rPr>
        <w:t xml:space="preserve">by the beginning of 2023. </w:t>
      </w:r>
      <w:r w:rsidR="00570CF0">
        <w:rPr>
          <w:rFonts w:cs="Segoe UI"/>
          <w:b/>
          <w:bCs/>
          <w:szCs w:val="22"/>
        </w:rPr>
        <w:t>The combined unit</w:t>
      </w:r>
      <w:r w:rsidR="00570CF0" w:rsidRPr="0033750F">
        <w:rPr>
          <w:rFonts w:cs="Segoe UI"/>
          <w:b/>
          <w:bCs/>
          <w:szCs w:val="22"/>
        </w:rPr>
        <w:t xml:space="preserve"> </w:t>
      </w:r>
      <w:r w:rsidR="0033750F" w:rsidRPr="0033750F">
        <w:rPr>
          <w:rFonts w:cs="Segoe UI"/>
          <w:b/>
          <w:bCs/>
          <w:szCs w:val="22"/>
        </w:rPr>
        <w:t xml:space="preserve">will offer a broader base to </w:t>
      </w:r>
      <w:r w:rsidR="00BF0564">
        <w:rPr>
          <w:rFonts w:cs="Segoe UI"/>
          <w:b/>
          <w:bCs/>
          <w:szCs w:val="22"/>
        </w:rPr>
        <w:t>optimize</w:t>
      </w:r>
      <w:r w:rsidR="0033750F" w:rsidRPr="0033750F">
        <w:rPr>
          <w:rFonts w:cs="Segoe UI"/>
          <w:b/>
          <w:bCs/>
          <w:szCs w:val="22"/>
        </w:rPr>
        <w:t xml:space="preserve"> our portfolio more consistently and </w:t>
      </w:r>
      <w:r w:rsidR="00BF0564">
        <w:rPr>
          <w:rFonts w:cs="Segoe UI"/>
          <w:b/>
          <w:bCs/>
          <w:szCs w:val="22"/>
        </w:rPr>
        <w:t xml:space="preserve">will </w:t>
      </w:r>
      <w:r w:rsidR="0033750F" w:rsidRPr="0033750F">
        <w:rPr>
          <w:rFonts w:cs="Segoe UI"/>
          <w:b/>
          <w:bCs/>
          <w:szCs w:val="22"/>
        </w:rPr>
        <w:t>advance the business to a higher growth and margin profile</w:t>
      </w:r>
      <w:r w:rsidR="004B7CCC" w:rsidRPr="00DA4D27">
        <w:rPr>
          <w:rFonts w:cs="Segoe UI"/>
          <w:b/>
          <w:bCs/>
          <w:szCs w:val="22"/>
        </w:rPr>
        <w:t>.</w:t>
      </w:r>
      <w:r w:rsidR="00690A61">
        <w:rPr>
          <w:rFonts w:cs="Segoe UI"/>
          <w:b/>
          <w:bCs/>
          <w:szCs w:val="22"/>
        </w:rPr>
        <w:t>”</w:t>
      </w:r>
    </w:p>
    <w:p w14:paraId="12C002F1" w14:textId="77777777" w:rsidR="004B7CCC" w:rsidRPr="00DA4D27" w:rsidRDefault="004B7CCC" w:rsidP="00E25F09">
      <w:pPr>
        <w:rPr>
          <w:rFonts w:cs="Segoe UI"/>
          <w:b/>
          <w:bCs/>
          <w:szCs w:val="22"/>
        </w:rPr>
      </w:pPr>
    </w:p>
    <w:p w14:paraId="2AD961A9" w14:textId="6C1118A1" w:rsidR="004B7CCC" w:rsidRPr="005A2CCC" w:rsidRDefault="0084201F" w:rsidP="004B7CCC">
      <w:pPr>
        <w:spacing w:after="120"/>
        <w:ind w:right="-108"/>
        <w:jc w:val="left"/>
        <w:rPr>
          <w:rFonts w:cs="Segoe UI"/>
          <w:b/>
          <w:bCs/>
          <w:szCs w:val="22"/>
        </w:rPr>
      </w:pPr>
      <w:r w:rsidRPr="005A2CCC">
        <w:rPr>
          <w:rFonts w:cs="Segoe UI"/>
          <w:b/>
          <w:bCs/>
          <w:szCs w:val="22"/>
        </w:rPr>
        <w:t>Outlook</w:t>
      </w:r>
      <w:r w:rsidR="004B7CCC" w:rsidRPr="005A2CCC">
        <w:rPr>
          <w:rFonts w:cs="Segoe UI"/>
          <w:b/>
          <w:bCs/>
          <w:szCs w:val="22"/>
        </w:rPr>
        <w:t xml:space="preserve"> f</w:t>
      </w:r>
      <w:r w:rsidRPr="005A2CCC">
        <w:rPr>
          <w:rFonts w:cs="Segoe UI"/>
          <w:b/>
          <w:bCs/>
          <w:szCs w:val="22"/>
        </w:rPr>
        <w:t xml:space="preserve">or fiscal </w:t>
      </w:r>
      <w:r w:rsidR="004B7CCC" w:rsidRPr="005A2CCC">
        <w:rPr>
          <w:rFonts w:cs="Segoe UI"/>
          <w:b/>
          <w:bCs/>
          <w:szCs w:val="22"/>
        </w:rPr>
        <w:t xml:space="preserve">2022 </w:t>
      </w:r>
      <w:r w:rsidRPr="005A2CCC">
        <w:rPr>
          <w:rFonts w:cs="Segoe UI"/>
          <w:b/>
          <w:bCs/>
          <w:szCs w:val="22"/>
        </w:rPr>
        <w:t>updated</w:t>
      </w:r>
    </w:p>
    <w:p w14:paraId="708451BB" w14:textId="17E3600D" w:rsidR="004B7CCC" w:rsidRPr="00274D13" w:rsidRDefault="00274D13" w:rsidP="00274D13">
      <w:pPr>
        <w:rPr>
          <w:rFonts w:cs="Segoe UI"/>
          <w:b/>
          <w:bCs/>
          <w:szCs w:val="22"/>
        </w:rPr>
      </w:pPr>
      <w:r w:rsidRPr="00274D13">
        <w:rPr>
          <w:rFonts w:cs="Segoe UI"/>
          <w:b/>
          <w:bCs/>
          <w:szCs w:val="22"/>
        </w:rPr>
        <w:t xml:space="preserve">Henkel now expects organic sales growth of +4.5 to +6.5 percent in fiscal 2022 (previously: +3.5 to +5.5 percent). Organic sales growth of +8.0 to +10.0 percent is still expected for the Adhesive Technologies business </w:t>
      </w:r>
      <w:r w:rsidR="00BF0564">
        <w:rPr>
          <w:rFonts w:cs="Segoe UI"/>
          <w:b/>
          <w:bCs/>
          <w:szCs w:val="22"/>
        </w:rPr>
        <w:t>unit</w:t>
      </w:r>
      <w:r w:rsidRPr="00274D13">
        <w:rPr>
          <w:rFonts w:cs="Segoe UI"/>
          <w:b/>
          <w:bCs/>
          <w:szCs w:val="22"/>
        </w:rPr>
        <w:t>. For Beauty Care, Henkel now anticipates organic sales growth of -</w:t>
      </w:r>
      <w:r w:rsidR="00B02550">
        <w:rPr>
          <w:rFonts w:cs="Segoe UI"/>
          <w:b/>
          <w:bCs/>
          <w:szCs w:val="22"/>
        </w:rPr>
        <w:t>3</w:t>
      </w:r>
      <w:r w:rsidRPr="00274D13">
        <w:rPr>
          <w:rFonts w:cs="Segoe UI"/>
          <w:b/>
          <w:bCs/>
          <w:szCs w:val="22"/>
        </w:rPr>
        <w:t xml:space="preserve">.0 to </w:t>
      </w:r>
      <w:r w:rsidR="00B02550">
        <w:rPr>
          <w:rFonts w:cs="Segoe UI"/>
          <w:b/>
          <w:bCs/>
          <w:szCs w:val="22"/>
        </w:rPr>
        <w:t>-1</w:t>
      </w:r>
      <w:r w:rsidRPr="00274D13">
        <w:rPr>
          <w:rFonts w:cs="Segoe UI"/>
          <w:b/>
          <w:bCs/>
          <w:szCs w:val="22"/>
        </w:rPr>
        <w:t>.0 percent (previously: -5.0 to -3.0 percent). For the Laundry &amp; Home Care business unit, Henkel now expects organic sales growth of +4.0 to +6.0 percent (previously: +2.0 to +4.0 percent). Adjusted EBIT margin at Group level is expected to remain unchanged in the range of 9.0 to 11.0 percent. For the development of adjusted earnings per preferred share (EPS) at constant exchange rates, Henkel continues to expect a decline in the range of -35 to -15 percent.</w:t>
      </w:r>
    </w:p>
    <w:p w14:paraId="69CC0EBD" w14:textId="489A8D3D" w:rsidR="007709ED" w:rsidRPr="00274D13" w:rsidRDefault="007709ED" w:rsidP="0094024E">
      <w:pPr>
        <w:rPr>
          <w:rFonts w:cs="Segoe UI"/>
          <w:b/>
          <w:bCs/>
          <w:szCs w:val="22"/>
        </w:rPr>
      </w:pPr>
    </w:p>
    <w:p w14:paraId="6326D8AF" w14:textId="667C2305" w:rsidR="004B7CCC" w:rsidRPr="00274D13" w:rsidRDefault="0033750F" w:rsidP="006B3442">
      <w:pPr>
        <w:spacing w:after="120"/>
        <w:ind w:right="-108"/>
        <w:jc w:val="left"/>
        <w:rPr>
          <w:rFonts w:cs="Segoe UI"/>
          <w:b/>
          <w:bCs/>
          <w:szCs w:val="22"/>
        </w:rPr>
      </w:pPr>
      <w:r>
        <w:rPr>
          <w:rFonts w:cs="Segoe UI"/>
          <w:b/>
          <w:bCs/>
          <w:szCs w:val="22"/>
        </w:rPr>
        <w:t>Exit</w:t>
      </w:r>
      <w:r w:rsidR="00274D13" w:rsidRPr="00274D13">
        <w:rPr>
          <w:rFonts w:cs="Segoe UI"/>
          <w:b/>
          <w:bCs/>
          <w:szCs w:val="22"/>
        </w:rPr>
        <w:t xml:space="preserve"> of </w:t>
      </w:r>
      <w:r>
        <w:rPr>
          <w:rFonts w:cs="Segoe UI"/>
          <w:b/>
          <w:bCs/>
          <w:szCs w:val="22"/>
        </w:rPr>
        <w:t xml:space="preserve">operations </w:t>
      </w:r>
      <w:r w:rsidR="00274D13" w:rsidRPr="00274D13">
        <w:rPr>
          <w:rFonts w:cs="Segoe UI"/>
          <w:b/>
          <w:bCs/>
          <w:szCs w:val="22"/>
        </w:rPr>
        <w:t xml:space="preserve">in Russia and Belarus in </w:t>
      </w:r>
      <w:r>
        <w:rPr>
          <w:rFonts w:cs="Segoe UI"/>
          <w:b/>
          <w:bCs/>
          <w:szCs w:val="22"/>
        </w:rPr>
        <w:t>execution</w:t>
      </w:r>
    </w:p>
    <w:p w14:paraId="44F53771" w14:textId="0BE5FC73" w:rsidR="007709ED" w:rsidRPr="00D012A9" w:rsidRDefault="00D012A9" w:rsidP="0094024E">
      <w:pPr>
        <w:rPr>
          <w:rFonts w:cs="Segoe UI"/>
          <w:b/>
          <w:bCs/>
          <w:szCs w:val="22"/>
        </w:rPr>
      </w:pPr>
      <w:r w:rsidRPr="00D012A9">
        <w:rPr>
          <w:rFonts w:cs="Segoe UI"/>
          <w:b/>
          <w:bCs/>
          <w:szCs w:val="22"/>
        </w:rPr>
        <w:t>In April</w:t>
      </w:r>
      <w:r w:rsidR="00810E17">
        <w:rPr>
          <w:rFonts w:cs="Segoe UI"/>
          <w:b/>
          <w:bCs/>
          <w:szCs w:val="22"/>
        </w:rPr>
        <w:t xml:space="preserve"> 2022</w:t>
      </w:r>
      <w:r w:rsidRPr="00D012A9">
        <w:rPr>
          <w:rFonts w:cs="Segoe UI"/>
          <w:b/>
          <w:bCs/>
          <w:szCs w:val="22"/>
        </w:rPr>
        <w:t xml:space="preserve">, Henkel decided to </w:t>
      </w:r>
      <w:r w:rsidR="0033750F">
        <w:rPr>
          <w:rFonts w:cs="Segoe UI"/>
          <w:b/>
          <w:bCs/>
          <w:szCs w:val="22"/>
        </w:rPr>
        <w:t>exit</w:t>
      </w:r>
      <w:r w:rsidRPr="00D012A9">
        <w:rPr>
          <w:rFonts w:cs="Segoe UI"/>
          <w:b/>
          <w:bCs/>
          <w:szCs w:val="22"/>
        </w:rPr>
        <w:t xml:space="preserve"> its business activities in Russia and Belarus. Henkel is </w:t>
      </w:r>
      <w:r w:rsidR="007F71B3">
        <w:rPr>
          <w:rFonts w:cs="Segoe UI"/>
          <w:b/>
          <w:bCs/>
          <w:szCs w:val="22"/>
        </w:rPr>
        <w:t>thoroughly assessing</w:t>
      </w:r>
      <w:r w:rsidRPr="00D012A9">
        <w:rPr>
          <w:rFonts w:cs="Segoe UI"/>
          <w:b/>
          <w:bCs/>
          <w:szCs w:val="22"/>
        </w:rPr>
        <w:t xml:space="preserve"> all options and intends to have completed the </w:t>
      </w:r>
      <w:r w:rsidR="00A11B1B">
        <w:rPr>
          <w:rFonts w:cs="Segoe UI"/>
          <w:b/>
          <w:bCs/>
          <w:szCs w:val="22"/>
        </w:rPr>
        <w:t>process</w:t>
      </w:r>
      <w:r w:rsidRPr="00D012A9">
        <w:rPr>
          <w:rFonts w:cs="Segoe UI"/>
          <w:b/>
          <w:bCs/>
          <w:szCs w:val="22"/>
        </w:rPr>
        <w:t xml:space="preserve"> by the end of the year.</w:t>
      </w:r>
    </w:p>
    <w:p w14:paraId="1B43487D" w14:textId="77777777" w:rsidR="008E5D13" w:rsidRPr="00D012A9" w:rsidRDefault="008E5D13" w:rsidP="00226640">
      <w:pPr>
        <w:spacing w:after="120"/>
        <w:rPr>
          <w:rFonts w:cs="Segoe UI"/>
          <w:b/>
          <w:bCs/>
          <w:szCs w:val="22"/>
        </w:rPr>
      </w:pPr>
    </w:p>
    <w:p w14:paraId="5D8D8BE2" w14:textId="77777777" w:rsidR="00B02550" w:rsidRDefault="00B02550">
      <w:pPr>
        <w:spacing w:line="240" w:lineRule="auto"/>
        <w:jc w:val="left"/>
        <w:rPr>
          <w:rFonts w:ascii="SegoeUI-Bold" w:hAnsi="SegoeUI-Bold" w:cs="SegoeUI-Bold"/>
          <w:b/>
          <w:bCs/>
          <w:szCs w:val="22"/>
        </w:rPr>
      </w:pPr>
      <w:r>
        <w:rPr>
          <w:rFonts w:ascii="SegoeUI-Bold" w:hAnsi="SegoeUI-Bold" w:cs="SegoeUI-Bold"/>
          <w:b/>
          <w:bCs/>
          <w:szCs w:val="22"/>
        </w:rPr>
        <w:br w:type="page"/>
      </w:r>
    </w:p>
    <w:p w14:paraId="4F0E1CDA" w14:textId="08E8944A" w:rsidR="00226640" w:rsidRPr="00D012A9" w:rsidRDefault="00D012A9" w:rsidP="00226640">
      <w:pPr>
        <w:spacing w:after="120"/>
        <w:rPr>
          <w:rFonts w:cs="Segoe UI"/>
          <w:b/>
          <w:bCs/>
          <w:szCs w:val="22"/>
        </w:rPr>
      </w:pPr>
      <w:r w:rsidRPr="00D012A9">
        <w:rPr>
          <w:rFonts w:ascii="SegoeUI-Bold" w:hAnsi="SegoeUI-Bold" w:cs="SegoeUI-Bold"/>
          <w:b/>
          <w:bCs/>
          <w:szCs w:val="22"/>
        </w:rPr>
        <w:lastRenderedPageBreak/>
        <w:t>Group sales and earnings performance in the first half of 202</w:t>
      </w:r>
      <w:r>
        <w:rPr>
          <w:rFonts w:ascii="SegoeUI-Bold" w:hAnsi="SegoeUI-Bold" w:cs="SegoeUI-Bold"/>
          <w:b/>
          <w:bCs/>
          <w:szCs w:val="22"/>
        </w:rPr>
        <w:t>2</w:t>
      </w:r>
    </w:p>
    <w:p w14:paraId="15B12E1C" w14:textId="63826CC7" w:rsidR="00466B0F" w:rsidRPr="006B14D8" w:rsidRDefault="006B14D8" w:rsidP="0095097D">
      <w:pPr>
        <w:rPr>
          <w:rFonts w:cs="Segoe UI"/>
          <w:szCs w:val="22"/>
        </w:rPr>
      </w:pPr>
      <w:r w:rsidRPr="006B14D8">
        <w:rPr>
          <w:rFonts w:cs="Segoe UI"/>
          <w:szCs w:val="22"/>
        </w:rPr>
        <w:t xml:space="preserve">At 10,913 million euros, </w:t>
      </w:r>
      <w:r w:rsidRPr="006B14D8">
        <w:rPr>
          <w:rFonts w:cs="Segoe UI"/>
          <w:b/>
          <w:bCs/>
          <w:szCs w:val="22"/>
        </w:rPr>
        <w:t>Group sales</w:t>
      </w:r>
      <w:r w:rsidRPr="006B14D8">
        <w:rPr>
          <w:rFonts w:cs="Segoe UI"/>
          <w:szCs w:val="22"/>
        </w:rPr>
        <w:t xml:space="preserve"> in the first half of 2022 were +9.9 percent above the prior-year level (Q2: 5,642 million euros, +13.8 percent). </w:t>
      </w:r>
      <w:r w:rsidRPr="006B14D8">
        <w:rPr>
          <w:rFonts w:cs="Segoe UI"/>
          <w:b/>
          <w:bCs/>
          <w:szCs w:val="22"/>
        </w:rPr>
        <w:t>Organic</w:t>
      </w:r>
      <w:r w:rsidRPr="006B14D8">
        <w:rPr>
          <w:rFonts w:cs="Segoe UI"/>
          <w:szCs w:val="22"/>
        </w:rPr>
        <w:t xml:space="preserve"> </w:t>
      </w:r>
      <w:r w:rsidRPr="006B14D8">
        <w:rPr>
          <w:rFonts w:cs="Segoe UI"/>
          <w:b/>
          <w:bCs/>
          <w:szCs w:val="22"/>
        </w:rPr>
        <w:t>sales</w:t>
      </w:r>
      <w:r w:rsidRPr="006B14D8">
        <w:rPr>
          <w:rFonts w:cs="Segoe UI"/>
          <w:szCs w:val="22"/>
        </w:rPr>
        <w:t xml:space="preserve">, </w:t>
      </w:r>
      <w:r w:rsidR="007F71B3" w:rsidRPr="007F71B3">
        <w:rPr>
          <w:rFonts w:cs="Segoe UI"/>
          <w:szCs w:val="22"/>
        </w:rPr>
        <w:t>which exclude the impact of currency effects and acquisitions/divestments,</w:t>
      </w:r>
      <w:r w:rsidRPr="006B14D8">
        <w:rPr>
          <w:rFonts w:cs="Segoe UI"/>
          <w:szCs w:val="22"/>
        </w:rPr>
        <w:t xml:space="preserve"> showed significant growth of +8.9 percent (Q2: +10.9 percent). Acquisitions and divestments had a negative impact of -1.4 percent on sales (Q2: -1.8 percent). Since the beginning of Q2, this includes the effects of the announced </w:t>
      </w:r>
      <w:r w:rsidR="007F71B3">
        <w:rPr>
          <w:rFonts w:cs="Segoe UI"/>
          <w:szCs w:val="22"/>
        </w:rPr>
        <w:t>exit</w:t>
      </w:r>
      <w:r w:rsidRPr="006B14D8">
        <w:rPr>
          <w:rFonts w:cs="Segoe UI"/>
          <w:szCs w:val="22"/>
        </w:rPr>
        <w:t xml:space="preserve"> of operations in Russia and Belarus. Foreign exchange effects increased sales by +2.4 percent (Q2: +4.7 percent). These also include the effects from the application of IAS 29 (Financial Reporting in Hyperinflationary Economies) required for Turkey since the beginning of the reporting period.</w:t>
      </w:r>
    </w:p>
    <w:p w14:paraId="79381667" w14:textId="5804D6C9" w:rsidR="004B7CCC" w:rsidRPr="006B14D8" w:rsidRDefault="004B7CCC" w:rsidP="0095097D">
      <w:pPr>
        <w:rPr>
          <w:rFonts w:cs="Segoe UI"/>
          <w:szCs w:val="22"/>
        </w:rPr>
      </w:pPr>
    </w:p>
    <w:p w14:paraId="50B72FBD" w14:textId="27BE8A3E" w:rsidR="004B7CCC" w:rsidRPr="007927E2" w:rsidRDefault="007927E2" w:rsidP="004B7CCC">
      <w:pPr>
        <w:rPr>
          <w:rFonts w:cs="Segoe UI"/>
          <w:szCs w:val="22"/>
        </w:rPr>
      </w:pPr>
      <w:r w:rsidRPr="007927E2">
        <w:rPr>
          <w:rFonts w:cs="Segoe UI"/>
          <w:szCs w:val="22"/>
        </w:rPr>
        <w:t xml:space="preserve">Sales growth in the first half of the year was </w:t>
      </w:r>
      <w:r w:rsidR="007F71B3">
        <w:rPr>
          <w:rFonts w:cs="Segoe UI"/>
          <w:szCs w:val="22"/>
        </w:rPr>
        <w:t>mainly d</w:t>
      </w:r>
      <w:r w:rsidRPr="007927E2">
        <w:rPr>
          <w:rFonts w:cs="Segoe UI"/>
          <w:szCs w:val="22"/>
        </w:rPr>
        <w:t xml:space="preserve">riven by the </w:t>
      </w:r>
      <w:r w:rsidRPr="00810E17">
        <w:rPr>
          <w:rFonts w:cs="Segoe UI"/>
          <w:b/>
          <w:bCs/>
          <w:szCs w:val="22"/>
        </w:rPr>
        <w:t>Adhesive Technologies</w:t>
      </w:r>
      <w:r w:rsidRPr="007927E2">
        <w:rPr>
          <w:rFonts w:cs="Segoe UI"/>
          <w:szCs w:val="22"/>
        </w:rPr>
        <w:t xml:space="preserve"> business unit, which achieved a double-digit organic increase of +12.2 percent. Here, all business areas achieved organic sales growth. The </w:t>
      </w:r>
      <w:r w:rsidRPr="00810E17">
        <w:rPr>
          <w:rFonts w:cs="Segoe UI"/>
          <w:b/>
          <w:bCs/>
          <w:szCs w:val="22"/>
        </w:rPr>
        <w:t>Beauty Care</w:t>
      </w:r>
      <w:r w:rsidRPr="007927E2">
        <w:rPr>
          <w:rFonts w:cs="Segoe UI"/>
          <w:szCs w:val="22"/>
        </w:rPr>
        <w:t xml:space="preserve"> business unit recorded organic sales growth of +0.4 percent in the first half of the year. The Hair Salon business achieved double-digit organic sales growth. By contrast, the consumer business was below the level of the previous year, mainly </w:t>
      </w:r>
      <w:proofErr w:type="gramStart"/>
      <w:r w:rsidRPr="007927E2">
        <w:rPr>
          <w:rFonts w:cs="Segoe UI"/>
          <w:szCs w:val="22"/>
        </w:rPr>
        <w:t>as a result of</w:t>
      </w:r>
      <w:proofErr w:type="gramEnd"/>
      <w:r w:rsidRPr="007927E2">
        <w:rPr>
          <w:rFonts w:cs="Segoe UI"/>
          <w:szCs w:val="22"/>
        </w:rPr>
        <w:t xml:space="preserve"> the measures announced to improve the portfolio. The </w:t>
      </w:r>
      <w:r w:rsidRPr="001E699D">
        <w:rPr>
          <w:rFonts w:cs="Segoe UI"/>
          <w:b/>
          <w:bCs/>
          <w:szCs w:val="22"/>
        </w:rPr>
        <w:t>Laundry &amp; Home Care</w:t>
      </w:r>
      <w:r w:rsidRPr="007927E2">
        <w:rPr>
          <w:rFonts w:cs="Segoe UI"/>
          <w:szCs w:val="22"/>
        </w:rPr>
        <w:t xml:space="preserve"> business unit achieved a significant organic sales increase of </w:t>
      </w:r>
      <w:r w:rsidR="00B02C7B">
        <w:rPr>
          <w:rFonts w:cs="Segoe UI"/>
          <w:szCs w:val="22"/>
        </w:rPr>
        <w:br/>
      </w:r>
      <w:r w:rsidRPr="007927E2">
        <w:rPr>
          <w:rFonts w:cs="Segoe UI"/>
          <w:szCs w:val="22"/>
        </w:rPr>
        <w:t xml:space="preserve">+7.4 percent, driven in particular by double-digit growth in the </w:t>
      </w:r>
      <w:proofErr w:type="gramStart"/>
      <w:r w:rsidRPr="007927E2">
        <w:rPr>
          <w:rFonts w:cs="Segoe UI"/>
          <w:szCs w:val="22"/>
        </w:rPr>
        <w:t>Laundry</w:t>
      </w:r>
      <w:proofErr w:type="gramEnd"/>
      <w:r w:rsidRPr="007927E2">
        <w:rPr>
          <w:rFonts w:cs="Segoe UI"/>
          <w:szCs w:val="22"/>
        </w:rPr>
        <w:t xml:space="preserve"> business. The Home Care business recorded positive organic sales development in the first half of the year.</w:t>
      </w:r>
    </w:p>
    <w:p w14:paraId="1E296B87" w14:textId="2A1209DD" w:rsidR="00226640" w:rsidRPr="007927E2" w:rsidRDefault="00226640" w:rsidP="00226640">
      <w:pPr>
        <w:rPr>
          <w:rFonts w:cs="Segoe UI"/>
          <w:szCs w:val="22"/>
        </w:rPr>
      </w:pPr>
    </w:p>
    <w:p w14:paraId="360EE798" w14:textId="1537DFD0" w:rsidR="00226640" w:rsidRPr="007927E2" w:rsidRDefault="007927E2" w:rsidP="00226640">
      <w:pPr>
        <w:rPr>
          <w:rFonts w:cs="Segoe UI"/>
          <w:szCs w:val="22"/>
        </w:rPr>
      </w:pPr>
      <w:r w:rsidRPr="007927E2">
        <w:rPr>
          <w:rFonts w:cs="Segoe UI"/>
          <w:bCs/>
          <w:szCs w:val="22"/>
        </w:rPr>
        <w:t xml:space="preserve">In the </w:t>
      </w:r>
      <w:r w:rsidRPr="007927E2">
        <w:rPr>
          <w:rFonts w:cs="Segoe UI"/>
          <w:b/>
          <w:szCs w:val="22"/>
        </w:rPr>
        <w:t>emerging markets</w:t>
      </w:r>
      <w:r w:rsidRPr="007927E2">
        <w:rPr>
          <w:rFonts w:cs="Segoe UI"/>
          <w:bCs/>
          <w:szCs w:val="22"/>
        </w:rPr>
        <w:t xml:space="preserve">, organic sales grew at a double-digit rate of +12.9 percent (Q2: +14.6 percent). Business in the </w:t>
      </w:r>
      <w:r w:rsidRPr="007927E2">
        <w:rPr>
          <w:rFonts w:cs="Segoe UI"/>
          <w:b/>
          <w:szCs w:val="22"/>
        </w:rPr>
        <w:t>mature markets</w:t>
      </w:r>
      <w:r w:rsidRPr="007927E2">
        <w:rPr>
          <w:rFonts w:cs="Segoe UI"/>
          <w:bCs/>
          <w:szCs w:val="22"/>
        </w:rPr>
        <w:t xml:space="preserve"> showed a very strong organic sales performance of +5.5 percent (Q2: +7.8 percent).</w:t>
      </w:r>
    </w:p>
    <w:p w14:paraId="74D78BFB" w14:textId="77777777" w:rsidR="00226640" w:rsidRPr="007927E2" w:rsidRDefault="00226640" w:rsidP="00226640">
      <w:pPr>
        <w:rPr>
          <w:rFonts w:cs="Segoe UI"/>
          <w:szCs w:val="22"/>
        </w:rPr>
      </w:pPr>
    </w:p>
    <w:p w14:paraId="0C220D41" w14:textId="2E82BFFA" w:rsidR="00226640" w:rsidRPr="007927E2" w:rsidRDefault="007927E2" w:rsidP="007927E2">
      <w:pPr>
        <w:rPr>
          <w:rFonts w:cs="Segoe UI"/>
          <w:szCs w:val="22"/>
        </w:rPr>
      </w:pPr>
      <w:r w:rsidRPr="007927E2">
        <w:rPr>
          <w:rFonts w:cs="Segoe UI"/>
          <w:szCs w:val="22"/>
        </w:rPr>
        <w:t xml:space="preserve">Sales in the first half of the year in </w:t>
      </w:r>
      <w:r w:rsidRPr="007927E2">
        <w:rPr>
          <w:rFonts w:cs="Segoe UI"/>
          <w:b/>
          <w:bCs/>
          <w:szCs w:val="22"/>
        </w:rPr>
        <w:t>Western Europe</w:t>
      </w:r>
      <w:r w:rsidRPr="007927E2">
        <w:rPr>
          <w:rFonts w:cs="Segoe UI"/>
          <w:szCs w:val="22"/>
        </w:rPr>
        <w:t xml:space="preserve"> showed an organic development of </w:t>
      </w:r>
      <w:r w:rsidR="00B02C7B">
        <w:rPr>
          <w:rFonts w:cs="Segoe UI"/>
          <w:szCs w:val="22"/>
        </w:rPr>
        <w:br/>
      </w:r>
      <w:r w:rsidRPr="007927E2">
        <w:rPr>
          <w:rFonts w:cs="Segoe UI"/>
          <w:szCs w:val="22"/>
        </w:rPr>
        <w:t xml:space="preserve">+2.2 percent (Q2: +4.8 percent). In </w:t>
      </w:r>
      <w:r w:rsidRPr="007927E2">
        <w:rPr>
          <w:rFonts w:cs="Segoe UI"/>
          <w:b/>
          <w:bCs/>
          <w:szCs w:val="22"/>
        </w:rPr>
        <w:t>Eastern Europe</w:t>
      </w:r>
      <w:r w:rsidRPr="007927E2">
        <w:rPr>
          <w:rFonts w:cs="Segoe UI"/>
          <w:szCs w:val="22"/>
        </w:rPr>
        <w:t xml:space="preserve">, organic sales growth amounted to </w:t>
      </w:r>
      <w:r w:rsidR="00B02C7B">
        <w:rPr>
          <w:rFonts w:cs="Segoe UI"/>
          <w:szCs w:val="22"/>
        </w:rPr>
        <w:br/>
      </w:r>
      <w:r w:rsidRPr="007927E2">
        <w:rPr>
          <w:rFonts w:cs="Segoe UI"/>
          <w:szCs w:val="22"/>
        </w:rPr>
        <w:t xml:space="preserve">+23.2 percent (Q2: +26.3 percent). In </w:t>
      </w:r>
      <w:r w:rsidRPr="007927E2">
        <w:rPr>
          <w:rFonts w:cs="Segoe UI"/>
          <w:b/>
          <w:bCs/>
          <w:szCs w:val="22"/>
        </w:rPr>
        <w:t>Africa/Middle East</w:t>
      </w:r>
      <w:r w:rsidRPr="007927E2">
        <w:rPr>
          <w:rFonts w:cs="Segoe UI"/>
          <w:szCs w:val="22"/>
        </w:rPr>
        <w:t xml:space="preserve">, organic sales increased by </w:t>
      </w:r>
      <w:r w:rsidR="00B02C7B">
        <w:rPr>
          <w:rFonts w:cs="Segoe UI"/>
          <w:szCs w:val="22"/>
        </w:rPr>
        <w:br/>
      </w:r>
      <w:r w:rsidRPr="007927E2">
        <w:rPr>
          <w:rFonts w:cs="Segoe UI"/>
          <w:szCs w:val="22"/>
        </w:rPr>
        <w:t xml:space="preserve">+3.2 percent (Q2: +5.1 percent). Organic sales growth in North America was +9.2 percent </w:t>
      </w:r>
      <w:r w:rsidR="00B02C7B">
        <w:rPr>
          <w:rFonts w:cs="Segoe UI"/>
          <w:szCs w:val="22"/>
        </w:rPr>
        <w:br/>
      </w:r>
      <w:r w:rsidRPr="007927E2">
        <w:rPr>
          <w:rFonts w:cs="Segoe UI"/>
          <w:szCs w:val="22"/>
        </w:rPr>
        <w:t xml:space="preserve">(Q2: +11.7 percent). </w:t>
      </w:r>
      <w:r w:rsidRPr="007927E2">
        <w:rPr>
          <w:rFonts w:cs="Segoe UI"/>
          <w:b/>
          <w:bCs/>
          <w:szCs w:val="22"/>
        </w:rPr>
        <w:t>Latin America</w:t>
      </w:r>
      <w:r w:rsidRPr="007927E2">
        <w:rPr>
          <w:rFonts w:cs="Segoe UI"/>
          <w:szCs w:val="22"/>
        </w:rPr>
        <w:t xml:space="preserve"> recorded organic sales growth of +16.9 percent (Q2: +18.5 percent). In the </w:t>
      </w:r>
      <w:r w:rsidRPr="007927E2">
        <w:rPr>
          <w:rFonts w:cs="Segoe UI"/>
          <w:b/>
          <w:bCs/>
          <w:szCs w:val="22"/>
        </w:rPr>
        <w:t>Asia-Pacific</w:t>
      </w:r>
      <w:r w:rsidRPr="007927E2">
        <w:rPr>
          <w:rFonts w:cs="Segoe UI"/>
          <w:szCs w:val="22"/>
        </w:rPr>
        <w:t xml:space="preserve"> region, organic sales increased by +6.1 percent (Q2: +6.9 percent).</w:t>
      </w:r>
    </w:p>
    <w:p w14:paraId="11632DD7" w14:textId="77777777" w:rsidR="00226640" w:rsidRPr="007927E2" w:rsidRDefault="00226640" w:rsidP="00226640">
      <w:pPr>
        <w:rPr>
          <w:rFonts w:cs="Segoe UI"/>
          <w:szCs w:val="22"/>
        </w:rPr>
      </w:pPr>
    </w:p>
    <w:p w14:paraId="24E23F90" w14:textId="53CA2ED6" w:rsidR="00226640" w:rsidRPr="00752D67" w:rsidRDefault="00752D67" w:rsidP="00226640">
      <w:pPr>
        <w:rPr>
          <w:rFonts w:cs="Segoe UI"/>
          <w:bCs/>
          <w:szCs w:val="22"/>
        </w:rPr>
      </w:pPr>
      <w:bookmarkStart w:id="2" w:name="_Hlk109402106"/>
      <w:r w:rsidRPr="00752D67">
        <w:rPr>
          <w:b/>
          <w:bCs/>
        </w:rPr>
        <w:t>Adjusted operating profit (adjusted EBIT)</w:t>
      </w:r>
      <w:r w:rsidRPr="00752D67">
        <w:t xml:space="preserve"> was 1,166 million euros in the first half</w:t>
      </w:r>
      <w:r w:rsidR="00B02C7B">
        <w:t xml:space="preserve"> of the year</w:t>
      </w:r>
      <w:r w:rsidRPr="00752D67">
        <w:t xml:space="preserve">, compared </w:t>
      </w:r>
      <w:r w:rsidR="00E73848">
        <w:t>to</w:t>
      </w:r>
      <w:r w:rsidR="00E73848" w:rsidRPr="00752D67">
        <w:t xml:space="preserve"> </w:t>
      </w:r>
      <w:r w:rsidRPr="00752D67">
        <w:t>1,430 million euros in the prior-year period. The decline was mainly due to significantly higher prices for direct materials.</w:t>
      </w:r>
    </w:p>
    <w:bookmarkEnd w:id="2"/>
    <w:p w14:paraId="16AD4278" w14:textId="77777777" w:rsidR="00226640" w:rsidRPr="007927E2" w:rsidRDefault="00226640" w:rsidP="00226640">
      <w:pPr>
        <w:rPr>
          <w:rFonts w:cs="Segoe UI"/>
          <w:bCs/>
          <w:szCs w:val="22"/>
        </w:rPr>
      </w:pPr>
    </w:p>
    <w:p w14:paraId="0FDBB031" w14:textId="3B0C84DD" w:rsidR="00226640" w:rsidRPr="00752D67" w:rsidRDefault="00752D67" w:rsidP="00226640">
      <w:pPr>
        <w:rPr>
          <w:rFonts w:cs="Segoe UI"/>
          <w:szCs w:val="22"/>
        </w:rPr>
      </w:pPr>
      <w:r w:rsidRPr="00752D67">
        <w:rPr>
          <w:rFonts w:cs="Segoe UI"/>
          <w:b/>
          <w:bCs/>
          <w:szCs w:val="22"/>
        </w:rPr>
        <w:t>Adjusted return on sales (adjusted EBIT margin)</w:t>
      </w:r>
      <w:r w:rsidRPr="00752D67">
        <w:rPr>
          <w:rFonts w:cs="Segoe UI"/>
          <w:szCs w:val="22"/>
        </w:rPr>
        <w:t xml:space="preserve"> decreased from 14.4 percent to </w:t>
      </w:r>
      <w:r w:rsidR="00B02C7B">
        <w:rPr>
          <w:rFonts w:cs="Segoe UI"/>
          <w:szCs w:val="22"/>
        </w:rPr>
        <w:br/>
      </w:r>
      <w:r w:rsidRPr="00752D67">
        <w:rPr>
          <w:rFonts w:cs="Segoe UI"/>
          <w:szCs w:val="22"/>
        </w:rPr>
        <w:t>10.7 percent due to significantly higher prices for direct materials.</w:t>
      </w:r>
    </w:p>
    <w:p w14:paraId="5FADE19E" w14:textId="4F67E2FA" w:rsidR="00226640" w:rsidRPr="00752D67" w:rsidRDefault="00752D67" w:rsidP="00226640">
      <w:pPr>
        <w:rPr>
          <w:rFonts w:cs="Segoe UI"/>
          <w:bCs/>
          <w:szCs w:val="22"/>
        </w:rPr>
      </w:pPr>
      <w:r w:rsidRPr="00752D67">
        <w:rPr>
          <w:rFonts w:cs="Segoe UI"/>
          <w:b/>
          <w:szCs w:val="22"/>
        </w:rPr>
        <w:lastRenderedPageBreak/>
        <w:t>Adjusted earnings per preferred share</w:t>
      </w:r>
      <w:r w:rsidRPr="00752D67">
        <w:rPr>
          <w:rFonts w:cs="Segoe UI"/>
          <w:bCs/>
          <w:szCs w:val="22"/>
        </w:rPr>
        <w:t xml:space="preserve"> were </w:t>
      </w:r>
      <w:r w:rsidR="00E73848">
        <w:rPr>
          <w:rFonts w:cs="Segoe UI"/>
          <w:bCs/>
          <w:szCs w:val="22"/>
        </w:rPr>
        <w:t xml:space="preserve">at </w:t>
      </w:r>
      <w:r w:rsidRPr="00752D67">
        <w:rPr>
          <w:rFonts w:cs="Segoe UI"/>
          <w:bCs/>
          <w:szCs w:val="22"/>
        </w:rPr>
        <w:t>1.95 euros in the first half of 2022. At constant exchange rates, this represents a decline of -20.8 percent compared to the prior-year period. The development was also mainly driven by the significant increase in prices for direct materials.</w:t>
      </w:r>
    </w:p>
    <w:p w14:paraId="2CB55C37" w14:textId="77777777" w:rsidR="00226640" w:rsidRPr="00752D67" w:rsidRDefault="00226640" w:rsidP="00226640">
      <w:pPr>
        <w:rPr>
          <w:rFonts w:cs="Segoe UI"/>
          <w:szCs w:val="22"/>
        </w:rPr>
      </w:pPr>
    </w:p>
    <w:p w14:paraId="449F8073" w14:textId="2FDA9E23" w:rsidR="00226640" w:rsidRPr="0055121D" w:rsidRDefault="0055121D" w:rsidP="00226640">
      <w:pPr>
        <w:rPr>
          <w:rFonts w:cs="Segoe UI"/>
          <w:szCs w:val="22"/>
        </w:rPr>
      </w:pPr>
      <w:r w:rsidRPr="0055121D">
        <w:rPr>
          <w:rFonts w:cs="Segoe UI"/>
          <w:b/>
          <w:bCs/>
          <w:szCs w:val="22"/>
        </w:rPr>
        <w:t>Net working capital</w:t>
      </w:r>
      <w:r w:rsidRPr="0055121D">
        <w:rPr>
          <w:rFonts w:cs="Segoe UI"/>
          <w:szCs w:val="22"/>
        </w:rPr>
        <w:t xml:space="preserve"> increased by 1.6 percentage points to 5.2 percent of sales (prior-year period: 3.6 percent), also impacted by the sharp rise in raw material </w:t>
      </w:r>
      <w:r w:rsidR="00A11B1B">
        <w:rPr>
          <w:rFonts w:cs="Segoe UI"/>
          <w:szCs w:val="22"/>
        </w:rPr>
        <w:t>prices</w:t>
      </w:r>
      <w:r w:rsidRPr="0055121D">
        <w:rPr>
          <w:rFonts w:cs="Segoe UI"/>
          <w:szCs w:val="22"/>
        </w:rPr>
        <w:t>.</w:t>
      </w:r>
    </w:p>
    <w:p w14:paraId="360F86C8" w14:textId="77777777" w:rsidR="00226640" w:rsidRPr="0055121D" w:rsidRDefault="00226640" w:rsidP="00226640">
      <w:pPr>
        <w:rPr>
          <w:rFonts w:cs="Segoe UI"/>
          <w:szCs w:val="22"/>
        </w:rPr>
      </w:pPr>
    </w:p>
    <w:p w14:paraId="0CB279AE" w14:textId="7A6B7552" w:rsidR="00226640" w:rsidRPr="0055121D" w:rsidRDefault="0055121D" w:rsidP="00E95AC2">
      <w:pPr>
        <w:autoSpaceDE w:val="0"/>
        <w:autoSpaceDN w:val="0"/>
        <w:adjustRightInd w:val="0"/>
        <w:rPr>
          <w:rFonts w:cs="Segoe UI"/>
          <w:szCs w:val="22"/>
        </w:rPr>
      </w:pPr>
      <w:r w:rsidRPr="0055121D">
        <w:rPr>
          <w:rFonts w:cs="Segoe UI"/>
          <w:b/>
          <w:bCs/>
          <w:szCs w:val="22"/>
        </w:rPr>
        <w:t>Free cash flow</w:t>
      </w:r>
      <w:r w:rsidRPr="0055121D">
        <w:rPr>
          <w:rFonts w:cs="Segoe UI"/>
          <w:szCs w:val="22"/>
        </w:rPr>
        <w:t xml:space="preserve"> of 46 million </w:t>
      </w:r>
      <w:r w:rsidR="007F71B3">
        <w:rPr>
          <w:rFonts w:cs="Segoe UI"/>
          <w:szCs w:val="22"/>
        </w:rPr>
        <w:t xml:space="preserve">euros </w:t>
      </w:r>
      <w:r w:rsidRPr="0055121D">
        <w:rPr>
          <w:rFonts w:cs="Segoe UI"/>
          <w:szCs w:val="22"/>
        </w:rPr>
        <w:t>was lower than in the first half of 2021 (471 million</w:t>
      </w:r>
      <w:r>
        <w:rPr>
          <w:rFonts w:cs="Segoe UI"/>
          <w:szCs w:val="22"/>
        </w:rPr>
        <w:t xml:space="preserve"> euros</w:t>
      </w:r>
      <w:r w:rsidRPr="0055121D">
        <w:rPr>
          <w:rFonts w:cs="Segoe UI"/>
          <w:szCs w:val="22"/>
        </w:rPr>
        <w:t xml:space="preserve">) due to lower cash flow from operating activities </w:t>
      </w:r>
      <w:proofErr w:type="gramStart"/>
      <w:r w:rsidRPr="0055121D">
        <w:rPr>
          <w:rFonts w:cs="Segoe UI"/>
          <w:szCs w:val="22"/>
        </w:rPr>
        <w:t>as a result of</w:t>
      </w:r>
      <w:proofErr w:type="gramEnd"/>
      <w:r w:rsidRPr="0055121D">
        <w:rPr>
          <w:rFonts w:cs="Segoe UI"/>
          <w:szCs w:val="22"/>
        </w:rPr>
        <w:t xml:space="preserve"> the lower operating profit and higher net working capital.</w:t>
      </w:r>
    </w:p>
    <w:p w14:paraId="35F2C594" w14:textId="77777777" w:rsidR="00226640" w:rsidRPr="0055121D" w:rsidRDefault="00226640" w:rsidP="00226640">
      <w:pPr>
        <w:rPr>
          <w:rFonts w:cs="Segoe UI"/>
          <w:szCs w:val="22"/>
          <w:highlight w:val="yellow"/>
        </w:rPr>
      </w:pPr>
    </w:p>
    <w:p w14:paraId="3D928F8A" w14:textId="27848C2F" w:rsidR="00226640" w:rsidRPr="0055121D" w:rsidRDefault="0055121D" w:rsidP="00226640">
      <w:r w:rsidRPr="0055121D">
        <w:t xml:space="preserve">As of June 30, 2022, the </w:t>
      </w:r>
      <w:r w:rsidRPr="0055121D">
        <w:rPr>
          <w:b/>
          <w:bCs/>
        </w:rPr>
        <w:t>net financial position</w:t>
      </w:r>
      <w:r w:rsidRPr="0055121D">
        <w:t xml:space="preserve"> amounted to -1,441 million euros (December 31, 2021: -292 million euros). This development also </w:t>
      </w:r>
      <w:r w:rsidR="0049220C">
        <w:t>includes</w:t>
      </w:r>
      <w:r w:rsidRPr="0055121D">
        <w:t xml:space="preserve"> </w:t>
      </w:r>
      <w:r w:rsidR="00B924E4">
        <w:t>expenses</w:t>
      </w:r>
      <w:r w:rsidRPr="0055121D">
        <w:t xml:space="preserve"> of around 430 million euros in the share buyback program launched in February </w:t>
      </w:r>
      <w:r w:rsidR="002C57DB">
        <w:t>2022</w:t>
      </w:r>
      <w:r w:rsidRPr="0055121D">
        <w:t xml:space="preserve"> </w:t>
      </w:r>
      <w:r w:rsidR="0049220C">
        <w:t>as well as</w:t>
      </w:r>
      <w:r w:rsidRPr="0055121D">
        <w:t xml:space="preserve"> dividend payments of around 800 million euros</w:t>
      </w:r>
      <w:r w:rsidR="0049220C">
        <w:t xml:space="preserve"> in the second quarter</w:t>
      </w:r>
      <w:r w:rsidRPr="0055121D">
        <w:t>.</w:t>
      </w:r>
    </w:p>
    <w:p w14:paraId="7B7F71A0" w14:textId="77777777" w:rsidR="00C44EFC" w:rsidRPr="0055121D" w:rsidRDefault="00C44EFC" w:rsidP="00226640">
      <w:pPr>
        <w:spacing w:after="120"/>
        <w:rPr>
          <w:rFonts w:cs="Segoe UI"/>
          <w:b/>
          <w:bCs/>
          <w:szCs w:val="22"/>
          <w:lang w:eastAsia="de-DE"/>
        </w:rPr>
      </w:pPr>
    </w:p>
    <w:p w14:paraId="27437698" w14:textId="174BD989" w:rsidR="00226640" w:rsidRPr="0055121D" w:rsidRDefault="0055121D" w:rsidP="00226640">
      <w:pPr>
        <w:spacing w:after="120"/>
        <w:rPr>
          <w:rFonts w:cs="Segoe UI"/>
          <w:b/>
          <w:bCs/>
          <w:szCs w:val="22"/>
          <w:lang w:eastAsia="de-DE"/>
        </w:rPr>
      </w:pPr>
      <w:r w:rsidRPr="0055121D">
        <w:rPr>
          <w:rFonts w:ascii="SegoeUI-Bold" w:hAnsi="SegoeUI-Bold" w:cs="SegoeUI-Bold"/>
          <w:b/>
          <w:bCs/>
          <w:szCs w:val="22"/>
        </w:rPr>
        <w:t>Business unit performance in the first half of 20</w:t>
      </w:r>
      <w:r>
        <w:rPr>
          <w:rFonts w:ascii="SegoeUI-Bold" w:hAnsi="SegoeUI-Bold" w:cs="SegoeUI-Bold"/>
          <w:b/>
          <w:bCs/>
          <w:szCs w:val="22"/>
        </w:rPr>
        <w:t>22</w:t>
      </w:r>
    </w:p>
    <w:p w14:paraId="6B650D50" w14:textId="5C3A3C10" w:rsidR="005C4A5B" w:rsidRPr="0055121D" w:rsidRDefault="0055121D" w:rsidP="005C4A5B">
      <w:pPr>
        <w:rPr>
          <w:rFonts w:cs="Segoe UI"/>
          <w:szCs w:val="22"/>
        </w:rPr>
      </w:pPr>
      <w:r w:rsidRPr="0055121D">
        <w:rPr>
          <w:rFonts w:cs="Segoe UI"/>
          <w:szCs w:val="22"/>
        </w:rPr>
        <w:t xml:space="preserve">In the first half of 2022, </w:t>
      </w:r>
      <w:r w:rsidRPr="0036268A">
        <w:rPr>
          <w:rFonts w:cs="Segoe UI"/>
          <w:b/>
          <w:bCs/>
          <w:szCs w:val="22"/>
        </w:rPr>
        <w:t>sales</w:t>
      </w:r>
      <w:r w:rsidRPr="0055121D">
        <w:rPr>
          <w:rFonts w:cs="Segoe UI"/>
          <w:szCs w:val="22"/>
        </w:rPr>
        <w:t xml:space="preserve"> of the </w:t>
      </w:r>
      <w:r w:rsidRPr="0036268A">
        <w:rPr>
          <w:rFonts w:cs="Segoe UI"/>
          <w:b/>
          <w:bCs/>
          <w:szCs w:val="22"/>
        </w:rPr>
        <w:t>Adhesive Technologies</w:t>
      </w:r>
      <w:r w:rsidRPr="0055121D">
        <w:rPr>
          <w:rFonts w:cs="Segoe UI"/>
          <w:szCs w:val="22"/>
        </w:rPr>
        <w:t xml:space="preserve"> business unit increased nominally by +15.0 percent to 5,467 million euros (Q2: 2,836 million euros, +18.5 percent). </w:t>
      </w:r>
      <w:r w:rsidRPr="0036268A">
        <w:rPr>
          <w:rFonts w:cs="Segoe UI"/>
          <w:b/>
          <w:bCs/>
          <w:szCs w:val="22"/>
        </w:rPr>
        <w:t>Organic</w:t>
      </w:r>
      <w:r w:rsidR="0036268A">
        <w:rPr>
          <w:rFonts w:cs="Segoe UI"/>
          <w:b/>
          <w:bCs/>
          <w:szCs w:val="22"/>
        </w:rPr>
        <w:t xml:space="preserve"> </w:t>
      </w:r>
      <w:r w:rsidRPr="0036268A">
        <w:rPr>
          <w:rFonts w:cs="Segoe UI"/>
          <w:b/>
          <w:bCs/>
          <w:szCs w:val="22"/>
        </w:rPr>
        <w:t>sales</w:t>
      </w:r>
      <w:r w:rsidRPr="0055121D">
        <w:rPr>
          <w:rFonts w:cs="Segoe UI"/>
          <w:szCs w:val="22"/>
        </w:rPr>
        <w:t xml:space="preserve"> increased by +12.2 percent (Q2: +13.7 percent). </w:t>
      </w:r>
      <w:r w:rsidR="002C57DB">
        <w:rPr>
          <w:rFonts w:cs="Segoe UI"/>
          <w:szCs w:val="22"/>
        </w:rPr>
        <w:t>This development</w:t>
      </w:r>
      <w:r w:rsidRPr="0055121D">
        <w:rPr>
          <w:rFonts w:cs="Segoe UI"/>
          <w:szCs w:val="22"/>
        </w:rPr>
        <w:t xml:space="preserve"> was driven by all business units and regions. </w:t>
      </w:r>
      <w:r w:rsidRPr="0036268A">
        <w:rPr>
          <w:rFonts w:cs="Segoe UI"/>
          <w:b/>
          <w:bCs/>
          <w:szCs w:val="22"/>
        </w:rPr>
        <w:t>Adjusted operating profit</w:t>
      </w:r>
      <w:r w:rsidRPr="0055121D">
        <w:rPr>
          <w:rFonts w:cs="Segoe UI"/>
          <w:szCs w:val="22"/>
        </w:rPr>
        <w:t xml:space="preserve"> in the first half of 2022 reached 743 million euros, compared to 820 million euros in the prior-year period. At 13.6 percent, </w:t>
      </w:r>
      <w:r w:rsidRPr="0036268A">
        <w:rPr>
          <w:rFonts w:cs="Segoe UI"/>
          <w:b/>
          <w:bCs/>
          <w:szCs w:val="22"/>
        </w:rPr>
        <w:t>adjusted return on sales</w:t>
      </w:r>
      <w:r w:rsidRPr="0055121D">
        <w:rPr>
          <w:rFonts w:cs="Segoe UI"/>
          <w:szCs w:val="22"/>
        </w:rPr>
        <w:t xml:space="preserve"> was 3.7 percentage points below the figure for the first half of 2021, with earnings figures impacted by the significant rise in prices for direct materials.</w:t>
      </w:r>
    </w:p>
    <w:p w14:paraId="114A3911" w14:textId="77777777" w:rsidR="0036268A" w:rsidRPr="005A2CCC" w:rsidRDefault="0036268A" w:rsidP="0036268A">
      <w:pPr>
        <w:rPr>
          <w:rFonts w:cs="Segoe UI"/>
          <w:szCs w:val="22"/>
        </w:rPr>
      </w:pPr>
      <w:bookmarkStart w:id="3" w:name="_Hlk78300139"/>
    </w:p>
    <w:p w14:paraId="4A25CB6D" w14:textId="5766DAC0" w:rsidR="00226640" w:rsidRPr="0036268A" w:rsidRDefault="0036268A" w:rsidP="0036268A">
      <w:pPr>
        <w:rPr>
          <w:rFonts w:cs="Segoe UI"/>
          <w:szCs w:val="22"/>
        </w:rPr>
      </w:pPr>
      <w:r w:rsidRPr="0036268A">
        <w:rPr>
          <w:rFonts w:cs="Segoe UI"/>
          <w:szCs w:val="22"/>
        </w:rPr>
        <w:t xml:space="preserve">In the </w:t>
      </w:r>
      <w:r w:rsidRPr="0036268A">
        <w:rPr>
          <w:rFonts w:cs="Segoe UI"/>
          <w:b/>
          <w:bCs/>
          <w:szCs w:val="22"/>
        </w:rPr>
        <w:t>Beauty Care</w:t>
      </w:r>
      <w:r w:rsidRPr="0036268A">
        <w:rPr>
          <w:rFonts w:cs="Segoe UI"/>
          <w:szCs w:val="22"/>
        </w:rPr>
        <w:t xml:space="preserve"> business unit, </w:t>
      </w:r>
      <w:r w:rsidRPr="0036268A">
        <w:rPr>
          <w:rFonts w:cs="Segoe UI"/>
          <w:b/>
          <w:bCs/>
          <w:szCs w:val="22"/>
        </w:rPr>
        <w:t>sales</w:t>
      </w:r>
      <w:r w:rsidRPr="0036268A">
        <w:rPr>
          <w:rFonts w:cs="Segoe UI"/>
          <w:szCs w:val="22"/>
        </w:rPr>
        <w:t xml:space="preserve"> increased </w:t>
      </w:r>
      <w:r w:rsidRPr="0036268A">
        <w:rPr>
          <w:rFonts w:cs="Segoe UI"/>
          <w:b/>
          <w:bCs/>
          <w:szCs w:val="22"/>
        </w:rPr>
        <w:t>organically</w:t>
      </w:r>
      <w:r w:rsidRPr="0036268A">
        <w:rPr>
          <w:rFonts w:cs="Segoe UI"/>
          <w:szCs w:val="22"/>
        </w:rPr>
        <w:t xml:space="preserve"> by +0.4 percent (Q2: +2.1 percent)</w:t>
      </w:r>
      <w:r w:rsidR="00605F3A" w:rsidRPr="00605F3A">
        <w:rPr>
          <w:rFonts w:cs="Segoe UI"/>
          <w:szCs w:val="22"/>
        </w:rPr>
        <w:t xml:space="preserve"> </w:t>
      </w:r>
      <w:r w:rsidR="00605F3A" w:rsidRPr="0036268A">
        <w:rPr>
          <w:rFonts w:cs="Segoe UI"/>
          <w:szCs w:val="22"/>
        </w:rPr>
        <w:t>in the first six months of 2022</w:t>
      </w:r>
      <w:r w:rsidRPr="0036268A">
        <w:rPr>
          <w:rFonts w:cs="Segoe UI"/>
          <w:szCs w:val="22"/>
        </w:rPr>
        <w:t xml:space="preserve">. In nominal terms, sales rose by +0.2 percent and reached 1,842 million euros (Q2: 950 million euros, +3.9 percent). This growth was primarily driven by the strong performance of the Hair Salon business, which was able to build on its strong performance in the previous year. Consumer business, on the other hand, was below the level of the previous year, mainly due to the implementation of the portfolio improvement measures announced for 2022. </w:t>
      </w:r>
      <w:r w:rsidRPr="0036268A">
        <w:rPr>
          <w:rFonts w:cs="Segoe UI"/>
          <w:b/>
          <w:bCs/>
          <w:szCs w:val="22"/>
        </w:rPr>
        <w:t>Adjusted operating profit</w:t>
      </w:r>
      <w:r w:rsidRPr="0036268A">
        <w:rPr>
          <w:rFonts w:cs="Segoe UI"/>
          <w:szCs w:val="22"/>
        </w:rPr>
        <w:t xml:space="preserve"> reached 169 million euros in the first half of 2022, compared </w:t>
      </w:r>
      <w:r w:rsidR="002C57DB">
        <w:rPr>
          <w:rFonts w:cs="Segoe UI"/>
          <w:szCs w:val="22"/>
        </w:rPr>
        <w:t>to</w:t>
      </w:r>
      <w:r w:rsidR="002C57DB" w:rsidRPr="0036268A">
        <w:rPr>
          <w:rFonts w:cs="Segoe UI"/>
          <w:szCs w:val="22"/>
        </w:rPr>
        <w:t xml:space="preserve"> </w:t>
      </w:r>
      <w:r w:rsidRPr="0036268A">
        <w:rPr>
          <w:rFonts w:cs="Segoe UI"/>
          <w:szCs w:val="22"/>
        </w:rPr>
        <w:t xml:space="preserve">183 million euros in the first half of 2021. </w:t>
      </w:r>
      <w:r w:rsidRPr="0036268A">
        <w:rPr>
          <w:rFonts w:cs="Segoe UI"/>
          <w:b/>
          <w:bCs/>
          <w:szCs w:val="22"/>
        </w:rPr>
        <w:t>Adjusted return on sales</w:t>
      </w:r>
      <w:r w:rsidRPr="0036268A">
        <w:rPr>
          <w:rFonts w:cs="Segoe UI"/>
          <w:szCs w:val="22"/>
        </w:rPr>
        <w:t xml:space="preserve"> was 0.8 percentage points below the prior-year level at 9.2 percent, also impacted</w:t>
      </w:r>
      <w:r>
        <w:rPr>
          <w:rFonts w:cs="Segoe UI"/>
          <w:szCs w:val="22"/>
        </w:rPr>
        <w:t xml:space="preserve"> by </w:t>
      </w:r>
      <w:r w:rsidRPr="0036268A">
        <w:rPr>
          <w:rFonts w:cs="Segoe UI"/>
          <w:szCs w:val="22"/>
        </w:rPr>
        <w:t>higher prices for direct materials</w:t>
      </w:r>
      <w:r>
        <w:rPr>
          <w:rFonts w:cs="Segoe UI"/>
          <w:szCs w:val="22"/>
        </w:rPr>
        <w:t>.</w:t>
      </w:r>
    </w:p>
    <w:bookmarkEnd w:id="3"/>
    <w:p w14:paraId="26F9E872" w14:textId="77777777" w:rsidR="00226640" w:rsidRPr="0036268A" w:rsidRDefault="00226640" w:rsidP="00226640">
      <w:pPr>
        <w:rPr>
          <w:rFonts w:cs="Segoe UI"/>
          <w:szCs w:val="22"/>
        </w:rPr>
      </w:pPr>
    </w:p>
    <w:p w14:paraId="406993F4" w14:textId="2971FEF6" w:rsidR="00D42585" w:rsidRPr="00E63F65" w:rsidRDefault="00E63F65" w:rsidP="00226640">
      <w:pPr>
        <w:rPr>
          <w:rFonts w:cs="Segoe UI"/>
          <w:szCs w:val="22"/>
        </w:rPr>
      </w:pPr>
      <w:r w:rsidRPr="00E63F65">
        <w:rPr>
          <w:rFonts w:cs="Segoe UI"/>
          <w:szCs w:val="22"/>
        </w:rPr>
        <w:lastRenderedPageBreak/>
        <w:t xml:space="preserve">The </w:t>
      </w:r>
      <w:r w:rsidRPr="00E63F65">
        <w:rPr>
          <w:rFonts w:cs="Segoe UI"/>
          <w:b/>
          <w:bCs/>
          <w:szCs w:val="22"/>
        </w:rPr>
        <w:t>Laundry &amp; Home Care</w:t>
      </w:r>
      <w:r w:rsidRPr="00E63F65">
        <w:rPr>
          <w:rFonts w:cs="Segoe UI"/>
          <w:szCs w:val="22"/>
        </w:rPr>
        <w:t xml:space="preserve"> business unit achieved a significant </w:t>
      </w:r>
      <w:r w:rsidRPr="00E63F65">
        <w:rPr>
          <w:rFonts w:cs="Segoe UI"/>
          <w:b/>
          <w:bCs/>
          <w:szCs w:val="22"/>
        </w:rPr>
        <w:t>organic sales</w:t>
      </w:r>
      <w:r w:rsidRPr="00E63F65">
        <w:rPr>
          <w:rFonts w:cs="Segoe UI"/>
          <w:szCs w:val="22"/>
        </w:rPr>
        <w:t xml:space="preserve"> increase of </w:t>
      </w:r>
      <w:r w:rsidR="002C57DB">
        <w:rPr>
          <w:rFonts w:cs="Segoe UI"/>
          <w:szCs w:val="22"/>
        </w:rPr>
        <w:br/>
      </w:r>
      <w:r w:rsidRPr="00E63F65">
        <w:rPr>
          <w:rFonts w:cs="Segoe UI"/>
          <w:szCs w:val="22"/>
        </w:rPr>
        <w:t xml:space="preserve">+7.4 percent in the first half of 2022 (Q2: +10.1 percent). Growth was driven in particular by a double-digit increase in sales in the </w:t>
      </w:r>
      <w:proofErr w:type="gramStart"/>
      <w:r w:rsidRPr="00E63F65">
        <w:rPr>
          <w:rFonts w:cs="Segoe UI"/>
          <w:szCs w:val="22"/>
        </w:rPr>
        <w:t>Laundry</w:t>
      </w:r>
      <w:proofErr w:type="gramEnd"/>
      <w:r w:rsidRPr="00E63F65">
        <w:rPr>
          <w:rFonts w:cs="Segoe UI"/>
          <w:szCs w:val="22"/>
        </w:rPr>
        <w:t xml:space="preserve"> business. In nominal terms, sales rose by +6.7 percent to 3,494 million euros (Q2: 1,802 million euros, +11.3 percent). </w:t>
      </w:r>
      <w:r w:rsidRPr="00E63F65">
        <w:rPr>
          <w:rFonts w:cs="Segoe UI"/>
          <w:b/>
          <w:bCs/>
          <w:szCs w:val="22"/>
        </w:rPr>
        <w:t>Adjusted operating profit</w:t>
      </w:r>
      <w:r w:rsidRPr="00E63F65">
        <w:rPr>
          <w:rFonts w:cs="Segoe UI"/>
          <w:szCs w:val="22"/>
        </w:rPr>
        <w:t xml:space="preserve"> was 313 million euros, compared to 490 million euros in the prior-year period. </w:t>
      </w:r>
      <w:r w:rsidRPr="00E63F65">
        <w:rPr>
          <w:rFonts w:cs="Segoe UI"/>
          <w:b/>
          <w:bCs/>
          <w:szCs w:val="22"/>
        </w:rPr>
        <w:t>Adjusted return on sales</w:t>
      </w:r>
      <w:r w:rsidRPr="00E63F65">
        <w:rPr>
          <w:rFonts w:cs="Segoe UI"/>
          <w:szCs w:val="22"/>
        </w:rPr>
        <w:t xml:space="preserve"> was 9.0 percent, also below the level of the first half of 2021, particularly due to the significant increase in prices for direct materials.</w:t>
      </w:r>
    </w:p>
    <w:p w14:paraId="5E99920F" w14:textId="5D266D59" w:rsidR="00BD71F4" w:rsidRPr="005A2CCC" w:rsidRDefault="00BD71F4" w:rsidP="005A2CCC">
      <w:pPr>
        <w:spacing w:after="120"/>
        <w:rPr>
          <w:rFonts w:cs="Segoe UI"/>
          <w:b/>
          <w:bCs/>
          <w:szCs w:val="22"/>
          <w:lang w:eastAsia="de-DE"/>
        </w:rPr>
      </w:pPr>
    </w:p>
    <w:p w14:paraId="702CF48E" w14:textId="77777777" w:rsidR="005A2CCC" w:rsidRPr="005A2CCC" w:rsidRDefault="005A2CCC" w:rsidP="005A2CCC">
      <w:pPr>
        <w:spacing w:after="120"/>
        <w:rPr>
          <w:rFonts w:cs="Segoe UI"/>
          <w:b/>
          <w:bCs/>
          <w:szCs w:val="22"/>
          <w:lang w:eastAsia="de-DE"/>
        </w:rPr>
      </w:pPr>
      <w:r w:rsidRPr="005A2CCC">
        <w:rPr>
          <w:rFonts w:cs="Segoe UI"/>
          <w:b/>
          <w:bCs/>
          <w:szCs w:val="22"/>
          <w:lang w:eastAsia="de-DE"/>
        </w:rPr>
        <w:t>Agenda for Purposeful Growth: good progress</w:t>
      </w:r>
    </w:p>
    <w:p w14:paraId="07AED038" w14:textId="77777777" w:rsidR="005A2CCC" w:rsidRPr="005A2CCC" w:rsidRDefault="005A2CCC" w:rsidP="005A2CCC">
      <w:pPr>
        <w:autoSpaceDE w:val="0"/>
        <w:autoSpaceDN w:val="0"/>
        <w:adjustRightInd w:val="0"/>
        <w:rPr>
          <w:rFonts w:cs="Segoe UI"/>
          <w:szCs w:val="22"/>
          <w:lang w:eastAsia="de-DE"/>
        </w:rPr>
      </w:pPr>
      <w:bookmarkStart w:id="4" w:name="_Hlk109204398"/>
      <w:r w:rsidRPr="00214068">
        <w:rPr>
          <w:rFonts w:cs="Segoe UI"/>
          <w:szCs w:val="22"/>
          <w:lang w:eastAsia="de-DE"/>
        </w:rPr>
        <w:t xml:space="preserve">Henkel is pursuing an agenda for purposeful growth and has developed a clear strategic framework for this. Key elements of the strategic framework are a successful portfolio, clear competitive edge in the areas of innovation, sustainability, and digitalization as well as future-ready operating models – based on a strong company culture. </w:t>
      </w:r>
    </w:p>
    <w:p w14:paraId="5876A5B8" w14:textId="77777777" w:rsidR="005A2CCC" w:rsidRPr="005A2CCC" w:rsidRDefault="005A2CCC" w:rsidP="005A2CCC">
      <w:pPr>
        <w:autoSpaceDE w:val="0"/>
        <w:autoSpaceDN w:val="0"/>
        <w:adjustRightInd w:val="0"/>
        <w:rPr>
          <w:rFonts w:cs="Segoe UI"/>
          <w:szCs w:val="22"/>
          <w:lang w:eastAsia="de-DE"/>
        </w:rPr>
      </w:pPr>
    </w:p>
    <w:p w14:paraId="5AC07895" w14:textId="3843D6B8" w:rsidR="005A2CCC" w:rsidRDefault="005A2CCC" w:rsidP="005A2CCC">
      <w:pPr>
        <w:autoSpaceDE w:val="0"/>
        <w:autoSpaceDN w:val="0"/>
        <w:adjustRightInd w:val="0"/>
        <w:rPr>
          <w:rFonts w:cs="Segoe UI"/>
          <w:szCs w:val="22"/>
          <w:lang w:eastAsia="de-DE"/>
        </w:rPr>
      </w:pPr>
      <w:r w:rsidRPr="001D29A1">
        <w:rPr>
          <w:rFonts w:cs="Segoe UI"/>
          <w:szCs w:val="22"/>
          <w:lang w:eastAsia="de-DE"/>
        </w:rPr>
        <w:t xml:space="preserve">In the first half of 2022, Henkel continued to work consistently on the implementation of its growth agenda and made good progress </w:t>
      </w:r>
      <w:r>
        <w:rPr>
          <w:rFonts w:cs="Segoe UI"/>
          <w:szCs w:val="22"/>
          <w:lang w:eastAsia="de-DE"/>
        </w:rPr>
        <w:t>across a</w:t>
      </w:r>
      <w:r w:rsidRPr="001D29A1">
        <w:rPr>
          <w:rFonts w:cs="Segoe UI"/>
          <w:szCs w:val="22"/>
          <w:lang w:eastAsia="de-DE"/>
        </w:rPr>
        <w:t xml:space="preserve">ll </w:t>
      </w:r>
      <w:r>
        <w:rPr>
          <w:rFonts w:cs="Segoe UI"/>
          <w:szCs w:val="22"/>
          <w:lang w:eastAsia="de-DE"/>
        </w:rPr>
        <w:t>pillars</w:t>
      </w:r>
      <w:r w:rsidRPr="001D29A1">
        <w:rPr>
          <w:rFonts w:cs="Segoe UI"/>
          <w:szCs w:val="22"/>
          <w:lang w:eastAsia="de-DE"/>
        </w:rPr>
        <w:t xml:space="preserve">. With </w:t>
      </w:r>
      <w:r>
        <w:rPr>
          <w:rFonts w:cs="Segoe UI"/>
          <w:szCs w:val="22"/>
          <w:lang w:eastAsia="de-DE"/>
        </w:rPr>
        <w:t>merg</w:t>
      </w:r>
      <w:r w:rsidR="002C57DB">
        <w:rPr>
          <w:rFonts w:cs="Segoe UI"/>
          <w:szCs w:val="22"/>
          <w:lang w:eastAsia="de-DE"/>
        </w:rPr>
        <w:t>ing</w:t>
      </w:r>
      <w:r>
        <w:rPr>
          <w:rFonts w:cs="Segoe UI"/>
          <w:szCs w:val="22"/>
          <w:lang w:eastAsia="de-DE"/>
        </w:rPr>
        <w:t xml:space="preserve"> the</w:t>
      </w:r>
      <w:r w:rsidRPr="001D29A1">
        <w:rPr>
          <w:rFonts w:cs="Segoe UI"/>
          <w:szCs w:val="22"/>
          <w:lang w:eastAsia="de-DE"/>
        </w:rPr>
        <w:t xml:space="preserve"> Laundry &amp; Home Care and Beauty Care business</w:t>
      </w:r>
      <w:r>
        <w:rPr>
          <w:rFonts w:cs="Segoe UI"/>
          <w:szCs w:val="22"/>
          <w:lang w:eastAsia="de-DE"/>
        </w:rPr>
        <w:t xml:space="preserve"> units</w:t>
      </w:r>
      <w:r w:rsidRPr="001D29A1">
        <w:rPr>
          <w:rFonts w:cs="Segoe UI"/>
          <w:szCs w:val="22"/>
          <w:lang w:eastAsia="de-DE"/>
        </w:rPr>
        <w:t xml:space="preserve"> into </w:t>
      </w:r>
      <w:r w:rsidR="002C57DB">
        <w:rPr>
          <w:rFonts w:cs="Segoe UI"/>
          <w:szCs w:val="22"/>
          <w:lang w:eastAsia="de-DE"/>
        </w:rPr>
        <w:t>the</w:t>
      </w:r>
      <w:r w:rsidR="002C57DB" w:rsidRPr="001D29A1">
        <w:rPr>
          <w:rFonts w:cs="Segoe UI"/>
          <w:szCs w:val="22"/>
          <w:lang w:eastAsia="de-DE"/>
        </w:rPr>
        <w:t xml:space="preserve"> </w:t>
      </w:r>
      <w:r w:rsidRPr="001D29A1">
        <w:rPr>
          <w:rFonts w:cs="Segoe UI"/>
          <w:szCs w:val="22"/>
          <w:lang w:eastAsia="de-DE"/>
        </w:rPr>
        <w:t xml:space="preserve">new </w:t>
      </w:r>
      <w:r w:rsidRPr="00B924E4">
        <w:rPr>
          <w:rFonts w:cs="Segoe UI"/>
          <w:b/>
          <w:bCs/>
          <w:szCs w:val="22"/>
          <w:lang w:eastAsia="de-DE"/>
        </w:rPr>
        <w:t>Henkel Consumer Brands</w:t>
      </w:r>
      <w:r w:rsidRPr="001D29A1">
        <w:rPr>
          <w:rFonts w:cs="Segoe UI"/>
          <w:szCs w:val="22"/>
          <w:lang w:eastAsia="de-DE"/>
        </w:rPr>
        <w:t xml:space="preserve"> business </w:t>
      </w:r>
      <w:r>
        <w:rPr>
          <w:rFonts w:cs="Segoe UI"/>
          <w:szCs w:val="22"/>
          <w:lang w:eastAsia="de-DE"/>
        </w:rPr>
        <w:t>unit</w:t>
      </w:r>
      <w:r w:rsidRPr="001D29A1">
        <w:rPr>
          <w:rFonts w:cs="Segoe UI"/>
          <w:szCs w:val="22"/>
          <w:lang w:eastAsia="de-DE"/>
        </w:rPr>
        <w:t xml:space="preserve">, Henkel is taking its purposeful growth agenda to the next level. </w:t>
      </w:r>
      <w:r w:rsidRPr="006B0798">
        <w:rPr>
          <w:rFonts w:cs="Segoe UI"/>
          <w:szCs w:val="22"/>
          <w:lang w:eastAsia="de-DE"/>
        </w:rPr>
        <w:t>The structure of the new business unit comprises the two global categories Laundry &amp; Home Care and Hair Care, supported by central functions, and four regions. Further categories will be managed under regional control. The first four management levels have now been defined. In Henkel</w:t>
      </w:r>
      <w:r w:rsidR="002B538B">
        <w:rPr>
          <w:rFonts w:cs="Segoe UI"/>
          <w:szCs w:val="22"/>
          <w:lang w:eastAsia="de-DE"/>
        </w:rPr>
        <w:t>’</w:t>
      </w:r>
      <w:r w:rsidRPr="006B0798">
        <w:rPr>
          <w:rFonts w:cs="Segoe UI"/>
          <w:szCs w:val="22"/>
          <w:lang w:eastAsia="de-DE"/>
        </w:rPr>
        <w:t>s largest single market, the USA, the new organization is expected to be fully established already from September onwards.</w:t>
      </w:r>
    </w:p>
    <w:bookmarkEnd w:id="4"/>
    <w:p w14:paraId="24DEC5D2" w14:textId="77777777" w:rsidR="005A2CCC" w:rsidRPr="005A2CCC" w:rsidRDefault="005A2CCC" w:rsidP="005A2CCC">
      <w:pPr>
        <w:autoSpaceDE w:val="0"/>
        <w:autoSpaceDN w:val="0"/>
        <w:adjustRightInd w:val="0"/>
        <w:rPr>
          <w:rFonts w:cs="Segoe UI"/>
          <w:szCs w:val="22"/>
        </w:rPr>
      </w:pPr>
    </w:p>
    <w:p w14:paraId="1157CD07" w14:textId="21457F2F" w:rsidR="005A2CCC" w:rsidRPr="009A3992" w:rsidRDefault="005A2CCC" w:rsidP="005A2CCC">
      <w:pPr>
        <w:rPr>
          <w:rFonts w:cs="Segoe UI"/>
          <w:szCs w:val="22"/>
        </w:rPr>
      </w:pPr>
      <w:r>
        <w:rPr>
          <w:rFonts w:cs="Segoe UI"/>
          <w:szCs w:val="22"/>
        </w:rPr>
        <w:t xml:space="preserve">In the context of the </w:t>
      </w:r>
      <w:r w:rsidRPr="009A3992">
        <w:rPr>
          <w:rFonts w:cs="Segoe UI"/>
          <w:szCs w:val="22"/>
        </w:rPr>
        <w:t xml:space="preserve">merger of the two consumer businesses and as part of </w:t>
      </w:r>
      <w:r w:rsidR="002C57DB">
        <w:rPr>
          <w:rFonts w:cs="Segoe UI"/>
          <w:szCs w:val="22"/>
        </w:rPr>
        <w:t xml:space="preserve">an </w:t>
      </w:r>
      <w:r w:rsidRPr="009A3992">
        <w:rPr>
          <w:rFonts w:cs="Segoe UI"/>
          <w:b/>
          <w:bCs/>
          <w:szCs w:val="22"/>
        </w:rPr>
        <w:t>active portfolio management</w:t>
      </w:r>
      <w:r w:rsidRPr="009A3992">
        <w:rPr>
          <w:rFonts w:cs="Segoe UI"/>
          <w:szCs w:val="22"/>
        </w:rPr>
        <w:t xml:space="preserve">, </w:t>
      </w:r>
      <w:proofErr w:type="gramStart"/>
      <w:r>
        <w:rPr>
          <w:rFonts w:cs="Segoe UI"/>
          <w:szCs w:val="22"/>
        </w:rPr>
        <w:t>b</w:t>
      </w:r>
      <w:r w:rsidRPr="009A3992">
        <w:rPr>
          <w:rFonts w:cs="Segoe UI"/>
          <w:szCs w:val="22"/>
        </w:rPr>
        <w:t>usinesses</w:t>
      </w:r>
      <w:proofErr w:type="gramEnd"/>
      <w:r w:rsidRPr="009A3992">
        <w:rPr>
          <w:rFonts w:cs="Segoe UI"/>
          <w:szCs w:val="22"/>
        </w:rPr>
        <w:t xml:space="preserve"> and brands accounting for total sales of up to 1 billion euros are currently under review. This includes the divestment or discontinuation of businesses, which do not meet </w:t>
      </w:r>
      <w:r>
        <w:rPr>
          <w:rFonts w:cs="Segoe UI"/>
          <w:szCs w:val="22"/>
        </w:rPr>
        <w:t xml:space="preserve">Henkel’s </w:t>
      </w:r>
      <w:r w:rsidRPr="009A3992">
        <w:rPr>
          <w:rFonts w:cs="Segoe UI"/>
          <w:szCs w:val="22"/>
        </w:rPr>
        <w:t xml:space="preserve">criteria in terms of growth and profitability. In the first half of 2022, Henkel has already </w:t>
      </w:r>
      <w:r w:rsidR="00A11B1B">
        <w:rPr>
          <w:rFonts w:cs="Segoe UI"/>
          <w:szCs w:val="22"/>
        </w:rPr>
        <w:t>made good progress</w:t>
      </w:r>
      <w:r w:rsidR="002833C0">
        <w:rPr>
          <w:rFonts w:cs="Segoe UI"/>
          <w:szCs w:val="22"/>
        </w:rPr>
        <w:t xml:space="preserve"> by </w:t>
      </w:r>
      <w:r w:rsidRPr="009A3992">
        <w:rPr>
          <w:rFonts w:cs="Segoe UI"/>
          <w:szCs w:val="22"/>
        </w:rPr>
        <w:t>exiting</w:t>
      </w:r>
      <w:r>
        <w:rPr>
          <w:rFonts w:cs="Segoe UI"/>
          <w:szCs w:val="22"/>
        </w:rPr>
        <w:t xml:space="preserve"> </w:t>
      </w:r>
      <w:r w:rsidR="002833C0">
        <w:rPr>
          <w:rFonts w:cs="Segoe UI"/>
          <w:szCs w:val="22"/>
        </w:rPr>
        <w:t xml:space="preserve">some </w:t>
      </w:r>
      <w:r w:rsidRPr="007F7769">
        <w:rPr>
          <w:rFonts w:cs="Segoe UI"/>
          <w:szCs w:val="22"/>
        </w:rPr>
        <w:t>non-core businesses</w:t>
      </w:r>
      <w:r w:rsidRPr="009A3992">
        <w:rPr>
          <w:rFonts w:cs="Segoe UI"/>
          <w:szCs w:val="22"/>
        </w:rPr>
        <w:t xml:space="preserve"> in Beauty Care.</w:t>
      </w:r>
      <w:r w:rsidR="002833C0">
        <w:rPr>
          <w:rFonts w:cs="Segoe UI"/>
          <w:szCs w:val="22"/>
        </w:rPr>
        <w:t xml:space="preserve"> </w:t>
      </w:r>
      <w:r w:rsidR="002833C0" w:rsidRPr="002833C0">
        <w:rPr>
          <w:rFonts w:cs="Segoe UI"/>
          <w:szCs w:val="22"/>
        </w:rPr>
        <w:t xml:space="preserve">These are part of the </w:t>
      </w:r>
      <w:r w:rsidR="00775FBF">
        <w:rPr>
          <w:rFonts w:cs="Segoe UI"/>
          <w:szCs w:val="22"/>
        </w:rPr>
        <w:t xml:space="preserve">portfolio </w:t>
      </w:r>
      <w:r w:rsidR="002833C0" w:rsidRPr="002833C0">
        <w:rPr>
          <w:rFonts w:cs="Segoe UI"/>
          <w:szCs w:val="22"/>
        </w:rPr>
        <w:t xml:space="preserve">measures </w:t>
      </w:r>
      <w:r w:rsidR="00775FBF">
        <w:rPr>
          <w:rFonts w:cs="Segoe UI"/>
          <w:szCs w:val="22"/>
        </w:rPr>
        <w:t xml:space="preserve">in </w:t>
      </w:r>
      <w:r w:rsidR="00775FBF" w:rsidRPr="002833C0">
        <w:rPr>
          <w:rFonts w:cs="Segoe UI"/>
          <w:szCs w:val="22"/>
        </w:rPr>
        <w:t xml:space="preserve">Beauty Care </w:t>
      </w:r>
      <w:r w:rsidR="002833C0" w:rsidRPr="002833C0">
        <w:rPr>
          <w:rFonts w:cs="Segoe UI"/>
          <w:szCs w:val="22"/>
        </w:rPr>
        <w:t>with a sales volume of around 200 million euros</w:t>
      </w:r>
      <w:r w:rsidR="00775FBF">
        <w:rPr>
          <w:rFonts w:cs="Segoe UI"/>
          <w:szCs w:val="22"/>
        </w:rPr>
        <w:t>, targeted for execution b</w:t>
      </w:r>
      <w:r w:rsidR="002833C0" w:rsidRPr="002833C0">
        <w:rPr>
          <w:rFonts w:cs="Segoe UI"/>
          <w:szCs w:val="22"/>
        </w:rPr>
        <w:t>y the end of the year.</w:t>
      </w:r>
    </w:p>
    <w:p w14:paraId="7A268CB4" w14:textId="77777777" w:rsidR="00B02550" w:rsidRDefault="00B02550" w:rsidP="005A2CCC">
      <w:pPr>
        <w:rPr>
          <w:rFonts w:cs="Segoe UI"/>
          <w:szCs w:val="22"/>
        </w:rPr>
      </w:pPr>
      <w:bookmarkStart w:id="5" w:name="_Hlk109204760"/>
    </w:p>
    <w:p w14:paraId="5E003909" w14:textId="17A398B8" w:rsidR="005A2CCC" w:rsidRDefault="005A2CCC" w:rsidP="005A2CCC">
      <w:pPr>
        <w:rPr>
          <w:rFonts w:cs="Segoe UI"/>
          <w:szCs w:val="22"/>
        </w:rPr>
      </w:pPr>
      <w:r w:rsidRPr="007F7769">
        <w:rPr>
          <w:rFonts w:cs="Segoe UI"/>
          <w:szCs w:val="22"/>
        </w:rPr>
        <w:t xml:space="preserve">Henkel also further strengthened its portfolio through </w:t>
      </w:r>
      <w:r w:rsidRPr="00B924E4">
        <w:rPr>
          <w:rFonts w:cs="Segoe UI"/>
          <w:b/>
          <w:bCs/>
          <w:szCs w:val="22"/>
        </w:rPr>
        <w:t>acquisitions</w:t>
      </w:r>
      <w:r w:rsidRPr="007F7769">
        <w:rPr>
          <w:rFonts w:cs="Segoe UI"/>
          <w:szCs w:val="22"/>
        </w:rPr>
        <w:t xml:space="preserve">. In July 2022, the acquisition of </w:t>
      </w:r>
      <w:proofErr w:type="gramStart"/>
      <w:r w:rsidRPr="007F7769">
        <w:rPr>
          <w:rFonts w:cs="Segoe UI"/>
          <w:szCs w:val="22"/>
        </w:rPr>
        <w:t>Shiseido‘</w:t>
      </w:r>
      <w:proofErr w:type="gramEnd"/>
      <w:r w:rsidRPr="007F7769">
        <w:rPr>
          <w:rFonts w:cs="Segoe UI"/>
          <w:szCs w:val="22"/>
        </w:rPr>
        <w:t>s Hair Professional business in the Asia-Pacific region was c</w:t>
      </w:r>
      <w:r>
        <w:rPr>
          <w:rFonts w:cs="Segoe UI"/>
          <w:szCs w:val="22"/>
        </w:rPr>
        <w:t>losed</w:t>
      </w:r>
      <w:r w:rsidRPr="007F7769">
        <w:rPr>
          <w:rFonts w:cs="Segoe UI"/>
          <w:szCs w:val="22"/>
        </w:rPr>
        <w:t xml:space="preserve">. This has made Henkel the global Co-number </w:t>
      </w:r>
      <w:r>
        <w:rPr>
          <w:rFonts w:cs="Segoe UI"/>
          <w:szCs w:val="22"/>
        </w:rPr>
        <w:t>2</w:t>
      </w:r>
      <w:r w:rsidRPr="007F7769">
        <w:rPr>
          <w:rFonts w:cs="Segoe UI"/>
          <w:szCs w:val="22"/>
        </w:rPr>
        <w:t xml:space="preserve"> in </w:t>
      </w:r>
      <w:r>
        <w:rPr>
          <w:rFonts w:cs="Segoe UI"/>
          <w:szCs w:val="22"/>
        </w:rPr>
        <w:t xml:space="preserve">the Hair </w:t>
      </w:r>
      <w:r w:rsidRPr="007F7769">
        <w:rPr>
          <w:rFonts w:cs="Segoe UI"/>
          <w:szCs w:val="22"/>
        </w:rPr>
        <w:t>Professional</w:t>
      </w:r>
      <w:r>
        <w:rPr>
          <w:rFonts w:cs="Segoe UI"/>
          <w:szCs w:val="22"/>
        </w:rPr>
        <w:t xml:space="preserve"> business. </w:t>
      </w:r>
    </w:p>
    <w:bookmarkEnd w:id="5"/>
    <w:p w14:paraId="49990794" w14:textId="77777777" w:rsidR="005A2CCC" w:rsidRPr="005A2CCC" w:rsidRDefault="005A2CCC" w:rsidP="005A2CCC">
      <w:pPr>
        <w:autoSpaceDE w:val="0"/>
        <w:autoSpaceDN w:val="0"/>
        <w:adjustRightInd w:val="0"/>
        <w:rPr>
          <w:rFonts w:cs="Segoe UI"/>
          <w:szCs w:val="22"/>
        </w:rPr>
      </w:pPr>
    </w:p>
    <w:p w14:paraId="0EC49588" w14:textId="77777777" w:rsidR="005A2CCC" w:rsidRPr="007F7769" w:rsidRDefault="005A2CCC" w:rsidP="005A2CCC">
      <w:pPr>
        <w:autoSpaceDE w:val="0"/>
        <w:autoSpaceDN w:val="0"/>
        <w:adjustRightInd w:val="0"/>
        <w:rPr>
          <w:rFonts w:cs="Segoe UI"/>
          <w:bCs/>
          <w:szCs w:val="22"/>
        </w:rPr>
      </w:pPr>
      <w:r w:rsidRPr="007F7769">
        <w:rPr>
          <w:rFonts w:cs="Segoe UI"/>
          <w:bCs/>
          <w:szCs w:val="22"/>
        </w:rPr>
        <w:lastRenderedPageBreak/>
        <w:t xml:space="preserve">To strengthen its </w:t>
      </w:r>
      <w:r w:rsidRPr="007F7769">
        <w:rPr>
          <w:rFonts w:cs="Segoe UI"/>
          <w:b/>
          <w:bCs/>
          <w:szCs w:val="22"/>
        </w:rPr>
        <w:t>competitive edge</w:t>
      </w:r>
      <w:r w:rsidRPr="007F7769">
        <w:rPr>
          <w:rFonts w:cs="Segoe UI"/>
          <w:bCs/>
          <w:szCs w:val="22"/>
        </w:rPr>
        <w:t xml:space="preserve">, Henkel focused on further accelerating </w:t>
      </w:r>
      <w:r w:rsidRPr="007F7769">
        <w:rPr>
          <w:rFonts w:cs="Segoe UI"/>
          <w:b/>
          <w:bCs/>
          <w:szCs w:val="22"/>
        </w:rPr>
        <w:t>innovations</w:t>
      </w:r>
      <w:r w:rsidRPr="007F7769">
        <w:rPr>
          <w:rFonts w:cs="Segoe UI"/>
          <w:bCs/>
          <w:szCs w:val="22"/>
        </w:rPr>
        <w:t xml:space="preserve">, boosting </w:t>
      </w:r>
      <w:r w:rsidRPr="007F7769">
        <w:rPr>
          <w:rFonts w:cs="Segoe UI"/>
          <w:b/>
          <w:bCs/>
          <w:szCs w:val="22"/>
        </w:rPr>
        <w:t xml:space="preserve">sustainability </w:t>
      </w:r>
      <w:r w:rsidRPr="007F7769">
        <w:rPr>
          <w:rFonts w:cs="Segoe UI"/>
          <w:bCs/>
          <w:szCs w:val="22"/>
        </w:rPr>
        <w:t xml:space="preserve">as a differentiating factor, and on increasing value creation for customer and consumers through </w:t>
      </w:r>
      <w:r w:rsidRPr="007F7769">
        <w:rPr>
          <w:rFonts w:cs="Segoe UI"/>
          <w:b/>
          <w:bCs/>
          <w:szCs w:val="22"/>
        </w:rPr>
        <w:t>digitalization</w:t>
      </w:r>
      <w:r w:rsidRPr="007F7769">
        <w:rPr>
          <w:rFonts w:cs="Segoe UI"/>
          <w:bCs/>
          <w:szCs w:val="22"/>
        </w:rPr>
        <w:t>.</w:t>
      </w:r>
    </w:p>
    <w:p w14:paraId="26A930F0" w14:textId="77777777" w:rsidR="005A2CCC" w:rsidRPr="005A2CCC" w:rsidRDefault="005A2CCC" w:rsidP="005A2CCC">
      <w:pPr>
        <w:autoSpaceDE w:val="0"/>
        <w:autoSpaceDN w:val="0"/>
        <w:adjustRightInd w:val="0"/>
        <w:rPr>
          <w:rFonts w:cs="Segoe UI"/>
          <w:bCs/>
          <w:szCs w:val="22"/>
        </w:rPr>
      </w:pPr>
    </w:p>
    <w:p w14:paraId="43C7394F" w14:textId="0E386FCA" w:rsidR="005A2CCC" w:rsidRDefault="005A2CCC" w:rsidP="005A2CCC">
      <w:pPr>
        <w:autoSpaceDE w:val="0"/>
        <w:autoSpaceDN w:val="0"/>
        <w:adjustRightInd w:val="0"/>
        <w:rPr>
          <w:rFonts w:cs="Segoe UI"/>
          <w:bCs/>
          <w:szCs w:val="22"/>
        </w:rPr>
      </w:pPr>
      <w:r w:rsidRPr="0055697D">
        <w:rPr>
          <w:rFonts w:cs="Segoe UI"/>
          <w:bCs/>
          <w:szCs w:val="22"/>
        </w:rPr>
        <w:t>A key pillar of Henkel</w:t>
      </w:r>
      <w:r w:rsidR="002B538B">
        <w:rPr>
          <w:rFonts w:cs="Segoe UI"/>
          <w:bCs/>
          <w:szCs w:val="22"/>
        </w:rPr>
        <w:t>’</w:t>
      </w:r>
      <w:r w:rsidRPr="0055697D">
        <w:rPr>
          <w:rFonts w:cs="Segoe UI"/>
          <w:bCs/>
          <w:szCs w:val="22"/>
        </w:rPr>
        <w:t xml:space="preserve">s strategy is a clear differentiation in the market through successful </w:t>
      </w:r>
      <w:r w:rsidRPr="0055697D">
        <w:rPr>
          <w:rFonts w:cs="Segoe UI"/>
          <w:b/>
          <w:szCs w:val="22"/>
        </w:rPr>
        <w:t>innovations</w:t>
      </w:r>
      <w:r w:rsidRPr="0055697D">
        <w:rPr>
          <w:rFonts w:cs="Segoe UI"/>
          <w:bCs/>
          <w:szCs w:val="22"/>
        </w:rPr>
        <w:t xml:space="preserve">. </w:t>
      </w:r>
      <w:proofErr w:type="gramStart"/>
      <w:r w:rsidRPr="0055697D">
        <w:rPr>
          <w:rFonts w:cs="Segoe UI"/>
          <w:bCs/>
          <w:szCs w:val="22"/>
        </w:rPr>
        <w:t>These supported growth</w:t>
      </w:r>
      <w:proofErr w:type="gramEnd"/>
      <w:r w:rsidRPr="0055697D">
        <w:rPr>
          <w:rFonts w:cs="Segoe UI"/>
          <w:bCs/>
          <w:szCs w:val="22"/>
        </w:rPr>
        <w:t xml:space="preserve"> significantly in the first half of the year. </w:t>
      </w:r>
      <w:bookmarkStart w:id="6" w:name="_Hlk109382178"/>
      <w:r w:rsidRPr="0055697D">
        <w:rPr>
          <w:rFonts w:cs="Segoe UI"/>
          <w:bCs/>
          <w:szCs w:val="22"/>
        </w:rPr>
        <w:t xml:space="preserve">In Adhesive Technologies for example, Henkel </w:t>
      </w:r>
      <w:r>
        <w:rPr>
          <w:rFonts w:cs="Segoe UI"/>
          <w:bCs/>
          <w:szCs w:val="22"/>
        </w:rPr>
        <w:t>has developed n</w:t>
      </w:r>
      <w:r w:rsidRPr="0055697D">
        <w:rPr>
          <w:rFonts w:cs="Segoe UI"/>
          <w:bCs/>
          <w:szCs w:val="22"/>
        </w:rPr>
        <w:t>ew fire protection coatings for</w:t>
      </w:r>
      <w:r>
        <w:rPr>
          <w:rFonts w:cs="Segoe UI"/>
          <w:bCs/>
          <w:szCs w:val="22"/>
        </w:rPr>
        <w:t xml:space="preserve"> </w:t>
      </w:r>
      <w:r w:rsidRPr="0055697D">
        <w:rPr>
          <w:rFonts w:cs="Segoe UI"/>
          <w:bCs/>
          <w:szCs w:val="22"/>
        </w:rPr>
        <w:t>batteries</w:t>
      </w:r>
      <w:r>
        <w:rPr>
          <w:rFonts w:cs="Segoe UI"/>
          <w:bCs/>
          <w:szCs w:val="22"/>
        </w:rPr>
        <w:t xml:space="preserve"> </w:t>
      </w:r>
      <w:r w:rsidRPr="0055697D">
        <w:rPr>
          <w:rFonts w:cs="Segoe UI"/>
          <w:bCs/>
          <w:szCs w:val="22"/>
        </w:rPr>
        <w:t>of electric vehicles</w:t>
      </w:r>
      <w:r>
        <w:rPr>
          <w:rFonts w:cs="Segoe UI"/>
          <w:bCs/>
          <w:szCs w:val="22"/>
        </w:rPr>
        <w:t xml:space="preserve">. </w:t>
      </w:r>
      <w:r w:rsidR="00515102">
        <w:rPr>
          <w:rFonts w:cs="Segoe UI"/>
          <w:bCs/>
          <w:szCs w:val="22"/>
        </w:rPr>
        <w:t>They</w:t>
      </w:r>
      <w:r w:rsidR="00515102" w:rsidRPr="0055697D">
        <w:rPr>
          <w:rFonts w:cs="Segoe UI"/>
          <w:bCs/>
          <w:szCs w:val="22"/>
        </w:rPr>
        <w:t xml:space="preserve"> </w:t>
      </w:r>
      <w:r w:rsidR="002B538B">
        <w:rPr>
          <w:rFonts w:cs="Segoe UI"/>
          <w:bCs/>
          <w:szCs w:val="22"/>
        </w:rPr>
        <w:t xml:space="preserve">do </w:t>
      </w:r>
      <w:r w:rsidRPr="0055697D">
        <w:rPr>
          <w:rFonts w:cs="Segoe UI"/>
          <w:bCs/>
          <w:szCs w:val="22"/>
        </w:rPr>
        <w:t xml:space="preserve">not only significantly increase passenger </w:t>
      </w:r>
      <w:proofErr w:type="gramStart"/>
      <w:r w:rsidRPr="0055697D">
        <w:rPr>
          <w:rFonts w:cs="Segoe UI"/>
          <w:bCs/>
          <w:szCs w:val="22"/>
        </w:rPr>
        <w:t>safety</w:t>
      </w:r>
      <w:proofErr w:type="gramEnd"/>
      <w:r w:rsidRPr="0055697D">
        <w:rPr>
          <w:rFonts w:cs="Segoe UI"/>
          <w:bCs/>
          <w:szCs w:val="22"/>
        </w:rPr>
        <w:t xml:space="preserve"> but </w:t>
      </w:r>
      <w:r w:rsidR="002B538B">
        <w:rPr>
          <w:rFonts w:cs="Segoe UI"/>
          <w:bCs/>
          <w:szCs w:val="22"/>
        </w:rPr>
        <w:t xml:space="preserve">they </w:t>
      </w:r>
      <w:r w:rsidRPr="0055697D">
        <w:rPr>
          <w:rFonts w:cs="Segoe UI"/>
          <w:bCs/>
          <w:szCs w:val="22"/>
        </w:rPr>
        <w:t>also enable customers in the automotive industry to achieve cost-effective production.</w:t>
      </w:r>
      <w:r>
        <w:rPr>
          <w:rFonts w:cs="Segoe UI"/>
          <w:bCs/>
          <w:szCs w:val="22"/>
        </w:rPr>
        <w:t xml:space="preserve"> </w:t>
      </w:r>
      <w:r w:rsidRPr="00611564">
        <w:rPr>
          <w:rFonts w:cs="Segoe UI"/>
          <w:bCs/>
          <w:szCs w:val="22"/>
        </w:rPr>
        <w:t xml:space="preserve">In Beauty Care, </w:t>
      </w:r>
      <w:r>
        <w:rPr>
          <w:rFonts w:cs="Segoe UI"/>
          <w:bCs/>
          <w:szCs w:val="22"/>
        </w:rPr>
        <w:t xml:space="preserve">Henkel has </w:t>
      </w:r>
      <w:r w:rsidRPr="00611564">
        <w:rPr>
          <w:rFonts w:cs="Segoe UI"/>
          <w:bCs/>
          <w:szCs w:val="22"/>
        </w:rPr>
        <w:t xml:space="preserve">relaunched </w:t>
      </w:r>
      <w:r w:rsidR="00515102">
        <w:rPr>
          <w:rFonts w:cs="Segoe UI"/>
          <w:bCs/>
          <w:szCs w:val="22"/>
        </w:rPr>
        <w:t xml:space="preserve">its </w:t>
      </w:r>
      <w:r w:rsidR="00A05D26">
        <w:rPr>
          <w:rFonts w:cs="Segoe UI"/>
          <w:bCs/>
          <w:szCs w:val="22"/>
        </w:rPr>
        <w:t>hair care</w:t>
      </w:r>
      <w:r w:rsidR="00515102">
        <w:rPr>
          <w:rFonts w:cs="Segoe UI"/>
          <w:bCs/>
          <w:szCs w:val="22"/>
        </w:rPr>
        <w:t xml:space="preserve"> brand </w:t>
      </w:r>
      <w:proofErr w:type="spellStart"/>
      <w:r w:rsidRPr="00611564">
        <w:rPr>
          <w:rFonts w:cs="Segoe UI"/>
          <w:bCs/>
          <w:szCs w:val="22"/>
        </w:rPr>
        <w:t>Schauma</w:t>
      </w:r>
      <w:proofErr w:type="spellEnd"/>
      <w:r w:rsidRPr="00611564">
        <w:rPr>
          <w:rFonts w:cs="Segoe UI"/>
          <w:bCs/>
          <w:szCs w:val="22"/>
        </w:rPr>
        <w:t xml:space="preserve"> with a redesigned</w:t>
      </w:r>
      <w:r>
        <w:rPr>
          <w:rFonts w:cs="Segoe UI"/>
          <w:bCs/>
          <w:szCs w:val="22"/>
        </w:rPr>
        <w:t xml:space="preserve"> </w:t>
      </w:r>
      <w:r w:rsidRPr="00611564">
        <w:rPr>
          <w:rFonts w:cs="Segoe UI"/>
          <w:bCs/>
          <w:szCs w:val="22"/>
        </w:rPr>
        <w:t>sustainable packaging concept using 50</w:t>
      </w:r>
      <w:r w:rsidR="00515102">
        <w:rPr>
          <w:rFonts w:cs="Segoe UI"/>
          <w:bCs/>
          <w:szCs w:val="22"/>
        </w:rPr>
        <w:t xml:space="preserve"> to </w:t>
      </w:r>
      <w:r w:rsidRPr="00611564">
        <w:rPr>
          <w:rFonts w:cs="Segoe UI"/>
          <w:bCs/>
          <w:szCs w:val="22"/>
        </w:rPr>
        <w:t>100</w:t>
      </w:r>
      <w:r>
        <w:rPr>
          <w:rFonts w:cs="Segoe UI"/>
          <w:bCs/>
          <w:szCs w:val="22"/>
        </w:rPr>
        <w:t xml:space="preserve"> percent</w:t>
      </w:r>
      <w:r w:rsidRPr="00611564">
        <w:rPr>
          <w:rFonts w:cs="Segoe UI"/>
          <w:bCs/>
          <w:szCs w:val="22"/>
        </w:rPr>
        <w:t xml:space="preserve"> recycled plastic</w:t>
      </w:r>
      <w:r>
        <w:rPr>
          <w:rFonts w:cs="Segoe UI"/>
          <w:bCs/>
          <w:szCs w:val="22"/>
        </w:rPr>
        <w:t xml:space="preserve">. </w:t>
      </w:r>
      <w:r w:rsidRPr="00611564">
        <w:rPr>
          <w:rFonts w:cs="Segoe UI"/>
          <w:bCs/>
          <w:szCs w:val="22"/>
        </w:rPr>
        <w:t xml:space="preserve">In the Laundry &amp; Home Care business unit, double-digit growth </w:t>
      </w:r>
      <w:r w:rsidR="00515102">
        <w:rPr>
          <w:rFonts w:cs="Segoe UI"/>
          <w:bCs/>
          <w:szCs w:val="22"/>
        </w:rPr>
        <w:t>and further market share gains were</w:t>
      </w:r>
      <w:r w:rsidR="00515102" w:rsidRPr="00611564">
        <w:rPr>
          <w:rFonts w:cs="Segoe UI"/>
          <w:bCs/>
          <w:szCs w:val="22"/>
        </w:rPr>
        <w:t xml:space="preserve"> </w:t>
      </w:r>
      <w:r w:rsidRPr="00611564">
        <w:rPr>
          <w:rFonts w:cs="Segoe UI"/>
          <w:bCs/>
          <w:szCs w:val="22"/>
        </w:rPr>
        <w:t>achieved with Persil</w:t>
      </w:r>
      <w:r>
        <w:rPr>
          <w:rFonts w:cs="Segoe UI"/>
          <w:bCs/>
          <w:szCs w:val="22"/>
        </w:rPr>
        <w:t xml:space="preserve">, </w:t>
      </w:r>
      <w:r w:rsidRPr="00611564">
        <w:rPr>
          <w:rFonts w:cs="Segoe UI"/>
          <w:bCs/>
          <w:szCs w:val="22"/>
        </w:rPr>
        <w:t xml:space="preserve">supported by </w:t>
      </w:r>
      <w:r>
        <w:rPr>
          <w:rFonts w:cs="Segoe UI"/>
          <w:bCs/>
          <w:szCs w:val="22"/>
        </w:rPr>
        <w:t xml:space="preserve">the </w:t>
      </w:r>
      <w:r w:rsidRPr="00611564">
        <w:rPr>
          <w:rFonts w:cs="Segoe UI"/>
          <w:bCs/>
          <w:szCs w:val="22"/>
        </w:rPr>
        <w:t xml:space="preserve">expansion of </w:t>
      </w:r>
      <w:r>
        <w:rPr>
          <w:rFonts w:cs="Segoe UI"/>
          <w:bCs/>
          <w:szCs w:val="22"/>
        </w:rPr>
        <w:t xml:space="preserve">the </w:t>
      </w:r>
      <w:r w:rsidRPr="00611564">
        <w:rPr>
          <w:rFonts w:cs="Segoe UI"/>
          <w:bCs/>
          <w:szCs w:val="22"/>
        </w:rPr>
        <w:t>sustainable and e</w:t>
      </w:r>
      <w:r w:rsidR="00A05D26">
        <w:rPr>
          <w:rFonts w:cs="Segoe UI"/>
          <w:bCs/>
          <w:szCs w:val="22"/>
        </w:rPr>
        <w:t>-</w:t>
      </w:r>
      <w:r w:rsidRPr="00611564">
        <w:rPr>
          <w:rFonts w:cs="Segoe UI"/>
          <w:bCs/>
          <w:szCs w:val="22"/>
        </w:rPr>
        <w:t>commerce-ready product</w:t>
      </w:r>
      <w:r>
        <w:rPr>
          <w:rFonts w:cs="Segoe UI"/>
          <w:bCs/>
          <w:szCs w:val="22"/>
        </w:rPr>
        <w:t xml:space="preserve"> </w:t>
      </w:r>
      <w:r w:rsidRPr="00611564">
        <w:rPr>
          <w:rFonts w:cs="Segoe UI"/>
          <w:bCs/>
          <w:szCs w:val="22"/>
        </w:rPr>
        <w:t>range</w:t>
      </w:r>
      <w:r>
        <w:rPr>
          <w:rFonts w:cs="Segoe UI"/>
          <w:bCs/>
          <w:szCs w:val="22"/>
        </w:rPr>
        <w:t>.</w:t>
      </w:r>
    </w:p>
    <w:bookmarkEnd w:id="6"/>
    <w:p w14:paraId="4CEE6889" w14:textId="77777777" w:rsidR="005A2CCC" w:rsidRPr="005A2CCC" w:rsidRDefault="005A2CCC" w:rsidP="005A2CCC">
      <w:pPr>
        <w:autoSpaceDE w:val="0"/>
        <w:autoSpaceDN w:val="0"/>
        <w:adjustRightInd w:val="0"/>
        <w:rPr>
          <w:rFonts w:cs="Segoe UI"/>
          <w:b/>
          <w:szCs w:val="22"/>
        </w:rPr>
      </w:pPr>
    </w:p>
    <w:p w14:paraId="712D2BA1" w14:textId="00F374AA" w:rsidR="005A2CCC" w:rsidRDefault="005A2CCC" w:rsidP="005A2CCC">
      <w:pPr>
        <w:autoSpaceDE w:val="0"/>
        <w:autoSpaceDN w:val="0"/>
        <w:adjustRightInd w:val="0"/>
        <w:rPr>
          <w:rFonts w:cs="Segoe UI"/>
          <w:bCs/>
          <w:szCs w:val="22"/>
        </w:rPr>
      </w:pPr>
      <w:r w:rsidRPr="00B41706">
        <w:rPr>
          <w:rFonts w:cs="Segoe UI"/>
          <w:bCs/>
          <w:szCs w:val="22"/>
        </w:rPr>
        <w:t>For a long time,</w:t>
      </w:r>
      <w:r>
        <w:rPr>
          <w:rFonts w:cs="Segoe UI"/>
          <w:b/>
          <w:szCs w:val="22"/>
        </w:rPr>
        <w:t xml:space="preserve"> s</w:t>
      </w:r>
      <w:r w:rsidRPr="00846017">
        <w:rPr>
          <w:rFonts w:cs="Segoe UI"/>
          <w:b/>
          <w:szCs w:val="22"/>
        </w:rPr>
        <w:t>ustainability</w:t>
      </w:r>
      <w:r w:rsidRPr="00846017">
        <w:rPr>
          <w:rFonts w:cs="Segoe UI"/>
          <w:bCs/>
          <w:szCs w:val="22"/>
        </w:rPr>
        <w:t xml:space="preserve"> </w:t>
      </w:r>
      <w:r>
        <w:rPr>
          <w:rFonts w:cs="Segoe UI"/>
          <w:bCs/>
          <w:szCs w:val="22"/>
        </w:rPr>
        <w:t xml:space="preserve">has been </w:t>
      </w:r>
      <w:r w:rsidRPr="00846017">
        <w:rPr>
          <w:rFonts w:cs="Segoe UI"/>
          <w:bCs/>
          <w:szCs w:val="22"/>
        </w:rPr>
        <w:t xml:space="preserve">one of Henkel’s </w:t>
      </w:r>
      <w:r w:rsidR="00A05D26">
        <w:rPr>
          <w:rFonts w:cs="Segoe UI"/>
          <w:bCs/>
          <w:szCs w:val="22"/>
        </w:rPr>
        <w:t>greatest</w:t>
      </w:r>
      <w:r w:rsidR="00A05D26" w:rsidRPr="00846017">
        <w:rPr>
          <w:rFonts w:cs="Segoe UI"/>
          <w:bCs/>
          <w:szCs w:val="22"/>
        </w:rPr>
        <w:t xml:space="preserve"> </w:t>
      </w:r>
      <w:r w:rsidRPr="00846017">
        <w:rPr>
          <w:rFonts w:cs="Segoe UI"/>
          <w:bCs/>
          <w:szCs w:val="22"/>
        </w:rPr>
        <w:t xml:space="preserve">strengths. </w:t>
      </w:r>
      <w:r w:rsidRPr="00E52614">
        <w:rPr>
          <w:rFonts w:cs="Segoe UI"/>
          <w:bCs/>
          <w:szCs w:val="22"/>
        </w:rPr>
        <w:t xml:space="preserve">To reflect the growing importance of sustainable management and the rising expectations of customers and society, Henkel has enhanced its long-term sustainability strategy with </w:t>
      </w:r>
      <w:r w:rsidR="00515102">
        <w:rPr>
          <w:rFonts w:cs="Segoe UI"/>
          <w:bCs/>
          <w:szCs w:val="22"/>
        </w:rPr>
        <w:t>its</w:t>
      </w:r>
      <w:r w:rsidRPr="00E52614">
        <w:rPr>
          <w:rFonts w:cs="Segoe UI"/>
          <w:bCs/>
          <w:szCs w:val="22"/>
        </w:rPr>
        <w:t xml:space="preserve"> new “2030+ Sustainability Ambition Framework”</w:t>
      </w:r>
      <w:r w:rsidR="00515102">
        <w:rPr>
          <w:rFonts w:cs="Segoe UI"/>
          <w:bCs/>
          <w:szCs w:val="22"/>
        </w:rPr>
        <w:t>, introduced</w:t>
      </w:r>
      <w:r>
        <w:rPr>
          <w:rFonts w:cs="Segoe UI"/>
          <w:bCs/>
          <w:szCs w:val="22"/>
        </w:rPr>
        <w:t xml:space="preserve"> at the beginning of this year</w:t>
      </w:r>
      <w:r w:rsidRPr="00E52614">
        <w:rPr>
          <w:rFonts w:cs="Segoe UI"/>
          <w:bCs/>
          <w:szCs w:val="22"/>
        </w:rPr>
        <w:t xml:space="preserve">. In addition to existing goals, new long-term ambitions have been set </w:t>
      </w:r>
      <w:r w:rsidR="00515102">
        <w:rPr>
          <w:rFonts w:cs="Segoe UI"/>
          <w:bCs/>
          <w:szCs w:val="22"/>
        </w:rPr>
        <w:t xml:space="preserve">to drive further progress </w:t>
      </w:r>
      <w:r w:rsidRPr="00E52614">
        <w:rPr>
          <w:rFonts w:cs="Segoe UI"/>
          <w:bCs/>
          <w:szCs w:val="22"/>
        </w:rPr>
        <w:t>in three dimensions</w:t>
      </w:r>
      <w:r w:rsidR="00515102">
        <w:rPr>
          <w:rFonts w:cs="Segoe UI"/>
          <w:bCs/>
          <w:szCs w:val="22"/>
        </w:rPr>
        <w:t>:</w:t>
      </w:r>
      <w:r w:rsidRPr="00E52614">
        <w:rPr>
          <w:rFonts w:cs="Segoe UI"/>
          <w:bCs/>
          <w:szCs w:val="22"/>
        </w:rPr>
        <w:t xml:space="preserve"> “Regenerative Planet”, “Thriving Communities” and “Trusted Partner”</w:t>
      </w:r>
      <w:r w:rsidR="00515102">
        <w:rPr>
          <w:rFonts w:cs="Segoe UI"/>
          <w:bCs/>
          <w:szCs w:val="22"/>
        </w:rPr>
        <w:t>.</w:t>
      </w:r>
    </w:p>
    <w:p w14:paraId="6CEFB3D9" w14:textId="77777777" w:rsidR="005A2CCC" w:rsidRDefault="005A2CCC" w:rsidP="005A2CCC">
      <w:pPr>
        <w:autoSpaceDE w:val="0"/>
        <w:autoSpaceDN w:val="0"/>
        <w:adjustRightInd w:val="0"/>
        <w:rPr>
          <w:rFonts w:cs="Segoe UI"/>
          <w:color w:val="000000"/>
          <w:shd w:val="clear" w:color="auto" w:fill="FFFFFF"/>
        </w:rPr>
      </w:pPr>
    </w:p>
    <w:p w14:paraId="42D38F7B" w14:textId="16CF4134" w:rsidR="005A2CCC" w:rsidRDefault="005A2CCC" w:rsidP="005A2CCC">
      <w:pPr>
        <w:autoSpaceDE w:val="0"/>
        <w:autoSpaceDN w:val="0"/>
        <w:adjustRightInd w:val="0"/>
        <w:rPr>
          <w:rFonts w:cs="Segoe UI"/>
          <w:bCs/>
          <w:szCs w:val="22"/>
        </w:rPr>
      </w:pPr>
      <w:bookmarkStart w:id="7" w:name="_Hlk109206660"/>
      <w:r w:rsidRPr="00692B28">
        <w:rPr>
          <w:rFonts w:cs="Segoe UI"/>
          <w:bCs/>
          <w:szCs w:val="22"/>
        </w:rPr>
        <w:t xml:space="preserve">Henkel made further progress </w:t>
      </w:r>
      <w:r w:rsidR="00515102" w:rsidRPr="00692B28">
        <w:rPr>
          <w:rFonts w:cs="Segoe UI"/>
          <w:bCs/>
          <w:szCs w:val="22"/>
        </w:rPr>
        <w:t>in</w:t>
      </w:r>
      <w:r w:rsidRPr="00692B28">
        <w:rPr>
          <w:rFonts w:cs="Segoe UI"/>
          <w:bCs/>
          <w:szCs w:val="22"/>
        </w:rPr>
        <w:t xml:space="preserve"> sustainability in the first half of 2022. On the way to achieving the goal of a climate-positive CO2 balance for its production sites by 2030, Henkel has, for example, converted three additional sites in Europe </w:t>
      </w:r>
      <w:r w:rsidRPr="00A4240D">
        <w:rPr>
          <w:rFonts w:cs="Segoe UI"/>
          <w:bCs/>
          <w:szCs w:val="22"/>
        </w:rPr>
        <w:t>to operate</w:t>
      </w:r>
      <w:r>
        <w:rPr>
          <w:rFonts w:cs="Segoe UI"/>
          <w:bCs/>
          <w:szCs w:val="22"/>
        </w:rPr>
        <w:t xml:space="preserve"> </w:t>
      </w:r>
      <w:r w:rsidRPr="00A4240D">
        <w:rPr>
          <w:rFonts w:cs="Segoe UI"/>
          <w:bCs/>
          <w:szCs w:val="22"/>
        </w:rPr>
        <w:t>with 100 percent CO2-neutral energy.</w:t>
      </w:r>
      <w:r>
        <w:rPr>
          <w:rFonts w:cs="Segoe UI"/>
          <w:bCs/>
          <w:szCs w:val="22"/>
        </w:rPr>
        <w:t xml:space="preserve"> </w:t>
      </w:r>
      <w:r w:rsidRPr="00692B28">
        <w:rPr>
          <w:rFonts w:cs="Segoe UI"/>
          <w:bCs/>
          <w:szCs w:val="22"/>
        </w:rPr>
        <w:t xml:space="preserve">In addition, Henkel continues to consistently rely on renewable raw materials. Through a partnership with BASF, around 110,000 tons of </w:t>
      </w:r>
      <w:r w:rsidRPr="00A4240D">
        <w:rPr>
          <w:rFonts w:cs="Segoe UI"/>
          <w:bCs/>
          <w:szCs w:val="22"/>
        </w:rPr>
        <w:t xml:space="preserve">fossil-based materials </w:t>
      </w:r>
      <w:r w:rsidRPr="00692B28">
        <w:rPr>
          <w:rFonts w:cs="Segoe UI"/>
          <w:bCs/>
          <w:szCs w:val="22"/>
        </w:rPr>
        <w:t xml:space="preserve">are replaced </w:t>
      </w:r>
      <w:r w:rsidRPr="00A4240D">
        <w:rPr>
          <w:rFonts w:cs="Segoe UI"/>
          <w:bCs/>
          <w:szCs w:val="22"/>
        </w:rPr>
        <w:t>with renewable</w:t>
      </w:r>
      <w:r>
        <w:rPr>
          <w:rFonts w:cs="Segoe UI"/>
          <w:bCs/>
          <w:szCs w:val="22"/>
        </w:rPr>
        <w:t xml:space="preserve"> </w:t>
      </w:r>
      <w:r w:rsidRPr="00A4240D">
        <w:rPr>
          <w:rFonts w:cs="Segoe UI"/>
          <w:bCs/>
          <w:szCs w:val="22"/>
        </w:rPr>
        <w:t>carbon sources</w:t>
      </w:r>
      <w:r>
        <w:rPr>
          <w:rFonts w:cs="Segoe UI"/>
          <w:bCs/>
          <w:szCs w:val="22"/>
        </w:rPr>
        <w:t>.</w:t>
      </w:r>
    </w:p>
    <w:p w14:paraId="49344111" w14:textId="77777777" w:rsidR="005A2CCC" w:rsidRPr="00692B28" w:rsidRDefault="005A2CCC" w:rsidP="005A2CCC">
      <w:pPr>
        <w:autoSpaceDE w:val="0"/>
        <w:autoSpaceDN w:val="0"/>
        <w:adjustRightInd w:val="0"/>
        <w:rPr>
          <w:rFonts w:cs="Segoe UI"/>
          <w:bCs/>
          <w:szCs w:val="22"/>
        </w:rPr>
      </w:pPr>
    </w:p>
    <w:bookmarkEnd w:id="7"/>
    <w:p w14:paraId="74B10BC7" w14:textId="5593C3D2" w:rsidR="005A2CCC" w:rsidRPr="003950D3" w:rsidRDefault="005A2CCC" w:rsidP="005A2CCC">
      <w:pPr>
        <w:rPr>
          <w:rFonts w:cs="Segoe UI"/>
          <w:bCs/>
          <w:szCs w:val="22"/>
        </w:rPr>
      </w:pPr>
      <w:r w:rsidRPr="00846017">
        <w:rPr>
          <w:rFonts w:cs="Segoe UI"/>
          <w:szCs w:val="22"/>
          <w:lang w:eastAsia="de-DE"/>
        </w:rPr>
        <w:t xml:space="preserve">Next to innovation and sustainability, Henkel has defined </w:t>
      </w:r>
      <w:r w:rsidRPr="00846017">
        <w:rPr>
          <w:rFonts w:cs="Segoe UI"/>
          <w:b/>
          <w:bCs/>
          <w:szCs w:val="22"/>
          <w:lang w:eastAsia="de-DE"/>
        </w:rPr>
        <w:t>digitalization</w:t>
      </w:r>
      <w:r w:rsidRPr="00846017">
        <w:rPr>
          <w:rFonts w:cs="Segoe UI"/>
          <w:szCs w:val="22"/>
          <w:lang w:eastAsia="de-DE"/>
        </w:rPr>
        <w:t xml:space="preserve"> as </w:t>
      </w:r>
      <w:r>
        <w:rPr>
          <w:rFonts w:cs="Segoe UI"/>
          <w:szCs w:val="22"/>
          <w:lang w:eastAsia="de-DE"/>
        </w:rPr>
        <w:t xml:space="preserve">a </w:t>
      </w:r>
      <w:r w:rsidRPr="00846017">
        <w:rPr>
          <w:rFonts w:cs="Segoe UI"/>
          <w:szCs w:val="22"/>
          <w:lang w:eastAsia="de-DE"/>
        </w:rPr>
        <w:t xml:space="preserve">key lever to strengthen its competitiveness. </w:t>
      </w:r>
      <w:r w:rsidRPr="003E6512">
        <w:rPr>
          <w:rFonts w:cs="Segoe UI"/>
          <w:szCs w:val="22"/>
          <w:lang w:eastAsia="de-DE"/>
        </w:rPr>
        <w:t xml:space="preserve">In the first half of the year, the </w:t>
      </w:r>
      <w:r>
        <w:rPr>
          <w:rFonts w:cs="Segoe UI"/>
          <w:szCs w:val="22"/>
          <w:lang w:eastAsia="de-DE"/>
        </w:rPr>
        <w:t xml:space="preserve">share </w:t>
      </w:r>
      <w:r w:rsidRPr="003E6512">
        <w:rPr>
          <w:rFonts w:cs="Segoe UI"/>
          <w:szCs w:val="22"/>
          <w:lang w:eastAsia="de-DE"/>
        </w:rPr>
        <w:t xml:space="preserve">of sales generated via digital channels </w:t>
      </w:r>
      <w:r>
        <w:rPr>
          <w:rFonts w:cs="Segoe UI"/>
          <w:szCs w:val="22"/>
          <w:lang w:eastAsia="de-DE"/>
        </w:rPr>
        <w:t>grew double-digit, reaching more than 20 percent</w:t>
      </w:r>
      <w:r w:rsidRPr="003E6512">
        <w:rPr>
          <w:rFonts w:cs="Segoe UI"/>
          <w:szCs w:val="22"/>
          <w:lang w:eastAsia="de-DE"/>
        </w:rPr>
        <w:t xml:space="preserve">. </w:t>
      </w:r>
      <w:r w:rsidRPr="003950D3">
        <w:rPr>
          <w:rFonts w:cs="Segoe UI"/>
          <w:szCs w:val="22"/>
          <w:lang w:eastAsia="de-DE"/>
        </w:rPr>
        <w:t>Through its e-commerce platform</w:t>
      </w:r>
      <w:r>
        <w:rPr>
          <w:rFonts w:cs="Segoe UI"/>
          <w:szCs w:val="22"/>
          <w:lang w:eastAsia="de-DE"/>
        </w:rPr>
        <w:t>, t</w:t>
      </w:r>
      <w:r w:rsidRPr="003950D3">
        <w:rPr>
          <w:rFonts w:cs="Segoe UI"/>
          <w:bCs/>
          <w:szCs w:val="22"/>
        </w:rPr>
        <w:t xml:space="preserve">he Adhesive Technologies business </w:t>
      </w:r>
      <w:r>
        <w:rPr>
          <w:rFonts w:cs="Segoe UI"/>
          <w:bCs/>
          <w:szCs w:val="22"/>
        </w:rPr>
        <w:t xml:space="preserve">unit </w:t>
      </w:r>
      <w:r w:rsidRPr="003950D3">
        <w:rPr>
          <w:rFonts w:cs="Segoe UI"/>
          <w:bCs/>
          <w:szCs w:val="22"/>
        </w:rPr>
        <w:t xml:space="preserve">achieved double-digit growth in the first half of 2022. The </w:t>
      </w:r>
      <w:proofErr w:type="spellStart"/>
      <w:r w:rsidRPr="003950D3">
        <w:rPr>
          <w:rFonts w:cs="Segoe UI"/>
          <w:bCs/>
          <w:szCs w:val="22"/>
        </w:rPr>
        <w:t>eShop</w:t>
      </w:r>
      <w:proofErr w:type="spellEnd"/>
      <w:r w:rsidRPr="003950D3">
        <w:rPr>
          <w:rFonts w:cs="Segoe UI"/>
          <w:bCs/>
          <w:szCs w:val="22"/>
        </w:rPr>
        <w:t xml:space="preserve"> in the Hair </w:t>
      </w:r>
      <w:r>
        <w:rPr>
          <w:rFonts w:cs="Segoe UI"/>
          <w:bCs/>
          <w:szCs w:val="22"/>
        </w:rPr>
        <w:t>Professional</w:t>
      </w:r>
      <w:r w:rsidRPr="003950D3">
        <w:rPr>
          <w:rFonts w:cs="Segoe UI"/>
          <w:bCs/>
          <w:szCs w:val="22"/>
        </w:rPr>
        <w:t xml:space="preserve"> business also recorded double-digit growth with </w:t>
      </w:r>
      <w:r>
        <w:rPr>
          <w:rFonts w:cs="Segoe UI"/>
          <w:bCs/>
          <w:szCs w:val="22"/>
        </w:rPr>
        <w:t xml:space="preserve">an </w:t>
      </w:r>
      <w:r w:rsidRPr="003950D3">
        <w:rPr>
          <w:rFonts w:cs="Segoe UI"/>
          <w:bCs/>
          <w:szCs w:val="22"/>
        </w:rPr>
        <w:t>expanded range of brands and products. In addition, Henkel is further expanding its e</w:t>
      </w:r>
      <w:r w:rsidR="00D16B2B">
        <w:rPr>
          <w:rFonts w:cs="Segoe UI"/>
          <w:bCs/>
          <w:szCs w:val="22"/>
        </w:rPr>
        <w:t>-</w:t>
      </w:r>
      <w:r w:rsidRPr="003950D3">
        <w:rPr>
          <w:rFonts w:cs="Segoe UI"/>
          <w:bCs/>
          <w:szCs w:val="22"/>
        </w:rPr>
        <w:t>commerce-ready offering</w:t>
      </w:r>
      <w:r>
        <w:rPr>
          <w:rFonts w:cs="Segoe UI"/>
          <w:bCs/>
          <w:szCs w:val="22"/>
        </w:rPr>
        <w:t>s</w:t>
      </w:r>
      <w:r w:rsidRPr="003950D3">
        <w:rPr>
          <w:rFonts w:cs="Segoe UI"/>
          <w:bCs/>
          <w:szCs w:val="22"/>
        </w:rPr>
        <w:t xml:space="preserve"> in Laundry &amp; Home Care</w:t>
      </w:r>
      <w:r>
        <w:rPr>
          <w:rFonts w:cs="Segoe UI"/>
          <w:bCs/>
          <w:szCs w:val="22"/>
        </w:rPr>
        <w:t xml:space="preserve">. </w:t>
      </w:r>
      <w:r w:rsidRPr="003950D3">
        <w:rPr>
          <w:rFonts w:cs="Segoe UI"/>
          <w:bCs/>
          <w:szCs w:val="22"/>
        </w:rPr>
        <w:t xml:space="preserve">The new </w:t>
      </w:r>
      <w:r>
        <w:rPr>
          <w:rFonts w:cs="Segoe UI"/>
          <w:bCs/>
          <w:szCs w:val="22"/>
        </w:rPr>
        <w:t>integrated</w:t>
      </w:r>
      <w:r w:rsidRPr="003950D3">
        <w:rPr>
          <w:rFonts w:cs="Segoe UI"/>
          <w:bCs/>
          <w:szCs w:val="22"/>
        </w:rPr>
        <w:t xml:space="preserve"> technical platform RAQN contributed to this.</w:t>
      </w:r>
    </w:p>
    <w:p w14:paraId="471DD2FE" w14:textId="77777777" w:rsidR="005A2CCC" w:rsidRPr="005A2CCC" w:rsidRDefault="005A2CCC" w:rsidP="005A2CCC">
      <w:pPr>
        <w:rPr>
          <w:rFonts w:cs="Segoe UI"/>
          <w:szCs w:val="22"/>
          <w:lang w:eastAsia="de-DE"/>
        </w:rPr>
      </w:pPr>
    </w:p>
    <w:p w14:paraId="162CF247" w14:textId="6E1157BC" w:rsidR="005A2CCC" w:rsidRPr="00624CF6" w:rsidRDefault="005A2CCC" w:rsidP="00251624">
      <w:pPr>
        <w:rPr>
          <w:rStyle w:val="AboutandContactHeadline"/>
          <w:rFonts w:asciiTheme="majorHAnsi" w:hAnsiTheme="majorHAnsi" w:cstheme="majorHAnsi"/>
          <w:b w:val="0"/>
          <w:sz w:val="22"/>
        </w:rPr>
      </w:pPr>
      <w:bookmarkStart w:id="8" w:name="_Hlk109386180"/>
      <w:r>
        <w:rPr>
          <w:rStyle w:val="AboutandContactHeadline"/>
          <w:rFonts w:asciiTheme="majorHAnsi" w:hAnsiTheme="majorHAnsi" w:cstheme="majorHAnsi"/>
          <w:b w:val="0"/>
          <w:sz w:val="22"/>
        </w:rPr>
        <w:lastRenderedPageBreak/>
        <w:t xml:space="preserve">Lean, fast, and </w:t>
      </w:r>
      <w:r w:rsidRPr="003E216F">
        <w:rPr>
          <w:rStyle w:val="AboutandContactHeadline"/>
          <w:rFonts w:asciiTheme="majorHAnsi" w:hAnsiTheme="majorHAnsi" w:cstheme="majorHAnsi"/>
          <w:sz w:val="22"/>
        </w:rPr>
        <w:t>future-ready operating models</w:t>
      </w:r>
      <w:r>
        <w:rPr>
          <w:rStyle w:val="AboutandContactHeadline"/>
          <w:rFonts w:asciiTheme="majorHAnsi" w:hAnsiTheme="majorHAnsi" w:cstheme="majorHAnsi"/>
          <w:b w:val="0"/>
          <w:sz w:val="22"/>
        </w:rPr>
        <w:t xml:space="preserve"> are important elements of Henke</w:t>
      </w:r>
      <w:r w:rsidR="00D16B2B">
        <w:rPr>
          <w:rStyle w:val="AboutandContactHeadline"/>
          <w:rFonts w:asciiTheme="majorHAnsi" w:hAnsiTheme="majorHAnsi" w:cstheme="majorHAnsi"/>
          <w:b w:val="0"/>
          <w:sz w:val="22"/>
        </w:rPr>
        <w:t>l’s</w:t>
      </w:r>
      <w:r>
        <w:rPr>
          <w:rStyle w:val="AboutandContactHeadline"/>
          <w:rFonts w:asciiTheme="majorHAnsi" w:hAnsiTheme="majorHAnsi" w:cstheme="majorHAnsi"/>
          <w:b w:val="0"/>
          <w:sz w:val="22"/>
        </w:rPr>
        <w:t xml:space="preserve"> strategic framework. </w:t>
      </w:r>
      <w:r w:rsidRPr="00624CF6">
        <w:rPr>
          <w:rStyle w:val="AboutandContactHeadline"/>
          <w:rFonts w:asciiTheme="majorHAnsi" w:hAnsiTheme="majorHAnsi" w:cstheme="majorHAnsi"/>
          <w:b w:val="0"/>
          <w:sz w:val="22"/>
        </w:rPr>
        <w:t xml:space="preserve">Henkel has further expanded the changes launched in 2020: </w:t>
      </w:r>
      <w:r w:rsidR="0081698D">
        <w:rPr>
          <w:rStyle w:val="AboutandContactHeadline"/>
          <w:rFonts w:asciiTheme="majorHAnsi" w:hAnsiTheme="majorHAnsi" w:cstheme="majorHAnsi"/>
          <w:b w:val="0"/>
          <w:sz w:val="22"/>
        </w:rPr>
        <w:t>t</w:t>
      </w:r>
      <w:r w:rsidRPr="00624CF6">
        <w:rPr>
          <w:rStyle w:val="AboutandContactHeadline"/>
          <w:rFonts w:asciiTheme="majorHAnsi" w:hAnsiTheme="majorHAnsi" w:cstheme="majorHAnsi"/>
          <w:b w:val="0"/>
          <w:sz w:val="22"/>
        </w:rPr>
        <w:t xml:space="preserve">he digital unit </w:t>
      </w:r>
      <w:r w:rsidR="0081698D">
        <w:rPr>
          <w:rStyle w:val="AboutandContactHeadline"/>
          <w:rFonts w:asciiTheme="majorHAnsi" w:hAnsiTheme="majorHAnsi" w:cstheme="majorHAnsi"/>
          <w:b w:val="0"/>
          <w:sz w:val="22"/>
        </w:rPr>
        <w:t xml:space="preserve">Henkel </w:t>
      </w:r>
      <w:r w:rsidRPr="00624CF6">
        <w:rPr>
          <w:rStyle w:val="AboutandContactHeadline"/>
          <w:rFonts w:asciiTheme="majorHAnsi" w:hAnsiTheme="majorHAnsi" w:cstheme="majorHAnsi"/>
          <w:b w:val="0"/>
          <w:sz w:val="22"/>
        </w:rPr>
        <w:t xml:space="preserve">dx has highly efficient structures enabling higher IT project investments at stable costs. </w:t>
      </w:r>
    </w:p>
    <w:p w14:paraId="55573907" w14:textId="77777777" w:rsidR="005A2CCC" w:rsidRPr="00624CF6" w:rsidRDefault="005A2CCC" w:rsidP="005A2CCC">
      <w:pPr>
        <w:rPr>
          <w:rStyle w:val="AboutandContactHeadline"/>
          <w:rFonts w:asciiTheme="majorHAnsi" w:hAnsiTheme="majorHAnsi" w:cstheme="majorHAnsi"/>
          <w:b w:val="0"/>
          <w:sz w:val="22"/>
        </w:rPr>
      </w:pPr>
    </w:p>
    <w:p w14:paraId="0E3393F8" w14:textId="690F47B4" w:rsidR="005A2CCC" w:rsidRDefault="0081698D" w:rsidP="005A2CCC">
      <w:pPr>
        <w:rPr>
          <w:rFonts w:cs="Segoe UI"/>
          <w:szCs w:val="22"/>
          <w:lang w:eastAsia="de-DE"/>
        </w:rPr>
      </w:pPr>
      <w:bookmarkStart w:id="9" w:name="_Hlk109386825"/>
      <w:bookmarkEnd w:id="8"/>
      <w:r>
        <w:rPr>
          <w:rFonts w:cs="Segoe UI"/>
          <w:color w:val="000000"/>
          <w:shd w:val="clear" w:color="auto" w:fill="FFFFFF"/>
        </w:rPr>
        <w:t xml:space="preserve">Another key element of the Purposeful Growth Agenda </w:t>
      </w:r>
      <w:r w:rsidR="00D16B2B">
        <w:rPr>
          <w:rFonts w:cs="Segoe UI"/>
          <w:color w:val="000000"/>
          <w:shd w:val="clear" w:color="auto" w:fill="FFFFFF"/>
        </w:rPr>
        <w:t>is</w:t>
      </w:r>
      <w:r>
        <w:rPr>
          <w:rFonts w:cs="Segoe UI"/>
          <w:color w:val="000000"/>
          <w:shd w:val="clear" w:color="auto" w:fill="FFFFFF"/>
        </w:rPr>
        <w:t xml:space="preserve"> </w:t>
      </w:r>
      <w:r w:rsidR="00D16B2B">
        <w:rPr>
          <w:rFonts w:cs="Segoe UI"/>
          <w:color w:val="000000"/>
          <w:shd w:val="clear" w:color="auto" w:fill="FFFFFF"/>
        </w:rPr>
        <w:t xml:space="preserve">to </w:t>
      </w:r>
      <w:r>
        <w:rPr>
          <w:rFonts w:cs="Segoe UI"/>
          <w:color w:val="000000"/>
          <w:shd w:val="clear" w:color="auto" w:fill="FFFFFF"/>
        </w:rPr>
        <w:t>f</w:t>
      </w:r>
      <w:r w:rsidRPr="003E6512">
        <w:rPr>
          <w:rFonts w:cs="Segoe UI"/>
          <w:color w:val="000000"/>
          <w:shd w:val="clear" w:color="auto" w:fill="FFFFFF"/>
        </w:rPr>
        <w:t xml:space="preserve">urther </w:t>
      </w:r>
      <w:r w:rsidR="005A2CCC" w:rsidRPr="003E6512">
        <w:rPr>
          <w:rFonts w:cs="Segoe UI"/>
          <w:color w:val="000000"/>
          <w:shd w:val="clear" w:color="auto" w:fill="FFFFFF"/>
        </w:rPr>
        <w:t xml:space="preserve">develop Henkel’s corporate culture and </w:t>
      </w:r>
      <w:r w:rsidR="00D16B2B">
        <w:rPr>
          <w:rFonts w:cs="Segoe UI"/>
          <w:color w:val="000000"/>
          <w:shd w:val="clear" w:color="auto" w:fill="FFFFFF"/>
        </w:rPr>
        <w:t>accelerate</w:t>
      </w:r>
      <w:r w:rsidR="00D16B2B" w:rsidRPr="003E6512">
        <w:rPr>
          <w:rFonts w:cs="Segoe UI"/>
          <w:color w:val="000000"/>
          <w:shd w:val="clear" w:color="auto" w:fill="FFFFFF"/>
        </w:rPr>
        <w:t xml:space="preserve"> </w:t>
      </w:r>
      <w:r w:rsidR="005A2CCC" w:rsidRPr="003E6512">
        <w:rPr>
          <w:rFonts w:cs="Segoe UI"/>
          <w:color w:val="000000"/>
          <w:shd w:val="clear" w:color="auto" w:fill="FFFFFF"/>
        </w:rPr>
        <w:t xml:space="preserve">the </w:t>
      </w:r>
      <w:r w:rsidR="005A2CCC" w:rsidRPr="003E6512">
        <w:rPr>
          <w:rFonts w:cs="Segoe UI"/>
          <w:b/>
          <w:bCs/>
          <w:color w:val="000000"/>
          <w:shd w:val="clear" w:color="auto" w:fill="FFFFFF"/>
        </w:rPr>
        <w:t>cultural transformation</w:t>
      </w:r>
      <w:r w:rsidR="005A2CCC" w:rsidRPr="003E6512">
        <w:rPr>
          <w:rFonts w:cs="Segoe UI"/>
          <w:color w:val="000000"/>
          <w:shd w:val="clear" w:color="auto" w:fill="FFFFFF"/>
        </w:rPr>
        <w:t>. The company aims to foster a collaborative culture</w:t>
      </w:r>
      <w:r w:rsidR="005A2CCC">
        <w:rPr>
          <w:rFonts w:cs="Segoe UI"/>
          <w:color w:val="000000"/>
          <w:shd w:val="clear" w:color="auto" w:fill="FFFFFF"/>
        </w:rPr>
        <w:t xml:space="preserve">. </w:t>
      </w:r>
      <w:r w:rsidR="005A2CCC" w:rsidRPr="004228FF">
        <w:rPr>
          <w:rFonts w:cs="Segoe UI"/>
          <w:color w:val="000000"/>
          <w:shd w:val="clear" w:color="auto" w:fill="FFFFFF"/>
        </w:rPr>
        <w:t xml:space="preserve">In the first half of the year, Henkel </w:t>
      </w:r>
      <w:r w:rsidR="005A2CCC">
        <w:rPr>
          <w:rFonts w:cs="Segoe UI"/>
          <w:color w:val="000000"/>
          <w:shd w:val="clear" w:color="auto" w:fill="FFFFFF"/>
        </w:rPr>
        <w:t xml:space="preserve">continued to </w:t>
      </w:r>
      <w:r w:rsidR="005A2CCC" w:rsidRPr="004228FF">
        <w:rPr>
          <w:rFonts w:cs="Segoe UI"/>
          <w:color w:val="000000"/>
          <w:shd w:val="clear" w:color="auto" w:fill="FFFFFF"/>
        </w:rPr>
        <w:t xml:space="preserve">launch a range of measures to achieve this goal and </w:t>
      </w:r>
      <w:r>
        <w:rPr>
          <w:rFonts w:cs="Segoe UI"/>
          <w:color w:val="000000"/>
          <w:shd w:val="clear" w:color="auto" w:fill="FFFFFF"/>
        </w:rPr>
        <w:t xml:space="preserve">further </w:t>
      </w:r>
      <w:r w:rsidR="005A2CCC">
        <w:rPr>
          <w:rFonts w:cs="Segoe UI"/>
          <w:color w:val="000000"/>
          <w:shd w:val="clear" w:color="auto" w:fill="FFFFFF"/>
        </w:rPr>
        <w:t xml:space="preserve">empower its </w:t>
      </w:r>
      <w:r w:rsidR="005A2CCC" w:rsidRPr="004228FF">
        <w:rPr>
          <w:rFonts w:cs="Segoe UI"/>
          <w:color w:val="000000"/>
          <w:shd w:val="clear" w:color="auto" w:fill="FFFFFF"/>
        </w:rPr>
        <w:t>employees.</w:t>
      </w:r>
    </w:p>
    <w:p w14:paraId="6BC03D13" w14:textId="77777777" w:rsidR="005A2CCC" w:rsidRDefault="005A2CCC" w:rsidP="005A2CCC"/>
    <w:p w14:paraId="48F3F3A5" w14:textId="4D837C73" w:rsidR="005A2CCC" w:rsidRPr="005A2CCC" w:rsidRDefault="005A2CCC" w:rsidP="005A2CCC">
      <w:r w:rsidRPr="00993BAE">
        <w:t xml:space="preserve">For example, Henkel launched a </w:t>
      </w:r>
      <w:r>
        <w:t xml:space="preserve">comprehensive change management program in connection with </w:t>
      </w:r>
      <w:r w:rsidRPr="00993BAE">
        <w:t>the merger of the Laundry &amp; Home Care and Beauty Care business units</w:t>
      </w:r>
      <w:r>
        <w:t>. The program focuse</w:t>
      </w:r>
      <w:r w:rsidR="00D64145">
        <w:t>s</w:t>
      </w:r>
      <w:r>
        <w:t xml:space="preserve"> on change upskilling and team transformation. </w:t>
      </w:r>
      <w:r w:rsidR="00D64145">
        <w:t>Additionally, t</w:t>
      </w:r>
      <w:r w:rsidRPr="00993BAE">
        <w:t xml:space="preserve">o achieve the goal of gender parity across all management levels by 2025, Henkel has taken further concrete steps and launched initiatives such as the Diversity, Equity &amp; Inclusion Week. </w:t>
      </w:r>
      <w:r w:rsidRPr="005A2CCC">
        <w:t>As part of the comprehensive Smart Work concept, new initiatives were introduced that focus on the mental health and well-being of employees.</w:t>
      </w:r>
    </w:p>
    <w:bookmarkEnd w:id="9"/>
    <w:p w14:paraId="51D6D097" w14:textId="77777777" w:rsidR="005A2CCC" w:rsidRPr="005A2CCC" w:rsidRDefault="005A2CCC" w:rsidP="005A2CCC">
      <w:pPr>
        <w:rPr>
          <w:rFonts w:cs="Segoe UI"/>
          <w:szCs w:val="22"/>
          <w:highlight w:val="yellow"/>
          <w:lang w:eastAsia="de-DE"/>
        </w:rPr>
      </w:pPr>
    </w:p>
    <w:p w14:paraId="390D0DEB" w14:textId="76A3C800" w:rsidR="005A2CCC" w:rsidRDefault="005A2CCC" w:rsidP="005A2CCC">
      <w:pPr>
        <w:rPr>
          <w:rFonts w:cs="Segoe UI"/>
          <w:szCs w:val="22"/>
          <w:lang w:eastAsia="de-DE"/>
        </w:rPr>
      </w:pPr>
      <w:bookmarkStart w:id="10" w:name="_Hlk109211145"/>
      <w:r>
        <w:rPr>
          <w:rFonts w:cs="Segoe UI"/>
          <w:szCs w:val="22"/>
          <w:lang w:eastAsia="de-DE"/>
        </w:rPr>
        <w:t>“</w:t>
      </w:r>
      <w:r w:rsidR="00F1776A">
        <w:rPr>
          <w:rFonts w:cs="Segoe UI"/>
          <w:szCs w:val="22"/>
          <w:lang w:eastAsia="de-DE"/>
        </w:rPr>
        <w:t>A</w:t>
      </w:r>
      <w:r w:rsidRPr="00666B12">
        <w:rPr>
          <w:rFonts w:cs="Segoe UI"/>
          <w:szCs w:val="22"/>
          <w:lang w:eastAsia="de-DE"/>
        </w:rPr>
        <w:t>lthough we were confronted with the effects of the COVID pandemic as well as the war in Ukraine</w:t>
      </w:r>
      <w:r w:rsidR="00F1776A">
        <w:rPr>
          <w:rFonts w:cs="Segoe UI"/>
          <w:szCs w:val="22"/>
          <w:lang w:eastAsia="de-DE"/>
        </w:rPr>
        <w:t xml:space="preserve">, </w:t>
      </w:r>
      <w:r w:rsidR="00F1776A" w:rsidRPr="00F1776A">
        <w:rPr>
          <w:rFonts w:cs="Segoe UI"/>
          <w:szCs w:val="22"/>
          <w:lang w:eastAsia="de-DE"/>
        </w:rPr>
        <w:t>we significantly increased our organic and reported sales in the first half of the year.</w:t>
      </w:r>
      <w:r w:rsidR="00F1776A">
        <w:rPr>
          <w:rFonts w:cs="Segoe UI"/>
          <w:szCs w:val="22"/>
          <w:lang w:eastAsia="de-DE"/>
        </w:rPr>
        <w:t xml:space="preserve"> </w:t>
      </w:r>
      <w:r w:rsidR="00F1776A" w:rsidRPr="00F1776A">
        <w:rPr>
          <w:rFonts w:cs="Segoe UI"/>
          <w:szCs w:val="22"/>
          <w:lang w:eastAsia="de-DE"/>
        </w:rPr>
        <w:t xml:space="preserve">As expected, our results were impacted above all by the drastic increase in raw material and logistics costs. </w:t>
      </w:r>
      <w:r w:rsidRPr="005A2CCC">
        <w:rPr>
          <w:rFonts w:cs="Segoe UI"/>
          <w:szCs w:val="22"/>
          <w:lang w:eastAsia="de-DE"/>
        </w:rPr>
        <w:t>This is also reflected in our updated outlook</w:t>
      </w:r>
      <w:r w:rsidR="00D644C2">
        <w:rPr>
          <w:rFonts w:cs="Segoe UI"/>
          <w:szCs w:val="22"/>
          <w:lang w:eastAsia="de-DE"/>
        </w:rPr>
        <w:t xml:space="preserve"> for fiscal 2022</w:t>
      </w:r>
      <w:r w:rsidR="00B86178">
        <w:rPr>
          <w:rFonts w:cs="Segoe UI"/>
          <w:szCs w:val="22"/>
          <w:lang w:eastAsia="de-DE"/>
        </w:rPr>
        <w:t xml:space="preserve">“, </w:t>
      </w:r>
      <w:r w:rsidR="002A544D">
        <w:rPr>
          <w:rFonts w:cs="Segoe UI"/>
          <w:szCs w:val="22"/>
          <w:lang w:eastAsia="de-DE"/>
        </w:rPr>
        <w:t xml:space="preserve">said </w:t>
      </w:r>
      <w:r w:rsidR="00B86178">
        <w:rPr>
          <w:rFonts w:cs="Segoe UI"/>
          <w:szCs w:val="22"/>
          <w:lang w:eastAsia="de-DE"/>
        </w:rPr>
        <w:t xml:space="preserve">Carsten </w:t>
      </w:r>
      <w:proofErr w:type="spellStart"/>
      <w:r w:rsidR="00B86178">
        <w:rPr>
          <w:rFonts w:cs="Segoe UI"/>
          <w:szCs w:val="22"/>
          <w:lang w:eastAsia="de-DE"/>
        </w:rPr>
        <w:t>Knobel</w:t>
      </w:r>
      <w:proofErr w:type="spellEnd"/>
      <w:r w:rsidR="00B86178">
        <w:rPr>
          <w:rFonts w:cs="Segoe UI"/>
          <w:szCs w:val="22"/>
          <w:lang w:eastAsia="de-DE"/>
        </w:rPr>
        <w:t>.</w:t>
      </w:r>
      <w:r w:rsidRPr="005A2CCC">
        <w:rPr>
          <w:rFonts w:cs="Segoe UI"/>
          <w:szCs w:val="22"/>
          <w:lang w:eastAsia="de-DE"/>
        </w:rPr>
        <w:t xml:space="preserve"> </w:t>
      </w:r>
      <w:r w:rsidR="00B86178">
        <w:rPr>
          <w:rFonts w:cs="Segoe UI"/>
          <w:szCs w:val="22"/>
          <w:lang w:eastAsia="de-DE"/>
        </w:rPr>
        <w:t>“</w:t>
      </w:r>
      <w:r w:rsidRPr="00666B12">
        <w:rPr>
          <w:rFonts w:cs="Segoe UI"/>
          <w:szCs w:val="22"/>
          <w:lang w:eastAsia="de-DE"/>
        </w:rPr>
        <w:t>We are proud of the good progress we have made in implementing our strategic agenda</w:t>
      </w:r>
      <w:r w:rsidR="00023ED9">
        <w:rPr>
          <w:rFonts w:cs="Segoe UI"/>
          <w:szCs w:val="22"/>
          <w:lang w:eastAsia="de-DE"/>
        </w:rPr>
        <w:t xml:space="preserve"> for purposeful growth and w</w:t>
      </w:r>
      <w:r w:rsidRPr="0013562A">
        <w:rPr>
          <w:rFonts w:cs="Segoe UI"/>
          <w:szCs w:val="22"/>
          <w:lang w:eastAsia="de-DE"/>
        </w:rPr>
        <w:t xml:space="preserve">e will continue to </w:t>
      </w:r>
      <w:r>
        <w:rPr>
          <w:rFonts w:cs="Segoe UI"/>
          <w:szCs w:val="22"/>
          <w:lang w:eastAsia="de-DE"/>
        </w:rPr>
        <w:t>consistently</w:t>
      </w:r>
      <w:r w:rsidRPr="0013562A">
        <w:rPr>
          <w:rFonts w:cs="Segoe UI"/>
          <w:szCs w:val="22"/>
          <w:lang w:eastAsia="de-DE"/>
        </w:rPr>
        <w:t xml:space="preserve"> pursue our strategy</w:t>
      </w:r>
      <w:r w:rsidR="00023ED9">
        <w:rPr>
          <w:rFonts w:cs="Segoe UI"/>
          <w:szCs w:val="22"/>
          <w:lang w:eastAsia="de-DE"/>
        </w:rPr>
        <w:t xml:space="preserve"> in this overall challenging environment</w:t>
      </w:r>
      <w:r w:rsidRPr="0013562A">
        <w:rPr>
          <w:rFonts w:cs="Segoe UI"/>
          <w:szCs w:val="22"/>
          <w:lang w:eastAsia="de-DE"/>
        </w:rPr>
        <w:t>.</w:t>
      </w:r>
      <w:r w:rsidR="00D64145">
        <w:rPr>
          <w:rFonts w:cs="Segoe UI"/>
          <w:szCs w:val="22"/>
          <w:lang w:eastAsia="de-DE"/>
        </w:rPr>
        <w:t>”</w:t>
      </w:r>
    </w:p>
    <w:p w14:paraId="57CD060E" w14:textId="77777777" w:rsidR="00690A61" w:rsidRDefault="00690A61" w:rsidP="005A2CCC">
      <w:pPr>
        <w:rPr>
          <w:rFonts w:cs="Segoe UI"/>
          <w:szCs w:val="22"/>
          <w:lang w:eastAsia="de-DE"/>
        </w:rPr>
      </w:pPr>
    </w:p>
    <w:bookmarkEnd w:id="10"/>
    <w:p w14:paraId="28F86B96" w14:textId="2A5FCACC" w:rsidR="0013225D" w:rsidRDefault="0013225D">
      <w:pPr>
        <w:spacing w:line="240" w:lineRule="auto"/>
        <w:jc w:val="left"/>
        <w:rPr>
          <w:rStyle w:val="AboutandContactHeadline"/>
          <w:szCs w:val="18"/>
        </w:rPr>
      </w:pPr>
    </w:p>
    <w:p w14:paraId="1E5CC330" w14:textId="10E47F68" w:rsidR="001E1CF5" w:rsidRPr="005A2CCC" w:rsidRDefault="003509CB" w:rsidP="001E1CF5">
      <w:pPr>
        <w:rPr>
          <w:sz w:val="18"/>
          <w:szCs w:val="18"/>
        </w:rPr>
      </w:pPr>
      <w:r w:rsidRPr="005A2CCC">
        <w:rPr>
          <w:rStyle w:val="AboutandContactHeadline"/>
          <w:szCs w:val="18"/>
        </w:rPr>
        <w:t>About</w:t>
      </w:r>
      <w:r w:rsidR="001E1CF5" w:rsidRPr="005A2CCC">
        <w:rPr>
          <w:rStyle w:val="AboutandContactHeadline"/>
          <w:szCs w:val="18"/>
        </w:rPr>
        <w:t xml:space="preserve"> Henkel</w:t>
      </w:r>
    </w:p>
    <w:p w14:paraId="3C0EACC1" w14:textId="77777777" w:rsidR="00690A61" w:rsidRDefault="003509CB" w:rsidP="00D07A0C">
      <w:pPr>
        <w:rPr>
          <w:sz w:val="18"/>
          <w:szCs w:val="18"/>
        </w:rPr>
      </w:pPr>
      <w:r w:rsidRPr="003509CB">
        <w:rPr>
          <w:sz w:val="18"/>
          <w:szCs w:val="18"/>
        </w:rPr>
        <w:t xml:space="preserve">Henkel operates globally with a well-balanced and diversified portfolio. The company holds leading positions with its three business units in both industrial and consumer businesses thanks to strong </w:t>
      </w:r>
      <w:r w:rsidRPr="003509CB">
        <w:rPr>
          <w:spacing w:val="-3"/>
          <w:sz w:val="18"/>
          <w:szCs w:val="18"/>
        </w:rPr>
        <w:t>brands, innovations, and technologies. Henkel Adhesive Technologies is the global leader in the adhe</w:t>
      </w:r>
      <w:r w:rsidRPr="003509CB">
        <w:rPr>
          <w:sz w:val="18"/>
          <w:szCs w:val="18"/>
        </w:rPr>
        <w:t xml:space="preserve">sives market. In its Laundry &amp; Home Care and Beauty Care businesses, Henkel holds leading positions in </w:t>
      </w:r>
      <w:r w:rsidRPr="003509CB">
        <w:rPr>
          <w:spacing w:val="3"/>
          <w:sz w:val="18"/>
          <w:szCs w:val="18"/>
        </w:rPr>
        <w:t>many markets and categories around the world. Founded in 1876, Henkel looks back on more than</w:t>
      </w:r>
      <w:r w:rsidRPr="003509CB">
        <w:rPr>
          <w:sz w:val="18"/>
          <w:szCs w:val="18"/>
        </w:rPr>
        <w:t xml:space="preserve"> 140 years of success. In fiscal 2021, Henkel reported sales of more than 20 billion euros and adjusted </w:t>
      </w:r>
      <w:r w:rsidRPr="003509CB">
        <w:rPr>
          <w:spacing w:val="1"/>
          <w:sz w:val="18"/>
          <w:szCs w:val="18"/>
        </w:rPr>
        <w:t>operating profit of around 2.7 billion euros. Henkel employs more than 52,000 people globally – a pas</w:t>
      </w:r>
      <w:r w:rsidRPr="003509CB">
        <w:rPr>
          <w:sz w:val="18"/>
          <w:szCs w:val="18"/>
        </w:rPr>
        <w:t xml:space="preserve">sionate and highly diverse team, united by a strong company culture, a common purpose to create </w:t>
      </w:r>
      <w:r w:rsidRPr="003509CB">
        <w:rPr>
          <w:spacing w:val="-1"/>
          <w:sz w:val="18"/>
          <w:szCs w:val="18"/>
        </w:rPr>
        <w:t>sustainable value, and shared values. As a recognized leader in sustainability, Henkel holds top posi</w:t>
      </w:r>
      <w:r w:rsidRPr="003509CB">
        <w:rPr>
          <w:sz w:val="18"/>
          <w:szCs w:val="18"/>
        </w:rPr>
        <w:t xml:space="preserve">tions in many international indices and rankings. Henkel’s preferred shares are listed in the German stock index </w:t>
      </w:r>
    </w:p>
    <w:p w14:paraId="66BAF8DF" w14:textId="1E72FADD" w:rsidR="00767F2F" w:rsidRPr="003509CB" w:rsidRDefault="003509CB" w:rsidP="00D07A0C">
      <w:pPr>
        <w:rPr>
          <w:rFonts w:asciiTheme="majorHAnsi" w:hAnsiTheme="majorHAnsi" w:cstheme="majorHAnsi"/>
          <w:bCs/>
          <w:sz w:val="18"/>
          <w:szCs w:val="18"/>
        </w:rPr>
      </w:pPr>
      <w:r w:rsidRPr="003509CB">
        <w:rPr>
          <w:sz w:val="18"/>
          <w:szCs w:val="18"/>
        </w:rPr>
        <w:t xml:space="preserve">DAX. For more information, please visit </w:t>
      </w:r>
      <w:hyperlink r:id="rId12" w:history="1">
        <w:r w:rsidRPr="003509CB">
          <w:rPr>
            <w:rStyle w:val="Hyperlink"/>
          </w:rPr>
          <w:t>www.henkel.com</w:t>
        </w:r>
      </w:hyperlink>
      <w:hyperlink r:id="rId13" w:history="1">
        <w:r w:rsidRPr="003509CB">
          <w:rPr>
            <w:rStyle w:val="Hyperlink"/>
          </w:rPr>
          <w:t>.</w:t>
        </w:r>
      </w:hyperlink>
    </w:p>
    <w:p w14:paraId="0B1425BF" w14:textId="1A0631FF" w:rsidR="00AC63A8" w:rsidRDefault="00AC63A8" w:rsidP="00D07A0C">
      <w:pPr>
        <w:rPr>
          <w:rFonts w:asciiTheme="majorHAnsi" w:hAnsiTheme="majorHAnsi" w:cstheme="majorHAnsi"/>
          <w:bCs/>
          <w:sz w:val="14"/>
          <w:szCs w:val="14"/>
        </w:rPr>
      </w:pPr>
    </w:p>
    <w:p w14:paraId="7AB8BADB" w14:textId="37F3C58F" w:rsidR="00251624" w:rsidRDefault="00251624">
      <w:pPr>
        <w:spacing w:line="240" w:lineRule="auto"/>
        <w:jc w:val="left"/>
        <w:rPr>
          <w:rFonts w:asciiTheme="majorHAnsi" w:hAnsiTheme="majorHAnsi" w:cstheme="majorHAnsi"/>
          <w:bCs/>
          <w:sz w:val="14"/>
          <w:szCs w:val="14"/>
        </w:rPr>
      </w:pPr>
      <w:r>
        <w:rPr>
          <w:rFonts w:asciiTheme="majorHAnsi" w:hAnsiTheme="majorHAnsi" w:cstheme="majorHAnsi"/>
          <w:bCs/>
          <w:sz w:val="14"/>
          <w:szCs w:val="14"/>
        </w:rPr>
        <w:br w:type="page"/>
      </w:r>
    </w:p>
    <w:p w14:paraId="75F82381" w14:textId="77777777" w:rsidR="003509CB" w:rsidRPr="00D76E73" w:rsidRDefault="003509CB" w:rsidP="003509CB">
      <w:pPr>
        <w:pStyle w:val="He01Flietext"/>
        <w:rPr>
          <w:sz w:val="16"/>
          <w:szCs w:val="16"/>
          <w:lang w:val="en-US"/>
        </w:rPr>
      </w:pPr>
      <w:r w:rsidRPr="00D76E73">
        <w:rPr>
          <w:sz w:val="16"/>
          <w:szCs w:val="16"/>
          <w:lang w:val="en-US"/>
        </w:rPr>
        <w:lastRenderedPageBreak/>
        <w:t xml:space="preserve">This document contains statements referring to future business development, financial performance and other events or developments of future relevance for Henkel that may constitute forward-looking </w:t>
      </w:r>
      <w:r w:rsidRPr="00D76E73">
        <w:rPr>
          <w:spacing w:val="-1"/>
          <w:sz w:val="16"/>
          <w:szCs w:val="16"/>
          <w:lang w:val="en-US"/>
        </w:rPr>
        <w:t xml:space="preserve">statements. Statements with respect to the future are characterized </w:t>
      </w:r>
      <w:proofErr w:type="gramStart"/>
      <w:r w:rsidRPr="00D76E73">
        <w:rPr>
          <w:spacing w:val="-1"/>
          <w:sz w:val="16"/>
          <w:szCs w:val="16"/>
          <w:lang w:val="en-US"/>
        </w:rPr>
        <w:t>by the use of</w:t>
      </w:r>
      <w:proofErr w:type="gramEnd"/>
      <w:r w:rsidRPr="00D76E73">
        <w:rPr>
          <w:spacing w:val="-1"/>
          <w:sz w:val="16"/>
          <w:szCs w:val="16"/>
          <w:lang w:val="en-US"/>
        </w:rPr>
        <w:t xml:space="preserve"> words such as ex</w:t>
      </w:r>
      <w:r w:rsidRPr="00D76E73">
        <w:rPr>
          <w:sz w:val="16"/>
          <w:szCs w:val="16"/>
          <w:lang w:val="en-US"/>
        </w:rPr>
        <w:t xml:space="preserve">pect, </w:t>
      </w:r>
      <w:r w:rsidRPr="00D76E73">
        <w:rPr>
          <w:spacing w:val="2"/>
          <w:sz w:val="16"/>
          <w:szCs w:val="16"/>
          <w:lang w:val="en-US"/>
        </w:rPr>
        <w:t xml:space="preserve">intend, plan, anticipate, believe, estimate, and similar terms. Such statements are based on current estimates and assumptions made by the corporate management of Henkel AG &amp; Co. </w:t>
      </w:r>
      <w:proofErr w:type="spellStart"/>
      <w:r w:rsidRPr="00D76E73">
        <w:rPr>
          <w:spacing w:val="2"/>
          <w:sz w:val="16"/>
          <w:szCs w:val="16"/>
          <w:lang w:val="en-US"/>
        </w:rPr>
        <w:t>KGaA</w:t>
      </w:r>
      <w:proofErr w:type="spellEnd"/>
      <w:r w:rsidRPr="00D76E73">
        <w:rPr>
          <w:spacing w:val="2"/>
          <w:sz w:val="16"/>
          <w:szCs w:val="16"/>
          <w:lang w:val="en-US"/>
        </w:rPr>
        <w:t>. These</w:t>
      </w:r>
      <w:r w:rsidRPr="00D76E73">
        <w:rPr>
          <w:sz w:val="16"/>
          <w:szCs w:val="16"/>
          <w:lang w:val="en-US"/>
        </w:rPr>
        <w:t xml:space="preserve"> statements are not to be understood as in any way guaranteeing that those expectations will turn out </w:t>
      </w:r>
      <w:r w:rsidRPr="00D76E73">
        <w:rPr>
          <w:spacing w:val="1"/>
          <w:sz w:val="16"/>
          <w:szCs w:val="16"/>
          <w:lang w:val="en-US"/>
        </w:rPr>
        <w:t xml:space="preserve">to be accurate. Future performance and results actually achieved by Henkel AG &amp; Co. </w:t>
      </w:r>
      <w:proofErr w:type="spellStart"/>
      <w:proofErr w:type="gramStart"/>
      <w:r w:rsidRPr="00D76E73">
        <w:rPr>
          <w:spacing w:val="1"/>
          <w:sz w:val="16"/>
          <w:szCs w:val="16"/>
          <w:lang w:val="en-US"/>
        </w:rPr>
        <w:t>KGaA</w:t>
      </w:r>
      <w:proofErr w:type="spellEnd"/>
      <w:proofErr w:type="gramEnd"/>
      <w:r w:rsidRPr="00D76E73">
        <w:rPr>
          <w:spacing w:val="1"/>
          <w:sz w:val="16"/>
          <w:szCs w:val="16"/>
          <w:lang w:val="en-US"/>
        </w:rPr>
        <w:t xml:space="preserve"> and its af</w:t>
      </w:r>
      <w:r w:rsidRPr="00D76E73">
        <w:rPr>
          <w:sz w:val="16"/>
          <w:szCs w:val="16"/>
          <w:lang w:val="en-US"/>
        </w:rPr>
        <w:t xml:space="preserve">filiated companies depend on a number of risks and uncertainties and may therefore differ materially </w:t>
      </w:r>
      <w:r w:rsidRPr="00D76E73">
        <w:rPr>
          <w:spacing w:val="-1"/>
          <w:sz w:val="16"/>
          <w:szCs w:val="16"/>
          <w:lang w:val="en-US"/>
        </w:rPr>
        <w:t>(both positively and negatively) from the forward-looking statements. Many of these factors are out</w:t>
      </w:r>
      <w:r w:rsidRPr="00D76E73">
        <w:rPr>
          <w:sz w:val="16"/>
          <w:szCs w:val="16"/>
          <w:lang w:val="en-US"/>
        </w:rPr>
        <w:t>side Henkel’s control and cannot be accurately estimated in advance, such as the future economic environ</w:t>
      </w:r>
      <w:r w:rsidRPr="00D76E73">
        <w:rPr>
          <w:spacing w:val="1"/>
          <w:sz w:val="16"/>
          <w:szCs w:val="16"/>
          <w:lang w:val="en-US"/>
        </w:rPr>
        <w:t>ment and the actions of competitors and others involved in the marketplace. Henkel neither plans nor</w:t>
      </w:r>
      <w:r w:rsidRPr="00D76E73">
        <w:rPr>
          <w:sz w:val="16"/>
          <w:szCs w:val="16"/>
          <w:lang w:val="en-US"/>
        </w:rPr>
        <w:t xml:space="preserve"> undertakes to update forward-looking statements.</w:t>
      </w:r>
    </w:p>
    <w:p w14:paraId="4B770D44" w14:textId="77777777" w:rsidR="003509CB" w:rsidRPr="00D76E73" w:rsidRDefault="003509CB" w:rsidP="003509CB">
      <w:pPr>
        <w:pStyle w:val="He01Flietext"/>
        <w:rPr>
          <w:sz w:val="16"/>
          <w:szCs w:val="16"/>
          <w:lang w:val="en-US"/>
        </w:rPr>
      </w:pPr>
      <w:r w:rsidRPr="00D76E73">
        <w:rPr>
          <w:sz w:val="16"/>
          <w:szCs w:val="16"/>
          <w:lang w:val="en-US"/>
        </w:rPr>
        <w:t xml:space="preserve">This document includes supplemental financial indicators that are not clearly defined in the applicable </w:t>
      </w:r>
      <w:r w:rsidRPr="00D76E73">
        <w:rPr>
          <w:spacing w:val="-2"/>
          <w:sz w:val="16"/>
          <w:szCs w:val="16"/>
          <w:lang w:val="en-US"/>
        </w:rPr>
        <w:t>financial reporting framework and that are or may be alternative performance measures. These supple</w:t>
      </w:r>
      <w:r w:rsidRPr="00D76E73">
        <w:rPr>
          <w:sz w:val="16"/>
          <w:szCs w:val="16"/>
          <w:lang w:val="en-US"/>
        </w:rPr>
        <w:t xml:space="preserve">mental financial indicators should not be viewed in isolation or as alternatives to measures of Henkel’s </w:t>
      </w:r>
      <w:r w:rsidRPr="00D76E73">
        <w:rPr>
          <w:spacing w:val="-3"/>
          <w:sz w:val="16"/>
          <w:szCs w:val="16"/>
          <w:lang w:val="en-US"/>
        </w:rPr>
        <w:t>net assets and financial position or results of operations as presented in accordance with the applicable</w:t>
      </w:r>
      <w:r w:rsidRPr="00D76E73">
        <w:rPr>
          <w:sz w:val="16"/>
          <w:szCs w:val="16"/>
          <w:lang w:val="en-US"/>
        </w:rPr>
        <w:t xml:space="preserve"> financial reporting framework in its Consolidated Financial Statements. Other companies that report or describe similarly titled alternative performance measures may calculate them differently.</w:t>
      </w:r>
    </w:p>
    <w:p w14:paraId="3144B7DB" w14:textId="77777777" w:rsidR="003509CB" w:rsidRPr="00D76E73" w:rsidRDefault="003509CB" w:rsidP="003509CB">
      <w:pPr>
        <w:pStyle w:val="He01Flietext"/>
        <w:rPr>
          <w:sz w:val="16"/>
          <w:szCs w:val="16"/>
          <w:lang w:val="en-US"/>
        </w:rPr>
      </w:pPr>
      <w:r w:rsidRPr="00D76E73">
        <w:rPr>
          <w:spacing w:val="1"/>
          <w:sz w:val="16"/>
          <w:szCs w:val="16"/>
          <w:lang w:val="en-US"/>
        </w:rPr>
        <w:t>This document has been issued for information purposes only and is not intended to constitute an in</w:t>
      </w:r>
      <w:r w:rsidRPr="00D76E73">
        <w:rPr>
          <w:sz w:val="16"/>
          <w:szCs w:val="16"/>
          <w:lang w:val="en-US"/>
        </w:rPr>
        <w:t>vestment advice or an offer to sell, or a solicitation of an offer to buy, any securities.</w:t>
      </w:r>
    </w:p>
    <w:p w14:paraId="2170B57B" w14:textId="1EF8CD3B" w:rsidR="00D07A0C" w:rsidRPr="003509CB" w:rsidRDefault="00D07A0C" w:rsidP="00D07A0C">
      <w:pPr>
        <w:tabs>
          <w:tab w:val="left" w:pos="1080"/>
          <w:tab w:val="left" w:pos="4500"/>
        </w:tabs>
        <w:spacing w:line="264" w:lineRule="auto"/>
        <w:rPr>
          <w:rStyle w:val="AboutandContactBody"/>
          <w:rFonts w:asciiTheme="majorHAnsi" w:hAnsiTheme="majorHAnsi" w:cstheme="majorHAnsi"/>
          <w:b/>
          <w:szCs w:val="18"/>
        </w:rPr>
      </w:pPr>
    </w:p>
    <w:p w14:paraId="185888D3" w14:textId="4073374F" w:rsidR="00690A61" w:rsidRDefault="00690A61">
      <w:pPr>
        <w:spacing w:line="240" w:lineRule="auto"/>
        <w:jc w:val="left"/>
        <w:rPr>
          <w:rStyle w:val="AboutandContactBody"/>
          <w:rFonts w:asciiTheme="majorHAnsi" w:hAnsiTheme="majorHAnsi" w:cs="Calibri Light"/>
          <w:b/>
          <w:szCs w:val="18"/>
        </w:rPr>
      </w:pPr>
    </w:p>
    <w:p w14:paraId="6BE624AB" w14:textId="1AA86734" w:rsidR="000B6947" w:rsidRDefault="000B6947" w:rsidP="000B6947">
      <w:pPr>
        <w:rPr>
          <w:rStyle w:val="AboutandContactBody"/>
          <w:b/>
          <w:bCs/>
        </w:rPr>
      </w:pPr>
      <w:r>
        <w:rPr>
          <w:rStyle w:val="AboutandContactBody"/>
          <w:b/>
          <w:bCs/>
        </w:rPr>
        <w:t>Contact</w:t>
      </w:r>
    </w:p>
    <w:p w14:paraId="7719A064" w14:textId="77777777" w:rsidR="000B6947" w:rsidRDefault="000B6947" w:rsidP="000B6947">
      <w:pPr>
        <w:tabs>
          <w:tab w:val="left" w:pos="1080"/>
          <w:tab w:val="left" w:pos="4500"/>
        </w:tabs>
        <w:rPr>
          <w:rStyle w:val="AboutandContactBody"/>
          <w:rFonts w:cs="Segoe UI"/>
          <w:b/>
          <w:szCs w:val="18"/>
        </w:rPr>
      </w:pPr>
      <w:r w:rsidRPr="000428EE">
        <w:rPr>
          <w:rStyle w:val="AboutandContactBody"/>
          <w:b/>
          <w:szCs w:val="18"/>
        </w:rPr>
        <w:t xml:space="preserve">Hidemi Onoo      </w:t>
      </w:r>
      <w:r>
        <w:rPr>
          <w:rStyle w:val="AboutandContactBody"/>
          <w:szCs w:val="18"/>
        </w:rPr>
        <w:tab/>
      </w:r>
    </w:p>
    <w:p w14:paraId="2D2B084D" w14:textId="77777777" w:rsidR="000B6947" w:rsidRDefault="000B6947" w:rsidP="000B6947">
      <w:pPr>
        <w:tabs>
          <w:tab w:val="left" w:pos="709"/>
          <w:tab w:val="left" w:pos="4500"/>
          <w:tab w:val="left" w:pos="5245"/>
        </w:tabs>
        <w:rPr>
          <w:rStyle w:val="AboutandContactBody"/>
          <w:szCs w:val="18"/>
        </w:rPr>
      </w:pPr>
      <w:r>
        <w:rPr>
          <w:rStyle w:val="AboutandContactBody"/>
          <w:szCs w:val="18"/>
        </w:rPr>
        <w:t xml:space="preserve">Phone: </w:t>
      </w:r>
      <w:r w:rsidRPr="000428EE">
        <w:rPr>
          <w:rStyle w:val="AboutandContactBody"/>
          <w:szCs w:val="18"/>
        </w:rPr>
        <w:t>+81 3-5783-1219</w:t>
      </w:r>
      <w:r>
        <w:rPr>
          <w:rStyle w:val="AboutandContactBody"/>
          <w:szCs w:val="18"/>
        </w:rPr>
        <w:tab/>
      </w:r>
    </w:p>
    <w:p w14:paraId="500F5F2B" w14:textId="66EA4212" w:rsidR="0001450F" w:rsidRPr="00D76E73" w:rsidRDefault="000B6947" w:rsidP="000B6947">
      <w:pPr>
        <w:tabs>
          <w:tab w:val="left" w:pos="1080"/>
          <w:tab w:val="left" w:pos="4500"/>
        </w:tabs>
        <w:spacing w:line="264" w:lineRule="auto"/>
        <w:rPr>
          <w:rStyle w:val="AboutandContactBody"/>
          <w:rFonts w:asciiTheme="majorHAnsi" w:hAnsiTheme="majorHAnsi" w:cs="Calibri Light"/>
          <w:szCs w:val="18"/>
        </w:rPr>
      </w:pPr>
      <w:r w:rsidRPr="000428EE">
        <w:rPr>
          <w:rStyle w:val="AboutandContactBody"/>
          <w:szCs w:val="18"/>
        </w:rPr>
        <w:t xml:space="preserve">Email:  </w:t>
      </w:r>
      <w:hyperlink r:id="rId14" w:history="1">
        <w:r w:rsidRPr="000428EE">
          <w:rPr>
            <w:rStyle w:val="Hyperlink"/>
          </w:rPr>
          <w:t>hidemi.onoo@henkel.com</w:t>
        </w:r>
      </w:hyperlink>
      <w:r w:rsidRPr="000428EE">
        <w:rPr>
          <w:sz w:val="18"/>
          <w:szCs w:val="18"/>
        </w:rPr>
        <w:t xml:space="preserve">     </w:t>
      </w:r>
    </w:p>
    <w:p w14:paraId="23552B25" w14:textId="627C17BD" w:rsidR="00A15D78" w:rsidRPr="00CE7F84" w:rsidRDefault="00A15D78" w:rsidP="0001450F">
      <w:pPr>
        <w:tabs>
          <w:tab w:val="left" w:pos="1080"/>
          <w:tab w:val="left" w:pos="4500"/>
        </w:tabs>
        <w:spacing w:line="264" w:lineRule="auto"/>
        <w:rPr>
          <w:rStyle w:val="Hyperlink"/>
          <w:rFonts w:asciiTheme="majorHAnsi" w:hAnsiTheme="majorHAnsi" w:cs="Calibri Light"/>
        </w:rPr>
      </w:pPr>
    </w:p>
    <w:sectPr w:rsidR="00A15D78" w:rsidRPr="00CE7F84"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E627" w14:textId="77777777" w:rsidR="00CB2211" w:rsidRDefault="00CB2211">
      <w:r>
        <w:separator/>
      </w:r>
    </w:p>
  </w:endnote>
  <w:endnote w:type="continuationSeparator" w:id="0">
    <w:p w14:paraId="2F0EAB43" w14:textId="77777777" w:rsidR="00CB2211" w:rsidRDefault="00CB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altName w:val="Segoe UI"/>
    <w:charset w:val="00"/>
    <w:family w:val="swiss"/>
    <w:pitch w:val="variable"/>
    <w:sig w:usb0="E4002EFF" w:usb1="C000E47F" w:usb2="00000009" w:usb3="00000000" w:csb0="000001FF" w:csb1="00000000"/>
  </w:font>
  <w:font w:name="SegoeUI-Bold">
    <w:altName w:val="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BCAE067" w:rsidR="00CF6F33" w:rsidRPr="00112A28" w:rsidRDefault="00112A28" w:rsidP="00112A28">
    <w:pPr>
      <w:pStyle w:val="Footer"/>
      <w:tabs>
        <w:tab w:val="clear" w:pos="7083"/>
        <w:tab w:val="clear" w:pos="8640"/>
        <w:tab w:val="right" w:pos="9071"/>
      </w:tabs>
      <w:jc w:val="both"/>
    </w:pPr>
    <w:r w:rsidRPr="00BF6E82">
      <w:t>Henkel AG &amp; Co. KGaA</w:t>
    </w:r>
    <w:r>
      <w:tab/>
    </w:r>
    <w:r w:rsidR="00EF55E6">
      <w:t>Seit</w:t>
    </w:r>
    <w:r w:rsidR="00EF55E6" w:rsidRPr="00BF6E82">
      <w:t xml:space="preserve">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56264A">
      <w:fldChar w:fldCharType="begin"/>
    </w:r>
    <w:r w:rsidR="0056264A">
      <w:instrText xml:space="preserve"> NUMPAGES  \* Arabic  \* MERGEFORMAT </w:instrText>
    </w:r>
    <w:r w:rsidR="0056264A">
      <w:fldChar w:fldCharType="separate"/>
    </w:r>
    <w:r>
      <w:t>2</w:t>
    </w:r>
    <w:r w:rsidR="0056264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1506B8F" w:rsidR="00CF6F33" w:rsidRPr="00992A11" w:rsidRDefault="0059722C" w:rsidP="00992A11">
    <w:pPr>
      <w:pStyle w:val="Footer"/>
    </w:pPr>
    <w:bookmarkStart w:id="1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1"/>
    <w:r w:rsidR="005A2CCC">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F185" w14:textId="77777777" w:rsidR="00CB2211" w:rsidRDefault="00CB2211">
      <w:r>
        <w:separator/>
      </w:r>
    </w:p>
  </w:footnote>
  <w:footnote w:type="continuationSeparator" w:id="0">
    <w:p w14:paraId="0DEE051F" w14:textId="77777777" w:rsidR="00CB2211" w:rsidRDefault="00CB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9A96B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5E3FBB">
      <w:rPr>
        <w:noProof/>
      </w:rPr>
      <w:t>News</w:t>
    </w:r>
    <w:r w:rsidR="005E3FBB"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8484">
    <w:abstractNumId w:val="2"/>
  </w:num>
  <w:num w:numId="2" w16cid:durableId="551162569">
    <w:abstractNumId w:val="1"/>
  </w:num>
  <w:num w:numId="3" w16cid:durableId="269555478">
    <w:abstractNumId w:val="9"/>
  </w:num>
  <w:num w:numId="4" w16cid:durableId="1603610541">
    <w:abstractNumId w:val="6"/>
  </w:num>
  <w:num w:numId="5" w16cid:durableId="458768014">
    <w:abstractNumId w:val="4"/>
  </w:num>
  <w:num w:numId="6" w16cid:durableId="869955884">
    <w:abstractNumId w:val="7"/>
  </w:num>
  <w:num w:numId="7" w16cid:durableId="1731995347">
    <w:abstractNumId w:val="5"/>
  </w:num>
  <w:num w:numId="8" w16cid:durableId="577907970">
    <w:abstractNumId w:val="0"/>
  </w:num>
  <w:num w:numId="9" w16cid:durableId="508570664">
    <w:abstractNumId w:val="8"/>
  </w:num>
  <w:num w:numId="10" w16cid:durableId="916212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ACA"/>
    <w:rsid w:val="0001002C"/>
    <w:rsid w:val="000109CE"/>
    <w:rsid w:val="00011965"/>
    <w:rsid w:val="0001450F"/>
    <w:rsid w:val="00016137"/>
    <w:rsid w:val="00021C67"/>
    <w:rsid w:val="00023871"/>
    <w:rsid w:val="00023ED9"/>
    <w:rsid w:val="000301F0"/>
    <w:rsid w:val="00030557"/>
    <w:rsid w:val="00030701"/>
    <w:rsid w:val="00030F51"/>
    <w:rsid w:val="00032298"/>
    <w:rsid w:val="000343EB"/>
    <w:rsid w:val="00035A84"/>
    <w:rsid w:val="00040218"/>
    <w:rsid w:val="000402B6"/>
    <w:rsid w:val="00040CC9"/>
    <w:rsid w:val="00042329"/>
    <w:rsid w:val="000425ED"/>
    <w:rsid w:val="00044E68"/>
    <w:rsid w:val="000510FC"/>
    <w:rsid w:val="00051E86"/>
    <w:rsid w:val="00053A77"/>
    <w:rsid w:val="00054AFE"/>
    <w:rsid w:val="000575F9"/>
    <w:rsid w:val="000618FC"/>
    <w:rsid w:val="0006396D"/>
    <w:rsid w:val="00064CCE"/>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BA"/>
    <w:rsid w:val="000925EE"/>
    <w:rsid w:val="00096AD4"/>
    <w:rsid w:val="000A23CD"/>
    <w:rsid w:val="000A3FAD"/>
    <w:rsid w:val="000B005C"/>
    <w:rsid w:val="000B2E86"/>
    <w:rsid w:val="000B55CE"/>
    <w:rsid w:val="000B5657"/>
    <w:rsid w:val="000B5D2F"/>
    <w:rsid w:val="000B6244"/>
    <w:rsid w:val="000B6947"/>
    <w:rsid w:val="000B695A"/>
    <w:rsid w:val="000B72A8"/>
    <w:rsid w:val="000C210A"/>
    <w:rsid w:val="000C27E5"/>
    <w:rsid w:val="000C56DD"/>
    <w:rsid w:val="000D10D2"/>
    <w:rsid w:val="000D1672"/>
    <w:rsid w:val="000D178A"/>
    <w:rsid w:val="000D6C67"/>
    <w:rsid w:val="000E0FB6"/>
    <w:rsid w:val="000E1B84"/>
    <w:rsid w:val="000E2F62"/>
    <w:rsid w:val="000E38ED"/>
    <w:rsid w:val="000E4668"/>
    <w:rsid w:val="000E7F24"/>
    <w:rsid w:val="000F03BE"/>
    <w:rsid w:val="000F1757"/>
    <w:rsid w:val="000F225B"/>
    <w:rsid w:val="000F48E9"/>
    <w:rsid w:val="000F70AD"/>
    <w:rsid w:val="000F7933"/>
    <w:rsid w:val="000F7FAF"/>
    <w:rsid w:val="0010226B"/>
    <w:rsid w:val="001027F2"/>
    <w:rsid w:val="0010465B"/>
    <w:rsid w:val="00105975"/>
    <w:rsid w:val="00105C2E"/>
    <w:rsid w:val="00107F44"/>
    <w:rsid w:val="0011116D"/>
    <w:rsid w:val="00111C0C"/>
    <w:rsid w:val="00111F4D"/>
    <w:rsid w:val="00112A28"/>
    <w:rsid w:val="00115230"/>
    <w:rsid w:val="00115B5F"/>
    <w:rsid w:val="001162B4"/>
    <w:rsid w:val="001210D4"/>
    <w:rsid w:val="00122CBC"/>
    <w:rsid w:val="00124EA9"/>
    <w:rsid w:val="00126C65"/>
    <w:rsid w:val="00126D4A"/>
    <w:rsid w:val="00127F6F"/>
    <w:rsid w:val="001318EB"/>
    <w:rsid w:val="0013225D"/>
    <w:rsid w:val="00132A8B"/>
    <w:rsid w:val="00132DA9"/>
    <w:rsid w:val="0013305B"/>
    <w:rsid w:val="0013318B"/>
    <w:rsid w:val="00133B99"/>
    <w:rsid w:val="0013569C"/>
    <w:rsid w:val="001443BD"/>
    <w:rsid w:val="0014449A"/>
    <w:rsid w:val="00144A87"/>
    <w:rsid w:val="00146193"/>
    <w:rsid w:val="00146222"/>
    <w:rsid w:val="00147431"/>
    <w:rsid w:val="0015206B"/>
    <w:rsid w:val="001577E9"/>
    <w:rsid w:val="0016138C"/>
    <w:rsid w:val="00161FC1"/>
    <w:rsid w:val="00162D60"/>
    <w:rsid w:val="001640D5"/>
    <w:rsid w:val="001659FB"/>
    <w:rsid w:val="001660C5"/>
    <w:rsid w:val="00172C99"/>
    <w:rsid w:val="001731CE"/>
    <w:rsid w:val="00175C72"/>
    <w:rsid w:val="00181B06"/>
    <w:rsid w:val="0018501C"/>
    <w:rsid w:val="00185167"/>
    <w:rsid w:val="00186228"/>
    <w:rsid w:val="00190A13"/>
    <w:rsid w:val="0019635E"/>
    <w:rsid w:val="00196956"/>
    <w:rsid w:val="00197E9B"/>
    <w:rsid w:val="001A3D77"/>
    <w:rsid w:val="001A62F7"/>
    <w:rsid w:val="001A7D44"/>
    <w:rsid w:val="001B1523"/>
    <w:rsid w:val="001B5B6F"/>
    <w:rsid w:val="001B771D"/>
    <w:rsid w:val="001B7C20"/>
    <w:rsid w:val="001C0B32"/>
    <w:rsid w:val="001C158C"/>
    <w:rsid w:val="001C2D66"/>
    <w:rsid w:val="001C36F7"/>
    <w:rsid w:val="001C4BE1"/>
    <w:rsid w:val="001D7ADF"/>
    <w:rsid w:val="001E0F71"/>
    <w:rsid w:val="001E1CF5"/>
    <w:rsid w:val="001E2B9B"/>
    <w:rsid w:val="001E3D73"/>
    <w:rsid w:val="001E4CCB"/>
    <w:rsid w:val="001E683F"/>
    <w:rsid w:val="001E699D"/>
    <w:rsid w:val="001E6D05"/>
    <w:rsid w:val="001E73E8"/>
    <w:rsid w:val="001E7C28"/>
    <w:rsid w:val="001F1BDF"/>
    <w:rsid w:val="001F2CD0"/>
    <w:rsid w:val="001F35F8"/>
    <w:rsid w:val="001F52E0"/>
    <w:rsid w:val="001F590C"/>
    <w:rsid w:val="001F7110"/>
    <w:rsid w:val="001F7E96"/>
    <w:rsid w:val="002002AB"/>
    <w:rsid w:val="002005F5"/>
    <w:rsid w:val="00202284"/>
    <w:rsid w:val="00203E12"/>
    <w:rsid w:val="0020528D"/>
    <w:rsid w:val="0020543B"/>
    <w:rsid w:val="00205A66"/>
    <w:rsid w:val="002063CF"/>
    <w:rsid w:val="00206613"/>
    <w:rsid w:val="0021158F"/>
    <w:rsid w:val="00212488"/>
    <w:rsid w:val="002129A6"/>
    <w:rsid w:val="00220628"/>
    <w:rsid w:val="002226D0"/>
    <w:rsid w:val="00222DDC"/>
    <w:rsid w:val="0022308F"/>
    <w:rsid w:val="002260C7"/>
    <w:rsid w:val="00226640"/>
    <w:rsid w:val="002304D2"/>
    <w:rsid w:val="00233D04"/>
    <w:rsid w:val="00234ABD"/>
    <w:rsid w:val="00236491"/>
    <w:rsid w:val="00236C3B"/>
    <w:rsid w:val="00236E2A"/>
    <w:rsid w:val="00237F62"/>
    <w:rsid w:val="002423C5"/>
    <w:rsid w:val="00243CEA"/>
    <w:rsid w:val="002455A1"/>
    <w:rsid w:val="0024586A"/>
    <w:rsid w:val="00245D18"/>
    <w:rsid w:val="002502E1"/>
    <w:rsid w:val="00251624"/>
    <w:rsid w:val="002518A2"/>
    <w:rsid w:val="002528B3"/>
    <w:rsid w:val="00256174"/>
    <w:rsid w:val="00256F0C"/>
    <w:rsid w:val="00262A91"/>
    <w:rsid w:val="00262C05"/>
    <w:rsid w:val="002634FC"/>
    <w:rsid w:val="00264A77"/>
    <w:rsid w:val="00267470"/>
    <w:rsid w:val="00270551"/>
    <w:rsid w:val="002715AF"/>
    <w:rsid w:val="00274D13"/>
    <w:rsid w:val="00276B8D"/>
    <w:rsid w:val="002803C4"/>
    <w:rsid w:val="00281D14"/>
    <w:rsid w:val="00282C13"/>
    <w:rsid w:val="002833C0"/>
    <w:rsid w:val="002833D8"/>
    <w:rsid w:val="00285FD5"/>
    <w:rsid w:val="00286134"/>
    <w:rsid w:val="00286BF6"/>
    <w:rsid w:val="00295D74"/>
    <w:rsid w:val="002A0DF7"/>
    <w:rsid w:val="002A2975"/>
    <w:rsid w:val="002A460D"/>
    <w:rsid w:val="002A544D"/>
    <w:rsid w:val="002A5EE9"/>
    <w:rsid w:val="002A60E0"/>
    <w:rsid w:val="002A7FC7"/>
    <w:rsid w:val="002B04F8"/>
    <w:rsid w:val="002B359D"/>
    <w:rsid w:val="002B3CE3"/>
    <w:rsid w:val="002B4111"/>
    <w:rsid w:val="002B538B"/>
    <w:rsid w:val="002B687A"/>
    <w:rsid w:val="002C1344"/>
    <w:rsid w:val="002C252E"/>
    <w:rsid w:val="002C459B"/>
    <w:rsid w:val="002C4D39"/>
    <w:rsid w:val="002C4E37"/>
    <w:rsid w:val="002C54F5"/>
    <w:rsid w:val="002C57DB"/>
    <w:rsid w:val="002C6773"/>
    <w:rsid w:val="002D269A"/>
    <w:rsid w:val="002D292F"/>
    <w:rsid w:val="002D2A3D"/>
    <w:rsid w:val="002D43BB"/>
    <w:rsid w:val="002D54A9"/>
    <w:rsid w:val="002D5D1D"/>
    <w:rsid w:val="002D6EFD"/>
    <w:rsid w:val="002D74CF"/>
    <w:rsid w:val="002E0B17"/>
    <w:rsid w:val="002E26B4"/>
    <w:rsid w:val="002E41D4"/>
    <w:rsid w:val="002E4FFB"/>
    <w:rsid w:val="002E788F"/>
    <w:rsid w:val="002E7DED"/>
    <w:rsid w:val="002F1024"/>
    <w:rsid w:val="002F7E11"/>
    <w:rsid w:val="00302CF9"/>
    <w:rsid w:val="00304087"/>
    <w:rsid w:val="003057B1"/>
    <w:rsid w:val="003062AD"/>
    <w:rsid w:val="00310ACD"/>
    <w:rsid w:val="00312834"/>
    <w:rsid w:val="0031379F"/>
    <w:rsid w:val="0031621E"/>
    <w:rsid w:val="0031661F"/>
    <w:rsid w:val="00316A16"/>
    <w:rsid w:val="00320A26"/>
    <w:rsid w:val="00321174"/>
    <w:rsid w:val="00321344"/>
    <w:rsid w:val="0032152B"/>
    <w:rsid w:val="00325064"/>
    <w:rsid w:val="00325EC9"/>
    <w:rsid w:val="0033451C"/>
    <w:rsid w:val="00334CB3"/>
    <w:rsid w:val="00336854"/>
    <w:rsid w:val="0033750F"/>
    <w:rsid w:val="0033769B"/>
    <w:rsid w:val="0034015C"/>
    <w:rsid w:val="003425B2"/>
    <w:rsid w:val="003442F4"/>
    <w:rsid w:val="00345C66"/>
    <w:rsid w:val="0034797F"/>
    <w:rsid w:val="003509CB"/>
    <w:rsid w:val="00350CB4"/>
    <w:rsid w:val="00351DF1"/>
    <w:rsid w:val="00353705"/>
    <w:rsid w:val="003562E8"/>
    <w:rsid w:val="00360922"/>
    <w:rsid w:val="00362057"/>
    <w:rsid w:val="0036268A"/>
    <w:rsid w:val="00362F56"/>
    <w:rsid w:val="0036357D"/>
    <w:rsid w:val="003649BC"/>
    <w:rsid w:val="00364F7E"/>
    <w:rsid w:val="00365E44"/>
    <w:rsid w:val="003662B1"/>
    <w:rsid w:val="003669AC"/>
    <w:rsid w:val="00367AA1"/>
    <w:rsid w:val="00370A5B"/>
    <w:rsid w:val="00370CF7"/>
    <w:rsid w:val="00372E36"/>
    <w:rsid w:val="00375F7D"/>
    <w:rsid w:val="00376EE9"/>
    <w:rsid w:val="00376FFC"/>
    <w:rsid w:val="00377CBB"/>
    <w:rsid w:val="003811A5"/>
    <w:rsid w:val="00381BDA"/>
    <w:rsid w:val="00382112"/>
    <w:rsid w:val="00384F62"/>
    <w:rsid w:val="00385355"/>
    <w:rsid w:val="00385438"/>
    <w:rsid w:val="003858E5"/>
    <w:rsid w:val="003877B6"/>
    <w:rsid w:val="0039036A"/>
    <w:rsid w:val="00391539"/>
    <w:rsid w:val="00391A5F"/>
    <w:rsid w:val="00393887"/>
    <w:rsid w:val="00394C6B"/>
    <w:rsid w:val="003957E0"/>
    <w:rsid w:val="00397EE6"/>
    <w:rsid w:val="003A066C"/>
    <w:rsid w:val="003A3FD5"/>
    <w:rsid w:val="003A4E2E"/>
    <w:rsid w:val="003A4E62"/>
    <w:rsid w:val="003A5A6A"/>
    <w:rsid w:val="003B1069"/>
    <w:rsid w:val="003B38CC"/>
    <w:rsid w:val="003B390A"/>
    <w:rsid w:val="003B4E3A"/>
    <w:rsid w:val="003B5E62"/>
    <w:rsid w:val="003C0D76"/>
    <w:rsid w:val="003C15DE"/>
    <w:rsid w:val="003C2889"/>
    <w:rsid w:val="003C342D"/>
    <w:rsid w:val="003C4EB2"/>
    <w:rsid w:val="003C52EC"/>
    <w:rsid w:val="003D3968"/>
    <w:rsid w:val="003D42AF"/>
    <w:rsid w:val="003D48E4"/>
    <w:rsid w:val="003D4A14"/>
    <w:rsid w:val="003E031D"/>
    <w:rsid w:val="003F1AF3"/>
    <w:rsid w:val="003F2688"/>
    <w:rsid w:val="003F4D8D"/>
    <w:rsid w:val="003F4EE7"/>
    <w:rsid w:val="003F7A8E"/>
    <w:rsid w:val="00401508"/>
    <w:rsid w:val="00401688"/>
    <w:rsid w:val="0040386D"/>
    <w:rsid w:val="00412237"/>
    <w:rsid w:val="004125D4"/>
    <w:rsid w:val="004137C0"/>
    <w:rsid w:val="004138F3"/>
    <w:rsid w:val="004174D6"/>
    <w:rsid w:val="00420F61"/>
    <w:rsid w:val="00421F20"/>
    <w:rsid w:val="004220F5"/>
    <w:rsid w:val="00424090"/>
    <w:rsid w:val="00425755"/>
    <w:rsid w:val="004313E7"/>
    <w:rsid w:val="004339B2"/>
    <w:rsid w:val="00434DCD"/>
    <w:rsid w:val="00435150"/>
    <w:rsid w:val="004375F6"/>
    <w:rsid w:val="00441A3A"/>
    <w:rsid w:val="004423B1"/>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67047"/>
    <w:rsid w:val="00470E3B"/>
    <w:rsid w:val="00472FEC"/>
    <w:rsid w:val="00477F71"/>
    <w:rsid w:val="00483F75"/>
    <w:rsid w:val="004858E1"/>
    <w:rsid w:val="004864A1"/>
    <w:rsid w:val="00490A03"/>
    <w:rsid w:val="0049220C"/>
    <w:rsid w:val="00492B0A"/>
    <w:rsid w:val="00493327"/>
    <w:rsid w:val="0049382E"/>
    <w:rsid w:val="004947F2"/>
    <w:rsid w:val="00494DBE"/>
    <w:rsid w:val="0049579A"/>
    <w:rsid w:val="00495CE6"/>
    <w:rsid w:val="004968C3"/>
    <w:rsid w:val="004A144D"/>
    <w:rsid w:val="004A1D27"/>
    <w:rsid w:val="004A323C"/>
    <w:rsid w:val="004B0801"/>
    <w:rsid w:val="004B1117"/>
    <w:rsid w:val="004B1A6B"/>
    <w:rsid w:val="004B54E8"/>
    <w:rsid w:val="004B7CCC"/>
    <w:rsid w:val="004C0138"/>
    <w:rsid w:val="004C034F"/>
    <w:rsid w:val="004C12E8"/>
    <w:rsid w:val="004C1578"/>
    <w:rsid w:val="004C1871"/>
    <w:rsid w:val="004C18DD"/>
    <w:rsid w:val="004C2B18"/>
    <w:rsid w:val="004C3049"/>
    <w:rsid w:val="004C33BA"/>
    <w:rsid w:val="004C4FEB"/>
    <w:rsid w:val="004C5AF1"/>
    <w:rsid w:val="004C6B79"/>
    <w:rsid w:val="004C7345"/>
    <w:rsid w:val="004C76C0"/>
    <w:rsid w:val="004D059B"/>
    <w:rsid w:val="004D0E64"/>
    <w:rsid w:val="004D48A8"/>
    <w:rsid w:val="004D4CB6"/>
    <w:rsid w:val="004D4DCB"/>
    <w:rsid w:val="004D5A57"/>
    <w:rsid w:val="004E0907"/>
    <w:rsid w:val="004E2650"/>
    <w:rsid w:val="004E3341"/>
    <w:rsid w:val="004E768A"/>
    <w:rsid w:val="004E77CD"/>
    <w:rsid w:val="004F10C1"/>
    <w:rsid w:val="004F25C7"/>
    <w:rsid w:val="004F2CFC"/>
    <w:rsid w:val="004F5AD9"/>
    <w:rsid w:val="00501D3D"/>
    <w:rsid w:val="00501F2F"/>
    <w:rsid w:val="00502E62"/>
    <w:rsid w:val="00503762"/>
    <w:rsid w:val="0050484D"/>
    <w:rsid w:val="00505B81"/>
    <w:rsid w:val="00506B8A"/>
    <w:rsid w:val="00511B95"/>
    <w:rsid w:val="0051248E"/>
    <w:rsid w:val="00515102"/>
    <w:rsid w:val="0052021B"/>
    <w:rsid w:val="0052212B"/>
    <w:rsid w:val="005230C7"/>
    <w:rsid w:val="005266EA"/>
    <w:rsid w:val="0053184C"/>
    <w:rsid w:val="00534344"/>
    <w:rsid w:val="00534ADD"/>
    <w:rsid w:val="00534B46"/>
    <w:rsid w:val="00540358"/>
    <w:rsid w:val="00540D47"/>
    <w:rsid w:val="00542578"/>
    <w:rsid w:val="005428D7"/>
    <w:rsid w:val="00542D43"/>
    <w:rsid w:val="005463C3"/>
    <w:rsid w:val="005507DE"/>
    <w:rsid w:val="00550864"/>
    <w:rsid w:val="0055121D"/>
    <w:rsid w:val="00551D6C"/>
    <w:rsid w:val="005535DF"/>
    <w:rsid w:val="0055571E"/>
    <w:rsid w:val="00556F67"/>
    <w:rsid w:val="005617FD"/>
    <w:rsid w:val="0056264A"/>
    <w:rsid w:val="005652E8"/>
    <w:rsid w:val="0056749A"/>
    <w:rsid w:val="00570CF0"/>
    <w:rsid w:val="00575196"/>
    <w:rsid w:val="005760A0"/>
    <w:rsid w:val="005761BA"/>
    <w:rsid w:val="0057667C"/>
    <w:rsid w:val="00576BDA"/>
    <w:rsid w:val="0058042D"/>
    <w:rsid w:val="005826DA"/>
    <w:rsid w:val="005833F0"/>
    <w:rsid w:val="00583B3C"/>
    <w:rsid w:val="00586280"/>
    <w:rsid w:val="00586609"/>
    <w:rsid w:val="005869CE"/>
    <w:rsid w:val="00586CAF"/>
    <w:rsid w:val="005873E9"/>
    <w:rsid w:val="00591180"/>
    <w:rsid w:val="00591B6F"/>
    <w:rsid w:val="0059722C"/>
    <w:rsid w:val="00597D07"/>
    <w:rsid w:val="005A1018"/>
    <w:rsid w:val="005A16E6"/>
    <w:rsid w:val="005A2CCC"/>
    <w:rsid w:val="005A30D7"/>
    <w:rsid w:val="005A3846"/>
    <w:rsid w:val="005A4685"/>
    <w:rsid w:val="005A63CE"/>
    <w:rsid w:val="005A7E97"/>
    <w:rsid w:val="005B2CD2"/>
    <w:rsid w:val="005B3CEC"/>
    <w:rsid w:val="005B5778"/>
    <w:rsid w:val="005B6A58"/>
    <w:rsid w:val="005C12EA"/>
    <w:rsid w:val="005C4A5B"/>
    <w:rsid w:val="005C57F0"/>
    <w:rsid w:val="005C58DB"/>
    <w:rsid w:val="005C7112"/>
    <w:rsid w:val="005D0561"/>
    <w:rsid w:val="005D0AD9"/>
    <w:rsid w:val="005D1A67"/>
    <w:rsid w:val="005D22F6"/>
    <w:rsid w:val="005D5FA0"/>
    <w:rsid w:val="005D68AA"/>
    <w:rsid w:val="005E0C30"/>
    <w:rsid w:val="005E0D58"/>
    <w:rsid w:val="005E134A"/>
    <w:rsid w:val="005E3EAB"/>
    <w:rsid w:val="005E3FBB"/>
    <w:rsid w:val="005E69D9"/>
    <w:rsid w:val="005F27F4"/>
    <w:rsid w:val="005F3239"/>
    <w:rsid w:val="005F6567"/>
    <w:rsid w:val="005F7A49"/>
    <w:rsid w:val="005F7A8A"/>
    <w:rsid w:val="00600A5E"/>
    <w:rsid w:val="00600ACF"/>
    <w:rsid w:val="00601ED3"/>
    <w:rsid w:val="006034EA"/>
    <w:rsid w:val="00604D69"/>
    <w:rsid w:val="00605F3A"/>
    <w:rsid w:val="00607094"/>
    <w:rsid w:val="00607256"/>
    <w:rsid w:val="0060790C"/>
    <w:rsid w:val="006144B1"/>
    <w:rsid w:val="006177FF"/>
    <w:rsid w:val="00624E82"/>
    <w:rsid w:val="006260F9"/>
    <w:rsid w:val="006265FD"/>
    <w:rsid w:val="00631F44"/>
    <w:rsid w:val="006335F1"/>
    <w:rsid w:val="006345B6"/>
    <w:rsid w:val="00635616"/>
    <w:rsid w:val="00635712"/>
    <w:rsid w:val="006368FF"/>
    <w:rsid w:val="00637394"/>
    <w:rsid w:val="0064107F"/>
    <w:rsid w:val="00643D8A"/>
    <w:rsid w:val="00645A5C"/>
    <w:rsid w:val="00646C33"/>
    <w:rsid w:val="00651FEA"/>
    <w:rsid w:val="00652229"/>
    <w:rsid w:val="00652793"/>
    <w:rsid w:val="00656513"/>
    <w:rsid w:val="006614FF"/>
    <w:rsid w:val="0066187E"/>
    <w:rsid w:val="006626CA"/>
    <w:rsid w:val="00663487"/>
    <w:rsid w:val="006655D3"/>
    <w:rsid w:val="00671877"/>
    <w:rsid w:val="00672382"/>
    <w:rsid w:val="00676CCD"/>
    <w:rsid w:val="00677016"/>
    <w:rsid w:val="00681257"/>
    <w:rsid w:val="00681524"/>
    <w:rsid w:val="00682643"/>
    <w:rsid w:val="00682EB9"/>
    <w:rsid w:val="0068441A"/>
    <w:rsid w:val="00690A61"/>
    <w:rsid w:val="00690B19"/>
    <w:rsid w:val="00693400"/>
    <w:rsid w:val="006A0A3C"/>
    <w:rsid w:val="006A17C9"/>
    <w:rsid w:val="006A59E9"/>
    <w:rsid w:val="006A79F0"/>
    <w:rsid w:val="006B0142"/>
    <w:rsid w:val="006B14D8"/>
    <w:rsid w:val="006B1987"/>
    <w:rsid w:val="006B3442"/>
    <w:rsid w:val="006B3A37"/>
    <w:rsid w:val="006B47EE"/>
    <w:rsid w:val="006B499F"/>
    <w:rsid w:val="006B5105"/>
    <w:rsid w:val="006B5E98"/>
    <w:rsid w:val="006C33BE"/>
    <w:rsid w:val="006C5B53"/>
    <w:rsid w:val="006C7E78"/>
    <w:rsid w:val="006D098F"/>
    <w:rsid w:val="006D20E3"/>
    <w:rsid w:val="006D3FF3"/>
    <w:rsid w:val="006D4996"/>
    <w:rsid w:val="006D535B"/>
    <w:rsid w:val="006D54AB"/>
    <w:rsid w:val="006D583A"/>
    <w:rsid w:val="006D5FC6"/>
    <w:rsid w:val="006E1FA9"/>
    <w:rsid w:val="006E3006"/>
    <w:rsid w:val="006E5032"/>
    <w:rsid w:val="006E5721"/>
    <w:rsid w:val="006E5BDA"/>
    <w:rsid w:val="006F056C"/>
    <w:rsid w:val="006F0FC7"/>
    <w:rsid w:val="006F39A9"/>
    <w:rsid w:val="006F4119"/>
    <w:rsid w:val="006F5B98"/>
    <w:rsid w:val="006F643F"/>
    <w:rsid w:val="006F670F"/>
    <w:rsid w:val="006F77F3"/>
    <w:rsid w:val="007010EE"/>
    <w:rsid w:val="00701DCE"/>
    <w:rsid w:val="00702921"/>
    <w:rsid w:val="00703272"/>
    <w:rsid w:val="0070733C"/>
    <w:rsid w:val="00710C5D"/>
    <w:rsid w:val="0071348C"/>
    <w:rsid w:val="00717220"/>
    <w:rsid w:val="00717273"/>
    <w:rsid w:val="00720FD4"/>
    <w:rsid w:val="007228B5"/>
    <w:rsid w:val="00724AF2"/>
    <w:rsid w:val="0073096C"/>
    <w:rsid w:val="0073100D"/>
    <w:rsid w:val="00731115"/>
    <w:rsid w:val="00732827"/>
    <w:rsid w:val="00733429"/>
    <w:rsid w:val="00733A46"/>
    <w:rsid w:val="00735E2D"/>
    <w:rsid w:val="00740F46"/>
    <w:rsid w:val="007419C8"/>
    <w:rsid w:val="00742398"/>
    <w:rsid w:val="007432A9"/>
    <w:rsid w:val="0074371C"/>
    <w:rsid w:val="00745104"/>
    <w:rsid w:val="007507B5"/>
    <w:rsid w:val="0075091D"/>
    <w:rsid w:val="007524A0"/>
    <w:rsid w:val="00752D67"/>
    <w:rsid w:val="00753A24"/>
    <w:rsid w:val="0075430D"/>
    <w:rsid w:val="007560B0"/>
    <w:rsid w:val="00767F2F"/>
    <w:rsid w:val="007709ED"/>
    <w:rsid w:val="00772188"/>
    <w:rsid w:val="0077222A"/>
    <w:rsid w:val="00774C85"/>
    <w:rsid w:val="00775FBF"/>
    <w:rsid w:val="007813D0"/>
    <w:rsid w:val="007828DE"/>
    <w:rsid w:val="007845AC"/>
    <w:rsid w:val="00784F3F"/>
    <w:rsid w:val="00785248"/>
    <w:rsid w:val="00785993"/>
    <w:rsid w:val="007859F2"/>
    <w:rsid w:val="00785E5A"/>
    <w:rsid w:val="007866E2"/>
    <w:rsid w:val="00786BA3"/>
    <w:rsid w:val="00791B1A"/>
    <w:rsid w:val="0079202F"/>
    <w:rsid w:val="007927E2"/>
    <w:rsid w:val="007934C3"/>
    <w:rsid w:val="00793A4C"/>
    <w:rsid w:val="00794903"/>
    <w:rsid w:val="00795AF2"/>
    <w:rsid w:val="00795E4F"/>
    <w:rsid w:val="007A09FC"/>
    <w:rsid w:val="007A22C8"/>
    <w:rsid w:val="007A2AAD"/>
    <w:rsid w:val="007A4021"/>
    <w:rsid w:val="007A4432"/>
    <w:rsid w:val="007A68B3"/>
    <w:rsid w:val="007A784E"/>
    <w:rsid w:val="007A7855"/>
    <w:rsid w:val="007A7E31"/>
    <w:rsid w:val="007B0B16"/>
    <w:rsid w:val="007B246A"/>
    <w:rsid w:val="007B2DAD"/>
    <w:rsid w:val="007B3805"/>
    <w:rsid w:val="007B4939"/>
    <w:rsid w:val="007B499C"/>
    <w:rsid w:val="007B4D4B"/>
    <w:rsid w:val="007B58C6"/>
    <w:rsid w:val="007C0646"/>
    <w:rsid w:val="007C1E9D"/>
    <w:rsid w:val="007C37C5"/>
    <w:rsid w:val="007C3AE3"/>
    <w:rsid w:val="007C3CC1"/>
    <w:rsid w:val="007D0000"/>
    <w:rsid w:val="007D2A02"/>
    <w:rsid w:val="007D62A4"/>
    <w:rsid w:val="007E1736"/>
    <w:rsid w:val="007E2079"/>
    <w:rsid w:val="007E2887"/>
    <w:rsid w:val="007E6EA1"/>
    <w:rsid w:val="007E7E69"/>
    <w:rsid w:val="007E7F63"/>
    <w:rsid w:val="007F023C"/>
    <w:rsid w:val="007F0F63"/>
    <w:rsid w:val="007F2261"/>
    <w:rsid w:val="007F2B1E"/>
    <w:rsid w:val="007F4590"/>
    <w:rsid w:val="007F62B4"/>
    <w:rsid w:val="007F71B3"/>
    <w:rsid w:val="007F7DF9"/>
    <w:rsid w:val="00801517"/>
    <w:rsid w:val="00810E17"/>
    <w:rsid w:val="00813492"/>
    <w:rsid w:val="0081698D"/>
    <w:rsid w:val="00817895"/>
    <w:rsid w:val="00817AE8"/>
    <w:rsid w:val="00817DE8"/>
    <w:rsid w:val="008229F5"/>
    <w:rsid w:val="0082699A"/>
    <w:rsid w:val="00827F2A"/>
    <w:rsid w:val="00832633"/>
    <w:rsid w:val="00833CEB"/>
    <w:rsid w:val="0083710E"/>
    <w:rsid w:val="008372D2"/>
    <w:rsid w:val="008377BC"/>
    <w:rsid w:val="0084201F"/>
    <w:rsid w:val="00844C17"/>
    <w:rsid w:val="00846017"/>
    <w:rsid w:val="00847726"/>
    <w:rsid w:val="00851593"/>
    <w:rsid w:val="00851CB1"/>
    <w:rsid w:val="00851EA1"/>
    <w:rsid w:val="00852511"/>
    <w:rsid w:val="00852F56"/>
    <w:rsid w:val="0085429D"/>
    <w:rsid w:val="00855CA4"/>
    <w:rsid w:val="0085729F"/>
    <w:rsid w:val="00857408"/>
    <w:rsid w:val="008578A9"/>
    <w:rsid w:val="0086072A"/>
    <w:rsid w:val="0086088F"/>
    <w:rsid w:val="008614F1"/>
    <w:rsid w:val="00861DEE"/>
    <w:rsid w:val="008625C6"/>
    <w:rsid w:val="008639B3"/>
    <w:rsid w:val="00863C1A"/>
    <w:rsid w:val="0086470F"/>
    <w:rsid w:val="00864D86"/>
    <w:rsid w:val="00865882"/>
    <w:rsid w:val="00866CDD"/>
    <w:rsid w:val="008712FE"/>
    <w:rsid w:val="0087142D"/>
    <w:rsid w:val="00872928"/>
    <w:rsid w:val="00873416"/>
    <w:rsid w:val="00873956"/>
    <w:rsid w:val="00877800"/>
    <w:rsid w:val="00880E72"/>
    <w:rsid w:val="008825EE"/>
    <w:rsid w:val="008827AC"/>
    <w:rsid w:val="00883B3B"/>
    <w:rsid w:val="00883CC0"/>
    <w:rsid w:val="008842CA"/>
    <w:rsid w:val="0088596E"/>
    <w:rsid w:val="00886C54"/>
    <w:rsid w:val="008870ED"/>
    <w:rsid w:val="008877FC"/>
    <w:rsid w:val="0089796A"/>
    <w:rsid w:val="008A2375"/>
    <w:rsid w:val="008A54B6"/>
    <w:rsid w:val="008B119F"/>
    <w:rsid w:val="008B251E"/>
    <w:rsid w:val="008B73F3"/>
    <w:rsid w:val="008C02E6"/>
    <w:rsid w:val="008C5181"/>
    <w:rsid w:val="008C6041"/>
    <w:rsid w:val="008C74E3"/>
    <w:rsid w:val="008D6264"/>
    <w:rsid w:val="008D693B"/>
    <w:rsid w:val="008D76C5"/>
    <w:rsid w:val="008E0A04"/>
    <w:rsid w:val="008E0AFA"/>
    <w:rsid w:val="008E5D13"/>
    <w:rsid w:val="008E709A"/>
    <w:rsid w:val="008E75D3"/>
    <w:rsid w:val="008E7BE6"/>
    <w:rsid w:val="008F02E9"/>
    <w:rsid w:val="008F0CE4"/>
    <w:rsid w:val="008F125E"/>
    <w:rsid w:val="008F1C0E"/>
    <w:rsid w:val="008F2B54"/>
    <w:rsid w:val="008F4C1E"/>
    <w:rsid w:val="008F4D2F"/>
    <w:rsid w:val="008F510A"/>
    <w:rsid w:val="008F66C9"/>
    <w:rsid w:val="00900235"/>
    <w:rsid w:val="00900440"/>
    <w:rsid w:val="00906292"/>
    <w:rsid w:val="00906C23"/>
    <w:rsid w:val="009110EF"/>
    <w:rsid w:val="009111C4"/>
    <w:rsid w:val="00914B5B"/>
    <w:rsid w:val="00917162"/>
    <w:rsid w:val="009172B9"/>
    <w:rsid w:val="009178AA"/>
    <w:rsid w:val="009242C4"/>
    <w:rsid w:val="009251CC"/>
    <w:rsid w:val="00925E5C"/>
    <w:rsid w:val="0092714E"/>
    <w:rsid w:val="009324F0"/>
    <w:rsid w:val="0094024E"/>
    <w:rsid w:val="00942002"/>
    <w:rsid w:val="00942359"/>
    <w:rsid w:val="00943626"/>
    <w:rsid w:val="00944A6B"/>
    <w:rsid w:val="00945C90"/>
    <w:rsid w:val="00947885"/>
    <w:rsid w:val="00947BC2"/>
    <w:rsid w:val="009504AB"/>
    <w:rsid w:val="0095097D"/>
    <w:rsid w:val="00951212"/>
    <w:rsid w:val="00952168"/>
    <w:rsid w:val="009527FE"/>
    <w:rsid w:val="009529B2"/>
    <w:rsid w:val="009535A6"/>
    <w:rsid w:val="00960539"/>
    <w:rsid w:val="00962BA6"/>
    <w:rsid w:val="00971FD4"/>
    <w:rsid w:val="009739A0"/>
    <w:rsid w:val="00974150"/>
    <w:rsid w:val="00974EE4"/>
    <w:rsid w:val="00974F84"/>
    <w:rsid w:val="00976216"/>
    <w:rsid w:val="009767C7"/>
    <w:rsid w:val="00976B7D"/>
    <w:rsid w:val="0098579A"/>
    <w:rsid w:val="00990CCD"/>
    <w:rsid w:val="00991475"/>
    <w:rsid w:val="009918DD"/>
    <w:rsid w:val="0099195A"/>
    <w:rsid w:val="00992A11"/>
    <w:rsid w:val="00994681"/>
    <w:rsid w:val="0099486A"/>
    <w:rsid w:val="0099549D"/>
    <w:rsid w:val="0099600B"/>
    <w:rsid w:val="00996AD2"/>
    <w:rsid w:val="009A032B"/>
    <w:rsid w:val="009A0E26"/>
    <w:rsid w:val="009A16EC"/>
    <w:rsid w:val="009A22C2"/>
    <w:rsid w:val="009B0819"/>
    <w:rsid w:val="009B29B7"/>
    <w:rsid w:val="009B3199"/>
    <w:rsid w:val="009B3B37"/>
    <w:rsid w:val="009B59D6"/>
    <w:rsid w:val="009B7D1F"/>
    <w:rsid w:val="009C032B"/>
    <w:rsid w:val="009C088E"/>
    <w:rsid w:val="009C1E32"/>
    <w:rsid w:val="009C4D35"/>
    <w:rsid w:val="009D1522"/>
    <w:rsid w:val="009D7252"/>
    <w:rsid w:val="009E5EB4"/>
    <w:rsid w:val="009E7A25"/>
    <w:rsid w:val="009F01FB"/>
    <w:rsid w:val="009F21A7"/>
    <w:rsid w:val="009F563C"/>
    <w:rsid w:val="009F610E"/>
    <w:rsid w:val="009F6400"/>
    <w:rsid w:val="00A00F7E"/>
    <w:rsid w:val="00A01F37"/>
    <w:rsid w:val="00A044D6"/>
    <w:rsid w:val="00A04ADB"/>
    <w:rsid w:val="00A04F89"/>
    <w:rsid w:val="00A05D26"/>
    <w:rsid w:val="00A05F11"/>
    <w:rsid w:val="00A11B1B"/>
    <w:rsid w:val="00A11E0F"/>
    <w:rsid w:val="00A141E9"/>
    <w:rsid w:val="00A15D78"/>
    <w:rsid w:val="00A16FC1"/>
    <w:rsid w:val="00A216E5"/>
    <w:rsid w:val="00A22886"/>
    <w:rsid w:val="00A26744"/>
    <w:rsid w:val="00A26CB6"/>
    <w:rsid w:val="00A306C3"/>
    <w:rsid w:val="00A32F82"/>
    <w:rsid w:val="00A32F8B"/>
    <w:rsid w:val="00A3756F"/>
    <w:rsid w:val="00A37906"/>
    <w:rsid w:val="00A41A4C"/>
    <w:rsid w:val="00A42D6F"/>
    <w:rsid w:val="00A4474B"/>
    <w:rsid w:val="00A45A62"/>
    <w:rsid w:val="00A4674C"/>
    <w:rsid w:val="00A5268A"/>
    <w:rsid w:val="00A54AC5"/>
    <w:rsid w:val="00A55DC3"/>
    <w:rsid w:val="00A56D41"/>
    <w:rsid w:val="00A56DEC"/>
    <w:rsid w:val="00A60529"/>
    <w:rsid w:val="00A61353"/>
    <w:rsid w:val="00A61481"/>
    <w:rsid w:val="00A629D6"/>
    <w:rsid w:val="00A637C9"/>
    <w:rsid w:val="00A66DB1"/>
    <w:rsid w:val="00A67A92"/>
    <w:rsid w:val="00A70DC6"/>
    <w:rsid w:val="00A71A39"/>
    <w:rsid w:val="00A770B5"/>
    <w:rsid w:val="00A834FD"/>
    <w:rsid w:val="00A842D5"/>
    <w:rsid w:val="00A86644"/>
    <w:rsid w:val="00A87870"/>
    <w:rsid w:val="00A91A70"/>
    <w:rsid w:val="00A9290C"/>
    <w:rsid w:val="00A944BB"/>
    <w:rsid w:val="00A957F6"/>
    <w:rsid w:val="00A97316"/>
    <w:rsid w:val="00AA0D54"/>
    <w:rsid w:val="00AA1B85"/>
    <w:rsid w:val="00AA1E3B"/>
    <w:rsid w:val="00AA3290"/>
    <w:rsid w:val="00AB1CB6"/>
    <w:rsid w:val="00AB1D9A"/>
    <w:rsid w:val="00AB2B21"/>
    <w:rsid w:val="00AB333F"/>
    <w:rsid w:val="00AB47EC"/>
    <w:rsid w:val="00AC234B"/>
    <w:rsid w:val="00AC3540"/>
    <w:rsid w:val="00AC50FB"/>
    <w:rsid w:val="00AC546B"/>
    <w:rsid w:val="00AC63A8"/>
    <w:rsid w:val="00AD0109"/>
    <w:rsid w:val="00AD0A56"/>
    <w:rsid w:val="00AD0C22"/>
    <w:rsid w:val="00AD442C"/>
    <w:rsid w:val="00AD44FE"/>
    <w:rsid w:val="00AD5A37"/>
    <w:rsid w:val="00AD6AA1"/>
    <w:rsid w:val="00AE05A4"/>
    <w:rsid w:val="00AE25FC"/>
    <w:rsid w:val="00AE400C"/>
    <w:rsid w:val="00AE49F1"/>
    <w:rsid w:val="00AE4A1C"/>
    <w:rsid w:val="00AE4B7A"/>
    <w:rsid w:val="00AE5532"/>
    <w:rsid w:val="00AE6879"/>
    <w:rsid w:val="00AE756A"/>
    <w:rsid w:val="00AF5B77"/>
    <w:rsid w:val="00B02550"/>
    <w:rsid w:val="00B02C7B"/>
    <w:rsid w:val="00B05CCA"/>
    <w:rsid w:val="00B06D92"/>
    <w:rsid w:val="00B07125"/>
    <w:rsid w:val="00B1132A"/>
    <w:rsid w:val="00B12B54"/>
    <w:rsid w:val="00B14271"/>
    <w:rsid w:val="00B16270"/>
    <w:rsid w:val="00B1753B"/>
    <w:rsid w:val="00B216CE"/>
    <w:rsid w:val="00B23C16"/>
    <w:rsid w:val="00B23C52"/>
    <w:rsid w:val="00B2438D"/>
    <w:rsid w:val="00B259E1"/>
    <w:rsid w:val="00B2685D"/>
    <w:rsid w:val="00B30351"/>
    <w:rsid w:val="00B33C2A"/>
    <w:rsid w:val="00B35967"/>
    <w:rsid w:val="00B422EC"/>
    <w:rsid w:val="00B44875"/>
    <w:rsid w:val="00B460B5"/>
    <w:rsid w:val="00B47F0A"/>
    <w:rsid w:val="00B50B6B"/>
    <w:rsid w:val="00B517CD"/>
    <w:rsid w:val="00B54885"/>
    <w:rsid w:val="00B550DE"/>
    <w:rsid w:val="00B5628D"/>
    <w:rsid w:val="00B634AB"/>
    <w:rsid w:val="00B63624"/>
    <w:rsid w:val="00B675CD"/>
    <w:rsid w:val="00B714EF"/>
    <w:rsid w:val="00B715CF"/>
    <w:rsid w:val="00B726D4"/>
    <w:rsid w:val="00B73A1C"/>
    <w:rsid w:val="00B748CA"/>
    <w:rsid w:val="00B75032"/>
    <w:rsid w:val="00B80896"/>
    <w:rsid w:val="00B8214F"/>
    <w:rsid w:val="00B82B43"/>
    <w:rsid w:val="00B82B48"/>
    <w:rsid w:val="00B84AE3"/>
    <w:rsid w:val="00B85133"/>
    <w:rsid w:val="00B86178"/>
    <w:rsid w:val="00B86A4F"/>
    <w:rsid w:val="00B921F8"/>
    <w:rsid w:val="00B924E4"/>
    <w:rsid w:val="00B93035"/>
    <w:rsid w:val="00B953F9"/>
    <w:rsid w:val="00B958E8"/>
    <w:rsid w:val="00B97CBC"/>
    <w:rsid w:val="00B97E4A"/>
    <w:rsid w:val="00BA09B2"/>
    <w:rsid w:val="00BA0F35"/>
    <w:rsid w:val="00BA1EEC"/>
    <w:rsid w:val="00BA465D"/>
    <w:rsid w:val="00BA5B46"/>
    <w:rsid w:val="00BB0327"/>
    <w:rsid w:val="00BB2D73"/>
    <w:rsid w:val="00BB45BA"/>
    <w:rsid w:val="00BB4A3A"/>
    <w:rsid w:val="00BB5D0B"/>
    <w:rsid w:val="00BB63A8"/>
    <w:rsid w:val="00BC0995"/>
    <w:rsid w:val="00BC179A"/>
    <w:rsid w:val="00BC61BB"/>
    <w:rsid w:val="00BC6DE2"/>
    <w:rsid w:val="00BC6E62"/>
    <w:rsid w:val="00BD0A65"/>
    <w:rsid w:val="00BD3A53"/>
    <w:rsid w:val="00BD656A"/>
    <w:rsid w:val="00BD707B"/>
    <w:rsid w:val="00BD71F4"/>
    <w:rsid w:val="00BE00D8"/>
    <w:rsid w:val="00BE0A46"/>
    <w:rsid w:val="00BE2D0A"/>
    <w:rsid w:val="00BE47D4"/>
    <w:rsid w:val="00BE48D3"/>
    <w:rsid w:val="00BE4BF9"/>
    <w:rsid w:val="00BE793A"/>
    <w:rsid w:val="00BE7A0B"/>
    <w:rsid w:val="00BE7A4D"/>
    <w:rsid w:val="00BF0564"/>
    <w:rsid w:val="00BF2B82"/>
    <w:rsid w:val="00BF432A"/>
    <w:rsid w:val="00BF6E82"/>
    <w:rsid w:val="00BF6F12"/>
    <w:rsid w:val="00C060C7"/>
    <w:rsid w:val="00C06E23"/>
    <w:rsid w:val="00C10EA4"/>
    <w:rsid w:val="00C132DD"/>
    <w:rsid w:val="00C169EE"/>
    <w:rsid w:val="00C16F8F"/>
    <w:rsid w:val="00C17762"/>
    <w:rsid w:val="00C1787E"/>
    <w:rsid w:val="00C2036B"/>
    <w:rsid w:val="00C21897"/>
    <w:rsid w:val="00C223C7"/>
    <w:rsid w:val="00C24C17"/>
    <w:rsid w:val="00C31148"/>
    <w:rsid w:val="00C34829"/>
    <w:rsid w:val="00C3628C"/>
    <w:rsid w:val="00C3758F"/>
    <w:rsid w:val="00C40B88"/>
    <w:rsid w:val="00C43087"/>
    <w:rsid w:val="00C433B8"/>
    <w:rsid w:val="00C44489"/>
    <w:rsid w:val="00C44EFC"/>
    <w:rsid w:val="00C44FC2"/>
    <w:rsid w:val="00C47D87"/>
    <w:rsid w:val="00C5376E"/>
    <w:rsid w:val="00C5425F"/>
    <w:rsid w:val="00C55AEE"/>
    <w:rsid w:val="00C5701B"/>
    <w:rsid w:val="00C64D40"/>
    <w:rsid w:val="00C65D49"/>
    <w:rsid w:val="00C66218"/>
    <w:rsid w:val="00C6721A"/>
    <w:rsid w:val="00C677C9"/>
    <w:rsid w:val="00C70DBC"/>
    <w:rsid w:val="00C70E96"/>
    <w:rsid w:val="00C73719"/>
    <w:rsid w:val="00C76A8E"/>
    <w:rsid w:val="00C808A6"/>
    <w:rsid w:val="00C814E9"/>
    <w:rsid w:val="00C81F23"/>
    <w:rsid w:val="00C855DB"/>
    <w:rsid w:val="00C855F3"/>
    <w:rsid w:val="00C85AEA"/>
    <w:rsid w:val="00C86270"/>
    <w:rsid w:val="00C8725F"/>
    <w:rsid w:val="00C905CB"/>
    <w:rsid w:val="00C96A6A"/>
    <w:rsid w:val="00C97091"/>
    <w:rsid w:val="00C97260"/>
    <w:rsid w:val="00CA015E"/>
    <w:rsid w:val="00CA2001"/>
    <w:rsid w:val="00CA3B72"/>
    <w:rsid w:val="00CB2211"/>
    <w:rsid w:val="00CB3782"/>
    <w:rsid w:val="00CB5B6C"/>
    <w:rsid w:val="00CB5C5D"/>
    <w:rsid w:val="00CC052E"/>
    <w:rsid w:val="00CC1B25"/>
    <w:rsid w:val="00CC3B07"/>
    <w:rsid w:val="00CC7E82"/>
    <w:rsid w:val="00CD16BE"/>
    <w:rsid w:val="00CD2268"/>
    <w:rsid w:val="00CD4616"/>
    <w:rsid w:val="00CD56AF"/>
    <w:rsid w:val="00CE2A8C"/>
    <w:rsid w:val="00CE33D5"/>
    <w:rsid w:val="00CE4712"/>
    <w:rsid w:val="00CE7F84"/>
    <w:rsid w:val="00CF44F7"/>
    <w:rsid w:val="00CF5316"/>
    <w:rsid w:val="00CF531A"/>
    <w:rsid w:val="00CF5D37"/>
    <w:rsid w:val="00CF6F33"/>
    <w:rsid w:val="00D00A97"/>
    <w:rsid w:val="00D012A9"/>
    <w:rsid w:val="00D02248"/>
    <w:rsid w:val="00D04429"/>
    <w:rsid w:val="00D04E37"/>
    <w:rsid w:val="00D0568F"/>
    <w:rsid w:val="00D063B8"/>
    <w:rsid w:val="00D06825"/>
    <w:rsid w:val="00D0723C"/>
    <w:rsid w:val="00D07467"/>
    <w:rsid w:val="00D07A0C"/>
    <w:rsid w:val="00D107B3"/>
    <w:rsid w:val="00D11AF4"/>
    <w:rsid w:val="00D12024"/>
    <w:rsid w:val="00D152CF"/>
    <w:rsid w:val="00D16B2B"/>
    <w:rsid w:val="00D17E3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5790"/>
    <w:rsid w:val="00D37DD9"/>
    <w:rsid w:val="00D41BFE"/>
    <w:rsid w:val="00D42585"/>
    <w:rsid w:val="00D4700E"/>
    <w:rsid w:val="00D50EEC"/>
    <w:rsid w:val="00D51350"/>
    <w:rsid w:val="00D519AF"/>
    <w:rsid w:val="00D532A9"/>
    <w:rsid w:val="00D5437A"/>
    <w:rsid w:val="00D5611E"/>
    <w:rsid w:val="00D56358"/>
    <w:rsid w:val="00D5653B"/>
    <w:rsid w:val="00D5726D"/>
    <w:rsid w:val="00D57B8C"/>
    <w:rsid w:val="00D61D6E"/>
    <w:rsid w:val="00D62EF1"/>
    <w:rsid w:val="00D6309D"/>
    <w:rsid w:val="00D63915"/>
    <w:rsid w:val="00D64145"/>
    <w:rsid w:val="00D644C2"/>
    <w:rsid w:val="00D644CA"/>
    <w:rsid w:val="00D64EA0"/>
    <w:rsid w:val="00D66FC2"/>
    <w:rsid w:val="00D7044E"/>
    <w:rsid w:val="00D72DD3"/>
    <w:rsid w:val="00D72E1E"/>
    <w:rsid w:val="00D738B2"/>
    <w:rsid w:val="00D76C7E"/>
    <w:rsid w:val="00D76E73"/>
    <w:rsid w:val="00D771DE"/>
    <w:rsid w:val="00D7776D"/>
    <w:rsid w:val="00D834F1"/>
    <w:rsid w:val="00D835F6"/>
    <w:rsid w:val="00D83609"/>
    <w:rsid w:val="00D9088C"/>
    <w:rsid w:val="00D92179"/>
    <w:rsid w:val="00D922C6"/>
    <w:rsid w:val="00D9293F"/>
    <w:rsid w:val="00D92DE7"/>
    <w:rsid w:val="00D93598"/>
    <w:rsid w:val="00D93FDD"/>
    <w:rsid w:val="00D94168"/>
    <w:rsid w:val="00DA1E18"/>
    <w:rsid w:val="00DA2009"/>
    <w:rsid w:val="00DA4D27"/>
    <w:rsid w:val="00DA7769"/>
    <w:rsid w:val="00DB05B1"/>
    <w:rsid w:val="00DB2823"/>
    <w:rsid w:val="00DB2D74"/>
    <w:rsid w:val="00DB3786"/>
    <w:rsid w:val="00DB59E8"/>
    <w:rsid w:val="00DB5A79"/>
    <w:rsid w:val="00DC2465"/>
    <w:rsid w:val="00DC6195"/>
    <w:rsid w:val="00DC7D48"/>
    <w:rsid w:val="00DD0C3F"/>
    <w:rsid w:val="00DD145A"/>
    <w:rsid w:val="00DD1A30"/>
    <w:rsid w:val="00DD3080"/>
    <w:rsid w:val="00DD512E"/>
    <w:rsid w:val="00DD5EC8"/>
    <w:rsid w:val="00DE1177"/>
    <w:rsid w:val="00DE2052"/>
    <w:rsid w:val="00DE2CEA"/>
    <w:rsid w:val="00DE5075"/>
    <w:rsid w:val="00DE55CF"/>
    <w:rsid w:val="00DE6154"/>
    <w:rsid w:val="00DE6A3C"/>
    <w:rsid w:val="00DE6D2A"/>
    <w:rsid w:val="00DE74F4"/>
    <w:rsid w:val="00DE7F97"/>
    <w:rsid w:val="00DF1010"/>
    <w:rsid w:val="00DF5AEA"/>
    <w:rsid w:val="00DF63F6"/>
    <w:rsid w:val="00DF7BD0"/>
    <w:rsid w:val="00E006F4"/>
    <w:rsid w:val="00E00AEF"/>
    <w:rsid w:val="00E0219D"/>
    <w:rsid w:val="00E033FC"/>
    <w:rsid w:val="00E0374B"/>
    <w:rsid w:val="00E07AB9"/>
    <w:rsid w:val="00E10B28"/>
    <w:rsid w:val="00E117FD"/>
    <w:rsid w:val="00E13747"/>
    <w:rsid w:val="00E14758"/>
    <w:rsid w:val="00E172C7"/>
    <w:rsid w:val="00E21088"/>
    <w:rsid w:val="00E22A7F"/>
    <w:rsid w:val="00E23E29"/>
    <w:rsid w:val="00E24632"/>
    <w:rsid w:val="00E259A7"/>
    <w:rsid w:val="00E25AEA"/>
    <w:rsid w:val="00E25F09"/>
    <w:rsid w:val="00E306A1"/>
    <w:rsid w:val="00E30D26"/>
    <w:rsid w:val="00E30DEF"/>
    <w:rsid w:val="00E30ED2"/>
    <w:rsid w:val="00E31276"/>
    <w:rsid w:val="00E32102"/>
    <w:rsid w:val="00E34666"/>
    <w:rsid w:val="00E35A62"/>
    <w:rsid w:val="00E36A66"/>
    <w:rsid w:val="00E37F70"/>
    <w:rsid w:val="00E41377"/>
    <w:rsid w:val="00E41985"/>
    <w:rsid w:val="00E446C1"/>
    <w:rsid w:val="00E45F68"/>
    <w:rsid w:val="00E46BCD"/>
    <w:rsid w:val="00E4740A"/>
    <w:rsid w:val="00E47FE7"/>
    <w:rsid w:val="00E545D7"/>
    <w:rsid w:val="00E547FE"/>
    <w:rsid w:val="00E5669C"/>
    <w:rsid w:val="00E57DDC"/>
    <w:rsid w:val="00E60ECA"/>
    <w:rsid w:val="00E613AB"/>
    <w:rsid w:val="00E621EA"/>
    <w:rsid w:val="00E6312A"/>
    <w:rsid w:val="00E63F65"/>
    <w:rsid w:val="00E64B6E"/>
    <w:rsid w:val="00E663B6"/>
    <w:rsid w:val="00E6780D"/>
    <w:rsid w:val="00E71439"/>
    <w:rsid w:val="00E71CB0"/>
    <w:rsid w:val="00E73848"/>
    <w:rsid w:val="00E758B9"/>
    <w:rsid w:val="00E82191"/>
    <w:rsid w:val="00E84236"/>
    <w:rsid w:val="00E85569"/>
    <w:rsid w:val="00E856AF"/>
    <w:rsid w:val="00E86B83"/>
    <w:rsid w:val="00E86C57"/>
    <w:rsid w:val="00E87C64"/>
    <w:rsid w:val="00E93A01"/>
    <w:rsid w:val="00E93FF8"/>
    <w:rsid w:val="00E94EB6"/>
    <w:rsid w:val="00E95AC2"/>
    <w:rsid w:val="00E95CA8"/>
    <w:rsid w:val="00E96643"/>
    <w:rsid w:val="00E96EAF"/>
    <w:rsid w:val="00EA0DBD"/>
    <w:rsid w:val="00EA1752"/>
    <w:rsid w:val="00EA539B"/>
    <w:rsid w:val="00EA5A89"/>
    <w:rsid w:val="00EA5BDB"/>
    <w:rsid w:val="00EA60E6"/>
    <w:rsid w:val="00EA63FA"/>
    <w:rsid w:val="00EB051C"/>
    <w:rsid w:val="00EB1DE2"/>
    <w:rsid w:val="00EB20AB"/>
    <w:rsid w:val="00EB46D9"/>
    <w:rsid w:val="00EC0E64"/>
    <w:rsid w:val="00EC142D"/>
    <w:rsid w:val="00EC1E16"/>
    <w:rsid w:val="00EC2DD1"/>
    <w:rsid w:val="00EC52DA"/>
    <w:rsid w:val="00EC7BA8"/>
    <w:rsid w:val="00ED0024"/>
    <w:rsid w:val="00ED0EA0"/>
    <w:rsid w:val="00ED0F85"/>
    <w:rsid w:val="00ED2B5C"/>
    <w:rsid w:val="00ED3269"/>
    <w:rsid w:val="00ED3A18"/>
    <w:rsid w:val="00ED7A08"/>
    <w:rsid w:val="00EE1A8C"/>
    <w:rsid w:val="00EE3034"/>
    <w:rsid w:val="00EE416B"/>
    <w:rsid w:val="00EE4643"/>
    <w:rsid w:val="00EE529F"/>
    <w:rsid w:val="00EE7F1A"/>
    <w:rsid w:val="00EF1330"/>
    <w:rsid w:val="00EF15FF"/>
    <w:rsid w:val="00EF55E6"/>
    <w:rsid w:val="00EF5707"/>
    <w:rsid w:val="00EF6F3B"/>
    <w:rsid w:val="00EF70EC"/>
    <w:rsid w:val="00EF7111"/>
    <w:rsid w:val="00EF7D1A"/>
    <w:rsid w:val="00EF7D5B"/>
    <w:rsid w:val="00F02759"/>
    <w:rsid w:val="00F0448F"/>
    <w:rsid w:val="00F0716C"/>
    <w:rsid w:val="00F07DD9"/>
    <w:rsid w:val="00F105AE"/>
    <w:rsid w:val="00F108A8"/>
    <w:rsid w:val="00F13F58"/>
    <w:rsid w:val="00F16135"/>
    <w:rsid w:val="00F1776A"/>
    <w:rsid w:val="00F270E9"/>
    <w:rsid w:val="00F27440"/>
    <w:rsid w:val="00F275C0"/>
    <w:rsid w:val="00F30319"/>
    <w:rsid w:val="00F317B5"/>
    <w:rsid w:val="00F32094"/>
    <w:rsid w:val="00F33B8F"/>
    <w:rsid w:val="00F346B6"/>
    <w:rsid w:val="00F36145"/>
    <w:rsid w:val="00F37BDD"/>
    <w:rsid w:val="00F41503"/>
    <w:rsid w:val="00F44D82"/>
    <w:rsid w:val="00F46207"/>
    <w:rsid w:val="00F466C8"/>
    <w:rsid w:val="00F469A9"/>
    <w:rsid w:val="00F46B50"/>
    <w:rsid w:val="00F47C20"/>
    <w:rsid w:val="00F5043C"/>
    <w:rsid w:val="00F50B46"/>
    <w:rsid w:val="00F50D1F"/>
    <w:rsid w:val="00F51545"/>
    <w:rsid w:val="00F55325"/>
    <w:rsid w:val="00F56043"/>
    <w:rsid w:val="00F56BD8"/>
    <w:rsid w:val="00F5789A"/>
    <w:rsid w:val="00F6171A"/>
    <w:rsid w:val="00F635FC"/>
    <w:rsid w:val="00F63D03"/>
    <w:rsid w:val="00F65E2F"/>
    <w:rsid w:val="00F67DF1"/>
    <w:rsid w:val="00F7054E"/>
    <w:rsid w:val="00F75193"/>
    <w:rsid w:val="00F8309B"/>
    <w:rsid w:val="00F833C9"/>
    <w:rsid w:val="00F84965"/>
    <w:rsid w:val="00F86752"/>
    <w:rsid w:val="00F87932"/>
    <w:rsid w:val="00F90064"/>
    <w:rsid w:val="00F93C47"/>
    <w:rsid w:val="00F94217"/>
    <w:rsid w:val="00F952BA"/>
    <w:rsid w:val="00F9586C"/>
    <w:rsid w:val="00F96AFD"/>
    <w:rsid w:val="00FA07F4"/>
    <w:rsid w:val="00FA0F6E"/>
    <w:rsid w:val="00FA1398"/>
    <w:rsid w:val="00FA2E19"/>
    <w:rsid w:val="00FA42CC"/>
    <w:rsid w:val="00FA6665"/>
    <w:rsid w:val="00FA697F"/>
    <w:rsid w:val="00FA734E"/>
    <w:rsid w:val="00FB3846"/>
    <w:rsid w:val="00FB429D"/>
    <w:rsid w:val="00FB5521"/>
    <w:rsid w:val="00FB610D"/>
    <w:rsid w:val="00FC4477"/>
    <w:rsid w:val="00FC46FB"/>
    <w:rsid w:val="00FC4F25"/>
    <w:rsid w:val="00FC5921"/>
    <w:rsid w:val="00FC7B66"/>
    <w:rsid w:val="00FD106C"/>
    <w:rsid w:val="00FD2BD3"/>
    <w:rsid w:val="00FD3DEF"/>
    <w:rsid w:val="00FD4CCA"/>
    <w:rsid w:val="00FE234B"/>
    <w:rsid w:val="00FE2772"/>
    <w:rsid w:val="00FE2A9E"/>
    <w:rsid w:val="00FE34B3"/>
    <w:rsid w:val="00FE3DAA"/>
    <w:rsid w:val="00FE46B7"/>
    <w:rsid w:val="00FF0420"/>
    <w:rsid w:val="00FF14D1"/>
    <w:rsid w:val="00FF286E"/>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3509CB"/>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demi.onoo@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4.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2999</Words>
  <Characters>16486</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19447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Nurulhuda Binte (ext)</cp:lastModifiedBy>
  <cp:revision>2</cp:revision>
  <cp:lastPrinted>2022-08-02T08:46:00Z</cp:lastPrinted>
  <dcterms:created xsi:type="dcterms:W3CDTF">2022-08-26T07:43:00Z</dcterms:created>
  <dcterms:modified xsi:type="dcterms:W3CDTF">2022-08-26T07:43:00Z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