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6F8B2" w14:textId="65805DF2" w:rsidR="00393BFE" w:rsidRPr="00383DE5" w:rsidRDefault="00393BFE" w:rsidP="00393BFE">
      <w:pPr>
        <w:pStyle w:val="MonthDayYear"/>
        <w:rPr>
          <w:lang w:val="sk-SK"/>
        </w:rPr>
      </w:pPr>
      <w:r w:rsidRPr="00383DE5">
        <w:rPr>
          <w:lang w:val="sk-SK"/>
        </w:rPr>
        <w:t>2</w:t>
      </w:r>
      <w:r w:rsidR="009F3C28">
        <w:rPr>
          <w:lang w:val="sk-SK"/>
        </w:rPr>
        <w:t>0</w:t>
      </w:r>
      <w:r w:rsidRPr="00383DE5">
        <w:rPr>
          <w:lang w:val="sk-SK"/>
        </w:rPr>
        <w:t xml:space="preserve">. </w:t>
      </w:r>
      <w:r w:rsidR="009F3C28">
        <w:rPr>
          <w:lang w:val="sk-SK"/>
        </w:rPr>
        <w:t>september</w:t>
      </w:r>
      <w:r w:rsidRPr="00383DE5">
        <w:rPr>
          <w:lang w:val="sk-SK"/>
        </w:rPr>
        <w:t xml:space="preserve"> 2022</w:t>
      </w:r>
    </w:p>
    <w:p w14:paraId="5B2FAB04" w14:textId="77777777" w:rsidR="00393BFE" w:rsidRPr="00383DE5" w:rsidRDefault="00393BFE" w:rsidP="00393BFE">
      <w:pPr>
        <w:rPr>
          <w:lang w:val="sk-SK"/>
        </w:rPr>
      </w:pPr>
    </w:p>
    <w:p w14:paraId="535AB7A2" w14:textId="77777777" w:rsidR="0060232F" w:rsidRDefault="0060232F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292C3CF1" w14:textId="77777777" w:rsidR="009F3C28" w:rsidRPr="00D00D45" w:rsidRDefault="009F3C28" w:rsidP="009F3C28">
      <w:pPr>
        <w:pStyle w:val="Topline"/>
        <w:spacing w:before="360" w:after="240" w:line="280" w:lineRule="auto"/>
        <w:rPr>
          <w:rFonts w:asciiTheme="majorHAnsi" w:hAnsiTheme="majorHAnsi" w:cs="Calibri Light"/>
          <w:lang w:val="sk-SK"/>
        </w:rPr>
      </w:pPr>
      <w:proofErr w:type="spellStart"/>
      <w:r w:rsidRPr="00D00D45">
        <w:rPr>
          <w:rFonts w:asciiTheme="majorHAnsi" w:hAnsiTheme="majorHAnsi" w:cs="Calibri Light"/>
          <w:lang w:val="sk-SK"/>
        </w:rPr>
        <w:t>Capital</w:t>
      </w:r>
      <w:proofErr w:type="spellEnd"/>
      <w:r w:rsidRPr="00D00D45">
        <w:rPr>
          <w:rFonts w:asciiTheme="majorHAnsi" w:hAnsiTheme="majorHAnsi" w:cs="Calibri Light"/>
          <w:lang w:val="sk-SK"/>
        </w:rPr>
        <w:t xml:space="preserve"> Markets </w:t>
      </w:r>
      <w:proofErr w:type="spellStart"/>
      <w:r w:rsidRPr="00D00D45">
        <w:rPr>
          <w:rFonts w:asciiTheme="majorHAnsi" w:hAnsiTheme="majorHAnsi" w:cs="Calibri Light"/>
          <w:lang w:val="sk-SK"/>
        </w:rPr>
        <w:t>Day</w:t>
      </w:r>
      <w:proofErr w:type="spellEnd"/>
      <w:r w:rsidRPr="00D00D45">
        <w:rPr>
          <w:rFonts w:asciiTheme="majorHAnsi" w:hAnsiTheme="majorHAnsi" w:cs="Calibri Light"/>
          <w:lang w:val="sk-SK"/>
        </w:rPr>
        <w:t xml:space="preserve"> v spoločnosti Henkel </w:t>
      </w:r>
    </w:p>
    <w:p w14:paraId="212ABEBF" w14:textId="77777777" w:rsidR="009F3C28" w:rsidRPr="00D00D45" w:rsidRDefault="009F3C28" w:rsidP="009F3C28">
      <w:pPr>
        <w:spacing w:line="280" w:lineRule="auto"/>
        <w:jc w:val="left"/>
        <w:rPr>
          <w:rStyle w:val="Headline"/>
          <w:rFonts w:asciiTheme="majorHAnsi" w:hAnsiTheme="majorHAnsi" w:cs="Calibri Light"/>
          <w:sz w:val="29"/>
          <w:szCs w:val="29"/>
          <w:lang w:val="sk-SK"/>
        </w:rPr>
      </w:pPr>
      <w:r w:rsidRPr="00D00D45">
        <w:rPr>
          <w:rStyle w:val="Headline"/>
          <w:rFonts w:asciiTheme="majorHAnsi" w:hAnsiTheme="majorHAnsi" w:cs="Calibri Light"/>
          <w:sz w:val="29"/>
          <w:szCs w:val="29"/>
          <w:lang w:val="sk-SK"/>
        </w:rPr>
        <w:t>Henkel prezentuje úspešnú implementáciu agendy zmysluplného rastu a zvyšuje výhľad obratu na rok 2022</w:t>
      </w:r>
    </w:p>
    <w:p w14:paraId="7FE46D04" w14:textId="77777777" w:rsidR="009F3C28" w:rsidRPr="00D00D45" w:rsidRDefault="009F3C28" w:rsidP="009F3C28">
      <w:pPr>
        <w:rPr>
          <w:szCs w:val="22"/>
          <w:lang w:val="sk-SK"/>
        </w:rPr>
      </w:pPr>
    </w:p>
    <w:p w14:paraId="7937252A" w14:textId="77777777" w:rsidR="009F3C28" w:rsidRPr="00D00D45" w:rsidRDefault="009F3C28" w:rsidP="009F3C28">
      <w:pPr>
        <w:pStyle w:val="Odsekzoznamu"/>
        <w:numPr>
          <w:ilvl w:val="0"/>
          <w:numId w:val="9"/>
        </w:numPr>
        <w:spacing w:after="80" w:line="280" w:lineRule="auto"/>
        <w:ind w:right="-108"/>
        <w:jc w:val="left"/>
        <w:rPr>
          <w:rFonts w:asciiTheme="majorHAnsi" w:hAnsiTheme="majorHAnsi" w:cs="Calibri Light"/>
          <w:b/>
          <w:szCs w:val="22"/>
          <w:lang w:val="sk-SK"/>
        </w:rPr>
      </w:pPr>
      <w:bookmarkStart w:id="1" w:name="_Hlk43712519"/>
      <w:r w:rsidRPr="00D00D45">
        <w:rPr>
          <w:rFonts w:asciiTheme="majorHAnsi" w:hAnsiTheme="majorHAnsi" w:cs="Calibri Light"/>
          <w:b/>
          <w:szCs w:val="22"/>
          <w:lang w:val="sk-SK"/>
        </w:rPr>
        <w:t xml:space="preserve">Implementácia novej organizačnej štruktúry v divízii </w:t>
      </w:r>
      <w:proofErr w:type="spellStart"/>
      <w:r w:rsidRPr="00D00D45">
        <w:rPr>
          <w:rFonts w:asciiTheme="majorHAnsi" w:hAnsiTheme="majorHAnsi" w:cs="Calibri Light"/>
          <w:b/>
          <w:szCs w:val="22"/>
          <w:lang w:val="sk-SK"/>
        </w:rPr>
        <w:t>Consumer</w:t>
      </w:r>
      <w:proofErr w:type="spellEnd"/>
      <w:r w:rsidRPr="00D00D45">
        <w:rPr>
          <w:rFonts w:asciiTheme="majorHAnsi" w:hAnsiTheme="majorHAnsi" w:cs="Calibri Light"/>
          <w:b/>
          <w:szCs w:val="22"/>
          <w:lang w:val="sk-SK"/>
        </w:rPr>
        <w:t xml:space="preserve"> </w:t>
      </w:r>
      <w:proofErr w:type="spellStart"/>
      <w:r w:rsidRPr="00D00D45">
        <w:rPr>
          <w:rFonts w:asciiTheme="majorHAnsi" w:hAnsiTheme="majorHAnsi" w:cs="Calibri Light"/>
          <w:b/>
          <w:szCs w:val="22"/>
          <w:lang w:val="sk-SK"/>
        </w:rPr>
        <w:t>Brands</w:t>
      </w:r>
      <w:proofErr w:type="spellEnd"/>
      <w:r w:rsidRPr="00D00D45">
        <w:rPr>
          <w:rFonts w:asciiTheme="majorHAnsi" w:hAnsiTheme="majorHAnsi" w:cs="Calibri Light"/>
          <w:b/>
          <w:szCs w:val="22"/>
          <w:lang w:val="sk-SK"/>
        </w:rPr>
        <w:t xml:space="preserve"> v predstihu oproti plánu</w:t>
      </w:r>
    </w:p>
    <w:p w14:paraId="5399C00E" w14:textId="77777777" w:rsidR="009F3C28" w:rsidRPr="00D00D45" w:rsidRDefault="009F3C28" w:rsidP="009F3C28">
      <w:pPr>
        <w:pStyle w:val="Odsekzoznamu"/>
        <w:numPr>
          <w:ilvl w:val="0"/>
          <w:numId w:val="9"/>
        </w:numPr>
        <w:spacing w:after="80" w:line="280" w:lineRule="auto"/>
        <w:ind w:right="-108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D00D45">
        <w:rPr>
          <w:rFonts w:asciiTheme="majorHAnsi" w:hAnsiTheme="majorHAnsi" w:cs="Calibri Light"/>
          <w:b/>
          <w:szCs w:val="22"/>
          <w:lang w:val="sk-SK"/>
        </w:rPr>
        <w:t xml:space="preserve">Pokračujúci výrazný rast organického obratu v divízii </w:t>
      </w:r>
      <w:proofErr w:type="spellStart"/>
      <w:r w:rsidRPr="00D00D45">
        <w:rPr>
          <w:rFonts w:asciiTheme="majorHAnsi" w:hAnsiTheme="majorHAnsi" w:cs="Calibri Light"/>
          <w:b/>
          <w:szCs w:val="22"/>
          <w:lang w:val="sk-SK"/>
        </w:rPr>
        <w:t>Adhesive</w:t>
      </w:r>
      <w:proofErr w:type="spellEnd"/>
      <w:r w:rsidRPr="00D00D45">
        <w:rPr>
          <w:rFonts w:asciiTheme="majorHAnsi" w:hAnsiTheme="majorHAnsi" w:cs="Calibri Light"/>
          <w:b/>
          <w:szCs w:val="22"/>
          <w:lang w:val="sk-SK"/>
        </w:rPr>
        <w:t xml:space="preserve"> Technologies</w:t>
      </w:r>
    </w:p>
    <w:p w14:paraId="4C69C668" w14:textId="77777777" w:rsidR="009F3C28" w:rsidRPr="00D00D45" w:rsidRDefault="009F3C28" w:rsidP="009F3C28">
      <w:pPr>
        <w:pStyle w:val="Odsekzoznamu"/>
        <w:numPr>
          <w:ilvl w:val="0"/>
          <w:numId w:val="9"/>
        </w:numPr>
        <w:spacing w:after="80" w:line="280" w:lineRule="auto"/>
        <w:ind w:right="-108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D00D45">
        <w:rPr>
          <w:rFonts w:asciiTheme="majorHAnsi" w:hAnsiTheme="majorHAnsi" w:cs="Calibri Light"/>
          <w:b/>
          <w:szCs w:val="22"/>
          <w:lang w:val="sk-SK"/>
        </w:rPr>
        <w:t xml:space="preserve">Zvýšený výhľad </w:t>
      </w:r>
      <w:r>
        <w:rPr>
          <w:rFonts w:asciiTheme="majorHAnsi" w:hAnsiTheme="majorHAnsi" w:cs="Calibri Light"/>
          <w:b/>
          <w:szCs w:val="22"/>
          <w:lang w:val="sk-SK"/>
        </w:rPr>
        <w:t xml:space="preserve">rastu </w:t>
      </w:r>
      <w:r w:rsidRPr="00D00D45">
        <w:rPr>
          <w:rFonts w:asciiTheme="majorHAnsi" w:hAnsiTheme="majorHAnsi" w:cs="Calibri Light"/>
          <w:b/>
          <w:szCs w:val="22"/>
          <w:lang w:val="sk-SK"/>
        </w:rPr>
        <w:t>organického obratu spoločnosti Henkel vo finančnom roku 2022:</w:t>
      </w:r>
      <w:r w:rsidRPr="00D00D45">
        <w:rPr>
          <w:rFonts w:asciiTheme="majorHAnsi" w:hAnsiTheme="majorHAnsi" w:cs="Calibri Light"/>
          <w:b/>
          <w:szCs w:val="22"/>
          <w:lang w:val="sk-SK"/>
        </w:rPr>
        <w:br/>
        <w:t>z +5,5 na +7,5 % (pôvodne zo +4,5 na +6,5 %)</w:t>
      </w:r>
    </w:p>
    <w:p w14:paraId="10ED5E26" w14:textId="77777777" w:rsidR="009F3C28" w:rsidRPr="00D00D45" w:rsidRDefault="009F3C28" w:rsidP="009F3C28">
      <w:pPr>
        <w:pStyle w:val="Odsekzoznamu"/>
        <w:numPr>
          <w:ilvl w:val="0"/>
          <w:numId w:val="9"/>
        </w:numPr>
        <w:spacing w:after="80" w:line="280" w:lineRule="auto"/>
        <w:ind w:right="-108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D00D45">
        <w:rPr>
          <w:rFonts w:asciiTheme="majorHAnsi" w:hAnsiTheme="majorHAnsi" w:cs="Calibri Light"/>
          <w:b/>
          <w:szCs w:val="22"/>
          <w:lang w:val="sk-SK"/>
        </w:rPr>
        <w:t xml:space="preserve">Divízie </w:t>
      </w:r>
      <w:proofErr w:type="spellStart"/>
      <w:r w:rsidRPr="00D00D45">
        <w:rPr>
          <w:rFonts w:asciiTheme="majorHAnsi" w:hAnsiTheme="majorHAnsi" w:cs="Calibri Light"/>
          <w:b/>
          <w:szCs w:val="22"/>
          <w:lang w:val="sk-SK"/>
        </w:rPr>
        <w:t>Adhesive</w:t>
      </w:r>
      <w:proofErr w:type="spellEnd"/>
      <w:r w:rsidRPr="00D00D45">
        <w:rPr>
          <w:rFonts w:asciiTheme="majorHAnsi" w:hAnsiTheme="majorHAnsi" w:cs="Calibri Light"/>
          <w:b/>
          <w:szCs w:val="22"/>
          <w:lang w:val="sk-SK"/>
        </w:rPr>
        <w:t xml:space="preserve"> Technologies a </w:t>
      </w:r>
      <w:proofErr w:type="spellStart"/>
      <w:r w:rsidRPr="00D00D45">
        <w:rPr>
          <w:rFonts w:asciiTheme="majorHAnsi" w:hAnsiTheme="majorHAnsi" w:cs="Calibri Light"/>
          <w:b/>
          <w:szCs w:val="22"/>
          <w:lang w:val="sk-SK"/>
        </w:rPr>
        <w:t>Consumer</w:t>
      </w:r>
      <w:proofErr w:type="spellEnd"/>
      <w:r w:rsidRPr="00D00D45">
        <w:rPr>
          <w:rFonts w:asciiTheme="majorHAnsi" w:hAnsiTheme="majorHAnsi" w:cs="Calibri Light"/>
          <w:b/>
          <w:szCs w:val="22"/>
          <w:lang w:val="sk-SK"/>
        </w:rPr>
        <w:t xml:space="preserve"> </w:t>
      </w:r>
      <w:proofErr w:type="spellStart"/>
      <w:r w:rsidRPr="00D00D45">
        <w:rPr>
          <w:rFonts w:asciiTheme="majorHAnsi" w:hAnsiTheme="majorHAnsi" w:cs="Calibri Light"/>
          <w:b/>
          <w:szCs w:val="22"/>
          <w:lang w:val="sk-SK"/>
        </w:rPr>
        <w:t>Brands</w:t>
      </w:r>
      <w:proofErr w:type="spellEnd"/>
      <w:r w:rsidRPr="00D00D45">
        <w:rPr>
          <w:rFonts w:asciiTheme="majorHAnsi" w:hAnsiTheme="majorHAnsi" w:cs="Calibri Light"/>
          <w:b/>
          <w:szCs w:val="22"/>
          <w:lang w:val="sk-SK"/>
        </w:rPr>
        <w:t xml:space="preserve"> sú v dobrej pozícii pre zachytenie budúcich príležitostí v oblasti rastu a dosahovania zisku</w:t>
      </w:r>
    </w:p>
    <w:p w14:paraId="7D418D86" w14:textId="77777777" w:rsidR="009F3C28" w:rsidRPr="00D00D45" w:rsidRDefault="009F3C28" w:rsidP="009F3C28">
      <w:pPr>
        <w:pStyle w:val="Odsekzoznamu"/>
        <w:numPr>
          <w:ilvl w:val="0"/>
          <w:numId w:val="9"/>
        </w:numPr>
        <w:spacing w:after="80" w:line="280" w:lineRule="auto"/>
        <w:ind w:right="-108"/>
        <w:jc w:val="left"/>
        <w:rPr>
          <w:rFonts w:asciiTheme="majorHAnsi" w:hAnsiTheme="majorHAnsi" w:cs="Calibri Light"/>
          <w:b/>
          <w:szCs w:val="22"/>
          <w:lang w:val="sk-SK"/>
        </w:rPr>
      </w:pPr>
      <w:r w:rsidRPr="00D00D45">
        <w:rPr>
          <w:rFonts w:asciiTheme="majorHAnsi" w:hAnsiTheme="majorHAnsi" w:cs="Calibri Light"/>
          <w:b/>
          <w:szCs w:val="22"/>
          <w:lang w:val="sk-SK"/>
        </w:rPr>
        <w:t>Potvrdenie strednodobých až dlhodobých finančných ambícií</w:t>
      </w:r>
    </w:p>
    <w:p w14:paraId="56DF56F2" w14:textId="77777777" w:rsidR="009F3C28" w:rsidRPr="00D00D45" w:rsidRDefault="009F3C28" w:rsidP="009F3C28">
      <w:pPr>
        <w:rPr>
          <w:rFonts w:cs="Segoe UI"/>
          <w:szCs w:val="22"/>
          <w:lang w:val="sk-SK"/>
        </w:rPr>
      </w:pPr>
    </w:p>
    <w:p w14:paraId="51177920" w14:textId="77777777" w:rsidR="009F3C28" w:rsidRPr="00D00D45" w:rsidRDefault="009F3C28" w:rsidP="009F3C28">
      <w:pPr>
        <w:spacing w:line="280" w:lineRule="auto"/>
        <w:rPr>
          <w:rFonts w:cs="Segoe UI"/>
          <w:b/>
          <w:bCs/>
          <w:szCs w:val="22"/>
          <w:lang w:val="sk-SK"/>
        </w:rPr>
      </w:pPr>
      <w:bookmarkStart w:id="2" w:name="_Hlk114487385"/>
      <w:proofErr w:type="spellStart"/>
      <w:r w:rsidRPr="00D00D45">
        <w:rPr>
          <w:rFonts w:cs="Segoe UI"/>
          <w:b/>
          <w:bCs/>
          <w:szCs w:val="22"/>
          <w:lang w:val="sk-SK"/>
        </w:rPr>
        <w:t>Düsseldorf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 –</w:t>
      </w:r>
      <w:bookmarkStart w:id="3" w:name="_Hlk109033326"/>
      <w:r w:rsidRPr="00D00D45">
        <w:rPr>
          <w:rFonts w:cs="Segoe UI"/>
          <w:b/>
          <w:bCs/>
          <w:szCs w:val="22"/>
          <w:lang w:val="sk-SK"/>
        </w:rPr>
        <w:t xml:space="preserve"> </w:t>
      </w:r>
      <w:bookmarkEnd w:id="3"/>
      <w:r w:rsidRPr="00D00D45">
        <w:rPr>
          <w:rFonts w:cs="Segoe UI"/>
          <w:b/>
          <w:bCs/>
          <w:szCs w:val="22"/>
          <w:lang w:val="sk-SK"/>
        </w:rPr>
        <w:t>Na dnešnej konf</w:t>
      </w:r>
      <w:r w:rsidRPr="00C11517">
        <w:rPr>
          <w:rFonts w:cs="Segoe UI"/>
          <w:b/>
          <w:bCs/>
          <w:szCs w:val="22"/>
          <w:lang w:val="sk-SK"/>
        </w:rPr>
        <w:t xml:space="preserve">erencii </w:t>
      </w:r>
      <w:proofErr w:type="spellStart"/>
      <w:r w:rsidRPr="00C11517">
        <w:rPr>
          <w:rFonts w:cs="Segoe UI"/>
          <w:b/>
          <w:bCs/>
          <w:szCs w:val="22"/>
          <w:lang w:val="sk-SK"/>
        </w:rPr>
        <w:t>Capital</w:t>
      </w:r>
      <w:proofErr w:type="spellEnd"/>
      <w:r w:rsidRPr="00C11517">
        <w:rPr>
          <w:rFonts w:cs="Segoe UI"/>
          <w:b/>
          <w:bCs/>
          <w:szCs w:val="22"/>
          <w:lang w:val="sk-SK"/>
        </w:rPr>
        <w:t xml:space="preserve"> Markets </w:t>
      </w:r>
      <w:proofErr w:type="spellStart"/>
      <w:r w:rsidRPr="00C11517">
        <w:rPr>
          <w:rFonts w:cs="Segoe UI"/>
          <w:b/>
          <w:bCs/>
          <w:szCs w:val="22"/>
          <w:lang w:val="sk-SK"/>
        </w:rPr>
        <w:t>Day</w:t>
      </w:r>
      <w:proofErr w:type="spellEnd"/>
      <w:r w:rsidRPr="00C11517">
        <w:rPr>
          <w:rFonts w:cs="Segoe UI"/>
          <w:b/>
          <w:bCs/>
          <w:szCs w:val="22"/>
          <w:lang w:val="sk-SK"/>
        </w:rPr>
        <w:t xml:space="preserve"> (Deň kapitálových trhov) predstavenstvo spoločnosti Henkel prezentovalo úspechy dosiahnuté </w:t>
      </w:r>
      <w:r>
        <w:rPr>
          <w:rFonts w:cs="Segoe UI"/>
          <w:b/>
          <w:bCs/>
          <w:szCs w:val="22"/>
          <w:lang w:val="sk-SK"/>
        </w:rPr>
        <w:t>v</w:t>
      </w:r>
      <w:r w:rsidRPr="00C11517">
        <w:rPr>
          <w:rFonts w:cs="Segoe UI"/>
          <w:b/>
          <w:bCs/>
          <w:szCs w:val="22"/>
          <w:lang w:val="sk-SK"/>
        </w:rPr>
        <w:t xml:space="preserve"> implementácii agendy zmysluplného rastu so zdôra</w:t>
      </w:r>
      <w:r w:rsidRPr="00D00D45">
        <w:rPr>
          <w:rFonts w:cs="Segoe UI"/>
          <w:b/>
          <w:bCs/>
          <w:szCs w:val="22"/>
          <w:lang w:val="sk-SK"/>
        </w:rPr>
        <w:t xml:space="preserve">znením potenciálu pre rast a výnosy v dvoch obchodných divíziách, t. j. </w:t>
      </w:r>
      <w:proofErr w:type="spellStart"/>
      <w:r w:rsidRPr="00D00D45">
        <w:rPr>
          <w:rFonts w:cs="Segoe UI"/>
          <w:b/>
          <w:bCs/>
          <w:szCs w:val="22"/>
          <w:lang w:val="sk-SK"/>
        </w:rPr>
        <w:t>Adhesive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 Technologies a budúcej divízie </w:t>
      </w:r>
      <w:proofErr w:type="spellStart"/>
      <w:r w:rsidRPr="00D00D45">
        <w:rPr>
          <w:rFonts w:cs="Segoe UI"/>
          <w:b/>
          <w:bCs/>
          <w:szCs w:val="22"/>
          <w:lang w:val="sk-SK"/>
        </w:rPr>
        <w:t>Consumer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Pr="00D00D45">
        <w:rPr>
          <w:rFonts w:cs="Segoe UI"/>
          <w:b/>
          <w:bCs/>
          <w:szCs w:val="22"/>
          <w:lang w:val="sk-SK"/>
        </w:rPr>
        <w:t>Brands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. Pokiaľ ide o implementáciu novej organizačnej štruktúry, spoločnosť Henkel je už v súčasnosti v predstihu oproti pôvodne oznámenému harmonogramu. Výhľad obratu na celý rok 2022 bol takisto zvýšený jednak v prípade divízie </w:t>
      </w:r>
      <w:proofErr w:type="spellStart"/>
      <w:r w:rsidRPr="00D00D45">
        <w:rPr>
          <w:rFonts w:cs="Segoe UI"/>
          <w:b/>
          <w:bCs/>
          <w:szCs w:val="22"/>
          <w:lang w:val="sk-SK"/>
        </w:rPr>
        <w:t>Adhesive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 Technologies, ktorá pokračovala v dosahovaní výrazného rastu organického obratu aj v treťom štvrťroku, ako aj za celú skupinu Henkel. </w:t>
      </w:r>
    </w:p>
    <w:bookmarkEnd w:id="2"/>
    <w:p w14:paraId="0C8E9A18" w14:textId="77777777" w:rsidR="009F3C28" w:rsidRPr="00D00D45" w:rsidRDefault="009F3C28" w:rsidP="009F3C28">
      <w:pPr>
        <w:rPr>
          <w:rFonts w:cs="Segoe UI"/>
          <w:b/>
          <w:bCs/>
          <w:szCs w:val="22"/>
          <w:lang w:val="sk-SK"/>
        </w:rPr>
      </w:pPr>
    </w:p>
    <w:p w14:paraId="55BA398C" w14:textId="77777777" w:rsidR="009F3C28" w:rsidRPr="00D00D45" w:rsidRDefault="009F3C28" w:rsidP="009F3C28">
      <w:pPr>
        <w:spacing w:line="280" w:lineRule="auto"/>
        <w:rPr>
          <w:rFonts w:cs="Segoe UI"/>
          <w:b/>
          <w:bCs/>
          <w:szCs w:val="22"/>
          <w:lang w:val="sk-SK"/>
        </w:rPr>
      </w:pPr>
      <w:r w:rsidRPr="00D00D45">
        <w:rPr>
          <w:rFonts w:cs="Segoe UI"/>
          <w:b/>
          <w:bCs/>
          <w:szCs w:val="22"/>
          <w:lang w:val="sk-SK"/>
        </w:rPr>
        <w:t xml:space="preserve">Ústrednou témou podujatia </w:t>
      </w:r>
      <w:proofErr w:type="spellStart"/>
      <w:r w:rsidRPr="00D00D45">
        <w:rPr>
          <w:rFonts w:cs="Segoe UI"/>
          <w:b/>
          <w:bCs/>
          <w:szCs w:val="22"/>
          <w:lang w:val="sk-SK"/>
        </w:rPr>
        <w:t>Capital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 Markets </w:t>
      </w:r>
      <w:proofErr w:type="spellStart"/>
      <w:r w:rsidRPr="00D00D45">
        <w:rPr>
          <w:rFonts w:cs="Segoe UI"/>
          <w:b/>
          <w:bCs/>
          <w:szCs w:val="22"/>
          <w:lang w:val="sk-SK"/>
        </w:rPr>
        <w:t>Day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 boli dve obchodné divízie </w:t>
      </w:r>
      <w:proofErr w:type="spellStart"/>
      <w:r w:rsidRPr="00D00D45">
        <w:rPr>
          <w:rFonts w:cs="Segoe UI"/>
          <w:b/>
          <w:bCs/>
          <w:szCs w:val="22"/>
          <w:lang w:val="sk-SK"/>
        </w:rPr>
        <w:t>Adhesive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 Technologies a </w:t>
      </w:r>
      <w:proofErr w:type="spellStart"/>
      <w:r w:rsidRPr="00D00D45">
        <w:rPr>
          <w:rFonts w:cs="Segoe UI"/>
          <w:b/>
          <w:bCs/>
          <w:szCs w:val="22"/>
          <w:lang w:val="sk-SK"/>
        </w:rPr>
        <w:t>Consumer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 </w:t>
      </w:r>
      <w:proofErr w:type="spellStart"/>
      <w:r w:rsidRPr="00D00D45">
        <w:rPr>
          <w:rFonts w:cs="Segoe UI"/>
          <w:b/>
          <w:bCs/>
          <w:szCs w:val="22"/>
          <w:lang w:val="sk-SK"/>
        </w:rPr>
        <w:t>Brands</w:t>
      </w:r>
      <w:proofErr w:type="spellEnd"/>
      <w:r w:rsidRPr="00D00D45">
        <w:rPr>
          <w:rFonts w:cs="Segoe UI"/>
          <w:b/>
          <w:bCs/>
          <w:szCs w:val="22"/>
          <w:lang w:val="sk-SK"/>
        </w:rPr>
        <w:t xml:space="preserve"> vrátane ich strategického smerovania, technologických </w:t>
      </w:r>
      <w:r>
        <w:rPr>
          <w:rFonts w:cs="Segoe UI"/>
          <w:b/>
          <w:bCs/>
          <w:szCs w:val="22"/>
          <w:lang w:val="sk-SK"/>
        </w:rPr>
        <w:t>schopností</w:t>
      </w:r>
      <w:r w:rsidRPr="00D00D45">
        <w:rPr>
          <w:rFonts w:cs="Segoe UI"/>
          <w:b/>
          <w:bCs/>
          <w:szCs w:val="22"/>
          <w:lang w:val="sk-SK"/>
        </w:rPr>
        <w:t xml:space="preserve"> a atraktívnych obchodných aktivít v rámci špičkových globálnych značiek. Okrem toho bol potvrdený jednoznačný dôraz na udržateľnosť vo všetkých dimenziách </w:t>
      </w:r>
      <w:r w:rsidRPr="00D00D45">
        <w:rPr>
          <w:rFonts w:cs="Segoe UI"/>
          <w:b/>
          <w:bCs/>
          <w:szCs w:val="22"/>
          <w:lang w:val="sk-SK"/>
        </w:rPr>
        <w:lastRenderedPageBreak/>
        <w:t>ako predpoklad pre úspešnú implementáciu agendy zmysluplného rastu spoločnosti, či už v rámci jednotlivých obchodných divízií, ako aj na úrovni celej skupiny.</w:t>
      </w:r>
    </w:p>
    <w:bookmarkEnd w:id="1"/>
    <w:p w14:paraId="643E9DDA" w14:textId="77777777" w:rsidR="009F3C28" w:rsidRPr="00D00D45" w:rsidRDefault="009F3C28" w:rsidP="009F3C28">
      <w:pPr>
        <w:spacing w:line="240" w:lineRule="auto"/>
        <w:jc w:val="left"/>
        <w:rPr>
          <w:rFonts w:cs="Segoe UI"/>
          <w:b/>
          <w:bCs/>
          <w:szCs w:val="22"/>
          <w:lang w:val="sk-SK"/>
        </w:rPr>
      </w:pPr>
    </w:p>
    <w:p w14:paraId="513AA6E9" w14:textId="77777777" w:rsidR="009F3C28" w:rsidRPr="00D00D45" w:rsidRDefault="009F3C28" w:rsidP="009F3C28">
      <w:pPr>
        <w:spacing w:after="120" w:line="280" w:lineRule="auto"/>
        <w:ind w:right="-108"/>
        <w:jc w:val="left"/>
        <w:rPr>
          <w:rFonts w:cs="Segoe UI"/>
          <w:b/>
          <w:bCs/>
          <w:szCs w:val="22"/>
          <w:lang w:val="sk-SK"/>
        </w:rPr>
      </w:pPr>
      <w:r w:rsidRPr="00D00D45">
        <w:rPr>
          <w:rFonts w:cs="Segoe UI"/>
          <w:b/>
          <w:bCs/>
          <w:szCs w:val="22"/>
          <w:lang w:val="sk-SK"/>
        </w:rPr>
        <w:t>Zvýšený výhľad rastu organického obratu za finančný rok 2022</w:t>
      </w:r>
    </w:p>
    <w:p w14:paraId="52221601" w14:textId="77777777" w:rsidR="009F3C28" w:rsidRPr="00D00D45" w:rsidRDefault="009F3C28" w:rsidP="009F3C28">
      <w:pPr>
        <w:spacing w:line="280" w:lineRule="auto"/>
        <w:rPr>
          <w:rFonts w:cs="Segoe UI"/>
          <w:szCs w:val="22"/>
          <w:lang w:val="sk-SK"/>
        </w:rPr>
      </w:pPr>
      <w:r w:rsidRPr="00D00D45">
        <w:rPr>
          <w:rFonts w:cs="Segoe UI"/>
          <w:szCs w:val="22"/>
          <w:lang w:val="sk-SK"/>
        </w:rPr>
        <w:t xml:space="preserve">Okrem prezentácie pokroku v implementácii stratégie a nastavenia oboch obchodných divízií spoločnosť Henkel zvýšila aj </w:t>
      </w:r>
      <w:r w:rsidRPr="00D00D45">
        <w:rPr>
          <w:rFonts w:cs="Segoe UI"/>
          <w:b/>
          <w:bCs/>
          <w:szCs w:val="22"/>
          <w:lang w:val="sk-SK"/>
        </w:rPr>
        <w:t>výhľad na účtovný rok 2022</w:t>
      </w:r>
      <w:r w:rsidRPr="00D00D45">
        <w:rPr>
          <w:rFonts w:cs="Segoe UI"/>
          <w:szCs w:val="22"/>
          <w:lang w:val="sk-SK"/>
        </w:rPr>
        <w:t xml:space="preserve">. </w:t>
      </w:r>
    </w:p>
    <w:p w14:paraId="00B30AA5" w14:textId="77777777" w:rsidR="009F3C28" w:rsidRPr="00D00D45" w:rsidRDefault="009F3C28" w:rsidP="009F3C28">
      <w:pPr>
        <w:rPr>
          <w:rFonts w:cs="Segoe UI"/>
          <w:b/>
          <w:bCs/>
          <w:szCs w:val="22"/>
          <w:lang w:val="sk-SK"/>
        </w:rPr>
      </w:pPr>
    </w:p>
    <w:p w14:paraId="6FAC0D17" w14:textId="77777777" w:rsidR="009F3C28" w:rsidRPr="00D00D45" w:rsidRDefault="009F3C28" w:rsidP="009F3C28">
      <w:pPr>
        <w:spacing w:line="280" w:lineRule="auto"/>
        <w:rPr>
          <w:rFonts w:cs="Segoe UI"/>
          <w:szCs w:val="22"/>
          <w:lang w:val="sk-SK"/>
        </w:rPr>
      </w:pPr>
      <w:r w:rsidRPr="00FA5FB4">
        <w:rPr>
          <w:rFonts w:cs="Segoe UI"/>
          <w:i/>
          <w:iCs/>
          <w:szCs w:val="22"/>
          <w:lang w:val="sk-SK"/>
        </w:rPr>
        <w:t xml:space="preserve">„Vzhľadom na pokračujúci výrazný rast obratu v divízii </w:t>
      </w:r>
      <w:proofErr w:type="spellStart"/>
      <w:r w:rsidRPr="00FA5FB4">
        <w:rPr>
          <w:rFonts w:cs="Segoe UI"/>
          <w:i/>
          <w:iCs/>
          <w:szCs w:val="22"/>
          <w:lang w:val="sk-SK"/>
        </w:rPr>
        <w:t>Adhesive</w:t>
      </w:r>
      <w:proofErr w:type="spellEnd"/>
      <w:r w:rsidRPr="00FA5FB4">
        <w:rPr>
          <w:rFonts w:cs="Segoe UI"/>
          <w:i/>
          <w:iCs/>
          <w:szCs w:val="22"/>
          <w:lang w:val="sk-SK"/>
        </w:rPr>
        <w:t xml:space="preserve"> Technologies dnes aktualizujeme výhľad na finančný rok 2022 jednak pre divíziu </w:t>
      </w:r>
      <w:proofErr w:type="spellStart"/>
      <w:r w:rsidRPr="00FA5FB4">
        <w:rPr>
          <w:rFonts w:cs="Segoe UI"/>
          <w:i/>
          <w:iCs/>
          <w:szCs w:val="22"/>
          <w:lang w:val="sk-SK"/>
        </w:rPr>
        <w:t>Adhesive</w:t>
      </w:r>
      <w:proofErr w:type="spellEnd"/>
      <w:r w:rsidRPr="00FA5FB4">
        <w:rPr>
          <w:rFonts w:cs="Segoe UI"/>
          <w:i/>
          <w:iCs/>
          <w:szCs w:val="22"/>
          <w:lang w:val="sk-SK"/>
        </w:rPr>
        <w:t xml:space="preserve"> Technologies, ako aj pre skupinu Henkel. Okrem toho naďalej intenzívne pracujeme na komplexných opatreniach, ktoré by mali v čo najväčšom rozsahu kompenzovať vplyv drastického zvyšovania nákladov na suroviny, logistiku a energie z hľadiska vývoja našich výnosov,“</w:t>
      </w:r>
      <w:r w:rsidRPr="00D00D45">
        <w:rPr>
          <w:rFonts w:cs="Segoe UI"/>
          <w:szCs w:val="22"/>
          <w:lang w:val="sk-SK"/>
        </w:rPr>
        <w:t xml:space="preserve"> povedal </w:t>
      </w:r>
      <w:proofErr w:type="spellStart"/>
      <w:r w:rsidRPr="00D00D45">
        <w:rPr>
          <w:rFonts w:cs="Segoe UI"/>
          <w:szCs w:val="22"/>
          <w:lang w:val="sk-SK"/>
        </w:rPr>
        <w:t>Carsten</w:t>
      </w:r>
      <w:proofErr w:type="spellEnd"/>
      <w:r w:rsidRPr="00D00D45">
        <w:rPr>
          <w:rFonts w:cs="Segoe UI"/>
          <w:szCs w:val="22"/>
          <w:lang w:val="sk-SK"/>
        </w:rPr>
        <w:t xml:space="preserve"> </w:t>
      </w:r>
      <w:proofErr w:type="spellStart"/>
      <w:r w:rsidRPr="00D00D45">
        <w:rPr>
          <w:rFonts w:cs="Segoe UI"/>
          <w:szCs w:val="22"/>
          <w:lang w:val="sk-SK"/>
        </w:rPr>
        <w:t>Knobel</w:t>
      </w:r>
      <w:proofErr w:type="spellEnd"/>
      <w:r w:rsidRPr="00D00D45">
        <w:rPr>
          <w:rFonts w:cs="Segoe UI"/>
          <w:szCs w:val="22"/>
          <w:lang w:val="sk-SK"/>
        </w:rPr>
        <w:t>, predseda predstavenstva spoločnosti Henkel.</w:t>
      </w:r>
    </w:p>
    <w:p w14:paraId="367F318E" w14:textId="77777777" w:rsidR="009F3C28" w:rsidRPr="00D00D45" w:rsidRDefault="009F3C28" w:rsidP="009F3C28">
      <w:pPr>
        <w:rPr>
          <w:rFonts w:cs="Segoe UI"/>
          <w:szCs w:val="22"/>
          <w:lang w:val="sk-SK"/>
        </w:rPr>
      </w:pPr>
    </w:p>
    <w:p w14:paraId="489CDFE4" w14:textId="77777777" w:rsidR="009F3C28" w:rsidRPr="00C11517" w:rsidRDefault="009F3C28" w:rsidP="009F3C28">
      <w:pPr>
        <w:spacing w:line="280" w:lineRule="auto"/>
        <w:rPr>
          <w:rFonts w:cs="Segoe UI"/>
          <w:szCs w:val="22"/>
          <w:lang w:val="sk-SK"/>
        </w:rPr>
      </w:pPr>
      <w:r w:rsidRPr="00D00D45">
        <w:rPr>
          <w:rFonts w:cs="Segoe UI"/>
          <w:bCs/>
          <w:szCs w:val="22"/>
          <w:lang w:val="sk-SK"/>
        </w:rPr>
        <w:t xml:space="preserve">Na úrovni skupiny spoločnosť </w:t>
      </w:r>
      <w:r w:rsidRPr="00D00D45">
        <w:rPr>
          <w:rFonts w:cs="Segoe UI"/>
          <w:szCs w:val="22"/>
          <w:lang w:val="sk-SK"/>
        </w:rPr>
        <w:t xml:space="preserve">Henkel </w:t>
      </w:r>
      <w:r w:rsidRPr="00D00D45">
        <w:rPr>
          <w:rFonts w:cs="Segoe UI"/>
          <w:bCs/>
          <w:szCs w:val="22"/>
          <w:lang w:val="sk-SK"/>
        </w:rPr>
        <w:t xml:space="preserve">v súčasnosti </w:t>
      </w:r>
      <w:r w:rsidRPr="00D00D45">
        <w:rPr>
          <w:rFonts w:cs="Segoe UI"/>
          <w:szCs w:val="22"/>
          <w:lang w:val="sk-SK"/>
        </w:rPr>
        <w:t xml:space="preserve">očakáva za fiškálny rok 2022 </w:t>
      </w:r>
      <w:r w:rsidRPr="00D00D45">
        <w:rPr>
          <w:rFonts w:cs="Segoe UI"/>
          <w:b/>
          <w:szCs w:val="22"/>
          <w:lang w:val="sk-SK"/>
        </w:rPr>
        <w:t>organický</w:t>
      </w:r>
      <w:r w:rsidRPr="00D00D45">
        <w:rPr>
          <w:rFonts w:cs="Segoe UI"/>
          <w:szCs w:val="22"/>
          <w:lang w:val="sk-SK"/>
        </w:rPr>
        <w:t xml:space="preserve"> </w:t>
      </w:r>
      <w:r w:rsidRPr="00D00D45">
        <w:rPr>
          <w:rFonts w:cs="Segoe UI"/>
          <w:b/>
          <w:szCs w:val="22"/>
          <w:lang w:val="sk-SK"/>
        </w:rPr>
        <w:t xml:space="preserve">rast obratu z </w:t>
      </w:r>
      <w:r w:rsidRPr="00D00D45">
        <w:rPr>
          <w:rFonts w:cs="Segoe UI"/>
          <w:b/>
          <w:bCs/>
          <w:szCs w:val="22"/>
          <w:lang w:val="sk-SK"/>
        </w:rPr>
        <w:t xml:space="preserve">+5,5 na +7,5 % </w:t>
      </w:r>
      <w:r w:rsidRPr="00D00D45">
        <w:rPr>
          <w:rFonts w:cs="Segoe UI"/>
          <w:szCs w:val="22"/>
          <w:lang w:val="sk-SK"/>
        </w:rPr>
        <w:t xml:space="preserve">(pôvodne zo +4,5 na +6,5 %). V prípade divízie </w:t>
      </w:r>
      <w:proofErr w:type="spellStart"/>
      <w:r w:rsidRPr="00D00D45">
        <w:rPr>
          <w:rFonts w:cs="Segoe UI"/>
          <w:szCs w:val="22"/>
          <w:lang w:val="sk-SK"/>
        </w:rPr>
        <w:t>Adhesive</w:t>
      </w:r>
      <w:proofErr w:type="spellEnd"/>
      <w:r w:rsidRPr="00D00D45">
        <w:rPr>
          <w:rFonts w:cs="Segoe UI"/>
          <w:szCs w:val="22"/>
          <w:lang w:val="sk-SK"/>
        </w:rPr>
        <w:t xml:space="preserve"> Technologies sa očakáva organický rast obratu v rozsahu od +10,0 do +12,0 % (pôvodne: +8,0 až +10,0 %). Pokiaľ ide divíziu </w:t>
      </w:r>
      <w:proofErr w:type="spellStart"/>
      <w:r w:rsidRPr="00D00D45">
        <w:rPr>
          <w:rFonts w:cs="Segoe UI"/>
          <w:szCs w:val="22"/>
          <w:lang w:val="sk-SK"/>
        </w:rPr>
        <w:t>Beauty</w:t>
      </w:r>
      <w:proofErr w:type="spellEnd"/>
      <w:r w:rsidRPr="00D00D45">
        <w:rPr>
          <w:rFonts w:cs="Segoe UI"/>
          <w:szCs w:val="22"/>
          <w:lang w:val="sk-SK"/>
        </w:rPr>
        <w:t xml:space="preserve"> </w:t>
      </w:r>
      <w:proofErr w:type="spellStart"/>
      <w:r w:rsidRPr="00D00D45">
        <w:rPr>
          <w:rFonts w:cs="Segoe UI"/>
          <w:szCs w:val="22"/>
          <w:lang w:val="sk-SK"/>
        </w:rPr>
        <w:t>Care</w:t>
      </w:r>
      <w:proofErr w:type="spellEnd"/>
      <w:r w:rsidRPr="00D00D45">
        <w:rPr>
          <w:rFonts w:cs="Segoe UI"/>
          <w:szCs w:val="22"/>
          <w:lang w:val="sk-SK"/>
        </w:rPr>
        <w:t xml:space="preserve">, spoločnosť Henkel naďalej očakáva organický rast obratu v rozmedzí od </w:t>
      </w:r>
      <w:r>
        <w:rPr>
          <w:rFonts w:cs="Segoe UI"/>
          <w:szCs w:val="22"/>
          <w:lang w:val="sk-SK"/>
        </w:rPr>
        <w:t>-</w:t>
      </w:r>
      <w:r w:rsidRPr="00D00D45">
        <w:rPr>
          <w:rFonts w:cs="Segoe UI"/>
          <w:szCs w:val="22"/>
          <w:lang w:val="sk-SK"/>
        </w:rPr>
        <w:t xml:space="preserve">3,0 do </w:t>
      </w:r>
      <w:r>
        <w:rPr>
          <w:rFonts w:cs="Segoe UI"/>
          <w:szCs w:val="22"/>
          <w:lang w:val="sk-SK"/>
        </w:rPr>
        <w:t>-</w:t>
      </w:r>
      <w:r w:rsidRPr="00D00D45">
        <w:rPr>
          <w:rFonts w:cs="Segoe UI"/>
          <w:szCs w:val="22"/>
          <w:lang w:val="sk-SK"/>
        </w:rPr>
        <w:t>1,0 % n</w:t>
      </w:r>
      <w:r w:rsidRPr="00C11517">
        <w:rPr>
          <w:rFonts w:cs="Segoe UI"/>
          <w:szCs w:val="22"/>
          <w:lang w:val="sk-SK"/>
        </w:rPr>
        <w:t xml:space="preserve">ajmä z dôvodu realizácie </w:t>
      </w:r>
      <w:r w:rsidRPr="00C11517">
        <w:rPr>
          <w:lang w:val="sk-SK"/>
        </w:rPr>
        <w:t xml:space="preserve">opatrení zameraných na portfólio, ktoré boli ohlásené na rok </w:t>
      </w:r>
      <w:r w:rsidRPr="00C11517">
        <w:rPr>
          <w:rFonts w:cs="Segoe UI"/>
          <w:szCs w:val="22"/>
          <w:lang w:val="sk-SK"/>
        </w:rPr>
        <w:t xml:space="preserve">2022. V prípade divízie </w:t>
      </w:r>
      <w:proofErr w:type="spellStart"/>
      <w:r w:rsidRPr="00C11517">
        <w:rPr>
          <w:rFonts w:cs="Segoe UI"/>
          <w:szCs w:val="22"/>
          <w:lang w:val="sk-SK"/>
        </w:rPr>
        <w:t>Laundry</w:t>
      </w:r>
      <w:proofErr w:type="spellEnd"/>
      <w:r w:rsidRPr="00C11517">
        <w:rPr>
          <w:rFonts w:cs="Segoe UI"/>
          <w:szCs w:val="22"/>
          <w:lang w:val="sk-SK"/>
        </w:rPr>
        <w:t xml:space="preserve"> &amp; Home </w:t>
      </w:r>
      <w:proofErr w:type="spellStart"/>
      <w:r w:rsidRPr="00C11517">
        <w:rPr>
          <w:rFonts w:cs="Segoe UI"/>
          <w:szCs w:val="22"/>
          <w:lang w:val="sk-SK"/>
        </w:rPr>
        <w:t>Care</w:t>
      </w:r>
      <w:proofErr w:type="spellEnd"/>
      <w:r w:rsidRPr="00C11517">
        <w:rPr>
          <w:rFonts w:cs="Segoe UI"/>
          <w:szCs w:val="22"/>
          <w:lang w:val="sk-SK"/>
        </w:rPr>
        <w:t xml:space="preserve"> spoločnosť Henkel takisto očakáva organický rast obratu na úrovni od +4,0 do +6,0 % </w:t>
      </w:r>
    </w:p>
    <w:p w14:paraId="4545F65C" w14:textId="77777777" w:rsidR="009F3C28" w:rsidRPr="00C11517" w:rsidRDefault="009F3C28" w:rsidP="009F3C28">
      <w:pPr>
        <w:rPr>
          <w:rFonts w:cs="Segoe UI"/>
          <w:szCs w:val="22"/>
          <w:lang w:val="sk-SK"/>
        </w:rPr>
      </w:pPr>
    </w:p>
    <w:p w14:paraId="2808FAAB" w14:textId="77777777" w:rsidR="009F3C28" w:rsidRPr="00D00D45" w:rsidRDefault="009F3C28" w:rsidP="009F3C28">
      <w:pPr>
        <w:spacing w:line="280" w:lineRule="auto"/>
        <w:rPr>
          <w:rFonts w:cs="Segoe UI"/>
          <w:szCs w:val="22"/>
          <w:lang w:val="sk-SK"/>
        </w:rPr>
      </w:pPr>
      <w:r w:rsidRPr="00C11517">
        <w:rPr>
          <w:rFonts w:cs="Segoe UI"/>
          <w:b/>
          <w:bCs/>
          <w:szCs w:val="22"/>
          <w:lang w:val="sk-SK"/>
        </w:rPr>
        <w:t>Očakávania v oblasti upravenej výnosnosti predaja (marža EBIT)</w:t>
      </w:r>
      <w:r w:rsidRPr="00C11517">
        <w:rPr>
          <w:rFonts w:cs="Segoe UI"/>
          <w:szCs w:val="22"/>
          <w:lang w:val="sk-SK"/>
        </w:rPr>
        <w:t xml:space="preserve"> na úrovni skupiny zostávajú nezmenené v rozsahu od 9,0 do 11,0 %. Pok</w:t>
      </w:r>
      <w:r w:rsidRPr="00D00D45">
        <w:rPr>
          <w:rFonts w:cs="Segoe UI"/>
          <w:szCs w:val="22"/>
          <w:lang w:val="sk-SK"/>
        </w:rPr>
        <w:t xml:space="preserve">iaľ ide o vývoj </w:t>
      </w:r>
      <w:r w:rsidRPr="00D00D45">
        <w:rPr>
          <w:rFonts w:cs="Segoe UI"/>
          <w:b/>
          <w:szCs w:val="22"/>
          <w:lang w:val="sk-SK"/>
        </w:rPr>
        <w:t>upravených výnosov na prioritnú akciu (EPS)</w:t>
      </w:r>
      <w:r w:rsidRPr="00D00D45">
        <w:rPr>
          <w:rFonts w:cs="Segoe UI"/>
          <w:szCs w:val="22"/>
          <w:lang w:val="sk-SK"/>
        </w:rPr>
        <w:t xml:space="preserve"> pri konštantných kurzových sadzbách, spoločnosť Henkel naďalej očakáva pokles v rozpätí od </w:t>
      </w:r>
      <w:r>
        <w:rPr>
          <w:rFonts w:cs="Segoe UI"/>
          <w:szCs w:val="22"/>
          <w:lang w:val="sk-SK"/>
        </w:rPr>
        <w:t>-</w:t>
      </w:r>
      <w:r w:rsidRPr="00D00D45">
        <w:rPr>
          <w:rFonts w:cs="Segoe UI"/>
          <w:szCs w:val="22"/>
          <w:lang w:val="sk-SK"/>
        </w:rPr>
        <w:t xml:space="preserve">35 do </w:t>
      </w:r>
      <w:r>
        <w:rPr>
          <w:rFonts w:cs="Segoe UI"/>
          <w:szCs w:val="22"/>
          <w:lang w:val="sk-SK"/>
        </w:rPr>
        <w:t>-</w:t>
      </w:r>
      <w:r w:rsidRPr="00D00D45">
        <w:rPr>
          <w:rFonts w:cs="Segoe UI"/>
          <w:szCs w:val="22"/>
          <w:lang w:val="sk-SK"/>
        </w:rPr>
        <w:t>15 %.</w:t>
      </w:r>
    </w:p>
    <w:p w14:paraId="7B854464" w14:textId="77777777" w:rsidR="009F3C28" w:rsidRPr="00D00D45" w:rsidRDefault="009F3C28" w:rsidP="009F3C28">
      <w:pPr>
        <w:rPr>
          <w:rFonts w:cs="Segoe UI"/>
          <w:b/>
          <w:bCs/>
          <w:szCs w:val="22"/>
          <w:lang w:val="sk-SK"/>
        </w:rPr>
      </w:pPr>
    </w:p>
    <w:p w14:paraId="429D9B1A" w14:textId="77777777" w:rsidR="009F3C28" w:rsidRPr="00D00D45" w:rsidRDefault="009F3C28" w:rsidP="009F3C28">
      <w:pPr>
        <w:spacing w:after="120" w:line="280" w:lineRule="auto"/>
        <w:ind w:right="-108"/>
        <w:jc w:val="left"/>
        <w:rPr>
          <w:rFonts w:cs="Segoe UI"/>
          <w:b/>
          <w:bCs/>
          <w:szCs w:val="22"/>
          <w:lang w:val="sk-SK"/>
        </w:rPr>
      </w:pPr>
      <w:bookmarkStart w:id="4" w:name="_Hlk109204398"/>
      <w:r w:rsidRPr="00D00D45">
        <w:rPr>
          <w:rFonts w:cs="Segoe UI"/>
          <w:b/>
          <w:bCs/>
          <w:szCs w:val="22"/>
          <w:lang w:val="sk-SK"/>
        </w:rPr>
        <w:t>Konzistentná implementácia agendy zmysluplného rastu</w:t>
      </w:r>
    </w:p>
    <w:p w14:paraId="33540824" w14:textId="77777777" w:rsidR="009F3C28" w:rsidRPr="00D00D45" w:rsidRDefault="009F3C28" w:rsidP="009F3C28">
      <w:pPr>
        <w:autoSpaceDE w:val="0"/>
        <w:autoSpaceDN w:val="0"/>
        <w:adjustRightInd w:val="0"/>
        <w:spacing w:line="280" w:lineRule="auto"/>
        <w:rPr>
          <w:rFonts w:cs="Segoe UI"/>
          <w:szCs w:val="22"/>
          <w:lang w:val="sk-SK" w:eastAsia="de-DE"/>
        </w:rPr>
      </w:pPr>
      <w:r w:rsidRPr="00D00D45">
        <w:rPr>
          <w:rFonts w:cs="Segoe UI"/>
          <w:szCs w:val="22"/>
          <w:lang w:val="sk-SK" w:eastAsia="de-DE"/>
        </w:rPr>
        <w:t xml:space="preserve">Spoločnosť Henkel presadzuje agendu zmysluplného rastu a na tento účel vypracovala jasný strategický rámec. Kľúčovými prvkami tohto strategického rámca sú úspešné </w:t>
      </w:r>
      <w:r w:rsidRPr="00D00D45">
        <w:rPr>
          <w:rFonts w:cs="Segoe UI"/>
          <w:b/>
          <w:szCs w:val="22"/>
          <w:lang w:val="sk-SK" w:eastAsia="de-DE"/>
        </w:rPr>
        <w:t>portfólio, jednoznačná konkurenčná výhoda</w:t>
      </w:r>
      <w:r w:rsidRPr="00D00D45">
        <w:rPr>
          <w:rFonts w:cs="Segoe UI"/>
          <w:szCs w:val="22"/>
          <w:lang w:val="sk-SK" w:eastAsia="de-DE"/>
        </w:rPr>
        <w:t xml:space="preserve"> v oblastiach </w:t>
      </w:r>
      <w:r w:rsidRPr="00D00D45">
        <w:rPr>
          <w:rFonts w:cs="Segoe UI"/>
          <w:b/>
          <w:szCs w:val="22"/>
          <w:lang w:val="sk-SK" w:eastAsia="de-DE"/>
        </w:rPr>
        <w:t>inovácií, udržateľnosti a digitalizácie</w:t>
      </w:r>
      <w:r w:rsidRPr="00D00D45">
        <w:rPr>
          <w:rFonts w:cs="Segoe UI"/>
          <w:szCs w:val="22"/>
          <w:lang w:val="sk-SK" w:eastAsia="de-DE"/>
        </w:rPr>
        <w:t xml:space="preserve">, ako aj </w:t>
      </w:r>
      <w:r w:rsidRPr="00D00D45">
        <w:rPr>
          <w:rFonts w:cs="Segoe UI"/>
          <w:b/>
          <w:szCs w:val="22"/>
          <w:lang w:val="sk-SK" w:eastAsia="de-DE"/>
        </w:rPr>
        <w:t>prevádzkové modely pripravené na budúcnosť</w:t>
      </w:r>
      <w:r w:rsidRPr="00D00D45">
        <w:rPr>
          <w:rFonts w:cs="Segoe UI"/>
          <w:szCs w:val="22"/>
          <w:lang w:val="sk-SK" w:eastAsia="de-DE"/>
        </w:rPr>
        <w:t xml:space="preserve">, ktoré majú pevnú oporu v silnej </w:t>
      </w:r>
      <w:r w:rsidRPr="00D00D45">
        <w:rPr>
          <w:rFonts w:cs="Segoe UI"/>
          <w:b/>
          <w:szCs w:val="22"/>
          <w:lang w:val="sk-SK" w:eastAsia="de-DE"/>
        </w:rPr>
        <w:t>firemnej kultúre</w:t>
      </w:r>
      <w:r w:rsidRPr="00D00D45">
        <w:rPr>
          <w:rFonts w:cs="Segoe UI"/>
          <w:szCs w:val="22"/>
          <w:lang w:val="sk-SK" w:eastAsia="de-DE"/>
        </w:rPr>
        <w:t>.</w:t>
      </w:r>
    </w:p>
    <w:p w14:paraId="39C922CC" w14:textId="77777777" w:rsidR="009F3C28" w:rsidRPr="00D00D45" w:rsidRDefault="009F3C28" w:rsidP="009F3C28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</w:p>
    <w:p w14:paraId="7448BE27" w14:textId="77777777" w:rsidR="009F3C28" w:rsidRDefault="009F3C28" w:rsidP="009F3C28">
      <w:pPr>
        <w:autoSpaceDE w:val="0"/>
        <w:autoSpaceDN w:val="0"/>
        <w:adjustRightInd w:val="0"/>
        <w:spacing w:line="280" w:lineRule="auto"/>
        <w:rPr>
          <w:rFonts w:cs="Segoe UI"/>
          <w:szCs w:val="22"/>
          <w:lang w:val="sk-SK" w:eastAsia="de-DE"/>
        </w:rPr>
      </w:pPr>
      <w:r w:rsidRPr="00D00D45">
        <w:rPr>
          <w:rFonts w:cs="Segoe UI"/>
          <w:szCs w:val="22"/>
          <w:lang w:val="sk-SK" w:eastAsia="de-DE"/>
        </w:rPr>
        <w:t xml:space="preserve">V priebehu roka 2022 spoločnosť Henkel naďalej dôsledne pracovala na implementácii agendy rastu a vo všetkých oblastiach dokázala dosiahnuť významný pokrok. Po oznámenom zlúčení </w:t>
      </w:r>
      <w:r w:rsidRPr="00D00D45">
        <w:rPr>
          <w:rFonts w:cs="Segoe UI"/>
          <w:szCs w:val="22"/>
          <w:lang w:val="sk-SK" w:eastAsia="de-DE"/>
        </w:rPr>
        <w:lastRenderedPageBreak/>
        <w:t xml:space="preserve">divízií </w:t>
      </w:r>
      <w:proofErr w:type="spellStart"/>
      <w:r w:rsidRPr="00D00D45">
        <w:rPr>
          <w:rFonts w:cs="Segoe UI"/>
          <w:szCs w:val="22"/>
          <w:lang w:val="sk-SK" w:eastAsia="de-DE"/>
        </w:rPr>
        <w:t>Laundry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&amp; Home </w:t>
      </w:r>
      <w:proofErr w:type="spellStart"/>
      <w:r w:rsidRPr="00D00D45">
        <w:rPr>
          <w:rFonts w:cs="Segoe UI"/>
          <w:szCs w:val="22"/>
          <w:lang w:val="sk-SK" w:eastAsia="de-DE"/>
        </w:rPr>
        <w:t>Care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a </w:t>
      </w:r>
      <w:proofErr w:type="spellStart"/>
      <w:r w:rsidRPr="00D00D45">
        <w:rPr>
          <w:rFonts w:cs="Segoe UI"/>
          <w:szCs w:val="22"/>
          <w:lang w:val="sk-SK" w:eastAsia="de-DE"/>
        </w:rPr>
        <w:t>Beauty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</w:t>
      </w:r>
      <w:proofErr w:type="spellStart"/>
      <w:r w:rsidRPr="00D00D45">
        <w:rPr>
          <w:rFonts w:cs="Segoe UI"/>
          <w:szCs w:val="22"/>
          <w:lang w:val="sk-SK" w:eastAsia="de-DE"/>
        </w:rPr>
        <w:t>Care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do novej obchodnej divízie s názvom </w:t>
      </w:r>
      <w:proofErr w:type="spellStart"/>
      <w:r w:rsidRPr="00D00D45">
        <w:rPr>
          <w:rFonts w:cs="Segoe UI"/>
          <w:b/>
          <w:bCs/>
          <w:szCs w:val="22"/>
          <w:lang w:val="sk-SK" w:eastAsia="de-DE"/>
        </w:rPr>
        <w:t>Consumer</w:t>
      </w:r>
      <w:proofErr w:type="spellEnd"/>
      <w:r w:rsidRPr="00D00D45">
        <w:rPr>
          <w:rFonts w:cs="Segoe UI"/>
          <w:b/>
          <w:bCs/>
          <w:szCs w:val="22"/>
          <w:lang w:val="sk-SK" w:eastAsia="de-DE"/>
        </w:rPr>
        <w:t xml:space="preserve"> </w:t>
      </w:r>
      <w:proofErr w:type="spellStart"/>
      <w:r w:rsidRPr="00D00D45">
        <w:rPr>
          <w:rFonts w:cs="Segoe UI"/>
          <w:b/>
          <w:bCs/>
          <w:szCs w:val="22"/>
          <w:lang w:val="sk-SK" w:eastAsia="de-DE"/>
        </w:rPr>
        <w:t>Brands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prechádza Henkel </w:t>
      </w:r>
      <w:r w:rsidRPr="00D00D45">
        <w:rPr>
          <w:rFonts w:cs="Segoe UI"/>
          <w:b/>
          <w:szCs w:val="22"/>
          <w:lang w:val="sk-SK" w:eastAsia="de-DE"/>
        </w:rPr>
        <w:t xml:space="preserve">na ďalšiu </w:t>
      </w:r>
      <w:r w:rsidRPr="00D00D45">
        <w:rPr>
          <w:rFonts w:cs="Segoe UI"/>
          <w:b/>
          <w:bCs/>
          <w:szCs w:val="22"/>
          <w:lang w:val="sk-SK" w:eastAsia="de-DE"/>
        </w:rPr>
        <w:t xml:space="preserve">úroveň </w:t>
      </w:r>
      <w:r w:rsidRPr="00D00D45">
        <w:rPr>
          <w:rFonts w:cs="Segoe UI"/>
          <w:b/>
          <w:szCs w:val="22"/>
          <w:lang w:val="sk-SK" w:eastAsia="de-DE"/>
        </w:rPr>
        <w:t>v oblasti</w:t>
      </w:r>
      <w:r w:rsidRPr="00D00D45">
        <w:rPr>
          <w:rFonts w:cs="Segoe UI"/>
          <w:szCs w:val="22"/>
          <w:lang w:val="sk-SK" w:eastAsia="de-DE"/>
        </w:rPr>
        <w:t xml:space="preserve"> </w:t>
      </w:r>
      <w:r w:rsidRPr="00D00D45">
        <w:rPr>
          <w:rFonts w:cs="Segoe UI"/>
          <w:b/>
          <w:szCs w:val="22"/>
          <w:lang w:val="sk-SK" w:eastAsia="de-DE"/>
        </w:rPr>
        <w:t>agendy zmysluplného rastu</w:t>
      </w:r>
      <w:r w:rsidRPr="00D00D45">
        <w:rPr>
          <w:rFonts w:cs="Segoe UI"/>
          <w:szCs w:val="22"/>
          <w:lang w:val="sk-SK" w:eastAsia="de-DE"/>
        </w:rPr>
        <w:t>.</w:t>
      </w:r>
    </w:p>
    <w:p w14:paraId="25B3DA67" w14:textId="77777777" w:rsidR="009F3C28" w:rsidRPr="00D00D45" w:rsidRDefault="009F3C28" w:rsidP="009F3C28">
      <w:pPr>
        <w:autoSpaceDE w:val="0"/>
        <w:autoSpaceDN w:val="0"/>
        <w:adjustRightInd w:val="0"/>
        <w:spacing w:line="280" w:lineRule="auto"/>
        <w:rPr>
          <w:rFonts w:cs="Segoe UI"/>
          <w:szCs w:val="22"/>
          <w:lang w:val="sk-SK" w:eastAsia="de-DE"/>
        </w:rPr>
      </w:pPr>
    </w:p>
    <w:p w14:paraId="7FCE5B2F" w14:textId="77777777" w:rsidR="009F3C28" w:rsidRPr="00D00D45" w:rsidRDefault="009F3C28" w:rsidP="009F3C28">
      <w:pPr>
        <w:autoSpaceDE w:val="0"/>
        <w:autoSpaceDN w:val="0"/>
        <w:adjustRightInd w:val="0"/>
        <w:spacing w:line="280" w:lineRule="auto"/>
        <w:rPr>
          <w:rFonts w:cs="Segoe UI"/>
          <w:szCs w:val="22"/>
          <w:lang w:val="sk-SK" w:eastAsia="de-DE"/>
        </w:rPr>
      </w:pPr>
      <w:r w:rsidRPr="00D00D45">
        <w:rPr>
          <w:rFonts w:cs="Segoe UI"/>
          <w:szCs w:val="22"/>
          <w:lang w:val="sk-SK" w:eastAsia="de-DE"/>
        </w:rPr>
        <w:t xml:space="preserve">Pokiaľ ide o implementáciu novej organizačnej štruktúry divízie </w:t>
      </w:r>
      <w:proofErr w:type="spellStart"/>
      <w:r w:rsidRPr="00D00D45">
        <w:rPr>
          <w:rFonts w:cs="Segoe UI"/>
          <w:szCs w:val="22"/>
          <w:lang w:val="sk-SK" w:eastAsia="de-DE"/>
        </w:rPr>
        <w:t>Consumer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</w:t>
      </w:r>
      <w:proofErr w:type="spellStart"/>
      <w:r w:rsidRPr="00D00D45">
        <w:rPr>
          <w:rFonts w:cs="Segoe UI"/>
          <w:szCs w:val="22"/>
          <w:lang w:val="sk-SK" w:eastAsia="de-DE"/>
        </w:rPr>
        <w:t>Brands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, vo väčšine regiónov je Henkel v predstihu oproti pôvodne oznámenému časovému rámcu. Wolfgang </w:t>
      </w:r>
      <w:proofErr w:type="spellStart"/>
      <w:r w:rsidRPr="00D00D45">
        <w:rPr>
          <w:rFonts w:cs="Segoe UI"/>
          <w:szCs w:val="22"/>
          <w:lang w:val="sk-SK" w:eastAsia="de-DE"/>
        </w:rPr>
        <w:t>König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, ktorý v rámci predstavenstva v súčasnosti zodpovedá za divíziu </w:t>
      </w:r>
      <w:proofErr w:type="spellStart"/>
      <w:r w:rsidRPr="00D00D45">
        <w:rPr>
          <w:rFonts w:cs="Segoe UI"/>
          <w:szCs w:val="22"/>
          <w:lang w:val="sk-SK" w:eastAsia="de-DE"/>
        </w:rPr>
        <w:t>Beauty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</w:t>
      </w:r>
      <w:proofErr w:type="spellStart"/>
      <w:r w:rsidRPr="00D00D45">
        <w:rPr>
          <w:rFonts w:cs="Segoe UI"/>
          <w:szCs w:val="22"/>
          <w:lang w:val="sk-SK" w:eastAsia="de-DE"/>
        </w:rPr>
        <w:t>Care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a v budúcnosti bude viesť aj novú divíziu, preberá v rámci zlúčenia od októbra 2022 riadenie divízie </w:t>
      </w:r>
      <w:proofErr w:type="spellStart"/>
      <w:r w:rsidRPr="00D00D45">
        <w:rPr>
          <w:rFonts w:cs="Segoe UI"/>
          <w:szCs w:val="22"/>
          <w:lang w:val="sk-SK" w:eastAsia="de-DE"/>
        </w:rPr>
        <w:t>Laundry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&amp; Home </w:t>
      </w:r>
      <w:proofErr w:type="spellStart"/>
      <w:r w:rsidRPr="00D00D45">
        <w:rPr>
          <w:rFonts w:cs="Segoe UI"/>
          <w:szCs w:val="22"/>
          <w:lang w:val="sk-SK" w:eastAsia="de-DE"/>
        </w:rPr>
        <w:t>Care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. Bruno </w:t>
      </w:r>
      <w:proofErr w:type="spellStart"/>
      <w:r w:rsidRPr="00D00D45">
        <w:rPr>
          <w:rFonts w:cs="Segoe UI"/>
          <w:szCs w:val="22"/>
          <w:lang w:val="sk-SK" w:eastAsia="de-DE"/>
        </w:rPr>
        <w:t>Piacenza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, ktorý viedol obchodnú divíziu </w:t>
      </w:r>
      <w:proofErr w:type="spellStart"/>
      <w:r w:rsidRPr="00D00D45">
        <w:rPr>
          <w:rFonts w:cs="Segoe UI"/>
          <w:szCs w:val="22"/>
          <w:lang w:val="sk-SK" w:eastAsia="de-DE"/>
        </w:rPr>
        <w:t>Laundry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&amp; Home </w:t>
      </w:r>
      <w:proofErr w:type="spellStart"/>
      <w:r w:rsidRPr="00D00D45">
        <w:rPr>
          <w:rFonts w:cs="Segoe UI"/>
          <w:szCs w:val="22"/>
          <w:lang w:val="sk-SK" w:eastAsia="de-DE"/>
        </w:rPr>
        <w:t>Care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od roku 2011, odchádza z predstavenstva na konci septembra. Prezident spoločnosti </w:t>
      </w:r>
      <w:proofErr w:type="spellStart"/>
      <w:r w:rsidRPr="00D00D45">
        <w:rPr>
          <w:rFonts w:cs="Segoe UI"/>
          <w:szCs w:val="22"/>
          <w:lang w:val="sk-SK" w:eastAsia="de-DE"/>
        </w:rPr>
        <w:t>Carsten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</w:t>
      </w:r>
      <w:proofErr w:type="spellStart"/>
      <w:r w:rsidRPr="00D00D45">
        <w:rPr>
          <w:rFonts w:cs="Segoe UI"/>
          <w:szCs w:val="22"/>
          <w:lang w:val="sk-SK" w:eastAsia="de-DE"/>
        </w:rPr>
        <w:t>Knobel</w:t>
      </w:r>
      <w:proofErr w:type="spellEnd"/>
      <w:r w:rsidRPr="00D00D45">
        <w:rPr>
          <w:rFonts w:cs="Segoe UI"/>
          <w:szCs w:val="22"/>
          <w:lang w:val="sk-SK" w:eastAsia="de-DE"/>
        </w:rPr>
        <w:t xml:space="preserve"> mu osobitne poďakoval za významné úspechy, ktoré dosiahol počas viac než tridsaťročnej kariéry v spoločnosti Henkel.</w:t>
      </w:r>
    </w:p>
    <w:p w14:paraId="2A8D1C00" w14:textId="77777777" w:rsidR="009F3C28" w:rsidRPr="00D00D45" w:rsidRDefault="009F3C28" w:rsidP="009F3C28">
      <w:pPr>
        <w:autoSpaceDE w:val="0"/>
        <w:autoSpaceDN w:val="0"/>
        <w:adjustRightInd w:val="0"/>
        <w:rPr>
          <w:rFonts w:cs="Segoe UI"/>
          <w:szCs w:val="22"/>
          <w:lang w:val="sk-SK" w:eastAsia="de-DE"/>
        </w:rPr>
      </w:pPr>
    </w:p>
    <w:p w14:paraId="027804A5" w14:textId="31350C63" w:rsidR="009F3C28" w:rsidRPr="00D00D45" w:rsidRDefault="009F3C28" w:rsidP="009F3C28">
      <w:pPr>
        <w:spacing w:line="280" w:lineRule="auto"/>
        <w:rPr>
          <w:rFonts w:cs="Segoe UI"/>
          <w:szCs w:val="22"/>
          <w:lang w:val="sk-SK" w:eastAsia="de-DE"/>
        </w:rPr>
      </w:pPr>
      <w:r w:rsidRPr="0049269F">
        <w:rPr>
          <w:rFonts w:cs="Segoe UI"/>
          <w:i/>
          <w:iCs/>
          <w:szCs w:val="22"/>
          <w:lang w:val="sk-SK"/>
        </w:rPr>
        <w:t xml:space="preserve">„Od roku 2020 sme úspešne a dôsledne pracovali na implementácii našej strategickej agendy zmysluplného rastu napriek extrémne zložitým podmienkam, ktoré priniesla pandémia ochorenia covid-19 a vojna na Ukrajine. Preto už teraz myslíme na budúcnosť. S našou divíziou </w:t>
      </w:r>
      <w:proofErr w:type="spellStart"/>
      <w:r w:rsidRPr="0049269F">
        <w:rPr>
          <w:rFonts w:cs="Segoe UI"/>
          <w:i/>
          <w:iCs/>
          <w:szCs w:val="22"/>
          <w:lang w:val="sk-SK"/>
        </w:rPr>
        <w:t>Adhesive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Technologies sme globálnym lídrom, ponúkame inovatívne riešenia pre množstvo priemyselných oblastí a zameriavame sa na </w:t>
      </w:r>
      <w:proofErr w:type="spellStart"/>
      <w:r w:rsidRPr="0049269F">
        <w:rPr>
          <w:rFonts w:cs="Segoe UI"/>
          <w:i/>
          <w:iCs/>
          <w:szCs w:val="22"/>
          <w:lang w:val="sk-SK"/>
        </w:rPr>
        <w:t>megatrendy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, ako napr. udržateľnosť, e-mobilita a konektivita. Zlúčenie divízií </w:t>
      </w:r>
      <w:proofErr w:type="spellStart"/>
      <w:r w:rsidRPr="0049269F">
        <w:rPr>
          <w:rFonts w:cs="Segoe UI"/>
          <w:i/>
          <w:iCs/>
          <w:szCs w:val="22"/>
          <w:lang w:val="sk-SK"/>
        </w:rPr>
        <w:t>Laundry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&amp; Home </w:t>
      </w:r>
      <w:proofErr w:type="spellStart"/>
      <w:r w:rsidRPr="0049269F">
        <w:rPr>
          <w:rFonts w:cs="Segoe UI"/>
          <w:i/>
          <w:iCs/>
          <w:szCs w:val="22"/>
          <w:lang w:val="sk-SK"/>
        </w:rPr>
        <w:t>Care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a </w:t>
      </w:r>
      <w:proofErr w:type="spellStart"/>
      <w:r w:rsidRPr="0049269F">
        <w:rPr>
          <w:rFonts w:cs="Segoe UI"/>
          <w:i/>
          <w:iCs/>
          <w:szCs w:val="22"/>
          <w:lang w:val="sk-SK"/>
        </w:rPr>
        <w:t>Beauty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49269F">
        <w:rPr>
          <w:rFonts w:cs="Segoe UI"/>
          <w:i/>
          <w:iCs/>
          <w:szCs w:val="22"/>
          <w:lang w:val="sk-SK"/>
        </w:rPr>
        <w:t>Care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do divízie </w:t>
      </w:r>
      <w:proofErr w:type="spellStart"/>
      <w:r w:rsidRPr="0049269F">
        <w:rPr>
          <w:rFonts w:cs="Segoe UI"/>
          <w:i/>
          <w:iCs/>
          <w:szCs w:val="22"/>
          <w:lang w:val="sk-SK"/>
        </w:rPr>
        <w:t>Consumer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49269F">
        <w:rPr>
          <w:rFonts w:cs="Segoe UI"/>
          <w:i/>
          <w:iCs/>
          <w:szCs w:val="22"/>
          <w:lang w:val="sk-SK"/>
        </w:rPr>
        <w:t>Brands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je pre nás dôležitým strategickým krokom. Vytvárame tak globálnu </w:t>
      </w:r>
      <w:proofErr w:type="spellStart"/>
      <w:r w:rsidRPr="0049269F">
        <w:rPr>
          <w:rFonts w:cs="Segoe UI"/>
          <w:i/>
          <w:iCs/>
          <w:szCs w:val="22"/>
          <w:lang w:val="sk-SK"/>
        </w:rPr>
        <w:t>multiproduktovú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platformu so silnými značkami a s vedúcou pozíciou na trhu v rámci jednotlivých kategórií na celom svete s cieľom zvýšiť rast v budúcnosti a posilniť </w:t>
      </w:r>
      <w:proofErr w:type="spellStart"/>
      <w:r w:rsidRPr="0049269F">
        <w:rPr>
          <w:rFonts w:cs="Segoe UI"/>
          <w:i/>
          <w:iCs/>
          <w:szCs w:val="22"/>
          <w:lang w:val="sk-SK"/>
        </w:rPr>
        <w:t>maržový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profil v segmentoch spotrebných produktov. Som presvedčený, že prostredníctvom dvoch silných pilierov, ktorými sú naše divízie </w:t>
      </w:r>
      <w:proofErr w:type="spellStart"/>
      <w:r w:rsidRPr="0049269F">
        <w:rPr>
          <w:rFonts w:cs="Segoe UI"/>
          <w:i/>
          <w:iCs/>
          <w:szCs w:val="22"/>
          <w:lang w:val="sk-SK"/>
        </w:rPr>
        <w:t>Adhesive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Technologies a </w:t>
      </w:r>
      <w:proofErr w:type="spellStart"/>
      <w:r w:rsidRPr="0049269F">
        <w:rPr>
          <w:rFonts w:cs="Segoe UI"/>
          <w:i/>
          <w:iCs/>
          <w:szCs w:val="22"/>
          <w:lang w:val="sk-SK"/>
        </w:rPr>
        <w:t>Consumer</w:t>
      </w:r>
      <w:proofErr w:type="spellEnd"/>
      <w:r w:rsidRPr="0049269F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49269F">
        <w:rPr>
          <w:rFonts w:cs="Segoe UI"/>
          <w:i/>
          <w:iCs/>
          <w:szCs w:val="22"/>
          <w:lang w:val="sk-SK"/>
        </w:rPr>
        <w:t>Brands</w:t>
      </w:r>
      <w:proofErr w:type="spellEnd"/>
      <w:r w:rsidRPr="0049269F">
        <w:rPr>
          <w:rFonts w:cs="Segoe UI"/>
          <w:i/>
          <w:iCs/>
          <w:szCs w:val="22"/>
          <w:lang w:val="sk-SK"/>
        </w:rPr>
        <w:t>, dosiahneme ambiciózne ciele a budeme ďalej dôrazne pokračovať v implementácii agendy zmysluplného rastu,“</w:t>
      </w:r>
      <w:r w:rsidRPr="00D00D45">
        <w:rPr>
          <w:rFonts w:cs="Segoe UI"/>
          <w:szCs w:val="22"/>
          <w:lang w:val="sk-SK"/>
        </w:rPr>
        <w:t xml:space="preserve"> povedal </w:t>
      </w:r>
      <w:proofErr w:type="spellStart"/>
      <w:r w:rsidRPr="00D00D45">
        <w:rPr>
          <w:rFonts w:cs="Segoe UI"/>
          <w:szCs w:val="22"/>
          <w:lang w:val="sk-SK"/>
        </w:rPr>
        <w:t>Carsten</w:t>
      </w:r>
      <w:proofErr w:type="spellEnd"/>
      <w:r w:rsidRPr="00D00D45">
        <w:rPr>
          <w:rFonts w:cs="Segoe UI"/>
          <w:szCs w:val="22"/>
          <w:lang w:val="sk-SK"/>
        </w:rPr>
        <w:t xml:space="preserve"> </w:t>
      </w:r>
      <w:proofErr w:type="spellStart"/>
      <w:r w:rsidRPr="00D00D45">
        <w:rPr>
          <w:rFonts w:cs="Segoe UI"/>
          <w:szCs w:val="22"/>
          <w:lang w:val="sk-SK"/>
        </w:rPr>
        <w:t>Knobel</w:t>
      </w:r>
      <w:proofErr w:type="spellEnd"/>
      <w:r w:rsidRPr="00D00D45">
        <w:rPr>
          <w:rFonts w:cs="Segoe UI"/>
          <w:szCs w:val="22"/>
          <w:lang w:val="sk-SK"/>
        </w:rPr>
        <w:t>, prezident spoločnosti Henkel.</w:t>
      </w:r>
    </w:p>
    <w:bookmarkEnd w:id="4"/>
    <w:p w14:paraId="5156DCD9" w14:textId="77777777" w:rsidR="009F3C28" w:rsidRPr="00D00D45" w:rsidRDefault="009F3C28" w:rsidP="009F3C28">
      <w:pPr>
        <w:rPr>
          <w:rStyle w:val="AboutandContactHeadline"/>
          <w:szCs w:val="18"/>
          <w:lang w:val="sk-SK"/>
        </w:rPr>
      </w:pPr>
    </w:p>
    <w:p w14:paraId="0C633F70" w14:textId="77777777" w:rsidR="009F3C28" w:rsidRPr="00D00D45" w:rsidRDefault="009F3C28" w:rsidP="009F3C28">
      <w:pPr>
        <w:rPr>
          <w:rStyle w:val="AboutandContactHeadline"/>
          <w:szCs w:val="18"/>
          <w:lang w:val="sk-SK"/>
        </w:rPr>
      </w:pPr>
    </w:p>
    <w:p w14:paraId="5685648F" w14:textId="77777777" w:rsidR="009F3C28" w:rsidRPr="00D00D45" w:rsidRDefault="009F3C28" w:rsidP="009F3C28">
      <w:pPr>
        <w:pStyle w:val="He01Flietext"/>
        <w:rPr>
          <w:sz w:val="16"/>
          <w:szCs w:val="16"/>
          <w:lang w:val="sk-SK"/>
        </w:rPr>
      </w:pPr>
      <w:r w:rsidRPr="00D00D45">
        <w:rPr>
          <w:sz w:val="16"/>
          <w:szCs w:val="16"/>
          <w:lang w:val="sk-SK"/>
        </w:rPr>
        <w:t>Tento dokument obsahuje stanoviská týkajúce sa budúceho obchodného vývoja, finančných výsledkov a ďalších udalostí alebo skutočností relevantných pre spoločnosť Henkel z pohľadu budúceho rozvoja.</w:t>
      </w:r>
      <w:r w:rsidRPr="00D00D45">
        <w:rPr>
          <w:spacing w:val="-1"/>
          <w:sz w:val="16"/>
          <w:szCs w:val="16"/>
          <w:lang w:val="sk-SK"/>
        </w:rPr>
        <w:t xml:space="preserve"> Stanoviská týkajúce sa budúceho vývoja charakterizuje použitie takých slovných zvratov ako „očakávať“, „zamýšľať“, „plánovať“, „predpokladať“, „domnievať sa“, „odhadovať“ a podobných výrazov.</w:t>
      </w:r>
      <w:r w:rsidRPr="00D00D45">
        <w:rPr>
          <w:spacing w:val="2"/>
          <w:sz w:val="16"/>
          <w:szCs w:val="16"/>
          <w:lang w:val="sk-SK"/>
        </w:rPr>
        <w:t xml:space="preserve"> Takéto stanoviská sa opierajú o aktuálne odhady a predpoklady vypracované manažmentom spoločnosti Henkel AG &amp; Co. </w:t>
      </w:r>
      <w:proofErr w:type="spellStart"/>
      <w:r w:rsidRPr="00D00D45">
        <w:rPr>
          <w:spacing w:val="2"/>
          <w:sz w:val="16"/>
          <w:szCs w:val="16"/>
          <w:lang w:val="sk-SK"/>
        </w:rPr>
        <w:t>KGaA</w:t>
      </w:r>
      <w:proofErr w:type="spellEnd"/>
      <w:r w:rsidRPr="00D00D45">
        <w:rPr>
          <w:spacing w:val="2"/>
          <w:sz w:val="16"/>
          <w:szCs w:val="16"/>
          <w:lang w:val="sk-SK"/>
        </w:rPr>
        <w:t>. Tieto stanoviská nie je možné chápať ako zaručujúce akýmkoľvek spôsobom, že dané predikcie sú presné.</w:t>
      </w:r>
      <w:r w:rsidRPr="00D00D45">
        <w:rPr>
          <w:spacing w:val="1"/>
          <w:sz w:val="16"/>
          <w:szCs w:val="16"/>
          <w:lang w:val="sk-SK"/>
        </w:rPr>
        <w:t xml:space="preserve"> Budúca výkonnosť ako aj reálne dosiahnuté výsledky spoločnosti Henkel AG &amp; Co. </w:t>
      </w:r>
      <w:proofErr w:type="spellStart"/>
      <w:r w:rsidRPr="00D00D45">
        <w:rPr>
          <w:spacing w:val="1"/>
          <w:sz w:val="16"/>
          <w:szCs w:val="16"/>
          <w:lang w:val="sk-SK"/>
        </w:rPr>
        <w:t>KGaA</w:t>
      </w:r>
      <w:proofErr w:type="spellEnd"/>
      <w:r w:rsidRPr="00D00D45">
        <w:rPr>
          <w:spacing w:val="1"/>
          <w:sz w:val="16"/>
          <w:szCs w:val="16"/>
          <w:lang w:val="sk-SK"/>
        </w:rPr>
        <w:t xml:space="preserve"> a jej sesterských spoločností závisia od celého radu rizikových faktorov a neistôt, a preto sa môžu podstatne odkláňať od výhľadových stanovísk (tak negatívne, ako aj pozitívne).</w:t>
      </w:r>
      <w:r w:rsidRPr="00D00D45">
        <w:rPr>
          <w:spacing w:val="-1"/>
          <w:sz w:val="16"/>
          <w:szCs w:val="16"/>
          <w:lang w:val="sk-SK"/>
        </w:rPr>
        <w:t xml:space="preserve"> Na mnohé z nich spoločnosť Henkel nemá priamy dosah a vopred ich nie je možné presne odhadnúť, ako napríklad, aké bude ekonomické prostredie v budúcnosti a aké budú kroky konkurentov a iných subjektov pôsobiacich na trhu.</w:t>
      </w:r>
      <w:r w:rsidRPr="00D00D45">
        <w:rPr>
          <w:spacing w:val="1"/>
          <w:sz w:val="16"/>
          <w:szCs w:val="16"/>
          <w:lang w:val="sk-SK"/>
        </w:rPr>
        <w:t xml:space="preserve"> Spoločnosť Henkel nemá v úmysle a ani neprijme kroky na účely aktualizácie týchto stanovísk.</w:t>
      </w:r>
    </w:p>
    <w:p w14:paraId="566F969E" w14:textId="77777777" w:rsidR="009F3C28" w:rsidRPr="00D00D45" w:rsidRDefault="009F3C28" w:rsidP="009F3C28">
      <w:pPr>
        <w:pStyle w:val="He01Flietext"/>
        <w:rPr>
          <w:sz w:val="16"/>
          <w:szCs w:val="16"/>
          <w:lang w:val="sk-SK"/>
        </w:rPr>
      </w:pPr>
      <w:r w:rsidRPr="00D00D45">
        <w:rPr>
          <w:sz w:val="16"/>
          <w:szCs w:val="16"/>
          <w:lang w:val="sk-SK"/>
        </w:rPr>
        <w:t>Tento dokument obsahuje doplňujúce finančné ukazovatele, ktoré nie sú jednoznačne definované v platnom rámci finančného výkazníctva, ktoré predstavujú alebo môžu predstavovať alternatívne ukazovatele finančnej výkonnosti.</w:t>
      </w:r>
      <w:r w:rsidRPr="00D00D45">
        <w:rPr>
          <w:spacing w:val="-2"/>
          <w:sz w:val="16"/>
          <w:szCs w:val="16"/>
          <w:lang w:val="sk-SK"/>
        </w:rPr>
        <w:t xml:space="preserve"> Tieto doplňujúce finančné ukazovatele by sa nemali vykladať osobitne alebo ako alternatívne ukazovatele k ukazovateľom čistých aktív a finančnej pozície spoločnosti Henkel alebo k výsledkom podnikania, ktoré sú v súlade s platným rámcom finančného výkazníctva prezentované v konsolidovanej účtovnej závierke spoločnosti.</w:t>
      </w:r>
      <w:r w:rsidRPr="00D00D45">
        <w:rPr>
          <w:sz w:val="16"/>
          <w:szCs w:val="16"/>
          <w:lang w:val="sk-SK"/>
        </w:rPr>
        <w:t xml:space="preserve"> Iné spoločnosti, ktoré vykazujú alebo uvádzajú alternatívne ukazovatele výkonnosti s podobnými názvami, môžu počítať ich hodnoty odlišne.</w:t>
      </w:r>
    </w:p>
    <w:p w14:paraId="11F20EFB" w14:textId="77777777" w:rsidR="009F3C28" w:rsidRPr="00D00D45" w:rsidRDefault="009F3C28" w:rsidP="009F3C28">
      <w:pPr>
        <w:pStyle w:val="He01Flietext"/>
        <w:rPr>
          <w:rStyle w:val="AboutandContactBody"/>
          <w:sz w:val="16"/>
          <w:szCs w:val="16"/>
          <w:lang w:val="sk-SK"/>
        </w:rPr>
      </w:pPr>
      <w:r w:rsidRPr="00D00D45">
        <w:rPr>
          <w:spacing w:val="1"/>
          <w:sz w:val="16"/>
          <w:szCs w:val="16"/>
          <w:lang w:val="sk-SK"/>
        </w:rPr>
        <w:lastRenderedPageBreak/>
        <w:t xml:space="preserve">Tento dokument slúži výlučne na informačné účely a nepredstavuje investičnú radu ani ponuku na predaj alebo kúpu akýchkoľvek cenných papierov. </w:t>
      </w:r>
    </w:p>
    <w:p w14:paraId="71AF84D4" w14:textId="77777777" w:rsidR="0060232F" w:rsidRDefault="0060232F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70B743A9" w14:textId="77777777" w:rsidR="0060232F" w:rsidRDefault="0060232F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08B42A0B" w14:textId="77777777" w:rsidR="0060232F" w:rsidRDefault="0060232F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40249591" w14:textId="77777777" w:rsidR="0060232F" w:rsidRDefault="0060232F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5E288772" w14:textId="77777777" w:rsidR="00717647" w:rsidRPr="00ED6D8E" w:rsidRDefault="00717647" w:rsidP="00717647">
      <w:pPr>
        <w:rPr>
          <w:rStyle w:val="AboutandContactHeadline"/>
          <w:lang w:val="sk-SK"/>
        </w:rPr>
      </w:pPr>
      <w:r w:rsidRPr="00ED6D8E">
        <w:rPr>
          <w:rStyle w:val="AboutandContactHeadline"/>
          <w:lang w:val="sk-SK"/>
        </w:rPr>
        <w:t>O spoločnosti Henkel</w:t>
      </w:r>
    </w:p>
    <w:p w14:paraId="53E10352" w14:textId="77777777" w:rsidR="00717647" w:rsidRPr="00717647" w:rsidRDefault="00717647" w:rsidP="00717647">
      <w:pPr>
        <w:rPr>
          <w:rStyle w:val="AboutandContactHeadline"/>
          <w:b w:val="0"/>
          <w:bCs w:val="0"/>
          <w:lang w:val="sk-SK"/>
        </w:rPr>
      </w:pPr>
      <w:r w:rsidRPr="00717647">
        <w:rPr>
          <w:rStyle w:val="AboutandContactHeadline"/>
          <w:b w:val="0"/>
          <w:bCs w:val="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717647">
        <w:rPr>
          <w:rStyle w:val="AboutandContactHeadline"/>
          <w:b w:val="0"/>
          <w:bCs w:val="0"/>
          <w:lang w:val="sk-SK"/>
        </w:rPr>
        <w:t>Adhesive</w:t>
      </w:r>
      <w:proofErr w:type="spellEnd"/>
      <w:r w:rsidRPr="00717647">
        <w:rPr>
          <w:rStyle w:val="AboutandContactHeadline"/>
          <w:b w:val="0"/>
          <w:bCs w:val="0"/>
          <w:lang w:val="sk-SK"/>
        </w:rPr>
        <w:t xml:space="preserve"> Technologies celosvetovým lídrom na trhu v rámci všetkých priemyselných segmentov. V oblastiach </w:t>
      </w:r>
      <w:proofErr w:type="spellStart"/>
      <w:r w:rsidRPr="00717647">
        <w:rPr>
          <w:rStyle w:val="AboutandContactHeadline"/>
          <w:b w:val="0"/>
          <w:bCs w:val="0"/>
          <w:lang w:val="sk-SK"/>
        </w:rPr>
        <w:t>Laundry</w:t>
      </w:r>
      <w:proofErr w:type="spellEnd"/>
      <w:r w:rsidRPr="00717647">
        <w:rPr>
          <w:rStyle w:val="AboutandContactHeadline"/>
          <w:b w:val="0"/>
          <w:bCs w:val="0"/>
          <w:lang w:val="sk-SK"/>
        </w:rPr>
        <w:t xml:space="preserve"> &amp; Home </w:t>
      </w:r>
      <w:proofErr w:type="spellStart"/>
      <w:r w:rsidRPr="00717647">
        <w:rPr>
          <w:rStyle w:val="AboutandContactHeadline"/>
          <w:b w:val="0"/>
          <w:bCs w:val="0"/>
          <w:lang w:val="sk-SK"/>
        </w:rPr>
        <w:t>Care</w:t>
      </w:r>
      <w:proofErr w:type="spellEnd"/>
      <w:r w:rsidRPr="00717647">
        <w:rPr>
          <w:rStyle w:val="AboutandContactHeadline"/>
          <w:b w:val="0"/>
          <w:bCs w:val="0"/>
          <w:lang w:val="sk-SK"/>
        </w:rPr>
        <w:t xml:space="preserve"> a </w:t>
      </w:r>
      <w:proofErr w:type="spellStart"/>
      <w:r w:rsidRPr="00717647">
        <w:rPr>
          <w:rStyle w:val="AboutandContactHeadline"/>
          <w:b w:val="0"/>
          <w:bCs w:val="0"/>
          <w:lang w:val="sk-SK"/>
        </w:rPr>
        <w:t>Beauty</w:t>
      </w:r>
      <w:proofErr w:type="spellEnd"/>
      <w:r w:rsidRPr="00717647">
        <w:rPr>
          <w:rStyle w:val="AboutandContactHeadline"/>
          <w:b w:val="0"/>
          <w:bCs w:val="0"/>
          <w:lang w:val="sk-SK"/>
        </w:rPr>
        <w:t xml:space="preserve"> </w:t>
      </w:r>
      <w:proofErr w:type="spellStart"/>
      <w:r w:rsidRPr="00717647">
        <w:rPr>
          <w:rStyle w:val="AboutandContactHeadline"/>
          <w:b w:val="0"/>
          <w:bCs w:val="0"/>
          <w:lang w:val="sk-SK"/>
        </w:rPr>
        <w:t>Care</w:t>
      </w:r>
      <w:proofErr w:type="spellEnd"/>
      <w:r w:rsidRPr="00717647">
        <w:rPr>
          <w:rStyle w:val="AboutandContactHeadline"/>
          <w:b w:val="0"/>
          <w:bCs w:val="0"/>
          <w:lang w:val="sk-SK"/>
        </w:rPr>
        <w:t xml:space="preserve"> je Henkel na vedúcich pozíciách na viacerých trhoch a v mnohých kategóriách vo svete. Spoločnosť bola založená v roku 1876 a má za sebou viac než 140 úspešných rokov. V roku 2021 dosiahla obrat viac ako 20 mld. eur a upravený prevádzkový zisk približne vo výške 2,7 mld. eur. Henkel zamestnáva 52 000 ľudí po celom svete, ktorí spolu tvoria zanietený a veľmi rôznorodý tím, ktorý spája silná firemná kultúra a spoločný cieľ a ktorý zdieľa spoločné hodnoty. Ako uznávaný líder v oblasti udržateľnosti je Henkel na popredných priečkach v mnohých medzinárodných indexoch a hodnoteniach. Prioritné akcie spoločnosti Henkel sú kótované na nemeckom akciovom indexe DAX. Viac informácií nájdete na stránke </w:t>
      </w:r>
      <w:hyperlink r:id="rId11" w:history="1">
        <w:r w:rsidRPr="00717647">
          <w:rPr>
            <w:rStyle w:val="Hypertextovprepojenie"/>
            <w:b/>
            <w:bCs/>
            <w:lang w:val="sk-SK"/>
          </w:rPr>
          <w:t>www.henkel.com</w:t>
        </w:r>
      </w:hyperlink>
      <w:r w:rsidRPr="00717647">
        <w:rPr>
          <w:rStyle w:val="AboutandContactHeadline"/>
          <w:b w:val="0"/>
          <w:bCs w:val="0"/>
          <w:lang w:val="sk-SK"/>
        </w:rPr>
        <w:t>.</w:t>
      </w:r>
    </w:p>
    <w:p w14:paraId="7A4931A2" w14:textId="77777777" w:rsidR="00717647" w:rsidRPr="00717647" w:rsidRDefault="00717647" w:rsidP="00717647">
      <w:pPr>
        <w:rPr>
          <w:rStyle w:val="AboutandContactHeadline"/>
          <w:b w:val="0"/>
          <w:bCs w:val="0"/>
          <w:lang w:val="sk-SK"/>
        </w:rPr>
      </w:pPr>
    </w:p>
    <w:p w14:paraId="650213AD" w14:textId="77777777" w:rsidR="00717647" w:rsidRPr="00717647" w:rsidRDefault="00717647" w:rsidP="00717647">
      <w:pPr>
        <w:rPr>
          <w:rStyle w:val="AboutandContactHeadline"/>
          <w:lang w:val="sk-SK"/>
        </w:rPr>
      </w:pPr>
      <w:r w:rsidRPr="00717647">
        <w:rPr>
          <w:rStyle w:val="AboutandContactHeadline"/>
          <w:lang w:val="sk-SK"/>
        </w:rPr>
        <w:t>O spoločnosti Henkel Slovensko</w:t>
      </w:r>
    </w:p>
    <w:p w14:paraId="1BB9CF8F" w14:textId="77777777" w:rsidR="00717647" w:rsidRPr="00717647" w:rsidRDefault="00717647" w:rsidP="00717647">
      <w:pPr>
        <w:rPr>
          <w:rStyle w:val="AboutandContactHeadline"/>
          <w:b w:val="0"/>
          <w:bCs w:val="0"/>
          <w:lang w:val="sk-SK"/>
        </w:rPr>
      </w:pPr>
      <w:r w:rsidRPr="00717647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71764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717647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717647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717647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2" w:history="1">
        <w:r w:rsidRPr="00717647">
          <w:rPr>
            <w:rStyle w:val="Hypertextovprepojenie"/>
            <w:b/>
            <w:bCs/>
            <w:lang w:val="sk-SK"/>
          </w:rPr>
          <w:t>www.henkel.sk</w:t>
        </w:r>
      </w:hyperlink>
      <w:r w:rsidRPr="00717647">
        <w:rPr>
          <w:rStyle w:val="AboutandContactHeadline"/>
          <w:b w:val="0"/>
          <w:bCs w:val="0"/>
          <w:lang w:val="sk-SK"/>
        </w:rPr>
        <w:t>.</w:t>
      </w:r>
    </w:p>
    <w:p w14:paraId="425C5027" w14:textId="77777777" w:rsidR="00717647" w:rsidRDefault="00717647" w:rsidP="00717647">
      <w:pPr>
        <w:rPr>
          <w:rStyle w:val="AboutandContactHeadline"/>
          <w:lang w:val="sk-SK"/>
        </w:rPr>
      </w:pPr>
    </w:p>
    <w:p w14:paraId="6A7BD2A4" w14:textId="77777777" w:rsidR="00717647" w:rsidRDefault="00717647" w:rsidP="00717647">
      <w:pPr>
        <w:rPr>
          <w:rStyle w:val="AboutandContactHeadline"/>
          <w:lang w:val="sk-SK"/>
        </w:rPr>
      </w:pPr>
    </w:p>
    <w:p w14:paraId="2B4CBBB1" w14:textId="77777777" w:rsidR="00717647" w:rsidRPr="00717647" w:rsidRDefault="00717647" w:rsidP="00717647">
      <w:pPr>
        <w:rPr>
          <w:rStyle w:val="AboutandContactBody"/>
          <w:b/>
          <w:bCs/>
          <w:sz w:val="20"/>
          <w:szCs w:val="20"/>
          <w:lang w:val="sk-SK"/>
        </w:rPr>
      </w:pPr>
      <w:r w:rsidRPr="00717647">
        <w:rPr>
          <w:rStyle w:val="AboutandContactBody"/>
          <w:b/>
          <w:bCs/>
          <w:sz w:val="20"/>
          <w:szCs w:val="20"/>
          <w:lang w:val="sk-SK"/>
        </w:rPr>
        <w:t xml:space="preserve">Kontakt  </w:t>
      </w:r>
    </w:p>
    <w:p w14:paraId="39C92E2C" w14:textId="77777777" w:rsidR="00717647" w:rsidRPr="00FF139F" w:rsidRDefault="00717647" w:rsidP="00717647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Zuzana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Kaňuchová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75FD22A6" w14:textId="77777777" w:rsidR="00717647" w:rsidRPr="00FF139F" w:rsidRDefault="00717647" w:rsidP="00717647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Riaditeľka </w:t>
      </w:r>
      <w:proofErr w:type="spellStart"/>
      <w:r w:rsidRPr="00FF139F">
        <w:rPr>
          <w:rStyle w:val="AboutandContactBody"/>
          <w:sz w:val="20"/>
          <w:szCs w:val="20"/>
          <w:lang w:val="sk-SK"/>
        </w:rPr>
        <w:t>korporátnej</w:t>
      </w:r>
      <w:proofErr w:type="spellEnd"/>
      <w:r w:rsidRPr="00FF139F">
        <w:rPr>
          <w:rStyle w:val="AboutandContactBody"/>
          <w:sz w:val="20"/>
          <w:szCs w:val="20"/>
          <w:lang w:val="sk-SK"/>
        </w:rPr>
        <w:t xml:space="preserve"> komunikácie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0B274440" w14:textId="77777777" w:rsidR="00717647" w:rsidRPr="00FF139F" w:rsidRDefault="00717647" w:rsidP="00717647">
      <w:pPr>
        <w:rPr>
          <w:rStyle w:val="AboutandContactBody"/>
          <w:sz w:val="20"/>
          <w:szCs w:val="20"/>
          <w:lang w:val="sk-SK"/>
        </w:rPr>
      </w:pPr>
    </w:p>
    <w:p w14:paraId="7C720E28" w14:textId="77777777" w:rsidR="00717647" w:rsidRPr="00FF139F" w:rsidRDefault="00717647" w:rsidP="00717647">
      <w:pPr>
        <w:rPr>
          <w:rStyle w:val="AboutandContactBody"/>
          <w:sz w:val="20"/>
          <w:szCs w:val="20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>Telefón: +421 917 160 597</w:t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  <w:r w:rsidRPr="00FF139F">
        <w:rPr>
          <w:rStyle w:val="AboutandContactBody"/>
          <w:sz w:val="20"/>
          <w:szCs w:val="20"/>
          <w:lang w:val="sk-SK"/>
        </w:rPr>
        <w:tab/>
      </w:r>
    </w:p>
    <w:p w14:paraId="121A4D26" w14:textId="3E961C9A" w:rsidR="00C50C62" w:rsidRPr="009A2C68" w:rsidRDefault="00717647" w:rsidP="00717647">
      <w:pPr>
        <w:spacing w:line="240" w:lineRule="auto"/>
        <w:jc w:val="left"/>
        <w:rPr>
          <w:rFonts w:asciiTheme="minorHAnsi" w:hAnsiTheme="minorHAnsi" w:cstheme="minorHAnsi"/>
          <w:sz w:val="24"/>
          <w:lang w:val="sk-SK"/>
        </w:rPr>
      </w:pPr>
      <w:r w:rsidRPr="00FF139F">
        <w:rPr>
          <w:rStyle w:val="AboutandContactBody"/>
          <w:sz w:val="20"/>
          <w:szCs w:val="20"/>
          <w:lang w:val="sk-SK"/>
        </w:rPr>
        <w:t xml:space="preserve">E-mail:  </w:t>
      </w:r>
      <w:hyperlink r:id="rId13" w:history="1">
        <w:r w:rsidRPr="00FF139F">
          <w:rPr>
            <w:rStyle w:val="Hypertextovprepojenie"/>
            <w:sz w:val="20"/>
            <w:szCs w:val="20"/>
            <w:lang w:val="sk-SK"/>
          </w:rPr>
          <w:t>zuzana.kanuchova@henkel.com</w:t>
        </w:r>
      </w:hyperlink>
    </w:p>
    <w:sectPr w:rsidR="00C50C62" w:rsidRPr="009A2C68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5495" w14:textId="77777777" w:rsidR="004F2C06" w:rsidRDefault="004F2C06">
      <w:r>
        <w:separator/>
      </w:r>
    </w:p>
  </w:endnote>
  <w:endnote w:type="continuationSeparator" w:id="0">
    <w:p w14:paraId="17C6E14A" w14:textId="77777777" w:rsidR="004F2C06" w:rsidRDefault="004F2C06">
      <w:r>
        <w:continuationSeparator/>
      </w:r>
    </w:p>
  </w:endnote>
  <w:endnote w:type="continuationNotice" w:id="1">
    <w:p w14:paraId="5912C530" w14:textId="77777777" w:rsidR="004F2C06" w:rsidRDefault="004F2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r w:rsidR="00FA5FB4">
      <w:fldChar w:fldCharType="begin"/>
    </w:r>
    <w:r w:rsidR="00FA5FB4">
      <w:instrText xml:space="preserve"> NUMPAGES  \* Arabic  \* MERGEFORMAT </w:instrText>
    </w:r>
    <w:r w:rsidR="00FA5FB4">
      <w:fldChar w:fldCharType="separate"/>
    </w:r>
    <w:r w:rsidR="00AD749D">
      <w:t>4</w:t>
    </w:r>
    <w:r w:rsidR="00FA5FB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0C95D" w14:textId="77777777" w:rsidR="004F2C06" w:rsidRDefault="004F2C06">
      <w:bookmarkStart w:id="0" w:name="_Hlk47541104"/>
      <w:bookmarkEnd w:id="0"/>
      <w:r>
        <w:separator/>
      </w:r>
    </w:p>
  </w:footnote>
  <w:footnote w:type="continuationSeparator" w:id="0">
    <w:p w14:paraId="689B36F3" w14:textId="77777777" w:rsidR="004F2C06" w:rsidRDefault="004F2C06">
      <w:r>
        <w:continuationSeparator/>
      </w:r>
    </w:p>
  </w:footnote>
  <w:footnote w:type="continuationNotice" w:id="1">
    <w:p w14:paraId="4F968163" w14:textId="77777777" w:rsidR="004F2C06" w:rsidRDefault="004F2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7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877702">
    <w:abstractNumId w:val="1"/>
  </w:num>
  <w:num w:numId="2" w16cid:durableId="965161837">
    <w:abstractNumId w:val="0"/>
  </w:num>
  <w:num w:numId="3" w16cid:durableId="1387223682">
    <w:abstractNumId w:val="11"/>
  </w:num>
  <w:num w:numId="4" w16cid:durableId="419257264">
    <w:abstractNumId w:val="5"/>
  </w:num>
  <w:num w:numId="5" w16cid:durableId="137697187">
    <w:abstractNumId w:val="2"/>
  </w:num>
  <w:num w:numId="6" w16cid:durableId="1970088729">
    <w:abstractNumId w:val="10"/>
  </w:num>
  <w:num w:numId="7" w16cid:durableId="322005904">
    <w:abstractNumId w:val="7"/>
  </w:num>
  <w:num w:numId="8" w16cid:durableId="398485556">
    <w:abstractNumId w:val="6"/>
  </w:num>
  <w:num w:numId="9" w16cid:durableId="492380418">
    <w:abstractNumId w:val="4"/>
  </w:num>
  <w:num w:numId="10" w16cid:durableId="1284580824">
    <w:abstractNumId w:val="8"/>
  </w:num>
  <w:num w:numId="11" w16cid:durableId="1589463962">
    <w:abstractNumId w:val="12"/>
  </w:num>
  <w:num w:numId="12" w16cid:durableId="950547352">
    <w:abstractNumId w:val="3"/>
  </w:num>
  <w:num w:numId="13" w16cid:durableId="3479520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6FA5"/>
    <w:rsid w:val="000573F2"/>
    <w:rsid w:val="000575F9"/>
    <w:rsid w:val="0005760C"/>
    <w:rsid w:val="000618FC"/>
    <w:rsid w:val="00063D2E"/>
    <w:rsid w:val="00067071"/>
    <w:rsid w:val="00070C3B"/>
    <w:rsid w:val="00080D10"/>
    <w:rsid w:val="0008357F"/>
    <w:rsid w:val="00084D35"/>
    <w:rsid w:val="0009087E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B0810"/>
    <w:rsid w:val="002B5578"/>
    <w:rsid w:val="002C0FD5"/>
    <w:rsid w:val="002C252E"/>
    <w:rsid w:val="002C6773"/>
    <w:rsid w:val="002D01B0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4041C9"/>
    <w:rsid w:val="004074DB"/>
    <w:rsid w:val="00421AF1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5702"/>
    <w:rsid w:val="00485CB6"/>
    <w:rsid w:val="00490A03"/>
    <w:rsid w:val="0049269F"/>
    <w:rsid w:val="00493327"/>
    <w:rsid w:val="00494402"/>
    <w:rsid w:val="00494DBE"/>
    <w:rsid w:val="00495CE6"/>
    <w:rsid w:val="004968A1"/>
    <w:rsid w:val="0049738E"/>
    <w:rsid w:val="004A323C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4F2C06"/>
    <w:rsid w:val="00502E62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232F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63B1A"/>
    <w:rsid w:val="00672382"/>
    <w:rsid w:val="00673CB0"/>
    <w:rsid w:val="00675739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17647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76F30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67D4E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9F3C28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0787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5FB4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  <w:style w:type="paragraph" w:customStyle="1" w:styleId="He01Flietext">
    <w:name w:val="_He_01_Fließtext"/>
    <w:qFormat/>
    <w:rsid w:val="009F3C28"/>
    <w:pPr>
      <w:spacing w:after="160"/>
    </w:pPr>
    <w:rPr>
      <w:rFonts w:cs="Times New Roman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3.xml><?xml version="1.0" encoding="utf-8"?>
<ds:datastoreItem xmlns:ds="http://schemas.openxmlformats.org/officeDocument/2006/customXml" ds:itemID="{B972F220-EAEC-4992-AD07-804DD71DA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4</TotalTime>
  <Pages>4</Pages>
  <Words>1393</Words>
  <Characters>8708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10081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8</cp:revision>
  <cp:lastPrinted>2021-11-09T19:20:00Z</cp:lastPrinted>
  <dcterms:created xsi:type="dcterms:W3CDTF">2022-10-04T09:35:00Z</dcterms:created>
  <dcterms:modified xsi:type="dcterms:W3CDTF">2022-10-05T15:37:00Z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