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3527D9CE" w:rsidR="008E3965" w:rsidRPr="00561A1C" w:rsidRDefault="00151527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20</w:t>
      </w:r>
      <w:r w:rsidR="008E3965" w:rsidRPr="00561A1C">
        <w:rPr>
          <w:rFonts w:asciiTheme="majorHAnsi" w:hAnsiTheme="majorHAnsi" w:cstheme="majorHAnsi"/>
          <w:lang w:val="cs-CZ"/>
        </w:rPr>
        <w:t xml:space="preserve">. </w:t>
      </w:r>
      <w:r>
        <w:rPr>
          <w:rFonts w:asciiTheme="majorHAnsi" w:hAnsiTheme="majorHAnsi" w:cstheme="majorHAnsi"/>
          <w:lang w:val="cs-CZ"/>
        </w:rPr>
        <w:t>září</w:t>
      </w:r>
      <w:r w:rsidR="008E3965" w:rsidRPr="00561A1C">
        <w:rPr>
          <w:rFonts w:asciiTheme="majorHAnsi" w:hAnsiTheme="majorHAnsi" w:cstheme="majorHAnsi"/>
          <w:lang w:val="cs-CZ"/>
        </w:rPr>
        <w:t xml:space="preserve"> 2022</w:t>
      </w:r>
    </w:p>
    <w:p w14:paraId="72B085E3" w14:textId="77777777" w:rsidR="00603FDF" w:rsidRPr="00561A1C" w:rsidRDefault="00603FDF" w:rsidP="00603FDF">
      <w:pPr>
        <w:pStyle w:val="Predvolen"/>
        <w:spacing w:before="360" w:after="24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>Capital Markets Day ve společnosti Henkel</w:t>
      </w:r>
    </w:p>
    <w:p w14:paraId="790D4900" w14:textId="77777777" w:rsidR="00603FDF" w:rsidRPr="00561A1C" w:rsidRDefault="00603FDF" w:rsidP="00603FDF">
      <w:pPr>
        <w:pStyle w:val="Predvolen"/>
        <w:spacing w:before="0" w:line="280" w:lineRule="auto"/>
        <w:ind w:right="504"/>
        <w:rPr>
          <w:rFonts w:asciiTheme="majorHAnsi" w:eastAsia="Helvetica" w:hAnsiTheme="majorHAnsi" w:cstheme="majorHAnsi"/>
          <w:b/>
          <w:bCs/>
          <w:sz w:val="29"/>
          <w:szCs w:val="29"/>
          <w:lang w:val="cs-CZ"/>
        </w:rPr>
      </w:pPr>
      <w:r w:rsidRPr="00561A1C">
        <w:rPr>
          <w:rFonts w:asciiTheme="majorHAnsi" w:hAnsiTheme="majorHAnsi" w:cstheme="majorHAnsi"/>
          <w:b/>
          <w:bCs/>
          <w:sz w:val="29"/>
          <w:szCs w:val="29"/>
          <w:lang w:val="cs-CZ"/>
        </w:rPr>
        <w:t>Henkel prezentuje úspěšnou implementaci agendy smysluplného růstu a zvyšuje výhled obratu na rok 2022</w:t>
      </w:r>
    </w:p>
    <w:p w14:paraId="0DB688CD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2EAAE76E" w14:textId="77777777" w:rsidR="00603FDF" w:rsidRPr="00561A1C" w:rsidRDefault="00603FDF" w:rsidP="00603FDF">
      <w:pPr>
        <w:pStyle w:val="Predvolen"/>
        <w:numPr>
          <w:ilvl w:val="0"/>
          <w:numId w:val="16"/>
        </w:numPr>
        <w:spacing w:before="0" w:after="80" w:line="280" w:lineRule="auto"/>
        <w:ind w:right="396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Implementace nové organizační struktury v divizi Consumer Brands v předstihu oproti plánu</w:t>
      </w:r>
    </w:p>
    <w:p w14:paraId="6D7D4152" w14:textId="77777777" w:rsidR="00603FDF" w:rsidRPr="00561A1C" w:rsidRDefault="00603FDF" w:rsidP="00603FDF">
      <w:pPr>
        <w:pStyle w:val="Predvolen"/>
        <w:numPr>
          <w:ilvl w:val="0"/>
          <w:numId w:val="16"/>
        </w:numPr>
        <w:spacing w:before="0" w:after="80" w:line="280" w:lineRule="auto"/>
        <w:ind w:right="396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Pokračující výrazný růst organického obratu v divizi Adhesive Technologies</w:t>
      </w:r>
    </w:p>
    <w:p w14:paraId="793FE93C" w14:textId="77777777" w:rsidR="00603FDF" w:rsidRPr="00561A1C" w:rsidRDefault="00603FDF" w:rsidP="00603FDF">
      <w:pPr>
        <w:pStyle w:val="Predvolen"/>
        <w:numPr>
          <w:ilvl w:val="0"/>
          <w:numId w:val="16"/>
        </w:numPr>
        <w:spacing w:before="0" w:after="80" w:line="280" w:lineRule="auto"/>
        <w:ind w:right="396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Zvýšený výhled růstu organického obratu společnosti Henkel ve finančním roce 2022: z +5,5 na +7,5 % (původně ze +4,5 na +6,5 %)</w:t>
      </w:r>
      <w:r w:rsidRPr="00561A1C"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  <w:br/>
      </w:r>
    </w:p>
    <w:p w14:paraId="23E3AC24" w14:textId="77777777" w:rsidR="00603FDF" w:rsidRPr="00561A1C" w:rsidRDefault="00603FDF" w:rsidP="00603FDF">
      <w:pPr>
        <w:pStyle w:val="Predvolen"/>
        <w:numPr>
          <w:ilvl w:val="0"/>
          <w:numId w:val="16"/>
        </w:numPr>
        <w:spacing w:before="0" w:after="80" w:line="280" w:lineRule="auto"/>
        <w:ind w:right="396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Divize Adhesive Technologies a Consumer Brands jsou v dobré pozici pro zachycení budoucích příležitostí v oblasti růstu a dosahování zisku</w:t>
      </w:r>
    </w:p>
    <w:p w14:paraId="704FB8F7" w14:textId="77777777" w:rsidR="00603FDF" w:rsidRPr="00561A1C" w:rsidRDefault="00603FDF" w:rsidP="00603FDF">
      <w:pPr>
        <w:pStyle w:val="Predvolen"/>
        <w:numPr>
          <w:ilvl w:val="0"/>
          <w:numId w:val="16"/>
        </w:numPr>
        <w:spacing w:before="0" w:after="80" w:line="280" w:lineRule="auto"/>
        <w:ind w:right="396"/>
        <w:rPr>
          <w:rFonts w:asciiTheme="majorHAnsi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Potvrzení střednědobých až dlouhodobých finančních ambicí</w:t>
      </w:r>
    </w:p>
    <w:p w14:paraId="3D77DE68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3A9C0D3B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Düsseldorf – Na dnešní konferenci Capital Markets Day (Den kapitálových trhů) představenstvo společnosti Henkel prezentovalo úspěchy dosažené v implementaci agendy smysluplného růstu s důrazem na potenciál pro růst a výnosy ve dvou obchodních divizích, tzn. Adhesive Technologies a příští divize Consumer Brands. Pokud jde o implementaci nové organizační struktury, společnost Henkel je již v současnosti v předstihu oproti původně ohlášenému harmonogramu. Výhled obratu na celý rok 2022 byl rovněž zvýšen jednak v případě divize Adhesive Technologies, která pokračovala v dosahování výrazného růstu organického obratu i ve třetím čtvrtletí, jakož i za celou skupinu Henkel. </w:t>
      </w:r>
    </w:p>
    <w:p w14:paraId="0FB454EC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</w:p>
    <w:p w14:paraId="142A95F6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 xml:space="preserve">Ústředním tématem akce Capital Markets Day byly dvě obchodní divize Adhesive Technologies a Consumer Brands včetně jejich strategického směřování, technologických schopností a atraktivních obchodních aktivit v rámci špičkových globálních značek. Kromě toho byl potvrzen jednoznačný důraz na udržitelnost ve všech dimenzích jako předpoklad pro úspěšnou implementaci agendy smysluplného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lastRenderedPageBreak/>
        <w:t>růstu společnosti, jak v rámci jednotlivých obchodních divizí, tak na úrovni celé skupiny.</w:t>
      </w:r>
    </w:p>
    <w:p w14:paraId="40C7C8FF" w14:textId="77777777" w:rsidR="00603FDF" w:rsidRPr="00561A1C" w:rsidRDefault="00603FDF" w:rsidP="00603FDF">
      <w:pPr>
        <w:pStyle w:val="Predvolen"/>
        <w:spacing w:before="0"/>
        <w:ind w:right="504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</w:p>
    <w:p w14:paraId="4B76B52E" w14:textId="77777777" w:rsidR="00603FDF" w:rsidRPr="00561A1C" w:rsidRDefault="00603FDF" w:rsidP="00603FDF">
      <w:pPr>
        <w:pStyle w:val="Predvolen"/>
        <w:spacing w:before="0" w:after="120" w:line="280" w:lineRule="auto"/>
        <w:ind w:right="396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Zvýšený výhled růstu organického obratu za finanční rok 2022</w:t>
      </w:r>
    </w:p>
    <w:p w14:paraId="241177AF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Kromě prezentace pokroku v implementaci strategie a nastavení obou obchodních divizí společnost Henkel zvýšila také výhled na účetní rok 2022. </w:t>
      </w:r>
    </w:p>
    <w:p w14:paraId="4D294379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</w:p>
    <w:p w14:paraId="430E5D10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>„Vzhledem k pokračujícímu výraznému růstu obratu v divizi Adhesive Technologies dnes aktualizujeme výhled na finanční rok 2022 jak pro divizi Adhesive Technologies, tak pro skupinu Henkel. Kromě toho nadále intenzivně pracujeme na komplexních opatřeních, která by měla v co největším rozsahu kompenzovat vliv drastického zvyšování nákladů na suroviny, logistiku a energie z hlediska vývoje našich výnosů,“ řekl Carsten Knobel, předseda představenstva společnosti Henkel.</w:t>
      </w:r>
    </w:p>
    <w:p w14:paraId="1914FC11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516D611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>Na úrovni skupiny společnost Henkel v současnosti očekává za fiskální rok 2022 organický růst obratu z +5,5 na +7,5 % (původně ze +4,5 na +6,5 %).  v případě divize Adhesive Technologies se očekává organický růst obratu v rozsahu od +10,0 do +12,0 % (původně: +8,0 až +10,0 %). Pokud jde o divizi Beauty Care, společnost Henkel nadále očekává organický růst obratu v rozmezí od –3,0 do –1,0 % zejména z důvodu realizace opatření zaměřených na portfolio, která byla ohlášena pro rok 2022. v případě divize Laundry &amp; Home Care společnost Henkel rovněž očekává organický růst obratu na úrovni od +4,0 do +6,0 %</w:t>
      </w:r>
    </w:p>
    <w:p w14:paraId="681F255D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0DE93CCD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Očekávání v oblasti upravené výnosnosti prodeje (marže EBIT)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 na úrovni skupiny zůstávají nezměněna v rozsahu od 9,0 do 11,0 %. Pokud jde o vývoj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upravených výnosů na prioritní akcii (EPS)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 při konstantních kurzových sazbách, společnost Henkel nadále očekává pokles v rozpětí od –35 do –15 %.</w:t>
      </w:r>
    </w:p>
    <w:p w14:paraId="47CE3A0C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</w:p>
    <w:p w14:paraId="4D95B354" w14:textId="77777777" w:rsidR="00603FDF" w:rsidRPr="00561A1C" w:rsidRDefault="00603FDF" w:rsidP="00603FDF">
      <w:pPr>
        <w:pStyle w:val="Predvolen"/>
        <w:spacing w:before="0" w:after="120" w:line="280" w:lineRule="auto"/>
        <w:ind w:right="396"/>
        <w:rPr>
          <w:rFonts w:asciiTheme="majorHAnsi" w:eastAsia="Helvetica" w:hAnsiTheme="majorHAnsi" w:cstheme="majorHAnsi"/>
          <w:b/>
          <w:bCs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Konzistentní implementace agendy smysluplného růstu</w:t>
      </w:r>
    </w:p>
    <w:p w14:paraId="030D769C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Společnost Henkel prosazuje agendu smysluplného růstu a pro tento účel vypracovala jasný strategický rámec. Klíčovými prvky tohoto strategického rámce jsou úspěšné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portfolio, jasná konkurenční výhoda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 v oblasti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inovací, udržitelnosti a digitalizace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>, jakož i 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provozní modely, které obstojí i v budoucnu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 a které se pevně opírají o silnou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firemní kulturu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368BF106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31AA4F6C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V průběhu roku 2022 společnost Henkel nadále důsledně pracovala na implementaci agendy růstu a ve všech oblastech dokázala dosáhnout významného pokroku. Po 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lastRenderedPageBreak/>
        <w:t xml:space="preserve">oznámeném sloučení divizí Laundry &amp; Home Care a Beauty Care do nové obchodní divize s názvem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Consumer Brands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 xml:space="preserve"> přechází Henkel </w:t>
      </w:r>
      <w:r w:rsidRPr="00561A1C">
        <w:rPr>
          <w:rFonts w:asciiTheme="majorHAnsi" w:hAnsiTheme="majorHAnsi" w:cstheme="majorHAnsi"/>
          <w:b/>
          <w:bCs/>
          <w:sz w:val="22"/>
          <w:szCs w:val="22"/>
          <w:lang w:val="cs-CZ"/>
        </w:rPr>
        <w:t>na další úroveň v oblasti agendy smysluplného růstu</w:t>
      </w:r>
      <w:r w:rsidRPr="00561A1C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6DB59D5A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6B626B98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>Pokud jde o implementaci nové organizační struktury divize Consumer Brands, ve většině regionů je Henkel v předstihu oproti původně ohlášenému časovému rámci. Wolfgang König, který v rámci představenstva v současnosti zodpovídá za divizi Beauty Care a v budoucnu povede i novou divizi, přebírá v rámci sloučení od října 2022 řízení divize Laundry &amp; Home Care. Bruno Piacenza, který vedl obchodní divizi Laundry &amp; Home Care od roku 2011, odchází z představenstva na konci září. Prezident společnosti Carsten Knobel mu zvláště poděkoval za významné úspěchy, kterých dosáhl během více než třicetileté kariéry ve společnosti Henkel.</w:t>
      </w:r>
    </w:p>
    <w:p w14:paraId="39C6A79F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15194CEA" w14:textId="77777777" w:rsidR="00603FDF" w:rsidRPr="00561A1C" w:rsidRDefault="00603FDF" w:rsidP="00603FDF">
      <w:pPr>
        <w:pStyle w:val="Predvolen"/>
        <w:spacing w:before="0" w:line="280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61A1C">
        <w:rPr>
          <w:rFonts w:asciiTheme="majorHAnsi" w:hAnsiTheme="majorHAnsi" w:cstheme="majorHAnsi"/>
          <w:sz w:val="22"/>
          <w:szCs w:val="22"/>
          <w:lang w:val="cs-CZ"/>
        </w:rPr>
        <w:t>„Od roku 2020 jsme úspěšně a důsledně pracovali na implementaci naší strategické agendy smysluplného růstu navzdory extrémně složitým podmínkám, které přinesla pandemie onemocnění Covid-19 a válka na Ukrajině. Proto už nyní myslíme na budoucnost. S naší divizí Adhesive Technologies jsme globálním lídrem, nabízíme inovativní řešení pro řadu průmyslových oblastí a zaměřujeme se na megatrendy jako např. udržitelnost, e-mobilita a konektivita. Sloučení divizí Laundry &amp; Home Care a Beauty Care do divize Consumer Brands je pro nás důležitým strategickým krokem. Vytváříme tak globální multiproduktovou platformu se silnými značkami a s vedoucí pozicí na trhu v rámci jednotlivých kategorií na celém světě s cílem zvýšit v budoucnu růst a posílit maržový profil v segmentech spotřebních produktů. Jsem přesvědčen, že díky dvěma silným pilířům, kterými jsou naše divize Adhesive Technologies a Consumer Brands, dosáhneme ambiciózních cílů a budeme dále důrazně pokračovat v implementaci agendy smysluplného růstu,“ řekl Carsten Knobel, prezident společnosti Henkel.</w:t>
      </w:r>
    </w:p>
    <w:p w14:paraId="06A871CC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</w:p>
    <w:p w14:paraId="072248D9" w14:textId="77777777" w:rsidR="00603FDF" w:rsidRPr="00561A1C" w:rsidRDefault="00603FDF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</w:p>
    <w:p w14:paraId="495166FA" w14:textId="77777777" w:rsidR="00603FDF" w:rsidRPr="00561A1C" w:rsidRDefault="00603FDF" w:rsidP="00603FDF">
      <w:pPr>
        <w:pStyle w:val="Predvolen"/>
        <w:spacing w:before="0" w:after="160"/>
        <w:ind w:right="504"/>
        <w:rPr>
          <w:rFonts w:asciiTheme="majorHAnsi" w:eastAsia="Helvetica" w:hAnsiTheme="majorHAnsi" w:cstheme="majorHAnsi"/>
          <w:spacing w:val="1"/>
          <w:sz w:val="16"/>
          <w:szCs w:val="16"/>
          <w:lang w:val="cs-CZ"/>
        </w:rPr>
      </w:pPr>
      <w:r w:rsidRPr="00561A1C">
        <w:rPr>
          <w:rFonts w:asciiTheme="majorHAnsi" w:hAnsiTheme="majorHAnsi" w:cstheme="majorHAnsi"/>
          <w:spacing w:val="1"/>
          <w:sz w:val="16"/>
          <w:szCs w:val="16"/>
          <w:lang w:val="cs-CZ"/>
        </w:rPr>
        <w:t>Tento dokument obsahuje stanoviska týkající se budoucího obchodního vývoje, finančních výsledků a dalších událostí nebo skutečností relevantních pro společnost Henkel z pohledu budoucího rozvoje. Stanoviska týkající se budoucího vývoje charakterizuje použití takových slovních zvratů jako „očekávat“, „zamýšlet“, „plánovat“, „předpokládat“, „domnívat se“, „odhadovat“ a podobných výrazů.</w:t>
      </w:r>
      <w:r w:rsidRPr="00561A1C">
        <w:rPr>
          <w:rFonts w:asciiTheme="majorHAnsi" w:hAnsiTheme="majorHAnsi" w:cstheme="majorHAnsi"/>
          <w:spacing w:val="-1"/>
          <w:sz w:val="16"/>
          <w:szCs w:val="16"/>
          <w:lang w:val="cs-CZ"/>
        </w:rPr>
        <w:t xml:space="preserve"> Taková stanoviska se opírají o aktuální odhady a předpoklady vypracované managementem společnosti Henkel AG &amp; Co. KGaA.</w:t>
      </w:r>
      <w:r w:rsidRPr="00561A1C">
        <w:rPr>
          <w:rFonts w:asciiTheme="majorHAnsi" w:hAnsiTheme="majorHAnsi" w:cstheme="majorHAnsi"/>
          <w:spacing w:val="2"/>
          <w:sz w:val="16"/>
          <w:szCs w:val="16"/>
          <w:lang w:val="cs-CZ"/>
        </w:rPr>
        <w:t xml:space="preserve">  Tato stanoviska nelze chápat jako zaručující jakýmkoli způsobem, že dané predikce jsou přesné. Budoucí výkonnost i reálně dosažené výsledky společnosti Henkel AG &amp; Co. KGaA a jejích sesterských společností závisí na celé řadě rizikových faktorů a nejistot, a proto se mohou podstatně odklánět od výhledových stanovisek (jak negativní, tak pozitivní).</w:t>
      </w:r>
      <w:r w:rsidRPr="00561A1C">
        <w:rPr>
          <w:rFonts w:asciiTheme="majorHAnsi" w:hAnsiTheme="majorHAnsi" w:cstheme="majorHAnsi"/>
          <w:spacing w:val="1"/>
          <w:sz w:val="16"/>
          <w:szCs w:val="16"/>
          <w:lang w:val="cs-CZ"/>
        </w:rPr>
        <w:t xml:space="preserve"> Na mnohé z nich společnost Henkel nemá přímý dosah a předem je nelze přesně odhadnout, jako například, jaké bude ekonomické prostředí v budoucnosti a jaké budou kroky konkurentů a jiných subjektů působících na trhu.</w:t>
      </w:r>
      <w:r w:rsidRPr="00561A1C">
        <w:rPr>
          <w:rFonts w:asciiTheme="majorHAnsi" w:hAnsiTheme="majorHAnsi" w:cstheme="majorHAnsi"/>
          <w:spacing w:val="-1"/>
          <w:sz w:val="16"/>
          <w:szCs w:val="16"/>
          <w:lang w:val="cs-CZ"/>
        </w:rPr>
        <w:t xml:space="preserve"> Společnost Henkel nemá v úmyslu a ani nepřijme kroky k aktualizaci těchto stanovisek.</w:t>
      </w:r>
    </w:p>
    <w:p w14:paraId="52E85CDC" w14:textId="77777777" w:rsidR="00603FDF" w:rsidRPr="00561A1C" w:rsidRDefault="00603FDF" w:rsidP="00603FDF">
      <w:pPr>
        <w:pStyle w:val="Predvolen"/>
        <w:spacing w:before="0" w:after="160"/>
        <w:ind w:right="504"/>
        <w:rPr>
          <w:rFonts w:asciiTheme="majorHAnsi" w:eastAsia="Helvetica" w:hAnsiTheme="majorHAnsi" w:cstheme="majorHAnsi"/>
          <w:spacing w:val="-2"/>
          <w:sz w:val="16"/>
          <w:szCs w:val="16"/>
          <w:lang w:val="cs-CZ"/>
        </w:rPr>
      </w:pPr>
      <w:r w:rsidRPr="00561A1C">
        <w:rPr>
          <w:rFonts w:asciiTheme="majorHAnsi" w:hAnsiTheme="majorHAnsi" w:cstheme="majorHAnsi"/>
          <w:spacing w:val="-2"/>
          <w:sz w:val="16"/>
          <w:szCs w:val="16"/>
          <w:lang w:val="cs-CZ"/>
        </w:rPr>
        <w:t xml:space="preserve">Tento dokument obsahuje doplňkové finanční ukazatele, které nejsou jasně definovány v platném rámci účetního výkaznictví, které představují nebo mohou představovat alternativní ukazatele finanční výkonnosti. Tyto doplňující finanční ukazatele by neměly být vykládány zvlášť nebo jako alternativní ukazatele k ukazatelům čistých aktiv a finanční pozice společnosti Henkel nebo k výsledkům podnikání, které jsou v souladu s platným rámcem účetního výkaznictví prezentovány v konsolidované </w:t>
      </w:r>
      <w:r w:rsidRPr="00561A1C">
        <w:rPr>
          <w:rFonts w:asciiTheme="majorHAnsi" w:hAnsiTheme="majorHAnsi" w:cstheme="majorHAnsi"/>
          <w:spacing w:val="-2"/>
          <w:sz w:val="16"/>
          <w:szCs w:val="16"/>
          <w:lang w:val="cs-CZ"/>
        </w:rPr>
        <w:lastRenderedPageBreak/>
        <w:t>účetní závěrce společnosti. Jiné společnosti, které vykazují nebo uvádějí alternativní ukazatele výkonnosti s podobnými názvy, mohou počítat jejich hodnoty odlišně.</w:t>
      </w:r>
    </w:p>
    <w:p w14:paraId="373F4E2C" w14:textId="77777777" w:rsidR="00603FDF" w:rsidRPr="00561A1C" w:rsidRDefault="00603FDF" w:rsidP="00603FDF">
      <w:pPr>
        <w:pStyle w:val="Predvolen"/>
        <w:spacing w:before="0" w:after="160"/>
        <w:ind w:right="504"/>
        <w:rPr>
          <w:rFonts w:asciiTheme="majorHAnsi" w:hAnsiTheme="majorHAnsi" w:cstheme="majorHAnsi"/>
          <w:lang w:val="cs-CZ"/>
        </w:rPr>
      </w:pPr>
      <w:r w:rsidRPr="00561A1C">
        <w:rPr>
          <w:rFonts w:asciiTheme="majorHAnsi" w:hAnsiTheme="majorHAnsi" w:cstheme="majorHAnsi"/>
          <w:spacing w:val="1"/>
          <w:sz w:val="16"/>
          <w:szCs w:val="16"/>
          <w:lang w:val="cs-CZ"/>
        </w:rPr>
        <w:t xml:space="preserve">Tento dokument slouží výlučně k informačním účelům a nepředstavuje investiční radu ani nabídku k prodeji nebo koupi jakýchkoli cenných papírů. </w:t>
      </w:r>
    </w:p>
    <w:p w14:paraId="12A6B731" w14:textId="77777777" w:rsidR="00603FDF" w:rsidRPr="00561A1C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20CE9809" w14:textId="77777777" w:rsidR="00603FDF" w:rsidRPr="00561A1C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30AB64D1" w14:textId="77777777" w:rsidR="00603FDF" w:rsidRPr="00561A1C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3A476DB5" w14:textId="77777777" w:rsidR="00603FDF" w:rsidRPr="00561A1C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6148930A" w14:textId="77777777" w:rsidR="00603FDF" w:rsidRPr="00561A1C" w:rsidRDefault="00603FDF" w:rsidP="00603FDF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  <w:r w:rsidRPr="00561A1C">
        <w:rPr>
          <w:rStyle w:val="iadne"/>
          <w:rFonts w:asciiTheme="majorHAnsi" w:hAnsiTheme="majorHAnsi" w:cstheme="majorHAnsi"/>
          <w:b/>
          <w:bCs/>
          <w:sz w:val="18"/>
          <w:szCs w:val="18"/>
          <w:lang w:val="cs-CZ"/>
        </w:rPr>
        <w:t>O společnosti Henkel</w:t>
      </w:r>
    </w:p>
    <w:p w14:paraId="1490956C" w14:textId="383DE21E" w:rsidR="0000744B" w:rsidRPr="00561A1C" w:rsidRDefault="00603FDF" w:rsidP="00603FDF">
      <w:pPr>
        <w:rPr>
          <w:rStyle w:val="AboutandContactHeadline"/>
          <w:rFonts w:asciiTheme="majorHAnsi" w:hAnsiTheme="majorHAnsi" w:cstheme="majorHAnsi"/>
          <w:lang w:val="cs-CZ"/>
        </w:rPr>
      </w:pPr>
      <w:r w:rsidRPr="00561A1C">
        <w:rPr>
          <w:rStyle w:val="iadne"/>
          <w:rFonts w:asciiTheme="majorHAnsi" w:hAnsiTheme="majorHAnsi" w:cstheme="majorHAnsi"/>
          <w:sz w:val="18"/>
          <w:szCs w:val="18"/>
          <w:lang w:val="cs-CZ"/>
        </w:rPr>
        <w:t>Společnost Henkel působí celosvětově s vyrovnaným a diverzifikovaným portfoliem produktů. Díky silným značkám, inovacím a technologiím zastává Henkel vedoucí postavení na trhu jak ve spotřebitelských, tak v průmyslových odvětvích. V oblasti lepidel je Henkel divize Adhesive Technologies celosvětovým lídrem na trhu v rámci všech průmyslových segmentů. V oblastech Laundry &amp; Home Care a Beauty Care je Henkel na vedoucích pozicích na více trzích a v kategoriích ve světě. Společnost byla založena v roce 1876 a má za sebou více než 140 úspěšných let. V roce 2021 dosáhla obratu ve výši více než 20 miliard eur a upravený provozní zisk přibližně ve výši 2,7 miliard eur. Henkel zaměstnává více než 52 000 lidí na celém světě, kteří dohromady tvoří zanícený a velmi různorodý tým, který spojují silná firemní kultura a společné hodnoty. Jako uznávaný lídr v oblasti udržitelnosti je Henkel na předních příčkách v mnoha mezinárodních indexech a hodnoceních. Prioritní akcie společnosti Henkel jsou kótovány na německém akciovém indexu DAX. Více informací naleznete na stránce www.henkel.com.</w:t>
      </w:r>
    </w:p>
    <w:p w14:paraId="2A4278EA" w14:textId="77777777" w:rsidR="00306C60" w:rsidRPr="00561A1C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561A1C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561A1C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561A1C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561A1C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Zuzana Kaňuchová</w:t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561A1C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561A1C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561A1C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561A1C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1" w:history="1">
        <w:r w:rsidR="00BB1DFA" w:rsidRPr="00561A1C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561A1C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561A1C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72F9" w14:textId="77777777" w:rsidR="007B2FD3" w:rsidRDefault="007B2FD3">
      <w:r>
        <w:separator/>
      </w:r>
    </w:p>
  </w:endnote>
  <w:endnote w:type="continuationSeparator" w:id="0">
    <w:p w14:paraId="32DAAE91" w14:textId="77777777" w:rsidR="007B2FD3" w:rsidRDefault="007B2FD3">
      <w:r>
        <w:continuationSeparator/>
      </w:r>
    </w:p>
  </w:endnote>
  <w:endnote w:type="continuationNotice" w:id="1">
    <w:p w14:paraId="467B6D8B" w14:textId="77777777" w:rsidR="007B2FD3" w:rsidRDefault="007B2F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シック W3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2D86" w14:textId="77777777" w:rsidR="007B2FD3" w:rsidRDefault="007B2FD3">
      <w:r>
        <w:separator/>
      </w:r>
    </w:p>
  </w:footnote>
  <w:footnote w:type="continuationSeparator" w:id="0">
    <w:p w14:paraId="7495799A" w14:textId="77777777" w:rsidR="007B2FD3" w:rsidRDefault="007B2FD3">
      <w:r>
        <w:continuationSeparator/>
      </w:r>
    </w:p>
  </w:footnote>
  <w:footnote w:type="continuationNotice" w:id="1">
    <w:p w14:paraId="7E0A5AC9" w14:textId="77777777" w:rsidR="007B2FD3" w:rsidRDefault="007B2FD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7DC"/>
    <w:multiLevelType w:val="hybridMultilevel"/>
    <w:tmpl w:val="74C053AC"/>
    <w:numStyleLink w:val="Pomlka"/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79F7"/>
    <w:multiLevelType w:val="hybridMultilevel"/>
    <w:tmpl w:val="EE8CF3B2"/>
    <w:numStyleLink w:val="Importovantl1"/>
  </w:abstractNum>
  <w:abstractNum w:abstractNumId="10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17A5"/>
    <w:multiLevelType w:val="hybridMultilevel"/>
    <w:tmpl w:val="74C053AC"/>
    <w:styleLink w:val="Pomlka"/>
    <w:lvl w:ilvl="0" w:tplc="7A020610">
      <w:start w:val="1"/>
      <w:numFmt w:val="bullet"/>
      <w:suff w:val="nothing"/>
      <w:lvlText w:val="♣"/>
      <w:lvlJc w:val="left"/>
      <w:pPr>
        <w:ind w:left="36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D508E04">
      <w:start w:val="1"/>
      <w:numFmt w:val="bullet"/>
      <w:suff w:val="nothing"/>
      <w:lvlText w:val="♣"/>
      <w:lvlJc w:val="left"/>
      <w:pPr>
        <w:ind w:left="54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3DA8068">
      <w:start w:val="1"/>
      <w:numFmt w:val="bullet"/>
      <w:suff w:val="nothing"/>
      <w:lvlText w:val="♣"/>
      <w:lvlJc w:val="left"/>
      <w:pPr>
        <w:ind w:left="72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3A08836">
      <w:start w:val="1"/>
      <w:numFmt w:val="bullet"/>
      <w:suff w:val="nothing"/>
      <w:lvlText w:val="♣"/>
      <w:lvlJc w:val="left"/>
      <w:pPr>
        <w:ind w:left="90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964609C">
      <w:start w:val="1"/>
      <w:numFmt w:val="bullet"/>
      <w:suff w:val="nothing"/>
      <w:lvlText w:val="♣"/>
      <w:lvlJc w:val="left"/>
      <w:pPr>
        <w:ind w:left="108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0D2274E">
      <w:start w:val="1"/>
      <w:numFmt w:val="bullet"/>
      <w:suff w:val="nothing"/>
      <w:lvlText w:val="♣"/>
      <w:lvlJc w:val="left"/>
      <w:pPr>
        <w:ind w:left="126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F420A06">
      <w:start w:val="1"/>
      <w:numFmt w:val="bullet"/>
      <w:suff w:val="nothing"/>
      <w:lvlText w:val="♣"/>
      <w:lvlJc w:val="left"/>
      <w:pPr>
        <w:ind w:left="144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3468518">
      <w:start w:val="1"/>
      <w:numFmt w:val="bullet"/>
      <w:suff w:val="nothing"/>
      <w:lvlText w:val="♣"/>
      <w:lvlJc w:val="left"/>
      <w:pPr>
        <w:ind w:left="162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71DEDF2E">
      <w:start w:val="1"/>
      <w:numFmt w:val="bullet"/>
      <w:suff w:val="nothing"/>
      <w:lvlText w:val="♣"/>
      <w:lvlJc w:val="left"/>
      <w:pPr>
        <w:ind w:left="180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2" w15:restartNumberingAfterBreak="0">
    <w:nsid w:val="66E7091B"/>
    <w:multiLevelType w:val="hybridMultilevel"/>
    <w:tmpl w:val="EE8CF3B2"/>
    <w:numStyleLink w:val="Importovantl1"/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3"/>
  </w:num>
  <w:num w:numId="4" w16cid:durableId="595141210">
    <w:abstractNumId w:val="7"/>
  </w:num>
  <w:num w:numId="5" w16cid:durableId="1356226179">
    <w:abstractNumId w:val="5"/>
  </w:num>
  <w:num w:numId="6" w16cid:durableId="12727571">
    <w:abstractNumId w:val="8"/>
  </w:num>
  <w:num w:numId="7" w16cid:durableId="2015112908">
    <w:abstractNumId w:val="14"/>
  </w:num>
  <w:num w:numId="8" w16cid:durableId="1447698084">
    <w:abstractNumId w:val="6"/>
  </w:num>
  <w:num w:numId="9" w16cid:durableId="2083940114">
    <w:abstractNumId w:val="3"/>
  </w:num>
  <w:num w:numId="10" w16cid:durableId="1029531628">
    <w:abstractNumId w:val="4"/>
  </w:num>
  <w:num w:numId="11" w16cid:durableId="390348366">
    <w:abstractNumId w:val="9"/>
  </w:num>
  <w:num w:numId="12" w16cid:durableId="1178038878">
    <w:abstractNumId w:val="12"/>
  </w:num>
  <w:num w:numId="13" w16cid:durableId="1842891905">
    <w:abstractNumId w:val="12"/>
    <w:lvlOverride w:ilvl="0">
      <w:lvl w:ilvl="0" w:tplc="61A2EFF2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8BC7BA2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924AF4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4A403C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B097D6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60D636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D2EDBC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2338C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DEC664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10"/>
  </w:num>
  <w:num w:numId="15" w16cid:durableId="1067875834">
    <w:abstractNumId w:val="11"/>
  </w:num>
  <w:num w:numId="16" w16cid:durableId="97101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1527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61A1C"/>
    <w:rsid w:val="00571A2F"/>
    <w:rsid w:val="0057611C"/>
    <w:rsid w:val="005833F0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3FDF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  <w:style w:type="numbering" w:customStyle="1" w:styleId="Pomlka">
    <w:name w:val="Pomlčka"/>
    <w:rsid w:val="00603FD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46</TotalTime>
  <Pages>4</Pages>
  <Words>1276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9063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75</cp:revision>
  <cp:lastPrinted>2016-11-16T01:11:00Z</cp:lastPrinted>
  <dcterms:created xsi:type="dcterms:W3CDTF">2020-07-16T10:22:00Z</dcterms:created>
  <dcterms:modified xsi:type="dcterms:W3CDTF">2022-10-05T14:40:00Z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