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F0A4" w14:textId="5672E360" w:rsidR="008E3965" w:rsidRPr="008E1A10" w:rsidRDefault="008E1A10" w:rsidP="008E3965">
      <w:pPr>
        <w:pStyle w:val="MonthDayYear"/>
        <w:tabs>
          <w:tab w:val="left" w:pos="7093"/>
        </w:tabs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>3</w:t>
      </w:r>
      <w:r w:rsidR="008E3965" w:rsidRPr="008E1A10">
        <w:rPr>
          <w:rFonts w:asciiTheme="majorHAnsi" w:hAnsiTheme="majorHAnsi" w:cstheme="majorHAnsi"/>
          <w:lang w:val="cs-CZ"/>
        </w:rPr>
        <w:t xml:space="preserve">1. </w:t>
      </w:r>
      <w:r>
        <w:rPr>
          <w:rFonts w:asciiTheme="majorHAnsi" w:hAnsiTheme="majorHAnsi" w:cstheme="majorHAnsi"/>
          <w:lang w:val="cs-CZ"/>
        </w:rPr>
        <w:t xml:space="preserve">říjen </w:t>
      </w:r>
      <w:r w:rsidR="008E3965" w:rsidRPr="008E1A10">
        <w:rPr>
          <w:rFonts w:asciiTheme="majorHAnsi" w:hAnsiTheme="majorHAnsi" w:cstheme="majorHAnsi"/>
          <w:lang w:val="cs-CZ"/>
        </w:rPr>
        <w:t>2022</w:t>
      </w:r>
    </w:p>
    <w:p w14:paraId="3398B4C2" w14:textId="77777777" w:rsidR="00586243" w:rsidRPr="008E1A10" w:rsidRDefault="00586243" w:rsidP="001347C8">
      <w:pPr>
        <w:pStyle w:val="Predvolen"/>
        <w:spacing w:before="0" w:line="276" w:lineRule="auto"/>
        <w:ind w:right="553"/>
        <w:rPr>
          <w:rFonts w:asciiTheme="majorHAnsi" w:hAnsiTheme="majorHAnsi" w:cstheme="majorHAnsi"/>
          <w:b/>
          <w:bCs/>
          <w:sz w:val="32"/>
          <w:szCs w:val="32"/>
          <w:lang w:val="cs-CZ"/>
        </w:rPr>
      </w:pPr>
    </w:p>
    <w:p w14:paraId="07D8DAEF" w14:textId="77777777" w:rsidR="008E1A10" w:rsidRPr="008E1A10" w:rsidRDefault="008E1A10" w:rsidP="008E1A10">
      <w:pPr>
        <w:pStyle w:val="Predvolen"/>
        <w:spacing w:before="0" w:line="300" w:lineRule="atLeast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r w:rsidRPr="008E1A10">
        <w:rPr>
          <w:rFonts w:asciiTheme="majorHAnsi" w:hAnsiTheme="majorHAnsi" w:cstheme="majorHAnsi"/>
          <w:sz w:val="22"/>
          <w:szCs w:val="22"/>
          <w:lang w:val="cs-CZ"/>
        </w:rPr>
        <w:t xml:space="preserve">Společnost </w:t>
      </w:r>
      <w:proofErr w:type="spellStart"/>
      <w:r w:rsidRPr="008E1A10">
        <w:rPr>
          <w:rFonts w:asciiTheme="majorHAnsi" w:hAnsiTheme="majorHAnsi" w:cstheme="majorHAnsi"/>
          <w:sz w:val="22"/>
          <w:szCs w:val="22"/>
          <w:lang w:val="cs-CZ"/>
        </w:rPr>
        <w:t>Henkel</w:t>
      </w:r>
      <w:proofErr w:type="spellEnd"/>
      <w:r w:rsidRPr="008E1A10">
        <w:rPr>
          <w:rFonts w:asciiTheme="majorHAnsi" w:hAnsiTheme="majorHAnsi" w:cstheme="majorHAnsi"/>
          <w:sz w:val="22"/>
          <w:szCs w:val="22"/>
          <w:lang w:val="cs-CZ"/>
        </w:rPr>
        <w:t xml:space="preserve"> získala ocenění </w:t>
      </w:r>
      <w:proofErr w:type="spellStart"/>
      <w:r w:rsidRPr="008E1A10">
        <w:rPr>
          <w:rFonts w:asciiTheme="majorHAnsi" w:hAnsiTheme="majorHAnsi" w:cstheme="majorHAnsi"/>
          <w:sz w:val="22"/>
          <w:szCs w:val="22"/>
          <w:lang w:val="cs-CZ"/>
        </w:rPr>
        <w:t>Suppliers</w:t>
      </w:r>
      <w:proofErr w:type="spellEnd"/>
      <w:r w:rsidRPr="008E1A10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proofErr w:type="spellStart"/>
      <w:r w:rsidRPr="008E1A10">
        <w:rPr>
          <w:rFonts w:asciiTheme="majorHAnsi" w:hAnsiTheme="majorHAnsi" w:cstheme="majorHAnsi"/>
          <w:sz w:val="22"/>
          <w:szCs w:val="22"/>
          <w:lang w:val="cs-CZ"/>
        </w:rPr>
        <w:t>Partnership</w:t>
      </w:r>
      <w:proofErr w:type="spellEnd"/>
      <w:r w:rsidRPr="008E1A10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proofErr w:type="spellStart"/>
      <w:r w:rsidRPr="008E1A10">
        <w:rPr>
          <w:rFonts w:asciiTheme="majorHAnsi" w:hAnsiTheme="majorHAnsi" w:cstheme="majorHAnsi"/>
          <w:sz w:val="22"/>
          <w:szCs w:val="22"/>
          <w:lang w:val="cs-CZ"/>
        </w:rPr>
        <w:t>Award</w:t>
      </w:r>
      <w:proofErr w:type="spellEnd"/>
    </w:p>
    <w:p w14:paraId="2553B64D" w14:textId="77777777" w:rsidR="008E1A10" w:rsidRPr="008E1A10" w:rsidRDefault="008E1A10" w:rsidP="008E1A10">
      <w:pPr>
        <w:pStyle w:val="Predvolen"/>
        <w:spacing w:before="0" w:line="300" w:lineRule="atLeast"/>
        <w:ind w:right="553"/>
        <w:jc w:val="both"/>
        <w:rPr>
          <w:rFonts w:asciiTheme="majorHAnsi" w:eastAsia="Helvetica" w:hAnsiTheme="majorHAnsi" w:cstheme="majorHAnsi"/>
          <w:b/>
          <w:bCs/>
          <w:sz w:val="32"/>
          <w:szCs w:val="32"/>
          <w:lang w:val="cs-CZ"/>
        </w:rPr>
      </w:pPr>
    </w:p>
    <w:p w14:paraId="178579A6" w14:textId="77777777" w:rsidR="008E1A10" w:rsidRPr="008E1A10" w:rsidRDefault="008E1A10" w:rsidP="008E1A10">
      <w:pPr>
        <w:pStyle w:val="Predvolen"/>
        <w:spacing w:before="120"/>
        <w:ind w:right="553"/>
        <w:jc w:val="both"/>
        <w:rPr>
          <w:rFonts w:asciiTheme="majorHAnsi" w:eastAsia="Helvetica" w:hAnsiTheme="majorHAnsi" w:cstheme="majorHAnsi"/>
          <w:b/>
          <w:bCs/>
          <w:sz w:val="32"/>
          <w:szCs w:val="32"/>
          <w:lang w:val="cs-CZ"/>
        </w:rPr>
      </w:pPr>
      <w:r w:rsidRPr="008E1A10">
        <w:rPr>
          <w:rFonts w:asciiTheme="majorHAnsi" w:hAnsiTheme="majorHAnsi" w:cstheme="majorHAnsi"/>
          <w:b/>
          <w:bCs/>
          <w:sz w:val="32"/>
          <w:szCs w:val="32"/>
          <w:lang w:val="cs-CZ"/>
        </w:rPr>
        <w:t xml:space="preserve">Technologie </w:t>
      </w:r>
      <w:proofErr w:type="spellStart"/>
      <w:r w:rsidRPr="008E1A10">
        <w:rPr>
          <w:rFonts w:asciiTheme="majorHAnsi" w:hAnsiTheme="majorHAnsi" w:cstheme="majorHAnsi"/>
          <w:b/>
          <w:bCs/>
          <w:sz w:val="32"/>
          <w:szCs w:val="32"/>
          <w:lang w:val="cs-CZ"/>
        </w:rPr>
        <w:t>Pallumina</w:t>
      </w:r>
      <w:proofErr w:type="spellEnd"/>
      <w:r w:rsidRPr="008E1A10">
        <w:rPr>
          <w:rFonts w:asciiTheme="majorHAnsi" w:hAnsiTheme="majorHAnsi" w:cstheme="majorHAnsi"/>
          <w:b/>
          <w:bCs/>
          <w:sz w:val="32"/>
          <w:szCs w:val="32"/>
          <w:lang w:val="cs-CZ"/>
        </w:rPr>
        <w:t xml:space="preserve"> oceněna za přínos k udržitelnosti v automobilové výrobě</w:t>
      </w:r>
    </w:p>
    <w:p w14:paraId="76988854" w14:textId="77777777" w:rsidR="008E1A10" w:rsidRPr="008E1A10" w:rsidRDefault="008E1A10" w:rsidP="008E1A10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b/>
          <w:bCs/>
          <w:sz w:val="32"/>
          <w:szCs w:val="32"/>
          <w:lang w:val="cs-CZ"/>
        </w:rPr>
      </w:pPr>
    </w:p>
    <w:p w14:paraId="54B2F31A" w14:textId="5B25C731" w:rsidR="008E1A10" w:rsidRPr="008E1A10" w:rsidRDefault="008E1A10" w:rsidP="008E1A10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r w:rsidRPr="008E1A10">
        <w:rPr>
          <w:rFonts w:asciiTheme="majorHAnsi" w:hAnsiTheme="majorHAnsi" w:cstheme="majorHAnsi"/>
          <w:sz w:val="22"/>
          <w:szCs w:val="22"/>
          <w:lang w:val="cs-CZ"/>
        </w:rPr>
        <w:t xml:space="preserve">Düsseldorf – Více než 4 miliony automobilů jsou ročně ošetřeny procesy předúpravy kovů z portfolia společnosti </w:t>
      </w:r>
      <w:proofErr w:type="spellStart"/>
      <w:r w:rsidRPr="008E1A10">
        <w:rPr>
          <w:rFonts w:asciiTheme="majorHAnsi" w:hAnsiTheme="majorHAnsi" w:cstheme="majorHAnsi"/>
          <w:sz w:val="22"/>
          <w:szCs w:val="22"/>
          <w:lang w:val="cs-CZ"/>
        </w:rPr>
        <w:t>Henkel</w:t>
      </w:r>
      <w:proofErr w:type="spellEnd"/>
      <w:r w:rsidRPr="008E1A10">
        <w:rPr>
          <w:rFonts w:asciiTheme="majorHAnsi" w:hAnsiTheme="majorHAnsi" w:cstheme="majorHAnsi"/>
          <w:sz w:val="22"/>
          <w:szCs w:val="22"/>
          <w:lang w:val="cs-CZ"/>
        </w:rPr>
        <w:t xml:space="preserve">. Společnost </w:t>
      </w:r>
      <w:proofErr w:type="spellStart"/>
      <w:r w:rsidRPr="008E1A10">
        <w:rPr>
          <w:rFonts w:asciiTheme="majorHAnsi" w:hAnsiTheme="majorHAnsi" w:cstheme="majorHAnsi"/>
          <w:sz w:val="22"/>
          <w:szCs w:val="22"/>
          <w:lang w:val="cs-CZ"/>
        </w:rPr>
        <w:t>Henkel</w:t>
      </w:r>
      <w:proofErr w:type="spellEnd"/>
      <w:r w:rsidRPr="008E1A10">
        <w:rPr>
          <w:rFonts w:asciiTheme="majorHAnsi" w:hAnsiTheme="majorHAnsi" w:cstheme="majorHAnsi"/>
          <w:sz w:val="22"/>
          <w:szCs w:val="22"/>
          <w:lang w:val="cs-CZ"/>
        </w:rPr>
        <w:t xml:space="preserve"> získala ocenění od organizace</w:t>
      </w:r>
      <w:r w:rsidR="00617E16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hyperlink r:id="rId11" w:history="1">
        <w:proofErr w:type="spellStart"/>
        <w:r w:rsidR="00617E16" w:rsidRPr="00617E16">
          <w:rPr>
            <w:rStyle w:val="Hypertextovprepojenie"/>
            <w:rFonts w:asciiTheme="majorHAnsi" w:hAnsiTheme="majorHAnsi" w:cstheme="majorHAnsi"/>
            <w:sz w:val="22"/>
            <w:szCs w:val="22"/>
            <w:lang w:val="cs-CZ"/>
          </w:rPr>
          <w:t>Suppliers</w:t>
        </w:r>
        <w:proofErr w:type="spellEnd"/>
        <w:r w:rsidR="00617E16" w:rsidRPr="00617E16">
          <w:rPr>
            <w:rStyle w:val="Hypertextovprepojenie"/>
            <w:rFonts w:asciiTheme="majorHAnsi" w:hAnsiTheme="majorHAnsi" w:cstheme="majorHAnsi"/>
            <w:sz w:val="22"/>
            <w:szCs w:val="22"/>
            <w:lang w:val="cs-CZ"/>
          </w:rPr>
          <w:t xml:space="preserve"> </w:t>
        </w:r>
        <w:proofErr w:type="spellStart"/>
        <w:r w:rsidR="00617E16" w:rsidRPr="00617E16">
          <w:rPr>
            <w:rStyle w:val="Hypertextovprepojenie"/>
            <w:rFonts w:asciiTheme="majorHAnsi" w:hAnsiTheme="majorHAnsi" w:cstheme="majorHAnsi"/>
            <w:sz w:val="22"/>
            <w:szCs w:val="22"/>
            <w:lang w:val="cs-CZ"/>
          </w:rPr>
          <w:t>Partnership</w:t>
        </w:r>
        <w:proofErr w:type="spellEnd"/>
        <w:r w:rsidR="00617E16" w:rsidRPr="00617E16">
          <w:rPr>
            <w:rStyle w:val="Hypertextovprepojenie"/>
            <w:rFonts w:asciiTheme="majorHAnsi" w:hAnsiTheme="majorHAnsi" w:cstheme="majorHAnsi"/>
            <w:sz w:val="22"/>
            <w:szCs w:val="22"/>
            <w:lang w:val="cs-CZ"/>
          </w:rPr>
          <w:t xml:space="preserve"> </w:t>
        </w:r>
        <w:proofErr w:type="spellStart"/>
        <w:r w:rsidR="00617E16" w:rsidRPr="00617E16">
          <w:rPr>
            <w:rStyle w:val="Hypertextovprepojenie"/>
            <w:rFonts w:asciiTheme="majorHAnsi" w:hAnsiTheme="majorHAnsi" w:cstheme="majorHAnsi"/>
            <w:sz w:val="22"/>
            <w:szCs w:val="22"/>
            <w:lang w:val="cs-CZ"/>
          </w:rPr>
          <w:t>for</w:t>
        </w:r>
        <w:proofErr w:type="spellEnd"/>
        <w:r w:rsidR="00617E16" w:rsidRPr="00617E16">
          <w:rPr>
            <w:rStyle w:val="Hypertextovprepojenie"/>
            <w:rFonts w:asciiTheme="majorHAnsi" w:hAnsiTheme="majorHAnsi" w:cstheme="majorHAnsi"/>
            <w:sz w:val="22"/>
            <w:szCs w:val="22"/>
            <w:lang w:val="cs-CZ"/>
          </w:rPr>
          <w:t xml:space="preserve"> </w:t>
        </w:r>
        <w:proofErr w:type="spellStart"/>
        <w:r w:rsidR="00617E16" w:rsidRPr="00617E16">
          <w:rPr>
            <w:rStyle w:val="Hypertextovprepojenie"/>
            <w:rFonts w:asciiTheme="majorHAnsi" w:hAnsiTheme="majorHAnsi" w:cstheme="majorHAnsi"/>
            <w:sz w:val="22"/>
            <w:szCs w:val="22"/>
            <w:lang w:val="cs-CZ"/>
          </w:rPr>
          <w:t>the</w:t>
        </w:r>
        <w:proofErr w:type="spellEnd"/>
        <w:r w:rsidR="00617E16" w:rsidRPr="00617E16">
          <w:rPr>
            <w:rStyle w:val="Hypertextovprepojenie"/>
            <w:rFonts w:asciiTheme="majorHAnsi" w:hAnsiTheme="majorHAnsi" w:cstheme="majorHAnsi"/>
            <w:sz w:val="22"/>
            <w:szCs w:val="22"/>
            <w:lang w:val="cs-CZ"/>
          </w:rPr>
          <w:t xml:space="preserve"> Environment</w:t>
        </w:r>
      </w:hyperlink>
      <w:r w:rsidRPr="008E1A10">
        <w:rPr>
          <w:rFonts w:asciiTheme="majorHAnsi" w:hAnsiTheme="majorHAnsi" w:cstheme="majorHAnsi"/>
          <w:sz w:val="22"/>
          <w:szCs w:val="22"/>
          <w:lang w:val="cs-CZ"/>
        </w:rPr>
        <w:t xml:space="preserve"> za mimořádnou inovaci pokročilého výrobního procesu s výrazným pozitivním ekologickým a ekonomickým přínosem při použití technologie </w:t>
      </w:r>
      <w:proofErr w:type="spellStart"/>
      <w:r w:rsidRPr="008E1A10">
        <w:rPr>
          <w:rFonts w:asciiTheme="majorHAnsi" w:hAnsiTheme="majorHAnsi" w:cstheme="majorHAnsi"/>
          <w:sz w:val="22"/>
          <w:szCs w:val="22"/>
          <w:lang w:val="cs-CZ"/>
        </w:rPr>
        <w:t>Pallumina</w:t>
      </w:r>
      <w:proofErr w:type="spellEnd"/>
      <w:r w:rsidRPr="008E1A10">
        <w:rPr>
          <w:rFonts w:asciiTheme="majorHAnsi" w:hAnsiTheme="majorHAnsi" w:cstheme="majorHAnsi"/>
          <w:sz w:val="22"/>
          <w:szCs w:val="22"/>
          <w:lang w:val="cs-CZ"/>
        </w:rPr>
        <w:t xml:space="preserve"> na modelech </w:t>
      </w:r>
      <w:proofErr w:type="spellStart"/>
      <w:r w:rsidRPr="008E1A10">
        <w:rPr>
          <w:rFonts w:asciiTheme="majorHAnsi" w:hAnsiTheme="majorHAnsi" w:cstheme="majorHAnsi"/>
          <w:sz w:val="22"/>
          <w:szCs w:val="22"/>
          <w:lang w:val="cs-CZ"/>
        </w:rPr>
        <w:t>Tacoma</w:t>
      </w:r>
      <w:proofErr w:type="spellEnd"/>
      <w:r w:rsidRPr="008E1A10">
        <w:rPr>
          <w:rFonts w:asciiTheme="majorHAnsi" w:hAnsiTheme="majorHAnsi" w:cstheme="majorHAnsi"/>
          <w:sz w:val="22"/>
          <w:szCs w:val="22"/>
          <w:lang w:val="cs-CZ"/>
        </w:rPr>
        <w:t xml:space="preserve"> a Tundra společnosti Toyota v roce 2021.</w:t>
      </w:r>
    </w:p>
    <w:p w14:paraId="70251E8F" w14:textId="77777777" w:rsidR="008E1A10" w:rsidRPr="008E1A10" w:rsidRDefault="008E1A10" w:rsidP="008E1A10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</w:p>
    <w:p w14:paraId="5B12464A" w14:textId="77777777" w:rsidR="008E1A10" w:rsidRPr="008E1A10" w:rsidRDefault="008E1A10" w:rsidP="008E1A10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r w:rsidRPr="008E1A10">
        <w:rPr>
          <w:rFonts w:asciiTheme="majorHAnsi" w:hAnsiTheme="majorHAnsi" w:cstheme="majorHAnsi"/>
          <w:sz w:val="22"/>
          <w:szCs w:val="22"/>
          <w:lang w:val="cs-CZ"/>
        </w:rPr>
        <w:t xml:space="preserve">Předúprava kovů je základním procesem výroby vozidel, který zvyšuje přilnavost barvy na karoserii a zároveň ji chrání před korozí. Použitím inovativního procesu předúpravy kovů od společnosti </w:t>
      </w:r>
      <w:proofErr w:type="spellStart"/>
      <w:r w:rsidRPr="008E1A10">
        <w:rPr>
          <w:rFonts w:asciiTheme="majorHAnsi" w:hAnsiTheme="majorHAnsi" w:cstheme="majorHAnsi"/>
          <w:sz w:val="22"/>
          <w:szCs w:val="22"/>
          <w:lang w:val="cs-CZ"/>
        </w:rPr>
        <w:t>Henkel</w:t>
      </w:r>
      <w:proofErr w:type="spellEnd"/>
      <w:r w:rsidRPr="008E1A10">
        <w:rPr>
          <w:rFonts w:asciiTheme="majorHAnsi" w:hAnsiTheme="majorHAnsi" w:cstheme="majorHAnsi"/>
          <w:sz w:val="22"/>
          <w:szCs w:val="22"/>
          <w:lang w:val="cs-CZ"/>
        </w:rPr>
        <w:t xml:space="preserve"> lze snížit počet kroků celého procesu předúpravy ze standardních sedmi na čtyři. Mezi jeho hlavní ekologické přínosy patří eliminace fosfátů těžkých kovů, jako jsou fosfáty zinku, niklu a manganu, snížení tvorby kalu až o 90 % a výrazné snížení spotřeby vody. </w:t>
      </w:r>
    </w:p>
    <w:p w14:paraId="671F65EA" w14:textId="77777777" w:rsidR="008E1A10" w:rsidRPr="008E1A10" w:rsidRDefault="008E1A10" w:rsidP="008E1A10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</w:p>
    <w:p w14:paraId="3A95A477" w14:textId="77777777" w:rsidR="008E1A10" w:rsidRPr="008E1A10" w:rsidRDefault="008E1A10" w:rsidP="008E1A10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r w:rsidRPr="008E1A10">
        <w:rPr>
          <w:rFonts w:asciiTheme="majorHAnsi" w:hAnsiTheme="majorHAnsi" w:cstheme="majorHAnsi"/>
          <w:sz w:val="22"/>
          <w:szCs w:val="22"/>
          <w:lang w:val="cs-CZ"/>
        </w:rPr>
        <w:t xml:space="preserve">Inovativní technologie od společnosti </w:t>
      </w:r>
      <w:proofErr w:type="spellStart"/>
      <w:r w:rsidRPr="008E1A10">
        <w:rPr>
          <w:rFonts w:asciiTheme="majorHAnsi" w:hAnsiTheme="majorHAnsi" w:cstheme="majorHAnsi"/>
          <w:sz w:val="22"/>
          <w:szCs w:val="22"/>
          <w:lang w:val="cs-CZ"/>
        </w:rPr>
        <w:t>Henkel</w:t>
      </w:r>
      <w:proofErr w:type="spellEnd"/>
      <w:r w:rsidRPr="008E1A10">
        <w:rPr>
          <w:rFonts w:asciiTheme="majorHAnsi" w:hAnsiTheme="majorHAnsi" w:cstheme="majorHAnsi"/>
          <w:sz w:val="22"/>
          <w:szCs w:val="22"/>
          <w:lang w:val="cs-CZ"/>
        </w:rPr>
        <w:t xml:space="preserve"> využívá konverzní nátěr s využitím oxidů kovů místo fosfátového konverzního nátěru, čímž výrazně redukuje tvorbu kalu, neboť snižuje potřebu leptání kovů a použití fluoridových aditiv. Tím se snižuje potřeba běžného čištění nádrží a každoroční chemické čištění se eliminuje úplně, což vede ke snížení nákladů na likvidaci kalu i nákladů na pracovní sílu. </w:t>
      </w:r>
    </w:p>
    <w:p w14:paraId="19D336A2" w14:textId="77777777" w:rsidR="008E1A10" w:rsidRPr="008E1A10" w:rsidRDefault="008E1A10" w:rsidP="008E1A10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</w:p>
    <w:p w14:paraId="56E3B0AE" w14:textId="77777777" w:rsidR="008E1A10" w:rsidRPr="000A4B01" w:rsidRDefault="008E1A10" w:rsidP="008E1A10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i/>
          <w:iCs/>
          <w:sz w:val="22"/>
          <w:szCs w:val="22"/>
          <w:lang w:val="cs-CZ"/>
        </w:rPr>
      </w:pPr>
      <w:r w:rsidRPr="000A4B01">
        <w:rPr>
          <w:rFonts w:asciiTheme="majorHAnsi" w:hAnsiTheme="majorHAnsi" w:cstheme="majorHAnsi"/>
          <w:i/>
          <w:iCs/>
          <w:sz w:val="22"/>
          <w:szCs w:val="22"/>
          <w:lang w:val="cs-CZ"/>
        </w:rPr>
        <w:t>„Automobilový průmysl v současnosti hledá řešení, která posílí udržitelnost a zároveň sníží náklady, zjednoduší procesy a zajistí vysokou výkonnost,“</w:t>
      </w:r>
      <w:r w:rsidRPr="008E1A10">
        <w:rPr>
          <w:rFonts w:asciiTheme="majorHAnsi" w:hAnsiTheme="majorHAnsi" w:cstheme="majorHAnsi"/>
          <w:sz w:val="22"/>
          <w:szCs w:val="22"/>
          <w:lang w:val="cs-CZ"/>
        </w:rPr>
        <w:t xml:space="preserve"> říká </w:t>
      </w:r>
      <w:proofErr w:type="spellStart"/>
      <w:r w:rsidRPr="008E1A10">
        <w:rPr>
          <w:rFonts w:asciiTheme="majorHAnsi" w:hAnsiTheme="majorHAnsi" w:cstheme="majorHAnsi"/>
          <w:sz w:val="22"/>
          <w:szCs w:val="22"/>
          <w:lang w:val="cs-CZ"/>
        </w:rPr>
        <w:t>Cris</w:t>
      </w:r>
      <w:proofErr w:type="spellEnd"/>
      <w:r w:rsidRPr="008E1A10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proofErr w:type="spellStart"/>
      <w:r w:rsidRPr="008E1A10">
        <w:rPr>
          <w:rFonts w:asciiTheme="majorHAnsi" w:hAnsiTheme="majorHAnsi" w:cstheme="majorHAnsi"/>
          <w:sz w:val="22"/>
          <w:szCs w:val="22"/>
          <w:lang w:val="cs-CZ"/>
        </w:rPr>
        <w:t>Naida</w:t>
      </w:r>
      <w:proofErr w:type="spellEnd"/>
      <w:r w:rsidRPr="008E1A10">
        <w:rPr>
          <w:rFonts w:asciiTheme="majorHAnsi" w:hAnsiTheme="majorHAnsi" w:cstheme="majorHAnsi"/>
          <w:sz w:val="22"/>
          <w:szCs w:val="22"/>
          <w:lang w:val="cs-CZ"/>
        </w:rPr>
        <w:t xml:space="preserve">, viceprezident divize </w:t>
      </w:r>
      <w:proofErr w:type="spellStart"/>
      <w:r w:rsidRPr="008E1A10">
        <w:rPr>
          <w:rFonts w:asciiTheme="majorHAnsi" w:hAnsiTheme="majorHAnsi" w:cstheme="majorHAnsi"/>
          <w:sz w:val="22"/>
          <w:szCs w:val="22"/>
          <w:lang w:val="cs-CZ"/>
        </w:rPr>
        <w:t>Automotive</w:t>
      </w:r>
      <w:proofErr w:type="spellEnd"/>
      <w:r w:rsidRPr="008E1A10">
        <w:rPr>
          <w:rFonts w:asciiTheme="majorHAnsi" w:hAnsiTheme="majorHAnsi" w:cstheme="majorHAnsi"/>
          <w:sz w:val="22"/>
          <w:szCs w:val="22"/>
          <w:lang w:val="cs-CZ"/>
        </w:rPr>
        <w:t xml:space="preserve"> OEM </w:t>
      </w:r>
      <w:proofErr w:type="spellStart"/>
      <w:r w:rsidRPr="008E1A10">
        <w:rPr>
          <w:rFonts w:asciiTheme="majorHAnsi" w:hAnsiTheme="majorHAnsi" w:cstheme="majorHAnsi"/>
          <w:sz w:val="22"/>
          <w:szCs w:val="22"/>
          <w:lang w:val="cs-CZ"/>
        </w:rPr>
        <w:t>Americas</w:t>
      </w:r>
      <w:proofErr w:type="spellEnd"/>
      <w:r w:rsidRPr="008E1A10">
        <w:rPr>
          <w:rFonts w:asciiTheme="majorHAnsi" w:hAnsiTheme="majorHAnsi" w:cstheme="majorHAnsi"/>
          <w:sz w:val="22"/>
          <w:szCs w:val="22"/>
          <w:lang w:val="cs-CZ"/>
        </w:rPr>
        <w:t xml:space="preserve"> společnosti </w:t>
      </w:r>
      <w:proofErr w:type="spellStart"/>
      <w:r w:rsidRPr="008E1A10">
        <w:rPr>
          <w:rFonts w:asciiTheme="majorHAnsi" w:hAnsiTheme="majorHAnsi" w:cstheme="majorHAnsi"/>
          <w:sz w:val="22"/>
          <w:szCs w:val="22"/>
          <w:lang w:val="cs-CZ"/>
        </w:rPr>
        <w:t>Henkel</w:t>
      </w:r>
      <w:proofErr w:type="spellEnd"/>
      <w:r w:rsidRPr="008E1A10">
        <w:rPr>
          <w:rFonts w:asciiTheme="majorHAnsi" w:hAnsiTheme="majorHAnsi" w:cstheme="majorHAnsi"/>
          <w:sz w:val="22"/>
          <w:szCs w:val="22"/>
          <w:lang w:val="cs-CZ"/>
        </w:rPr>
        <w:t xml:space="preserve">. </w:t>
      </w:r>
      <w:r w:rsidRPr="000A4B01">
        <w:rPr>
          <w:rFonts w:asciiTheme="majorHAnsi" w:hAnsiTheme="majorHAnsi" w:cstheme="majorHAnsi"/>
          <w:i/>
          <w:iCs/>
          <w:sz w:val="22"/>
          <w:szCs w:val="22"/>
          <w:lang w:val="cs-CZ"/>
        </w:rPr>
        <w:t>„Naše technologie povrchové úpravy splňují všechny tyto atributy a představují výjimečné řešení pro lakovací procesy.“</w:t>
      </w:r>
    </w:p>
    <w:p w14:paraId="77FDD627" w14:textId="77777777" w:rsidR="008E1A10" w:rsidRPr="008E1A10" w:rsidRDefault="008E1A10" w:rsidP="008E1A10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</w:p>
    <w:p w14:paraId="600D994A" w14:textId="6298D249" w:rsidR="008E1A10" w:rsidRPr="008E1A10" w:rsidRDefault="008E1A10" w:rsidP="008E1A10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r w:rsidRPr="008E1A10">
        <w:rPr>
          <w:rFonts w:asciiTheme="majorHAnsi" w:hAnsiTheme="majorHAnsi" w:cstheme="majorHAnsi"/>
          <w:sz w:val="22"/>
          <w:szCs w:val="22"/>
          <w:lang w:val="cs-CZ"/>
        </w:rPr>
        <w:lastRenderedPageBreak/>
        <w:t xml:space="preserve">Předúprava kovů procesem </w:t>
      </w:r>
      <w:proofErr w:type="spellStart"/>
      <w:r w:rsidRPr="008E1A10">
        <w:rPr>
          <w:rFonts w:asciiTheme="majorHAnsi" w:hAnsiTheme="majorHAnsi" w:cstheme="majorHAnsi"/>
          <w:sz w:val="22"/>
          <w:szCs w:val="22"/>
          <w:lang w:val="cs-CZ"/>
        </w:rPr>
        <w:t>Pallumina</w:t>
      </w:r>
      <w:proofErr w:type="spellEnd"/>
      <w:r w:rsidRPr="008E1A10">
        <w:rPr>
          <w:rFonts w:asciiTheme="majorHAnsi" w:hAnsiTheme="majorHAnsi" w:cstheme="majorHAnsi"/>
          <w:sz w:val="22"/>
          <w:szCs w:val="22"/>
          <w:lang w:val="cs-CZ"/>
        </w:rPr>
        <w:t xml:space="preserve"> je účinná na všech základních kovech a umožňuje až 100</w:t>
      </w:r>
      <w:r w:rsidR="000A4B01">
        <w:rPr>
          <w:rFonts w:asciiTheme="majorHAnsi" w:hAnsiTheme="majorHAnsi" w:cstheme="majorHAnsi"/>
          <w:sz w:val="22"/>
          <w:szCs w:val="22"/>
          <w:lang w:val="cs-CZ"/>
        </w:rPr>
        <w:t> </w:t>
      </w:r>
      <w:r w:rsidRPr="008E1A10">
        <w:rPr>
          <w:rFonts w:asciiTheme="majorHAnsi" w:hAnsiTheme="majorHAnsi" w:cstheme="majorHAnsi"/>
          <w:sz w:val="22"/>
          <w:szCs w:val="22"/>
          <w:lang w:val="cs-CZ"/>
        </w:rPr>
        <w:t>% opracování hliníku, čímž přispívá k ještě širšímu využití tohoto lehkého materiálu. Podle Centra pro výzkum automobilového průmyslu by se využívání hliníku při výrobě osobních a nákladních vozidel mělo do roku 2040 zvýšit ze současných přibližně 13 % až na 26 %. Hliník hraje velmi důležitou roli při snižování spotřeby vozidel se spalovacími motory a hmotnosti elektrických vozidel.</w:t>
      </w:r>
    </w:p>
    <w:p w14:paraId="04BEA74B" w14:textId="77777777" w:rsidR="008E1A10" w:rsidRPr="008E1A10" w:rsidRDefault="008E1A10" w:rsidP="008E1A10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</w:p>
    <w:p w14:paraId="2124A1F1" w14:textId="77777777" w:rsidR="008E1A10" w:rsidRPr="008E1A10" w:rsidRDefault="008E1A10" w:rsidP="008E1A10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  <w:proofErr w:type="spellStart"/>
      <w:r w:rsidRPr="008E1A10">
        <w:rPr>
          <w:rFonts w:asciiTheme="majorHAnsi" w:hAnsiTheme="majorHAnsi" w:cstheme="majorHAnsi"/>
          <w:sz w:val="22"/>
          <w:szCs w:val="22"/>
          <w:lang w:val="cs-CZ"/>
        </w:rPr>
        <w:t>Suppliers</w:t>
      </w:r>
      <w:proofErr w:type="spellEnd"/>
      <w:r w:rsidRPr="008E1A10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proofErr w:type="spellStart"/>
      <w:r w:rsidRPr="008E1A10">
        <w:rPr>
          <w:rFonts w:asciiTheme="majorHAnsi" w:hAnsiTheme="majorHAnsi" w:cstheme="majorHAnsi"/>
          <w:sz w:val="22"/>
          <w:szCs w:val="22"/>
          <w:lang w:val="cs-CZ"/>
        </w:rPr>
        <w:t>Partnership</w:t>
      </w:r>
      <w:proofErr w:type="spellEnd"/>
      <w:r w:rsidRPr="008E1A10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proofErr w:type="spellStart"/>
      <w:r w:rsidRPr="008E1A10">
        <w:rPr>
          <w:rFonts w:asciiTheme="majorHAnsi" w:hAnsiTheme="majorHAnsi" w:cstheme="majorHAnsi"/>
          <w:sz w:val="22"/>
          <w:szCs w:val="22"/>
          <w:lang w:val="cs-CZ"/>
        </w:rPr>
        <w:t>for</w:t>
      </w:r>
      <w:proofErr w:type="spellEnd"/>
      <w:r w:rsidRPr="008E1A10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proofErr w:type="spellStart"/>
      <w:r w:rsidRPr="008E1A10">
        <w:rPr>
          <w:rFonts w:asciiTheme="majorHAnsi" w:hAnsiTheme="majorHAnsi" w:cstheme="majorHAnsi"/>
          <w:sz w:val="22"/>
          <w:szCs w:val="22"/>
          <w:lang w:val="cs-CZ"/>
        </w:rPr>
        <w:t>the</w:t>
      </w:r>
      <w:proofErr w:type="spellEnd"/>
      <w:r w:rsidRPr="008E1A10">
        <w:rPr>
          <w:rFonts w:asciiTheme="majorHAnsi" w:hAnsiTheme="majorHAnsi" w:cstheme="majorHAnsi"/>
          <w:sz w:val="22"/>
          <w:szCs w:val="22"/>
          <w:lang w:val="cs-CZ"/>
        </w:rPr>
        <w:t xml:space="preserve"> Environment zastřešuje organizace z automobilového průmyslu včetně několika největších světových výrobců automobilů a jejich dodavatelů. Jejím cílem je budovat automobilový průmysl s pozitivním vlivem na životní prostředí.</w:t>
      </w:r>
    </w:p>
    <w:p w14:paraId="15656F26" w14:textId="77777777" w:rsidR="008E1A10" w:rsidRPr="008E1A10" w:rsidRDefault="008E1A10" w:rsidP="008E1A10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</w:p>
    <w:p w14:paraId="6F65BB0D" w14:textId="037F0B8B" w:rsidR="008E1A10" w:rsidRPr="008E1A10" w:rsidRDefault="008E1A10" w:rsidP="008E1A10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color w:val="0433FF"/>
          <w:sz w:val="22"/>
          <w:szCs w:val="22"/>
          <w:u w:val="single" w:color="0432FF"/>
          <w:lang w:val="cs-CZ"/>
        </w:rPr>
      </w:pPr>
      <w:r w:rsidRPr="008E1A10">
        <w:rPr>
          <w:rFonts w:asciiTheme="majorHAnsi" w:hAnsiTheme="majorHAnsi" w:cstheme="majorHAnsi"/>
          <w:sz w:val="22"/>
          <w:szCs w:val="22"/>
          <w:lang w:val="cs-CZ"/>
        </w:rPr>
        <w:t xml:space="preserve">Více informací o řešeních společnosti </w:t>
      </w:r>
      <w:proofErr w:type="spellStart"/>
      <w:r w:rsidRPr="008E1A10">
        <w:rPr>
          <w:rFonts w:asciiTheme="majorHAnsi" w:hAnsiTheme="majorHAnsi" w:cstheme="majorHAnsi"/>
          <w:sz w:val="22"/>
          <w:szCs w:val="22"/>
          <w:lang w:val="cs-CZ"/>
        </w:rPr>
        <w:t>Henkel</w:t>
      </w:r>
      <w:proofErr w:type="spellEnd"/>
      <w:r w:rsidRPr="008E1A10">
        <w:rPr>
          <w:rFonts w:asciiTheme="majorHAnsi" w:hAnsiTheme="majorHAnsi" w:cstheme="majorHAnsi"/>
          <w:sz w:val="22"/>
          <w:szCs w:val="22"/>
          <w:lang w:val="cs-CZ"/>
        </w:rPr>
        <w:t xml:space="preserve"> pro povrchovou úpravu kovů pro automobilové karoserie naleznete</w:t>
      </w:r>
      <w:r w:rsidR="00A82DA9">
        <w:rPr>
          <w:rFonts w:asciiTheme="majorHAnsi" w:hAnsiTheme="majorHAnsi" w:cstheme="majorHAnsi"/>
          <w:sz w:val="22"/>
          <w:szCs w:val="22"/>
          <w:lang w:val="cs-CZ"/>
        </w:rPr>
        <w:t xml:space="preserve"> </w:t>
      </w:r>
      <w:hyperlink r:id="rId12" w:anchor="metal-pretreatment" w:history="1">
        <w:r w:rsidR="00A82DA9" w:rsidRPr="00A82DA9">
          <w:rPr>
            <w:rStyle w:val="Hypertextovprepojenie"/>
            <w:rFonts w:asciiTheme="majorHAnsi" w:hAnsiTheme="majorHAnsi" w:cstheme="majorHAnsi"/>
            <w:sz w:val="22"/>
            <w:szCs w:val="22"/>
            <w:lang w:val="cs-CZ"/>
          </w:rPr>
          <w:t>zde</w:t>
        </w:r>
      </w:hyperlink>
      <w:r w:rsidRPr="008E1A10">
        <w:rPr>
          <w:rFonts w:asciiTheme="majorHAnsi" w:hAnsiTheme="majorHAnsi" w:cstheme="majorHAnsi"/>
          <w:sz w:val="22"/>
          <w:szCs w:val="22"/>
          <w:lang w:val="cs-CZ"/>
        </w:rPr>
        <w:t>.</w:t>
      </w:r>
    </w:p>
    <w:p w14:paraId="2CC5CF0B" w14:textId="77777777" w:rsidR="008E1A10" w:rsidRPr="008E1A10" w:rsidRDefault="008E1A10" w:rsidP="008E1A10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color w:val="0433FF"/>
          <w:sz w:val="22"/>
          <w:szCs w:val="22"/>
          <w:u w:val="single" w:color="0432FF"/>
          <w:lang w:val="cs-CZ"/>
        </w:rPr>
      </w:pPr>
    </w:p>
    <w:p w14:paraId="3BA4B36F" w14:textId="77777777" w:rsidR="008E1A10" w:rsidRPr="008E1A10" w:rsidRDefault="008E1A10" w:rsidP="008E1A10">
      <w:pPr>
        <w:pStyle w:val="Predvolen"/>
        <w:spacing w:before="0" w:line="276" w:lineRule="auto"/>
        <w:ind w:right="553"/>
        <w:jc w:val="both"/>
        <w:rPr>
          <w:rFonts w:asciiTheme="majorHAnsi" w:eastAsia="Helvetica" w:hAnsiTheme="majorHAnsi" w:cstheme="majorHAnsi"/>
          <w:i/>
          <w:iCs/>
          <w:sz w:val="18"/>
          <w:szCs w:val="18"/>
          <w:u w:color="0432FF"/>
          <w:lang w:val="cs-CZ"/>
        </w:rPr>
      </w:pPr>
      <w:r w:rsidRPr="008E1A10">
        <w:rPr>
          <w:rFonts w:asciiTheme="majorHAnsi" w:hAnsiTheme="majorHAnsi" w:cstheme="majorHAnsi"/>
          <w:i/>
          <w:iCs/>
          <w:sz w:val="18"/>
          <w:szCs w:val="18"/>
          <w:u w:color="0432FF"/>
          <w:lang w:val="cs-CZ"/>
        </w:rPr>
        <w:t xml:space="preserve">PALLUMINA™ je ochranná známka společnosti </w:t>
      </w:r>
      <w:proofErr w:type="spellStart"/>
      <w:r w:rsidRPr="008E1A10">
        <w:rPr>
          <w:rFonts w:asciiTheme="majorHAnsi" w:hAnsiTheme="majorHAnsi" w:cstheme="majorHAnsi"/>
          <w:i/>
          <w:iCs/>
          <w:sz w:val="18"/>
          <w:szCs w:val="18"/>
          <w:u w:color="0432FF"/>
          <w:lang w:val="cs-CZ"/>
        </w:rPr>
        <w:t>Nihon</w:t>
      </w:r>
      <w:proofErr w:type="spellEnd"/>
      <w:r w:rsidRPr="008E1A10">
        <w:rPr>
          <w:rFonts w:asciiTheme="majorHAnsi" w:hAnsiTheme="majorHAnsi" w:cstheme="majorHAnsi"/>
          <w:i/>
          <w:iCs/>
          <w:sz w:val="18"/>
          <w:szCs w:val="18"/>
          <w:u w:color="0432FF"/>
          <w:lang w:val="cs-CZ"/>
        </w:rPr>
        <w:t xml:space="preserve"> </w:t>
      </w:r>
      <w:proofErr w:type="spellStart"/>
      <w:r w:rsidRPr="008E1A10">
        <w:rPr>
          <w:rFonts w:asciiTheme="majorHAnsi" w:hAnsiTheme="majorHAnsi" w:cstheme="majorHAnsi"/>
          <w:i/>
          <w:iCs/>
          <w:sz w:val="18"/>
          <w:szCs w:val="18"/>
          <w:u w:color="0432FF"/>
          <w:lang w:val="cs-CZ"/>
        </w:rPr>
        <w:t>Parkerizing</w:t>
      </w:r>
      <w:proofErr w:type="spellEnd"/>
      <w:r w:rsidRPr="008E1A10">
        <w:rPr>
          <w:rFonts w:asciiTheme="majorHAnsi" w:hAnsiTheme="majorHAnsi" w:cstheme="majorHAnsi"/>
          <w:i/>
          <w:iCs/>
          <w:sz w:val="18"/>
          <w:szCs w:val="18"/>
          <w:u w:color="0432FF"/>
          <w:lang w:val="cs-CZ"/>
        </w:rPr>
        <w:t xml:space="preserve">. Na základě licence od </w:t>
      </w:r>
      <w:proofErr w:type="spellStart"/>
      <w:r w:rsidRPr="008E1A10">
        <w:rPr>
          <w:rFonts w:asciiTheme="majorHAnsi" w:hAnsiTheme="majorHAnsi" w:cstheme="majorHAnsi"/>
          <w:i/>
          <w:iCs/>
          <w:sz w:val="18"/>
          <w:szCs w:val="18"/>
          <w:u w:color="0432FF"/>
          <w:lang w:val="cs-CZ"/>
        </w:rPr>
        <w:t>Nihon</w:t>
      </w:r>
      <w:proofErr w:type="spellEnd"/>
      <w:r w:rsidRPr="008E1A10">
        <w:rPr>
          <w:rFonts w:asciiTheme="majorHAnsi" w:hAnsiTheme="majorHAnsi" w:cstheme="majorHAnsi"/>
          <w:i/>
          <w:iCs/>
          <w:sz w:val="18"/>
          <w:szCs w:val="18"/>
          <w:u w:color="0432FF"/>
          <w:lang w:val="cs-CZ"/>
        </w:rPr>
        <w:t xml:space="preserve"> </w:t>
      </w:r>
      <w:proofErr w:type="spellStart"/>
      <w:r w:rsidRPr="008E1A10">
        <w:rPr>
          <w:rFonts w:asciiTheme="majorHAnsi" w:hAnsiTheme="majorHAnsi" w:cstheme="majorHAnsi"/>
          <w:i/>
          <w:iCs/>
          <w:sz w:val="18"/>
          <w:szCs w:val="18"/>
          <w:u w:color="0432FF"/>
          <w:lang w:val="cs-CZ"/>
        </w:rPr>
        <w:t>Parkerizing</w:t>
      </w:r>
      <w:proofErr w:type="spellEnd"/>
      <w:r w:rsidRPr="008E1A10">
        <w:rPr>
          <w:rFonts w:asciiTheme="majorHAnsi" w:hAnsiTheme="majorHAnsi" w:cstheme="majorHAnsi"/>
          <w:i/>
          <w:iCs/>
          <w:sz w:val="18"/>
          <w:szCs w:val="18"/>
          <w:u w:color="0432FF"/>
          <w:lang w:val="cs-CZ"/>
        </w:rPr>
        <w:t xml:space="preserve"> je </w:t>
      </w:r>
      <w:proofErr w:type="spellStart"/>
      <w:r w:rsidRPr="008E1A10">
        <w:rPr>
          <w:rFonts w:asciiTheme="majorHAnsi" w:hAnsiTheme="majorHAnsi" w:cstheme="majorHAnsi"/>
          <w:i/>
          <w:iCs/>
          <w:sz w:val="18"/>
          <w:szCs w:val="18"/>
          <w:u w:color="0432FF"/>
          <w:lang w:val="cs-CZ"/>
        </w:rPr>
        <w:t>Henkel</w:t>
      </w:r>
      <w:proofErr w:type="spellEnd"/>
      <w:r w:rsidRPr="008E1A10">
        <w:rPr>
          <w:rFonts w:asciiTheme="majorHAnsi" w:hAnsiTheme="majorHAnsi" w:cstheme="majorHAnsi"/>
          <w:i/>
          <w:iCs/>
          <w:sz w:val="18"/>
          <w:szCs w:val="18"/>
          <w:u w:color="0432FF"/>
          <w:lang w:val="cs-CZ"/>
        </w:rPr>
        <w:t xml:space="preserve"> dodavatelem technologie </w:t>
      </w:r>
      <w:proofErr w:type="spellStart"/>
      <w:r w:rsidRPr="008E1A10">
        <w:rPr>
          <w:rFonts w:asciiTheme="majorHAnsi" w:hAnsiTheme="majorHAnsi" w:cstheme="majorHAnsi"/>
          <w:i/>
          <w:iCs/>
          <w:sz w:val="18"/>
          <w:szCs w:val="18"/>
          <w:u w:color="0432FF"/>
          <w:lang w:val="cs-CZ"/>
        </w:rPr>
        <w:t>Pallumina</w:t>
      </w:r>
      <w:proofErr w:type="spellEnd"/>
      <w:r w:rsidRPr="008E1A10">
        <w:rPr>
          <w:rFonts w:asciiTheme="majorHAnsi" w:hAnsiTheme="majorHAnsi" w:cstheme="majorHAnsi"/>
          <w:i/>
          <w:iCs/>
          <w:sz w:val="18"/>
          <w:szCs w:val="18"/>
          <w:u w:color="0432FF"/>
          <w:lang w:val="cs-CZ"/>
        </w:rPr>
        <w:t xml:space="preserve"> pro společnost Toyota </w:t>
      </w:r>
      <w:proofErr w:type="spellStart"/>
      <w:r w:rsidRPr="008E1A10">
        <w:rPr>
          <w:rFonts w:asciiTheme="majorHAnsi" w:hAnsiTheme="majorHAnsi" w:cstheme="majorHAnsi"/>
          <w:i/>
          <w:iCs/>
          <w:sz w:val="18"/>
          <w:szCs w:val="18"/>
          <w:u w:color="0432FF"/>
          <w:lang w:val="cs-CZ"/>
        </w:rPr>
        <w:t>North</w:t>
      </w:r>
      <w:proofErr w:type="spellEnd"/>
      <w:r w:rsidRPr="008E1A10">
        <w:rPr>
          <w:rFonts w:asciiTheme="majorHAnsi" w:hAnsiTheme="majorHAnsi" w:cstheme="majorHAnsi"/>
          <w:i/>
          <w:iCs/>
          <w:sz w:val="18"/>
          <w:szCs w:val="18"/>
          <w:u w:color="0432FF"/>
          <w:lang w:val="cs-CZ"/>
        </w:rPr>
        <w:t xml:space="preserve"> America.</w:t>
      </w:r>
    </w:p>
    <w:p w14:paraId="38848C61" w14:textId="77777777" w:rsidR="008E1A10" w:rsidRPr="008E1A10" w:rsidRDefault="008E1A10" w:rsidP="008E1A10">
      <w:pPr>
        <w:pStyle w:val="Predvolen"/>
        <w:spacing w:before="0"/>
        <w:ind w:right="553"/>
        <w:jc w:val="both"/>
        <w:rPr>
          <w:rFonts w:asciiTheme="majorHAnsi" w:eastAsia="Helvetica" w:hAnsiTheme="majorHAnsi" w:cstheme="majorHAnsi"/>
          <w:sz w:val="18"/>
          <w:szCs w:val="18"/>
          <w:u w:color="0432FF"/>
          <w:lang w:val="cs-CZ"/>
        </w:rPr>
      </w:pPr>
    </w:p>
    <w:p w14:paraId="622303C5" w14:textId="77777777" w:rsidR="001347C8" w:rsidRPr="008E1A10" w:rsidRDefault="001347C8" w:rsidP="001347C8">
      <w:pPr>
        <w:pStyle w:val="Predvolen"/>
        <w:spacing w:before="0" w:line="276" w:lineRule="auto"/>
        <w:ind w:right="553"/>
        <w:jc w:val="both"/>
        <w:rPr>
          <w:rStyle w:val="iadne"/>
          <w:rFonts w:asciiTheme="majorHAnsi" w:eastAsia="Helvetica" w:hAnsiTheme="majorHAnsi" w:cstheme="majorHAnsi"/>
          <w:sz w:val="14"/>
          <w:szCs w:val="14"/>
          <w:lang w:val="cs-CZ"/>
        </w:rPr>
      </w:pPr>
    </w:p>
    <w:p w14:paraId="74549366" w14:textId="77777777" w:rsidR="001347C8" w:rsidRPr="008E1A10" w:rsidRDefault="001347C8" w:rsidP="001347C8">
      <w:pPr>
        <w:pStyle w:val="Predvolen"/>
        <w:spacing w:before="0"/>
        <w:ind w:right="553"/>
        <w:rPr>
          <w:rFonts w:asciiTheme="majorHAnsi" w:hAnsiTheme="majorHAnsi" w:cstheme="majorHAnsi"/>
          <w:lang w:val="cs-CZ"/>
        </w:rPr>
      </w:pPr>
    </w:p>
    <w:p w14:paraId="38AD34F3" w14:textId="77777777" w:rsidR="00BB090F" w:rsidRPr="008E1A10" w:rsidRDefault="00BB090F" w:rsidP="00BB090F">
      <w:pPr>
        <w:rPr>
          <w:rFonts w:asciiTheme="majorHAnsi" w:hAnsiTheme="majorHAnsi" w:cstheme="majorHAnsi"/>
          <w:b/>
          <w:bCs/>
          <w:szCs w:val="22"/>
          <w:lang w:val="cs-CZ"/>
        </w:rPr>
      </w:pPr>
    </w:p>
    <w:p w14:paraId="64CF9133" w14:textId="016CB621" w:rsidR="0000744B" w:rsidRPr="008E1A10" w:rsidRDefault="0000744B" w:rsidP="0000744B">
      <w:pPr>
        <w:rPr>
          <w:rStyle w:val="AboutandContactHeadline"/>
          <w:rFonts w:asciiTheme="majorHAnsi" w:hAnsiTheme="majorHAnsi" w:cstheme="majorHAnsi"/>
          <w:lang w:val="cs-CZ"/>
        </w:rPr>
      </w:pPr>
      <w:r w:rsidRPr="008E1A10">
        <w:rPr>
          <w:rStyle w:val="AboutandContactHeadline"/>
          <w:rFonts w:asciiTheme="majorHAnsi" w:hAnsiTheme="majorHAnsi" w:cstheme="majorHAnsi"/>
          <w:lang w:val="cs-CZ"/>
        </w:rPr>
        <w:t xml:space="preserve">O společnosti </w:t>
      </w:r>
      <w:proofErr w:type="spellStart"/>
      <w:r w:rsidRPr="008E1A10">
        <w:rPr>
          <w:rStyle w:val="AboutandContactHeadline"/>
          <w:rFonts w:asciiTheme="majorHAnsi" w:hAnsiTheme="majorHAnsi" w:cstheme="majorHAnsi"/>
          <w:lang w:val="cs-CZ"/>
        </w:rPr>
        <w:t>Henkel</w:t>
      </w:r>
      <w:proofErr w:type="spellEnd"/>
    </w:p>
    <w:p w14:paraId="0A0247FE" w14:textId="61CAE83E" w:rsidR="0000744B" w:rsidRPr="008E1A10" w:rsidRDefault="0000744B" w:rsidP="0000744B">
      <w:pPr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</w:pPr>
      <w:r w:rsidRPr="008E1A10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Společnost </w:t>
      </w:r>
      <w:proofErr w:type="spellStart"/>
      <w:r w:rsidRPr="008E1A10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Henkel</w:t>
      </w:r>
      <w:proofErr w:type="spellEnd"/>
      <w:r w:rsidRPr="008E1A10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působí celosvětově s vyrovnaným a diverzifikovaným </w:t>
      </w:r>
      <w:proofErr w:type="spellStart"/>
      <w:r w:rsidRPr="008E1A10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portfóliem</w:t>
      </w:r>
      <w:proofErr w:type="spellEnd"/>
      <w:r w:rsidRPr="008E1A10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produktů. Díky silným značkám, inovacím a technologiím má </w:t>
      </w:r>
      <w:proofErr w:type="spellStart"/>
      <w:r w:rsidRPr="008E1A10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Henkel</w:t>
      </w:r>
      <w:proofErr w:type="spellEnd"/>
      <w:r w:rsidRPr="008E1A10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vedoucí postavení na trhu jak ve spotřebitelských, tak v průmyslových odvětvích. V oblasti lepidel je </w:t>
      </w:r>
      <w:proofErr w:type="spellStart"/>
      <w:r w:rsidRPr="008E1A10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Henkel</w:t>
      </w:r>
      <w:proofErr w:type="spellEnd"/>
      <w:r w:rsidRPr="008E1A10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divize </w:t>
      </w:r>
      <w:proofErr w:type="spellStart"/>
      <w:r w:rsidRPr="008E1A10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Adhesive</w:t>
      </w:r>
      <w:proofErr w:type="spellEnd"/>
      <w:r w:rsidRPr="008E1A10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Technologies celosvětovým lídrem na trhu v rámci všech průmyslových segmentů. V oblastech </w:t>
      </w:r>
      <w:proofErr w:type="spellStart"/>
      <w:r w:rsidRPr="008E1A10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Laundry</w:t>
      </w:r>
      <w:proofErr w:type="spellEnd"/>
      <w:r w:rsidRPr="008E1A10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&amp; </w:t>
      </w:r>
      <w:proofErr w:type="spellStart"/>
      <w:r w:rsidRPr="008E1A10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Home</w:t>
      </w:r>
      <w:proofErr w:type="spellEnd"/>
      <w:r w:rsidRPr="008E1A10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Care a </w:t>
      </w:r>
      <w:proofErr w:type="spellStart"/>
      <w:r w:rsidRPr="008E1A10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Beauty</w:t>
      </w:r>
      <w:proofErr w:type="spellEnd"/>
      <w:r w:rsidRPr="008E1A10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Care je </w:t>
      </w:r>
      <w:proofErr w:type="spellStart"/>
      <w:r w:rsidRPr="008E1A10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Henkel</w:t>
      </w:r>
      <w:proofErr w:type="spellEnd"/>
      <w:r w:rsidRPr="008E1A10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na vedoucích pozicích na více trzích a v kategoriích ve světě. Společnost byla založena v roce 1876 a má za sebou více než 140 úspěšných let. V roce 202</w:t>
      </w:r>
      <w:r w:rsidR="00231B84" w:rsidRPr="008E1A10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1</w:t>
      </w:r>
      <w:r w:rsidRPr="008E1A10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dosáhla obratu </w:t>
      </w:r>
      <w:r w:rsidR="0057611C" w:rsidRPr="008E1A10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víc než 20</w:t>
      </w:r>
      <w:r w:rsidRPr="008E1A10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mld. eur a upraveného provozního zisku přibližně ve výši 2,</w:t>
      </w:r>
      <w:r w:rsidR="0057611C" w:rsidRPr="008E1A10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7</w:t>
      </w:r>
      <w:r w:rsidRPr="008E1A10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mld. eur. </w:t>
      </w:r>
      <w:proofErr w:type="spellStart"/>
      <w:r w:rsidRPr="008E1A10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Henkel</w:t>
      </w:r>
      <w:proofErr w:type="spellEnd"/>
      <w:r w:rsidRPr="008E1A10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zaměstnává 5</w:t>
      </w:r>
      <w:r w:rsidR="0057611C" w:rsidRPr="008E1A10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2</w:t>
      </w:r>
      <w:r w:rsidRPr="008E1A10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000 lidí po celém světě, kteří spolu tvoří zanícený a velmi různorodý tým, který spojuje silná firemní kultura a společný zájem tvořit trvale udržitelné hodnoty a který sdílí společné hodnoty. Jako uznávaný lídr v oblasti udržitelnosti je </w:t>
      </w:r>
      <w:proofErr w:type="spellStart"/>
      <w:r w:rsidRPr="008E1A10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Henkel</w:t>
      </w:r>
      <w:proofErr w:type="spellEnd"/>
      <w:r w:rsidRPr="008E1A10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na předních příčkách mnoha mezinárodních indexů a hodnocení. Prioritní akcie společnosti </w:t>
      </w:r>
      <w:proofErr w:type="spellStart"/>
      <w:r w:rsidRPr="008E1A10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Henkel</w:t>
      </w:r>
      <w:proofErr w:type="spellEnd"/>
      <w:r w:rsidRPr="008E1A10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 xml:space="preserve"> jsou kótovány na německém akciovém indexu DAX. Více informací naleznete na stránce </w:t>
      </w:r>
      <w:r w:rsidR="00000000">
        <w:fldChar w:fldCharType="begin"/>
      </w:r>
      <w:r w:rsidR="00000000" w:rsidRPr="00684362">
        <w:rPr>
          <w:lang w:val="pl-PL"/>
        </w:rPr>
        <w:instrText>HYPERLINK "http://www.henkel.com"</w:instrText>
      </w:r>
      <w:r w:rsidR="00000000">
        <w:fldChar w:fldCharType="separate"/>
      </w:r>
      <w:r w:rsidR="00587F0F" w:rsidRPr="008E1A10">
        <w:rPr>
          <w:rStyle w:val="Hypertextovprepojenie"/>
          <w:rFonts w:asciiTheme="majorHAnsi" w:hAnsiTheme="majorHAnsi" w:cstheme="majorHAnsi"/>
          <w:szCs w:val="24"/>
          <w:lang w:val="cs-CZ"/>
        </w:rPr>
        <w:t>www.henkel.com</w:t>
      </w:r>
      <w:r w:rsidR="00000000">
        <w:rPr>
          <w:rStyle w:val="Hypertextovprepojenie"/>
          <w:rFonts w:asciiTheme="majorHAnsi" w:hAnsiTheme="majorHAnsi" w:cstheme="majorHAnsi"/>
          <w:szCs w:val="24"/>
          <w:lang w:val="cs-CZ"/>
        </w:rPr>
        <w:fldChar w:fldCharType="end"/>
      </w:r>
      <w:r w:rsidR="00587F0F" w:rsidRPr="008E1A10">
        <w:rPr>
          <w:rStyle w:val="AboutandContactHeadline"/>
          <w:rFonts w:asciiTheme="majorHAnsi" w:hAnsiTheme="majorHAnsi" w:cstheme="majorHAnsi"/>
          <w:b w:val="0"/>
          <w:bCs w:val="0"/>
          <w:lang w:val="cs-CZ"/>
        </w:rPr>
        <w:t>.</w:t>
      </w:r>
    </w:p>
    <w:p w14:paraId="1490956C" w14:textId="77777777" w:rsidR="0000744B" w:rsidRPr="008E1A10" w:rsidRDefault="0000744B" w:rsidP="0000744B">
      <w:pPr>
        <w:rPr>
          <w:rStyle w:val="AboutandContactHeadline"/>
          <w:rFonts w:asciiTheme="majorHAnsi" w:hAnsiTheme="majorHAnsi" w:cstheme="majorHAnsi"/>
          <w:lang w:val="cs-CZ"/>
        </w:rPr>
      </w:pPr>
    </w:p>
    <w:p w14:paraId="2A4278EA" w14:textId="77777777" w:rsidR="00306C60" w:rsidRPr="008E1A10" w:rsidRDefault="00306C60" w:rsidP="00306C60">
      <w:pPr>
        <w:spacing w:line="240" w:lineRule="auto"/>
        <w:jc w:val="left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</w:p>
    <w:p w14:paraId="19B2F94B" w14:textId="77777777" w:rsidR="0000744B" w:rsidRPr="008E1A10" w:rsidRDefault="0000744B" w:rsidP="0000744B">
      <w:pPr>
        <w:rPr>
          <w:rStyle w:val="AboutandContactHeadline"/>
          <w:rFonts w:asciiTheme="majorHAnsi" w:hAnsiTheme="majorHAnsi" w:cstheme="majorHAnsi"/>
          <w:lang w:val="cs-CZ"/>
        </w:rPr>
      </w:pPr>
    </w:p>
    <w:p w14:paraId="0ED67B46" w14:textId="77777777" w:rsidR="006E719D" w:rsidRPr="008E1A10" w:rsidRDefault="006E719D" w:rsidP="006E719D">
      <w:pPr>
        <w:rPr>
          <w:rStyle w:val="AboutandContactBody"/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8E1A10">
        <w:rPr>
          <w:rStyle w:val="AboutandContactBody"/>
          <w:rFonts w:asciiTheme="majorHAnsi" w:hAnsiTheme="majorHAnsi" w:cstheme="majorHAnsi"/>
          <w:b/>
          <w:bCs/>
          <w:sz w:val="20"/>
          <w:szCs w:val="20"/>
          <w:lang w:val="cs-CZ"/>
        </w:rPr>
        <w:t xml:space="preserve">Kontakt  </w:t>
      </w:r>
    </w:p>
    <w:p w14:paraId="5543F0EA" w14:textId="77777777" w:rsidR="006E719D" w:rsidRPr="008E1A10" w:rsidRDefault="006E719D" w:rsidP="006E719D">
      <w:pPr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</w:pPr>
      <w:r w:rsidRPr="008E1A10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 xml:space="preserve">Zuzana </w:t>
      </w:r>
      <w:proofErr w:type="spellStart"/>
      <w:r w:rsidRPr="008E1A10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>Kaňuchová</w:t>
      </w:r>
      <w:proofErr w:type="spellEnd"/>
      <w:r w:rsidRPr="008E1A10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8E1A10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8E1A10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8E1A10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8E1A10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8E1A10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</w:p>
    <w:p w14:paraId="42F58736" w14:textId="506FC643" w:rsidR="006E719D" w:rsidRPr="008E1A10" w:rsidRDefault="00600518" w:rsidP="006E719D">
      <w:pPr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</w:pPr>
      <w:r w:rsidRPr="008E1A10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>Ředitelka korporátní komunikace</w:t>
      </w:r>
      <w:r w:rsidRPr="008E1A10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8E1A10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8E1A10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</w:p>
    <w:p w14:paraId="3F359FFF" w14:textId="77777777" w:rsidR="00600518" w:rsidRPr="008E1A10" w:rsidRDefault="00600518" w:rsidP="006E719D">
      <w:pPr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</w:pPr>
    </w:p>
    <w:p w14:paraId="6050F928" w14:textId="67A016FA" w:rsidR="006E719D" w:rsidRPr="008E1A10" w:rsidRDefault="006E719D" w:rsidP="006E719D">
      <w:pPr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</w:pPr>
      <w:r w:rsidRPr="008E1A10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>Telef</w:t>
      </w:r>
      <w:r w:rsidR="00600518" w:rsidRPr="008E1A10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>o</w:t>
      </w:r>
      <w:r w:rsidRPr="008E1A10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>n: +421 917 160 597</w:t>
      </w:r>
      <w:r w:rsidRPr="008E1A10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8E1A10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8E1A10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</w:p>
    <w:p w14:paraId="0BFF6B34" w14:textId="70496E61" w:rsidR="00BF6E82" w:rsidRPr="008E1A10" w:rsidRDefault="006E719D" w:rsidP="006E719D">
      <w:pPr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</w:pPr>
      <w:r w:rsidRPr="008E1A10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 xml:space="preserve">E-mail:  </w:t>
      </w:r>
      <w:hyperlink r:id="rId13" w:history="1">
        <w:r w:rsidR="00BB1DFA" w:rsidRPr="008E1A10">
          <w:rPr>
            <w:rStyle w:val="Hypertextovprepojenie"/>
            <w:rFonts w:asciiTheme="majorHAnsi" w:hAnsiTheme="majorHAnsi" w:cstheme="majorHAnsi"/>
            <w:sz w:val="20"/>
            <w:szCs w:val="20"/>
            <w:lang w:val="cs-CZ"/>
          </w:rPr>
          <w:t>zuzana.kanuchova@henkel.com</w:t>
        </w:r>
      </w:hyperlink>
      <w:r w:rsidR="00BB1DFA" w:rsidRPr="008E1A10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 xml:space="preserve"> </w:t>
      </w:r>
    </w:p>
    <w:sectPr w:rsidR="00BF6E82" w:rsidRPr="008E1A10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E58F9" w14:textId="77777777" w:rsidR="007C4C95" w:rsidRDefault="007C4C95">
      <w:r>
        <w:separator/>
      </w:r>
    </w:p>
  </w:endnote>
  <w:endnote w:type="continuationSeparator" w:id="0">
    <w:p w14:paraId="46B4E66A" w14:textId="77777777" w:rsidR="007C4C95" w:rsidRDefault="007C4C95">
      <w:r>
        <w:continuationSeparator/>
      </w:r>
    </w:p>
  </w:endnote>
  <w:endnote w:type="continuationNotice" w:id="1">
    <w:p w14:paraId="64884728" w14:textId="77777777" w:rsidR="007C4C95" w:rsidRDefault="007C4C9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094AC4CD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CE4BEB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067871C" w:rsidR="00CF6F33" w:rsidRPr="00992A11" w:rsidRDefault="0059722C" w:rsidP="00992A11">
    <w:pPr>
      <w:pStyle w:val="Pta"/>
    </w:pPr>
    <w:bookmarkStart w:id="0" w:name="_Hlk505758583"/>
    <w:r w:rsidRPr="00992A11">
      <w:drawing>
        <wp:anchor distT="0" distB="0" distL="114300" distR="114300" simplePos="0" relativeHeight="251658242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CE4BEB"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825BB" w14:textId="77777777" w:rsidR="007C4C95" w:rsidRDefault="007C4C95">
      <w:r>
        <w:separator/>
      </w:r>
    </w:p>
  </w:footnote>
  <w:footnote w:type="continuationSeparator" w:id="0">
    <w:p w14:paraId="158BDC59" w14:textId="77777777" w:rsidR="007C4C95" w:rsidRDefault="007C4C95">
      <w:r>
        <w:continuationSeparator/>
      </w:r>
    </w:p>
  </w:footnote>
  <w:footnote w:type="continuationNotice" w:id="1">
    <w:p w14:paraId="228BC85B" w14:textId="77777777" w:rsidR="007C4C95" w:rsidRDefault="007C4C9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2854977" w:rsidR="00CF6F33" w:rsidRPr="001F5D54" w:rsidRDefault="0059722C" w:rsidP="00EB46D9">
    <w:pPr>
      <w:pStyle w:val="Hlavika"/>
      <w:rPr>
        <w:lang w:val="cs-CZ"/>
      </w:rPr>
    </w:pPr>
    <w:r w:rsidRPr="001F5D54">
      <w:rPr>
        <w:noProof/>
        <w:lang w:val="cs-CZ"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D54">
      <w:rPr>
        <w:noProof/>
        <w:lang w:val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1F5D54" w:rsidRPr="001F5D54">
      <w:rPr>
        <w:noProof/>
        <w:lang w:val="cs-CZ"/>
      </w:rPr>
      <w:t>Tisková</w:t>
    </w:r>
    <w:r w:rsidR="00B422EC" w:rsidRPr="001F5D54">
      <w:rPr>
        <w:lang w:val="cs-CZ"/>
      </w:rPr>
      <w:t xml:space="preserve"> </w:t>
    </w:r>
    <w:r w:rsidR="001F5D54" w:rsidRPr="001F5D54">
      <w:rPr>
        <w:lang w:val="cs-CZ"/>
      </w:rPr>
      <w:t>z</w:t>
    </w:r>
    <w:r w:rsidR="00CE4BEB" w:rsidRPr="001F5D54">
      <w:rPr>
        <w:lang w:val="cs-CZ"/>
      </w:rPr>
      <w:t>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A6589"/>
    <w:multiLevelType w:val="hybridMultilevel"/>
    <w:tmpl w:val="EE8CF3B2"/>
    <w:styleLink w:val="Importovantl1"/>
    <w:lvl w:ilvl="0" w:tplc="8EB41188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E2A6F4A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2" w:tplc="C8DC57A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3" w:tplc="415CB314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4" w:tplc="A26A3ED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5" w:tplc="500C3A8C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6" w:tplc="7E449232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7" w:tplc="354ACEA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8" w:tplc="B55AF2B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E21656"/>
    <w:multiLevelType w:val="hybridMultilevel"/>
    <w:tmpl w:val="EE8CF3B2"/>
    <w:numStyleLink w:val="Importovantl1"/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A06DFF"/>
    <w:multiLevelType w:val="hybridMultilevel"/>
    <w:tmpl w:val="18D4D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479F7"/>
    <w:multiLevelType w:val="hybridMultilevel"/>
    <w:tmpl w:val="EE8CF3B2"/>
    <w:numStyleLink w:val="Importovantl1"/>
  </w:abstractNum>
  <w:abstractNum w:abstractNumId="9" w15:restartNumberingAfterBreak="0">
    <w:nsid w:val="61A964B9"/>
    <w:multiLevelType w:val="hybridMultilevel"/>
    <w:tmpl w:val="C108F4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7091B"/>
    <w:multiLevelType w:val="hybridMultilevel"/>
    <w:tmpl w:val="EE8CF3B2"/>
    <w:numStyleLink w:val="Importovantl1"/>
  </w:abstractNum>
  <w:abstractNum w:abstractNumId="11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87F5B"/>
    <w:multiLevelType w:val="hybridMultilevel"/>
    <w:tmpl w:val="FCC0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075657">
    <w:abstractNumId w:val="1"/>
  </w:num>
  <w:num w:numId="2" w16cid:durableId="1746564325">
    <w:abstractNumId w:val="0"/>
  </w:num>
  <w:num w:numId="3" w16cid:durableId="2107142591">
    <w:abstractNumId w:val="11"/>
  </w:num>
  <w:num w:numId="4" w16cid:durableId="595141210">
    <w:abstractNumId w:val="6"/>
  </w:num>
  <w:num w:numId="5" w16cid:durableId="1356226179">
    <w:abstractNumId w:val="4"/>
  </w:num>
  <w:num w:numId="6" w16cid:durableId="12727571">
    <w:abstractNumId w:val="7"/>
  </w:num>
  <w:num w:numId="7" w16cid:durableId="2015112908">
    <w:abstractNumId w:val="12"/>
  </w:num>
  <w:num w:numId="8" w16cid:durableId="1447698084">
    <w:abstractNumId w:val="5"/>
  </w:num>
  <w:num w:numId="9" w16cid:durableId="2083940114">
    <w:abstractNumId w:val="2"/>
  </w:num>
  <w:num w:numId="10" w16cid:durableId="1029531628">
    <w:abstractNumId w:val="3"/>
  </w:num>
  <w:num w:numId="11" w16cid:durableId="390348366">
    <w:abstractNumId w:val="8"/>
  </w:num>
  <w:num w:numId="12" w16cid:durableId="1178038878">
    <w:abstractNumId w:val="10"/>
  </w:num>
  <w:num w:numId="13" w16cid:durableId="1842891905">
    <w:abstractNumId w:val="10"/>
    <w:lvlOverride w:ilvl="0">
      <w:lvl w:ilvl="0" w:tplc="F6FA98BA">
        <w:start w:val="1"/>
        <w:numFmt w:val="bullet"/>
        <w:lvlText w:val="▪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1000F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939C6724">
        <w:start w:val="1"/>
        <w:numFmt w:val="bullet"/>
        <w:lvlText w:val="-"/>
        <w:lvlJc w:val="left"/>
        <w:pPr>
          <w:ind w:left="70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D0E5462">
        <w:start w:val="1"/>
        <w:numFmt w:val="bullet"/>
        <w:lvlText w:val="▪"/>
        <w:lvlJc w:val="left"/>
        <w:pPr>
          <w:ind w:left="142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DE403C">
        <w:start w:val="1"/>
        <w:numFmt w:val="bullet"/>
        <w:lvlText w:val="•"/>
        <w:lvlJc w:val="left"/>
        <w:pPr>
          <w:ind w:left="214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15601DC">
        <w:start w:val="1"/>
        <w:numFmt w:val="bullet"/>
        <w:lvlText w:val="o"/>
        <w:lvlJc w:val="left"/>
        <w:pPr>
          <w:ind w:left="286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5B63762">
        <w:start w:val="1"/>
        <w:numFmt w:val="bullet"/>
        <w:lvlText w:val="▪"/>
        <w:lvlJc w:val="left"/>
        <w:pPr>
          <w:ind w:left="358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2BCC410">
        <w:start w:val="1"/>
        <w:numFmt w:val="bullet"/>
        <w:lvlText w:val="•"/>
        <w:lvlJc w:val="left"/>
        <w:pPr>
          <w:ind w:left="430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5B63FD2">
        <w:start w:val="1"/>
        <w:numFmt w:val="bullet"/>
        <w:lvlText w:val="o"/>
        <w:lvlJc w:val="left"/>
        <w:pPr>
          <w:ind w:left="502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58836C">
        <w:start w:val="1"/>
        <w:numFmt w:val="bullet"/>
        <w:lvlText w:val="▪"/>
        <w:lvlJc w:val="left"/>
        <w:pPr>
          <w:ind w:left="574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2803091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0744B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722E8"/>
    <w:rsid w:val="00080D10"/>
    <w:rsid w:val="0008357F"/>
    <w:rsid w:val="000A4B01"/>
    <w:rsid w:val="000B4A98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347C8"/>
    <w:rsid w:val="001443BD"/>
    <w:rsid w:val="001577E9"/>
    <w:rsid w:val="0016067E"/>
    <w:rsid w:val="0016138C"/>
    <w:rsid w:val="0016539F"/>
    <w:rsid w:val="001731CE"/>
    <w:rsid w:val="001B7C20"/>
    <w:rsid w:val="001C0B32"/>
    <w:rsid w:val="001C30F3"/>
    <w:rsid w:val="001C4BE1"/>
    <w:rsid w:val="001D7ADF"/>
    <w:rsid w:val="001E0F71"/>
    <w:rsid w:val="001E370A"/>
    <w:rsid w:val="001E6D05"/>
    <w:rsid w:val="001E7C28"/>
    <w:rsid w:val="001F1BDF"/>
    <w:rsid w:val="001F5D54"/>
    <w:rsid w:val="001F7110"/>
    <w:rsid w:val="001F7E96"/>
    <w:rsid w:val="00202284"/>
    <w:rsid w:val="00212488"/>
    <w:rsid w:val="00220628"/>
    <w:rsid w:val="002304D2"/>
    <w:rsid w:val="00231B84"/>
    <w:rsid w:val="00234ABD"/>
    <w:rsid w:val="00236E2A"/>
    <w:rsid w:val="00237F62"/>
    <w:rsid w:val="00241209"/>
    <w:rsid w:val="0024586A"/>
    <w:rsid w:val="00256F0C"/>
    <w:rsid w:val="00262C05"/>
    <w:rsid w:val="00281D14"/>
    <w:rsid w:val="00282C13"/>
    <w:rsid w:val="002A0DF7"/>
    <w:rsid w:val="002A21D8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1E55"/>
    <w:rsid w:val="002F7E11"/>
    <w:rsid w:val="00304087"/>
    <w:rsid w:val="00306C60"/>
    <w:rsid w:val="00310ACD"/>
    <w:rsid w:val="0031379F"/>
    <w:rsid w:val="003174DF"/>
    <w:rsid w:val="00320A26"/>
    <w:rsid w:val="00321344"/>
    <w:rsid w:val="0032364A"/>
    <w:rsid w:val="0033451C"/>
    <w:rsid w:val="00336854"/>
    <w:rsid w:val="0034015C"/>
    <w:rsid w:val="0034425D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2F97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4313E7"/>
    <w:rsid w:val="0044763B"/>
    <w:rsid w:val="00451F34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1CEA"/>
    <w:rsid w:val="0055571E"/>
    <w:rsid w:val="00556F67"/>
    <w:rsid w:val="005639A5"/>
    <w:rsid w:val="00571A2F"/>
    <w:rsid w:val="0057611C"/>
    <w:rsid w:val="005833F0"/>
    <w:rsid w:val="00586243"/>
    <w:rsid w:val="00586CAF"/>
    <w:rsid w:val="005873E9"/>
    <w:rsid w:val="00587F0F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0518"/>
    <w:rsid w:val="00600C97"/>
    <w:rsid w:val="00607256"/>
    <w:rsid w:val="00613100"/>
    <w:rsid w:val="006144B1"/>
    <w:rsid w:val="00617E16"/>
    <w:rsid w:val="00624A14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739"/>
    <w:rsid w:val="00682EB9"/>
    <w:rsid w:val="00684362"/>
    <w:rsid w:val="0068441A"/>
    <w:rsid w:val="00690B19"/>
    <w:rsid w:val="006A0A3C"/>
    <w:rsid w:val="006A79F0"/>
    <w:rsid w:val="006B47EE"/>
    <w:rsid w:val="006B499F"/>
    <w:rsid w:val="006D1E1E"/>
    <w:rsid w:val="006D4996"/>
    <w:rsid w:val="006D54AB"/>
    <w:rsid w:val="006E3006"/>
    <w:rsid w:val="006E5032"/>
    <w:rsid w:val="006E5BDA"/>
    <w:rsid w:val="006E719D"/>
    <w:rsid w:val="006F0FC7"/>
    <w:rsid w:val="006F39A9"/>
    <w:rsid w:val="006F5B3F"/>
    <w:rsid w:val="006F670F"/>
    <w:rsid w:val="00703272"/>
    <w:rsid w:val="0070733C"/>
    <w:rsid w:val="00710AB1"/>
    <w:rsid w:val="00710C5D"/>
    <w:rsid w:val="0071348C"/>
    <w:rsid w:val="00717273"/>
    <w:rsid w:val="00720FD4"/>
    <w:rsid w:val="00724AF2"/>
    <w:rsid w:val="007266D3"/>
    <w:rsid w:val="0073096C"/>
    <w:rsid w:val="00742398"/>
    <w:rsid w:val="007507B5"/>
    <w:rsid w:val="0075091D"/>
    <w:rsid w:val="00753A24"/>
    <w:rsid w:val="00772188"/>
    <w:rsid w:val="00772204"/>
    <w:rsid w:val="007813D0"/>
    <w:rsid w:val="00785993"/>
    <w:rsid w:val="007866E2"/>
    <w:rsid w:val="00786BA3"/>
    <w:rsid w:val="0079202F"/>
    <w:rsid w:val="00795AF2"/>
    <w:rsid w:val="007A2AAD"/>
    <w:rsid w:val="007A4432"/>
    <w:rsid w:val="007A56D3"/>
    <w:rsid w:val="007A784E"/>
    <w:rsid w:val="007B2FD3"/>
    <w:rsid w:val="007B499C"/>
    <w:rsid w:val="007B4D4B"/>
    <w:rsid w:val="007C4C95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6530"/>
    <w:rsid w:val="00847726"/>
    <w:rsid w:val="0085234C"/>
    <w:rsid w:val="00852511"/>
    <w:rsid w:val="00857B11"/>
    <w:rsid w:val="008614F1"/>
    <w:rsid w:val="008639B3"/>
    <w:rsid w:val="00863C1A"/>
    <w:rsid w:val="0087142D"/>
    <w:rsid w:val="00873956"/>
    <w:rsid w:val="00875143"/>
    <w:rsid w:val="00880E72"/>
    <w:rsid w:val="008825EE"/>
    <w:rsid w:val="0088596E"/>
    <w:rsid w:val="0089796A"/>
    <w:rsid w:val="008A2375"/>
    <w:rsid w:val="008B1FEB"/>
    <w:rsid w:val="008C56CF"/>
    <w:rsid w:val="008D31C9"/>
    <w:rsid w:val="008D76C5"/>
    <w:rsid w:val="008E0AFA"/>
    <w:rsid w:val="008E1A10"/>
    <w:rsid w:val="008E3965"/>
    <w:rsid w:val="008E75D3"/>
    <w:rsid w:val="008F125E"/>
    <w:rsid w:val="008F4D2F"/>
    <w:rsid w:val="00906292"/>
    <w:rsid w:val="009076AF"/>
    <w:rsid w:val="0091250E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579A"/>
    <w:rsid w:val="009918CC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C587E"/>
    <w:rsid w:val="009D1522"/>
    <w:rsid w:val="009D7252"/>
    <w:rsid w:val="009E5EB4"/>
    <w:rsid w:val="00A01F56"/>
    <w:rsid w:val="00A044D6"/>
    <w:rsid w:val="00A04ADB"/>
    <w:rsid w:val="00A064B9"/>
    <w:rsid w:val="00A11E0F"/>
    <w:rsid w:val="00A26CB6"/>
    <w:rsid w:val="00A32F82"/>
    <w:rsid w:val="00A32F8B"/>
    <w:rsid w:val="00A3756F"/>
    <w:rsid w:val="00A42D6F"/>
    <w:rsid w:val="00A45A62"/>
    <w:rsid w:val="00A50098"/>
    <w:rsid w:val="00A54AC5"/>
    <w:rsid w:val="00A55DC3"/>
    <w:rsid w:val="00A56D41"/>
    <w:rsid w:val="00A61353"/>
    <w:rsid w:val="00A66DB1"/>
    <w:rsid w:val="00A67A92"/>
    <w:rsid w:val="00A82DA9"/>
    <w:rsid w:val="00A87870"/>
    <w:rsid w:val="00A91A70"/>
    <w:rsid w:val="00A9216C"/>
    <w:rsid w:val="00AA1B85"/>
    <w:rsid w:val="00AB1CB6"/>
    <w:rsid w:val="00AB1D9A"/>
    <w:rsid w:val="00AD44FE"/>
    <w:rsid w:val="00AE49F1"/>
    <w:rsid w:val="00B05CCA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337E"/>
    <w:rsid w:val="00B958E8"/>
    <w:rsid w:val="00B97E4A"/>
    <w:rsid w:val="00BA09B2"/>
    <w:rsid w:val="00BA3952"/>
    <w:rsid w:val="00BA5B46"/>
    <w:rsid w:val="00BB090F"/>
    <w:rsid w:val="00BB1DFA"/>
    <w:rsid w:val="00BB58ED"/>
    <w:rsid w:val="00BB5D0B"/>
    <w:rsid w:val="00BC0995"/>
    <w:rsid w:val="00BE34E5"/>
    <w:rsid w:val="00BE793A"/>
    <w:rsid w:val="00BF2B82"/>
    <w:rsid w:val="00BF432A"/>
    <w:rsid w:val="00BF6C1E"/>
    <w:rsid w:val="00BF6E82"/>
    <w:rsid w:val="00C060C7"/>
    <w:rsid w:val="00C24C17"/>
    <w:rsid w:val="00C3758F"/>
    <w:rsid w:val="00C40B88"/>
    <w:rsid w:val="00C42C93"/>
    <w:rsid w:val="00C43BE0"/>
    <w:rsid w:val="00C47D87"/>
    <w:rsid w:val="00C5376E"/>
    <w:rsid w:val="00C808A6"/>
    <w:rsid w:val="00C97091"/>
    <w:rsid w:val="00C97260"/>
    <w:rsid w:val="00CA2001"/>
    <w:rsid w:val="00CB3731"/>
    <w:rsid w:val="00CB5B6C"/>
    <w:rsid w:val="00CB7564"/>
    <w:rsid w:val="00CC052E"/>
    <w:rsid w:val="00CD16BE"/>
    <w:rsid w:val="00CD4616"/>
    <w:rsid w:val="00CD47AC"/>
    <w:rsid w:val="00CD56AF"/>
    <w:rsid w:val="00CE33D5"/>
    <w:rsid w:val="00CE4BEB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6BBE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62029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A6DF1"/>
    <w:rsid w:val="00EB46D9"/>
    <w:rsid w:val="00EC142D"/>
    <w:rsid w:val="00EC1E16"/>
    <w:rsid w:val="00EC5599"/>
    <w:rsid w:val="00ED0024"/>
    <w:rsid w:val="00ED0F85"/>
    <w:rsid w:val="00ED2B5C"/>
    <w:rsid w:val="00ED3269"/>
    <w:rsid w:val="00ED33DA"/>
    <w:rsid w:val="00ED6D8E"/>
    <w:rsid w:val="00EE1A8C"/>
    <w:rsid w:val="00EE4643"/>
    <w:rsid w:val="00EE7699"/>
    <w:rsid w:val="00EF1330"/>
    <w:rsid w:val="00EF15FF"/>
    <w:rsid w:val="00EF7111"/>
    <w:rsid w:val="00EF7D1A"/>
    <w:rsid w:val="00F00D99"/>
    <w:rsid w:val="00F02E48"/>
    <w:rsid w:val="00F0448F"/>
    <w:rsid w:val="00F0716C"/>
    <w:rsid w:val="00F21DC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0BFF"/>
    <w:rsid w:val="00F8309B"/>
    <w:rsid w:val="00F833C9"/>
    <w:rsid w:val="00F90064"/>
    <w:rsid w:val="00F96AFD"/>
    <w:rsid w:val="00FA1398"/>
    <w:rsid w:val="00FA2E19"/>
    <w:rsid w:val="00FA697F"/>
    <w:rsid w:val="00FB082F"/>
    <w:rsid w:val="00FB5521"/>
    <w:rsid w:val="00FB610D"/>
    <w:rsid w:val="00FC0F62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Odsekzoznamu">
    <w:name w:val="List Paragraph"/>
    <w:basedOn w:val="Normlny"/>
    <w:qFormat/>
    <w:rsid w:val="0034425D"/>
    <w:pPr>
      <w:ind w:left="720"/>
      <w:contextualSpacing/>
    </w:pPr>
  </w:style>
  <w:style w:type="character" w:styleId="Odkaznakomentr">
    <w:name w:val="annotation reference"/>
    <w:basedOn w:val="Predvolenpsmoodseku"/>
    <w:rsid w:val="00BB1DF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B1DF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BB1DF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BB1D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BB1DFA"/>
    <w:rPr>
      <w:b/>
      <w:bCs/>
      <w:sz w:val="20"/>
      <w:szCs w:val="20"/>
    </w:rPr>
  </w:style>
  <w:style w:type="numbering" w:customStyle="1" w:styleId="Importovantl1">
    <w:name w:val="Importovaný štýl 1"/>
    <w:rsid w:val="00F80BFF"/>
    <w:pPr>
      <w:numPr>
        <w:numId w:val="9"/>
      </w:numPr>
    </w:pPr>
  </w:style>
  <w:style w:type="paragraph" w:styleId="Zkladntext">
    <w:name w:val="Body Text"/>
    <w:link w:val="ZkladntextChar"/>
    <w:rsid w:val="0032364A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de-DE" w:eastAsia="sk-SK"/>
    </w:rPr>
  </w:style>
  <w:style w:type="character" w:customStyle="1" w:styleId="ZkladntextChar">
    <w:name w:val="Základný text Char"/>
    <w:basedOn w:val="Predvolenpsmoodseku"/>
    <w:link w:val="Zkladntext"/>
    <w:rsid w:val="0032364A"/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de-DE" w:eastAsia="sk-SK"/>
    </w:rPr>
  </w:style>
  <w:style w:type="paragraph" w:customStyle="1" w:styleId="Predvolen">
    <w:name w:val="Predvolené"/>
    <w:rsid w:val="006D1E1E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u w:color="000000"/>
      <w:bdr w:val="nil"/>
      <w:lang w:val="sk-SK"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iadne">
    <w:name w:val="Žiadne"/>
    <w:rsid w:val="006D1E1E"/>
  </w:style>
  <w:style w:type="character" w:customStyle="1" w:styleId="Hyperlink0">
    <w:name w:val="Hyperlink.0"/>
    <w:basedOn w:val="iadne"/>
    <w:rsid w:val="006D1E1E"/>
    <w:rPr>
      <w:sz w:val="22"/>
      <w:szCs w:val="22"/>
      <w:u w:val="single"/>
    </w:rPr>
  </w:style>
  <w:style w:type="character" w:styleId="PouitHypertextovPrepojenie">
    <w:name w:val="FollowedHyperlink"/>
    <w:basedOn w:val="Predvolenpsmoodseku"/>
    <w:rsid w:val="001E37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nkel-adhesives.com/us/en/industries/automotive/paint-shop-solutions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pplierspartnership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4.xml><?xml version="1.0" encoding="utf-8"?>
<ds:datastoreItem xmlns:ds="http://schemas.openxmlformats.org/officeDocument/2006/customXml" ds:itemID="{BCCFBE03-B1A1-4D9A-B0B5-A76A74EDD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54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4353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Martina Poliačková (seesame.com)</cp:lastModifiedBy>
  <cp:revision>86</cp:revision>
  <cp:lastPrinted>2016-11-16T01:11:00Z</cp:lastPrinted>
  <dcterms:created xsi:type="dcterms:W3CDTF">2020-07-16T10:22:00Z</dcterms:created>
  <dcterms:modified xsi:type="dcterms:W3CDTF">2022-12-06T17:05:00Z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8ac6efdf7f223c0372f154cc6345f8a73801a51545defc36ab4863b0495c9821</vt:lpwstr>
  </property>
</Properties>
</file>