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573D8706" w:rsidR="00393BFE" w:rsidRPr="00383DE5" w:rsidRDefault="0065500C" w:rsidP="00393BFE">
      <w:pPr>
        <w:pStyle w:val="MonthDayYear"/>
        <w:rPr>
          <w:lang w:val="sk-SK"/>
        </w:rPr>
      </w:pPr>
      <w:r>
        <w:rPr>
          <w:lang w:val="sk-SK"/>
        </w:rPr>
        <w:t>2</w:t>
      </w:r>
      <w:r w:rsidR="00782BE7">
        <w:rPr>
          <w:lang w:val="sk-SK"/>
        </w:rPr>
        <w:t>5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>október</w:t>
      </w:r>
      <w:r w:rsidR="00E32F05">
        <w:rPr>
          <w:lang w:val="sk-SK"/>
        </w:rPr>
        <w:t xml:space="preserve">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71ABF658" w14:textId="77777777" w:rsidR="00782BE7" w:rsidRPr="004D2A75" w:rsidRDefault="00782BE7" w:rsidP="00782BE7">
      <w:pPr>
        <w:rPr>
          <w:rFonts w:cs="Segoe UI"/>
          <w:szCs w:val="22"/>
          <w:lang w:val="sk-SK"/>
        </w:rPr>
      </w:pPr>
      <w:r w:rsidRPr="0099484C">
        <w:rPr>
          <w:rFonts w:cs="Segoe UI"/>
          <w:szCs w:val="22"/>
          <w:lang w:val="sk-SK" w:bidi="bo-CN"/>
        </w:rPr>
        <w:t xml:space="preserve">Henkel prináša na trh </w:t>
      </w:r>
      <w:proofErr w:type="spellStart"/>
      <w:r w:rsidRPr="0099484C">
        <w:rPr>
          <w:rFonts w:cs="Segoe UI"/>
          <w:szCs w:val="22"/>
          <w:lang w:val="sk-SK" w:bidi="bo-CN"/>
        </w:rPr>
        <w:t>bezsilikónové</w:t>
      </w:r>
      <w:proofErr w:type="spellEnd"/>
      <w:r w:rsidRPr="0099484C">
        <w:rPr>
          <w:rFonts w:cs="Segoe UI"/>
          <w:szCs w:val="22"/>
          <w:lang w:val="sk-SK" w:bidi="bo-CN"/>
        </w:rPr>
        <w:t xml:space="preserve"> </w:t>
      </w:r>
      <w:proofErr w:type="spellStart"/>
      <w:r w:rsidRPr="0099484C">
        <w:rPr>
          <w:rFonts w:cs="Segoe UI"/>
          <w:szCs w:val="22"/>
          <w:lang w:val="sk-SK" w:bidi="bo-CN"/>
        </w:rPr>
        <w:t>tepelnoregulačné</w:t>
      </w:r>
      <w:proofErr w:type="spellEnd"/>
      <w:r w:rsidRPr="0099484C">
        <w:rPr>
          <w:rFonts w:cs="Segoe UI"/>
          <w:szCs w:val="22"/>
          <w:lang w:val="sk-SK" w:bidi="bo-CN"/>
        </w:rPr>
        <w:t xml:space="preserve"> riešenie pre batérie s rýchlym dávkovaním</w:t>
      </w:r>
      <w:r w:rsidRPr="0099484C">
        <w:rPr>
          <w:rFonts w:cs="Segoe UI"/>
          <w:szCs w:val="22"/>
          <w:lang w:val="sk-SK"/>
        </w:rPr>
        <w:t xml:space="preserve"> </w:t>
      </w:r>
    </w:p>
    <w:p w14:paraId="6D169284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15FFB83C" w14:textId="77777777" w:rsidR="00782BE7" w:rsidRPr="0099484C" w:rsidRDefault="00782BE7" w:rsidP="00782BE7">
      <w:pPr>
        <w:rPr>
          <w:b/>
          <w:bCs/>
          <w:sz w:val="32"/>
          <w:lang w:val="sk-SK"/>
        </w:rPr>
      </w:pPr>
      <w:r w:rsidRPr="0099484C">
        <w:rPr>
          <w:b/>
          <w:bCs/>
          <w:sz w:val="32"/>
          <w:lang w:val="sk-SK" w:bidi="bo-CN"/>
        </w:rPr>
        <w:t xml:space="preserve">Henkel rozširuje svoju ponuku riešení pre výrobcov batérií do elektromobilov o </w:t>
      </w:r>
      <w:proofErr w:type="spellStart"/>
      <w:r w:rsidRPr="0099484C">
        <w:rPr>
          <w:b/>
          <w:bCs/>
          <w:sz w:val="32"/>
          <w:lang w:val="sk-SK" w:bidi="bo-CN"/>
        </w:rPr>
        <w:t>Bergquist</w:t>
      </w:r>
      <w:proofErr w:type="spellEnd"/>
      <w:r w:rsidRPr="0099484C">
        <w:rPr>
          <w:b/>
          <w:bCs/>
          <w:sz w:val="32"/>
          <w:lang w:val="sk-SK" w:bidi="bo-CN"/>
        </w:rPr>
        <w:t xml:space="preserve"> TGF 2010 APS </w:t>
      </w:r>
    </w:p>
    <w:p w14:paraId="0E4B8707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0287D7FC" w14:textId="77777777" w:rsidR="00782BE7" w:rsidRPr="004D2A75" w:rsidRDefault="00782BE7" w:rsidP="00782BE7">
      <w:pPr>
        <w:rPr>
          <w:rFonts w:cs="Segoe UI"/>
          <w:szCs w:val="22"/>
          <w:lang w:val="sk-SK"/>
        </w:rPr>
      </w:pPr>
      <w:proofErr w:type="spellStart"/>
      <w:r w:rsidRPr="004D2A75">
        <w:rPr>
          <w:rFonts w:cs="Segoe UI"/>
          <w:szCs w:val="22"/>
          <w:lang w:val="sk-SK"/>
        </w:rPr>
        <w:t>Düsseldorf</w:t>
      </w:r>
      <w:proofErr w:type="spellEnd"/>
      <w:r w:rsidRPr="004D2A75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>S rýchlo rastúcim dopytom po elektromobiloch hľadajú ich výrobcovia nové spôsoby výroby lepších a bezpečnejších batérií, ktoré umožnia riadenie termálnych rizík a zároveň zvýšia produktivitu a znížia náklady.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 xml:space="preserve">Ako odborný partner výrobcov originálneho automobilového príslušenstva a súčiastok divízia Henkel </w:t>
      </w:r>
      <w:proofErr w:type="spellStart"/>
      <w:r w:rsidRPr="0099484C">
        <w:rPr>
          <w:rFonts w:cs="Segoe UI"/>
          <w:szCs w:val="22"/>
          <w:lang w:val="sk-SK" w:bidi="bo-CN"/>
        </w:rPr>
        <w:t>Adhesive</w:t>
      </w:r>
      <w:proofErr w:type="spellEnd"/>
      <w:r w:rsidRPr="0099484C">
        <w:rPr>
          <w:rFonts w:cs="Segoe UI"/>
          <w:szCs w:val="22"/>
          <w:lang w:val="sk-SK" w:bidi="bo-CN"/>
        </w:rPr>
        <w:t xml:space="preserve"> Technologies prináša inovácie na dosiahnutie týchto cieľov.</w:t>
      </w:r>
      <w:r w:rsidRPr="0099484C">
        <w:rPr>
          <w:rFonts w:cs="Segoe UI"/>
          <w:szCs w:val="22"/>
          <w:lang w:val="sk-SK"/>
        </w:rPr>
        <w:t xml:space="preserve"> </w:t>
      </w:r>
    </w:p>
    <w:p w14:paraId="30759A1E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2AA633E3" w14:textId="77777777" w:rsidR="00782BE7" w:rsidRPr="0099484C" w:rsidRDefault="00782BE7" w:rsidP="00782BE7">
      <w:pPr>
        <w:rPr>
          <w:rFonts w:cs="Segoe UI"/>
          <w:szCs w:val="22"/>
          <w:lang w:val="sk-SK"/>
        </w:rPr>
      </w:pPr>
      <w:r w:rsidRPr="0099484C">
        <w:rPr>
          <w:rFonts w:cs="Segoe UI"/>
          <w:szCs w:val="22"/>
          <w:lang w:val="sk-SK" w:bidi="bo-CN"/>
        </w:rPr>
        <w:t xml:space="preserve"> </w:t>
      </w:r>
      <w:r w:rsidRPr="00684F9D">
        <w:rPr>
          <w:rFonts w:cs="Segoe UI"/>
          <w:i/>
          <w:iCs/>
          <w:szCs w:val="22"/>
          <w:lang w:val="sk-SK" w:bidi="bo-CN"/>
        </w:rPr>
        <w:t xml:space="preserve">„Rýchly vývoj smerom k mobilite s nulovými emisiami, predovšetkým </w:t>
      </w:r>
      <w:proofErr w:type="spellStart"/>
      <w:r w:rsidRPr="00684F9D">
        <w:rPr>
          <w:rFonts w:cs="Segoe UI"/>
          <w:i/>
          <w:iCs/>
          <w:szCs w:val="22"/>
          <w:lang w:val="sk-SK" w:bidi="bo-CN"/>
        </w:rPr>
        <w:t>elektromobilite</w:t>
      </w:r>
      <w:proofErr w:type="spellEnd"/>
      <w:r w:rsidRPr="00684F9D">
        <w:rPr>
          <w:rFonts w:cs="Segoe UI"/>
          <w:i/>
          <w:iCs/>
          <w:szCs w:val="22"/>
          <w:lang w:val="sk-SK" w:bidi="bo-CN"/>
        </w:rPr>
        <w:t>, si vyžaduje kontinuálne inovácie, ktoré uspokoja dopyt v tejto oblasti,“</w:t>
      </w:r>
      <w:r w:rsidRPr="0099484C">
        <w:rPr>
          <w:rFonts w:cs="Segoe UI"/>
          <w:szCs w:val="22"/>
          <w:lang w:val="sk-SK" w:bidi="bo-CN"/>
        </w:rPr>
        <w:t xml:space="preserve"> hovorí </w:t>
      </w:r>
      <w:proofErr w:type="spellStart"/>
      <w:r w:rsidRPr="0099484C">
        <w:rPr>
          <w:rFonts w:cs="Segoe UI"/>
          <w:szCs w:val="22"/>
          <w:lang w:val="sk-SK" w:bidi="bo-CN"/>
        </w:rPr>
        <w:t>Stephan</w:t>
      </w:r>
      <w:proofErr w:type="spellEnd"/>
      <w:r w:rsidRPr="0099484C">
        <w:rPr>
          <w:rFonts w:cs="Segoe UI"/>
          <w:szCs w:val="22"/>
          <w:lang w:val="sk-SK" w:bidi="bo-CN"/>
        </w:rPr>
        <w:t xml:space="preserve"> </w:t>
      </w:r>
      <w:proofErr w:type="spellStart"/>
      <w:r w:rsidRPr="0099484C">
        <w:rPr>
          <w:rFonts w:cs="Segoe UI"/>
          <w:szCs w:val="22"/>
          <w:lang w:val="sk-SK" w:bidi="bo-CN"/>
        </w:rPr>
        <w:t>Hoefer</w:t>
      </w:r>
      <w:proofErr w:type="spellEnd"/>
      <w:r w:rsidRPr="0099484C">
        <w:rPr>
          <w:rFonts w:cs="Segoe UI"/>
          <w:szCs w:val="22"/>
          <w:lang w:val="sk-SK" w:bidi="bo-CN"/>
        </w:rPr>
        <w:t>, riaditeľ globálnej trhovej stratégi</w:t>
      </w:r>
      <w:r>
        <w:rPr>
          <w:rFonts w:cs="Segoe UI"/>
          <w:szCs w:val="22"/>
          <w:lang w:val="sk-SK" w:bidi="bo-CN"/>
        </w:rPr>
        <w:t>e</w:t>
      </w:r>
      <w:r w:rsidRPr="0099484C">
        <w:rPr>
          <w:rFonts w:cs="Segoe UI"/>
          <w:szCs w:val="22"/>
          <w:lang w:val="sk-SK" w:bidi="bo-CN"/>
        </w:rPr>
        <w:t xml:space="preserve"> pre </w:t>
      </w:r>
      <w:proofErr w:type="spellStart"/>
      <w:r w:rsidRPr="0099484C">
        <w:rPr>
          <w:rFonts w:cs="Segoe UI"/>
          <w:szCs w:val="22"/>
          <w:lang w:val="sk-SK" w:bidi="bo-CN"/>
        </w:rPr>
        <w:t>elektromobilitu</w:t>
      </w:r>
      <w:proofErr w:type="spellEnd"/>
      <w:r w:rsidRPr="0099484C">
        <w:rPr>
          <w:rFonts w:cs="Segoe UI"/>
          <w:szCs w:val="22"/>
          <w:lang w:val="sk-SK" w:bidi="bo-CN"/>
        </w:rPr>
        <w:t xml:space="preserve"> v spoločnosti Henkel.</w:t>
      </w:r>
      <w:r w:rsidRPr="0099484C">
        <w:rPr>
          <w:rFonts w:cs="Segoe UI"/>
          <w:szCs w:val="22"/>
          <w:lang w:val="sk-SK"/>
        </w:rPr>
        <w:t xml:space="preserve"> </w:t>
      </w:r>
      <w:r w:rsidRPr="00E6154B">
        <w:rPr>
          <w:rFonts w:cs="Segoe UI"/>
          <w:i/>
          <w:iCs/>
          <w:szCs w:val="22"/>
          <w:lang w:val="sk-SK" w:bidi="bo-CN"/>
        </w:rPr>
        <w:t xml:space="preserve">„Tento obrovský trhový potenciál je hnacou silou úsilia spoločnosti Henkel o ďalšie rozšírenie portfólia riešení pre </w:t>
      </w:r>
      <w:proofErr w:type="spellStart"/>
      <w:r w:rsidRPr="00E6154B">
        <w:rPr>
          <w:rFonts w:cs="Segoe UI"/>
          <w:i/>
          <w:iCs/>
          <w:szCs w:val="22"/>
          <w:lang w:val="sk-SK" w:bidi="bo-CN"/>
        </w:rPr>
        <w:t>elektromobilitu</w:t>
      </w:r>
      <w:proofErr w:type="spellEnd"/>
      <w:r w:rsidRPr="00E6154B">
        <w:rPr>
          <w:rFonts w:cs="Segoe UI"/>
          <w:i/>
          <w:iCs/>
          <w:szCs w:val="22"/>
          <w:lang w:val="sk-SK" w:bidi="bo-CN"/>
        </w:rPr>
        <w:t xml:space="preserve">, najmä v oblasti </w:t>
      </w:r>
      <w:proofErr w:type="spellStart"/>
      <w:r w:rsidRPr="00E6154B">
        <w:rPr>
          <w:rFonts w:cs="Segoe UI"/>
          <w:i/>
          <w:iCs/>
          <w:szCs w:val="22"/>
          <w:lang w:val="sk-SK" w:bidi="bo-CN"/>
        </w:rPr>
        <w:t>teplovodivých</w:t>
      </w:r>
      <w:proofErr w:type="spellEnd"/>
      <w:r w:rsidRPr="00E6154B">
        <w:rPr>
          <w:rFonts w:cs="Segoe UI"/>
          <w:i/>
          <w:iCs/>
          <w:szCs w:val="22"/>
          <w:lang w:val="sk-SK" w:bidi="bo-CN"/>
        </w:rPr>
        <w:t xml:space="preserve"> materiálov.“</w:t>
      </w:r>
    </w:p>
    <w:p w14:paraId="452164C8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2D2413EA" w14:textId="77777777" w:rsidR="00782BE7" w:rsidRPr="004D2A75" w:rsidRDefault="00782BE7" w:rsidP="00782BE7">
      <w:pPr>
        <w:rPr>
          <w:rFonts w:cs="Segoe UI"/>
          <w:szCs w:val="22"/>
          <w:lang w:val="sk-SK"/>
        </w:rPr>
      </w:pPr>
      <w:r w:rsidRPr="0099484C">
        <w:rPr>
          <w:rFonts w:cs="Segoe UI"/>
          <w:szCs w:val="22"/>
          <w:lang w:val="sk-SK" w:bidi="bo-CN"/>
        </w:rPr>
        <w:t xml:space="preserve">Spoločnosť Henkel teraz uvádza na trh nový produkt z portfólia riešení pre batérie do elektromobilov – </w:t>
      </w:r>
      <w:proofErr w:type="spellStart"/>
      <w:r w:rsidRPr="0099484C">
        <w:rPr>
          <w:rFonts w:cs="Segoe UI"/>
          <w:szCs w:val="22"/>
          <w:lang w:val="sk-SK" w:bidi="bo-CN"/>
        </w:rPr>
        <w:t>Bergquist</w:t>
      </w:r>
      <w:proofErr w:type="spellEnd"/>
      <w:r w:rsidRPr="0099484C">
        <w:rPr>
          <w:rFonts w:cs="Segoe UI"/>
          <w:szCs w:val="22"/>
          <w:lang w:val="sk-SK" w:bidi="bo-CN"/>
        </w:rPr>
        <w:t xml:space="preserve"> TGF 2010 APS – novú dvojzložkovú </w:t>
      </w:r>
      <w:proofErr w:type="spellStart"/>
      <w:r w:rsidRPr="0099484C">
        <w:rPr>
          <w:rFonts w:cs="Segoe UI"/>
          <w:szCs w:val="22"/>
          <w:lang w:val="sk-SK" w:bidi="bo-CN"/>
        </w:rPr>
        <w:t>bezsilikónovú</w:t>
      </w:r>
      <w:proofErr w:type="spellEnd"/>
      <w:r w:rsidRPr="0099484C">
        <w:rPr>
          <w:rFonts w:cs="Segoe UI"/>
          <w:szCs w:val="22"/>
          <w:lang w:val="sk-SK" w:bidi="bo-CN"/>
        </w:rPr>
        <w:t xml:space="preserve"> tekutú výplň medzier.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 xml:space="preserve">Nová tepelná výplň vďaka svojim vysokovýkonným </w:t>
      </w:r>
      <w:proofErr w:type="spellStart"/>
      <w:r w:rsidRPr="0099484C">
        <w:rPr>
          <w:rFonts w:cs="Segoe UI"/>
          <w:szCs w:val="22"/>
          <w:lang w:val="sk-SK" w:bidi="bo-CN"/>
        </w:rPr>
        <w:t>tepelnorozptylovým</w:t>
      </w:r>
      <w:proofErr w:type="spellEnd"/>
      <w:r w:rsidRPr="0099484C">
        <w:rPr>
          <w:rFonts w:cs="Segoe UI"/>
          <w:szCs w:val="22"/>
          <w:lang w:val="sk-SK" w:bidi="bo-CN"/>
        </w:rPr>
        <w:t xml:space="preserve"> vlastnostiam prispieva k dlhšej životnosti automobilových batérií a zároveň výrobcom pomáha zrýchliť ich výrobu a optimalizovať náklady na údržbu </w:t>
      </w:r>
      <w:r>
        <w:rPr>
          <w:rFonts w:cs="Segoe UI"/>
          <w:szCs w:val="22"/>
          <w:lang w:val="sk-SK" w:bidi="bo-CN"/>
        </w:rPr>
        <w:t>výrobných zariadení</w:t>
      </w:r>
      <w:r w:rsidRPr="0099484C">
        <w:rPr>
          <w:rFonts w:cs="Segoe UI"/>
          <w:szCs w:val="22"/>
          <w:lang w:val="sk-SK" w:bidi="bo-CN"/>
        </w:rPr>
        <w:t>. Jej zloženie bez obsahu silikónu eliminuje riziko úniku silikónových výparov, preto nemá negatívne účinky na elektrické spoje alebo povrchy, ktoré sa majú natierať.</w:t>
      </w:r>
      <w:r w:rsidRPr="0099484C">
        <w:rPr>
          <w:rFonts w:cs="Segoe UI"/>
          <w:szCs w:val="22"/>
          <w:lang w:val="sk-SK"/>
        </w:rPr>
        <w:t xml:space="preserve"> </w:t>
      </w:r>
    </w:p>
    <w:p w14:paraId="5C1CC7E1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572CF4B4" w14:textId="77777777" w:rsidR="00782BE7" w:rsidRPr="0099484C" w:rsidRDefault="00782BE7" w:rsidP="00782BE7">
      <w:pPr>
        <w:rPr>
          <w:rFonts w:cs="Segoe UI"/>
          <w:szCs w:val="22"/>
          <w:lang w:val="sk-SK"/>
        </w:rPr>
      </w:pPr>
      <w:r w:rsidRPr="0099484C">
        <w:rPr>
          <w:rFonts w:cs="Segoe UI"/>
          <w:szCs w:val="22"/>
          <w:lang w:val="sk-SK" w:bidi="bo-CN"/>
        </w:rPr>
        <w:t>Nové riešenie, ktoré spoločnosť Henkel vyvinula v spolupráci so zákazníkmi a dodávateľmi dávkovacích technológií, sa už osvedčilo aj pri nasadení vo výrobe: Jeden z výrobcov originálnych automobilových komponentov potvrdil, že vďaka vysokej rýchlosti dávkovania 80 cm</w:t>
      </w:r>
      <w:r w:rsidRPr="00E44D74">
        <w:rPr>
          <w:rFonts w:cs="Segoe UI"/>
          <w:szCs w:val="22"/>
          <w:vertAlign w:val="superscript"/>
          <w:lang w:val="sk-SK" w:bidi="bo-CN"/>
        </w:rPr>
        <w:t>3</w:t>
      </w:r>
      <w:r w:rsidRPr="0099484C">
        <w:rPr>
          <w:rFonts w:cs="Segoe UI"/>
          <w:szCs w:val="22"/>
          <w:lang w:val="sk-SK" w:bidi="bo-CN"/>
        </w:rPr>
        <w:t xml:space="preserve">/sekundu a celkovému času </w:t>
      </w:r>
      <w:r>
        <w:rPr>
          <w:rFonts w:cs="Segoe UI"/>
          <w:szCs w:val="22"/>
          <w:lang w:val="sk-SK" w:bidi="bo-CN"/>
        </w:rPr>
        <w:t>nanášania</w:t>
      </w:r>
      <w:r w:rsidRPr="0099484C">
        <w:rPr>
          <w:rFonts w:cs="Segoe UI"/>
          <w:szCs w:val="22"/>
          <w:lang w:val="sk-SK" w:bidi="bo-CN"/>
        </w:rPr>
        <w:t xml:space="preserve"> približne 60 sekúnd, sa mu podarilo zvýšiť </w:t>
      </w:r>
      <w:r>
        <w:rPr>
          <w:rFonts w:cs="Segoe UI"/>
          <w:szCs w:val="22"/>
          <w:lang w:val="sk-SK" w:bidi="bo-CN"/>
        </w:rPr>
        <w:t>dennú kapacitu výroby na</w:t>
      </w:r>
      <w:r w:rsidRPr="0099484C">
        <w:rPr>
          <w:rFonts w:cs="Segoe UI"/>
          <w:szCs w:val="22"/>
          <w:lang w:val="sk-SK" w:bidi="bo-CN"/>
        </w:rPr>
        <w:t xml:space="preserve"> 800 akumulátorových batérií </w:t>
      </w:r>
      <w:r>
        <w:rPr>
          <w:rFonts w:cs="Segoe UI"/>
          <w:szCs w:val="22"/>
          <w:lang w:val="sk-SK" w:bidi="bo-CN"/>
        </w:rPr>
        <w:t>na výrobnú linku</w:t>
      </w:r>
      <w:r w:rsidRPr="0099484C">
        <w:rPr>
          <w:rFonts w:cs="Segoe UI"/>
          <w:szCs w:val="22"/>
          <w:lang w:val="sk-SK" w:bidi="bo-CN"/>
        </w:rPr>
        <w:t>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 xml:space="preserve">Teplotná vodivosť výrobku </w:t>
      </w:r>
      <w:proofErr w:type="spellStart"/>
      <w:r w:rsidRPr="0099484C">
        <w:rPr>
          <w:rFonts w:cs="Segoe UI"/>
          <w:szCs w:val="22"/>
          <w:lang w:val="sk-SK" w:bidi="bo-CN"/>
        </w:rPr>
        <w:lastRenderedPageBreak/>
        <w:t>Bergquist</w:t>
      </w:r>
      <w:proofErr w:type="spellEnd"/>
      <w:r w:rsidRPr="0099484C">
        <w:rPr>
          <w:rFonts w:cs="Segoe UI"/>
          <w:szCs w:val="22"/>
          <w:lang w:val="sk-SK" w:bidi="bo-CN"/>
        </w:rPr>
        <w:t xml:space="preserve"> TGF 2010 APS na úrovni 2,0 W/</w:t>
      </w:r>
      <w:proofErr w:type="spellStart"/>
      <w:r w:rsidRPr="0099484C">
        <w:rPr>
          <w:rFonts w:cs="Segoe UI"/>
          <w:szCs w:val="22"/>
          <w:lang w:val="sk-SK" w:bidi="bo-CN"/>
        </w:rPr>
        <w:t>mK</w:t>
      </w:r>
      <w:proofErr w:type="spellEnd"/>
      <w:r w:rsidRPr="0099484C">
        <w:rPr>
          <w:rFonts w:cs="Segoe UI"/>
          <w:szCs w:val="22"/>
          <w:lang w:val="sk-SK" w:bidi="bo-CN"/>
        </w:rPr>
        <w:t xml:space="preserve"> zabezpečuje dostatočný tepelný rozptyl.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>Optimalizované zloženie výplne s nízkymi abrazívnymi vlastnosťami prispieva k jednoduchšej údržbe a menšiemu opotrebovaniu dávkovacích zariadení.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>Naše nové výplňové riešenie s rýchlym dávkovaním zároveň umožňuje zvýšiť výrobné kapacity liniek bez potreby investícií do dodatočného vybavenia.</w:t>
      </w:r>
      <w:r w:rsidRPr="0099484C">
        <w:rPr>
          <w:rFonts w:cs="Segoe UI"/>
          <w:szCs w:val="22"/>
          <w:lang w:val="sk-SK"/>
        </w:rPr>
        <w:t xml:space="preserve"> </w:t>
      </w:r>
      <w:r w:rsidRPr="0099484C">
        <w:rPr>
          <w:rFonts w:cs="Segoe UI"/>
          <w:szCs w:val="22"/>
          <w:lang w:val="sk-SK" w:bidi="bo-CN"/>
        </w:rPr>
        <w:t>Nízka deformovateľnosť materiálu umožňuje rýchlu montáž akumulátorových batérií.</w:t>
      </w:r>
    </w:p>
    <w:p w14:paraId="72B481CB" w14:textId="77777777" w:rsidR="00782BE7" w:rsidRPr="004D2A75" w:rsidRDefault="00782BE7" w:rsidP="00782BE7">
      <w:pPr>
        <w:rPr>
          <w:rFonts w:cs="Segoe UI"/>
          <w:szCs w:val="22"/>
          <w:lang w:val="sk-SK"/>
        </w:rPr>
      </w:pPr>
    </w:p>
    <w:p w14:paraId="11E431E0" w14:textId="77777777" w:rsidR="00782BE7" w:rsidRPr="0099484C" w:rsidRDefault="00782BE7" w:rsidP="00782BE7">
      <w:pPr>
        <w:spacing w:after="160" w:line="259" w:lineRule="auto"/>
        <w:rPr>
          <w:b/>
          <w:bCs/>
          <w:lang w:val="sk-SK"/>
        </w:rPr>
      </w:pPr>
      <w:r w:rsidRPr="0099484C">
        <w:rPr>
          <w:rFonts w:cs="Segoe UI"/>
          <w:szCs w:val="22"/>
          <w:lang w:val="sk-SK" w:bidi="bo-CN"/>
        </w:rPr>
        <w:t xml:space="preserve"> </w:t>
      </w:r>
      <w:r w:rsidRPr="00AE5135">
        <w:rPr>
          <w:rFonts w:cs="Segoe UI"/>
          <w:i/>
          <w:iCs/>
          <w:szCs w:val="22"/>
          <w:lang w:val="sk-SK" w:bidi="bo-CN"/>
        </w:rPr>
        <w:t>„Pre nás v spoločnosti Henkel je kľúčové, aby naše produkty a riešenia čo najviac spĺňali potreby našich zákazníkov.</w:t>
      </w:r>
      <w:r w:rsidRPr="00AE5135">
        <w:rPr>
          <w:rFonts w:cs="Segoe UI"/>
          <w:i/>
          <w:iCs/>
          <w:szCs w:val="22"/>
          <w:lang w:val="sk-SK"/>
        </w:rPr>
        <w:t xml:space="preserve"> </w:t>
      </w:r>
      <w:r w:rsidRPr="00AE5135">
        <w:rPr>
          <w:rFonts w:cs="Segoe UI"/>
          <w:i/>
          <w:iCs/>
          <w:szCs w:val="22"/>
          <w:lang w:val="sk-SK" w:bidi="bo-CN"/>
        </w:rPr>
        <w:t>Preto sa opierame o naše know-how a technológie, ako aj o úzku spoluprácu s partnermi v rámci celého hodnotového reťazca,“</w:t>
      </w:r>
      <w:r w:rsidRPr="0099484C">
        <w:rPr>
          <w:rFonts w:cs="Segoe UI"/>
          <w:szCs w:val="22"/>
          <w:lang w:val="sk-SK" w:bidi="bo-CN"/>
        </w:rPr>
        <w:t xml:space="preserve"> vysvetľuje </w:t>
      </w:r>
      <w:proofErr w:type="spellStart"/>
      <w:r w:rsidRPr="0099484C">
        <w:rPr>
          <w:rFonts w:cs="Segoe UI"/>
          <w:szCs w:val="22"/>
          <w:lang w:val="sk-SK" w:bidi="bo-CN"/>
        </w:rPr>
        <w:t>Marvin</w:t>
      </w:r>
      <w:proofErr w:type="spellEnd"/>
      <w:r w:rsidRPr="0099484C">
        <w:rPr>
          <w:rFonts w:cs="Segoe UI"/>
          <w:szCs w:val="22"/>
          <w:lang w:val="sk-SK" w:bidi="bo-CN"/>
        </w:rPr>
        <w:t xml:space="preserve"> </w:t>
      </w:r>
      <w:proofErr w:type="spellStart"/>
      <w:r w:rsidRPr="0099484C">
        <w:rPr>
          <w:rFonts w:cs="Segoe UI"/>
          <w:szCs w:val="22"/>
          <w:lang w:val="sk-SK" w:bidi="bo-CN"/>
        </w:rPr>
        <w:t>Romberg</w:t>
      </w:r>
      <w:proofErr w:type="spellEnd"/>
      <w:r w:rsidRPr="0099484C">
        <w:rPr>
          <w:rFonts w:cs="Segoe UI"/>
          <w:szCs w:val="22"/>
          <w:lang w:val="sk-SK" w:bidi="bo-CN"/>
        </w:rPr>
        <w:t xml:space="preserve">, riaditeľ obchodného rozvoja </w:t>
      </w:r>
      <w:proofErr w:type="spellStart"/>
      <w:r w:rsidRPr="0099484C">
        <w:rPr>
          <w:rFonts w:cs="Segoe UI"/>
          <w:szCs w:val="22"/>
          <w:lang w:val="sk-SK" w:bidi="bo-CN"/>
        </w:rPr>
        <w:t>elektromobility</w:t>
      </w:r>
      <w:proofErr w:type="spellEnd"/>
      <w:r w:rsidRPr="0099484C">
        <w:rPr>
          <w:rFonts w:cs="Segoe UI"/>
          <w:szCs w:val="22"/>
          <w:lang w:val="sk-SK" w:bidi="bo-CN"/>
        </w:rPr>
        <w:t xml:space="preserve"> spoločnosti Henkel pre región EIMEA.</w:t>
      </w:r>
      <w:r w:rsidRPr="0099484C">
        <w:rPr>
          <w:rFonts w:cs="Segoe UI"/>
          <w:szCs w:val="22"/>
          <w:lang w:val="sk-SK"/>
        </w:rPr>
        <w:t xml:space="preserve"> </w:t>
      </w:r>
      <w:r w:rsidRPr="00AE5135">
        <w:rPr>
          <w:rFonts w:cs="Segoe UI"/>
          <w:i/>
          <w:iCs/>
          <w:szCs w:val="22"/>
          <w:lang w:val="sk-SK" w:bidi="bo-CN"/>
        </w:rPr>
        <w:t>„</w:t>
      </w:r>
      <w:proofErr w:type="spellStart"/>
      <w:r w:rsidRPr="00AE5135">
        <w:rPr>
          <w:rFonts w:cs="Segoe UI"/>
          <w:i/>
          <w:iCs/>
          <w:szCs w:val="22"/>
          <w:lang w:val="sk-SK" w:bidi="bo-CN"/>
        </w:rPr>
        <w:t>Bergquist</w:t>
      </w:r>
      <w:proofErr w:type="spellEnd"/>
      <w:r w:rsidRPr="00AE5135">
        <w:rPr>
          <w:rFonts w:cs="Segoe UI"/>
          <w:i/>
          <w:iCs/>
          <w:szCs w:val="22"/>
          <w:lang w:val="sk-SK" w:bidi="bo-CN"/>
        </w:rPr>
        <w:t xml:space="preserve"> TGF 2010 APS sme vyvinuli tak, aby dokonale spĺňal požiadavky našich zákazníkov na výplne medzier pre batérie, a ukazuje, ako spoločnosť Henkel pri správnom nastavení podporuje masovú výrobu s využitím svojej globálnej partnerskej siete dodávateľov dávkovacích zariadení.“</w:t>
      </w:r>
    </w:p>
    <w:p w14:paraId="7A5A0BDA" w14:textId="77777777" w:rsidR="00782BE7" w:rsidRPr="00AE5135" w:rsidRDefault="00782BE7" w:rsidP="00782BE7">
      <w:pPr>
        <w:rPr>
          <w:rFonts w:cs="Segoe UI"/>
          <w:szCs w:val="22"/>
          <w:lang w:val="sk-SK"/>
        </w:rPr>
      </w:pPr>
      <w:r w:rsidRPr="00AE5135">
        <w:rPr>
          <w:rFonts w:cs="Segoe UI"/>
          <w:szCs w:val="22"/>
          <w:lang w:val="sk-SK" w:bidi="bo-CN"/>
        </w:rPr>
        <w:t xml:space="preserve">Viac informácií nájdete na stránke </w:t>
      </w:r>
      <w:r w:rsidR="00000000">
        <w:fldChar w:fldCharType="begin"/>
      </w:r>
      <w:r w:rsidR="00000000" w:rsidRPr="003F46B9">
        <w:rPr>
          <w:lang w:val="pl-PL"/>
        </w:rPr>
        <w:instrText>HYPERLINK "http://www.henkel-adhesives.com/emobility"</w:instrText>
      </w:r>
      <w:r w:rsidR="00000000">
        <w:fldChar w:fldCharType="separate"/>
      </w:r>
      <w:r w:rsidRPr="00AE5135">
        <w:rPr>
          <w:rStyle w:val="Hypertextovprepojenie"/>
          <w:rFonts w:cs="Segoe UI"/>
          <w:sz w:val="22"/>
          <w:szCs w:val="22"/>
          <w:lang w:val="sk-SK" w:bidi="bo-CN"/>
        </w:rPr>
        <w:t>www.henkel-adhesives.com/emobility</w:t>
      </w:r>
      <w:r w:rsidR="00000000">
        <w:rPr>
          <w:rStyle w:val="Hypertextovprepojenie"/>
          <w:rFonts w:cs="Segoe UI"/>
          <w:sz w:val="22"/>
          <w:szCs w:val="22"/>
          <w:lang w:val="sk-SK" w:bidi="bo-CN"/>
        </w:rPr>
        <w:fldChar w:fldCharType="end"/>
      </w:r>
      <w:r w:rsidRPr="00AE5135">
        <w:rPr>
          <w:rFonts w:cs="Segoe UI"/>
          <w:szCs w:val="22"/>
          <w:lang w:val="sk-SK" w:bidi="bo-CN"/>
        </w:rPr>
        <w:t>.</w:t>
      </w:r>
      <w:r w:rsidRPr="00AE5135">
        <w:rPr>
          <w:rFonts w:cs="Segoe UI"/>
          <w:szCs w:val="22"/>
          <w:lang w:val="sk-SK"/>
        </w:rPr>
        <w:t xml:space="preserve"> </w:t>
      </w:r>
    </w:p>
    <w:p w14:paraId="6B85B436" w14:textId="77777777" w:rsidR="00782BE7" w:rsidRPr="004D2A75" w:rsidRDefault="00782BE7" w:rsidP="00782BE7">
      <w:pPr>
        <w:rPr>
          <w:rStyle w:val="AboutandContactBody"/>
          <w:lang w:val="sk-SK"/>
        </w:rPr>
      </w:pPr>
    </w:p>
    <w:p w14:paraId="3D8B2AFA" w14:textId="24144816" w:rsidR="003D56AE" w:rsidRPr="004019D8" w:rsidRDefault="003D56AE" w:rsidP="003D56AE">
      <w:pPr>
        <w:rPr>
          <w:rStyle w:val="AboutandContactHeadline"/>
          <w:rFonts w:asciiTheme="majorHAnsi" w:hAnsiTheme="majorHAnsi" w:cstheme="majorHAnsi"/>
          <w:szCs w:val="18"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r w:rsidR="00000000">
        <w:fldChar w:fldCharType="begin"/>
      </w:r>
      <w:r w:rsidR="00000000" w:rsidRPr="003F46B9">
        <w:rPr>
          <w:lang w:val="sk-SK"/>
        </w:rPr>
        <w:instrText>HYPERLINK "http://www.henkel.com"</w:instrText>
      </w:r>
      <w:r w:rsidR="00000000">
        <w:fldChar w:fldCharType="separate"/>
      </w:r>
      <w:r w:rsidRPr="0009712C">
        <w:rPr>
          <w:rStyle w:val="Hypertextovprepojenie"/>
          <w:rFonts w:asciiTheme="majorHAnsi" w:hAnsiTheme="majorHAnsi" w:cstheme="majorHAnsi"/>
          <w:szCs w:val="18"/>
          <w:lang w:val="sk-SK"/>
        </w:rPr>
        <w:t>www.henkel.com</w:t>
      </w:r>
      <w:r w:rsidR="00000000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r w:rsidR="00000000">
        <w:fldChar w:fldCharType="begin"/>
      </w:r>
      <w:r w:rsidR="00000000" w:rsidRPr="003F46B9">
        <w:rPr>
          <w:lang w:val="pl-PL"/>
        </w:rPr>
        <w:instrText>HYPERLINK "http://www.henkel.sk"</w:instrText>
      </w:r>
      <w:r w:rsidR="00000000">
        <w:fldChar w:fldCharType="separate"/>
      </w:r>
      <w:r w:rsidRPr="0009712C">
        <w:rPr>
          <w:rStyle w:val="Hypertextovprepojenie"/>
          <w:rFonts w:asciiTheme="majorHAnsi" w:hAnsiTheme="majorHAnsi" w:cstheme="majorHAnsi"/>
          <w:szCs w:val="18"/>
          <w:lang w:val="sk-SK"/>
        </w:rPr>
        <w:t>www.henkel.sk</w:t>
      </w:r>
      <w:r w:rsidR="00000000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21A4D26" w14:textId="14F1A659" w:rsidR="00C50C62" w:rsidRPr="009A2C68" w:rsidRDefault="009A2E7E" w:rsidP="00AE5135">
      <w:pPr>
        <w:rPr>
          <w:rFonts w:asciiTheme="minorHAnsi" w:hAnsiTheme="minorHAnsi" w:cstheme="minorHAnsi"/>
          <w:sz w:val="24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1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C50C62"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FFA7" w14:textId="77777777" w:rsidR="00E87329" w:rsidRDefault="00E87329">
      <w:r>
        <w:separator/>
      </w:r>
    </w:p>
  </w:endnote>
  <w:endnote w:type="continuationSeparator" w:id="0">
    <w:p w14:paraId="734C39D3" w14:textId="77777777" w:rsidR="00E87329" w:rsidRDefault="00E87329">
      <w:r>
        <w:continuationSeparator/>
      </w:r>
    </w:p>
  </w:endnote>
  <w:endnote w:type="continuationNotice" w:id="1">
    <w:p w14:paraId="6C85B895" w14:textId="77777777" w:rsidR="00E87329" w:rsidRDefault="00E873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270" w14:textId="77777777" w:rsidR="00E87329" w:rsidRDefault="00E87329">
      <w:bookmarkStart w:id="0" w:name="_Hlk47541104"/>
      <w:bookmarkEnd w:id="0"/>
      <w:r>
        <w:separator/>
      </w:r>
    </w:p>
  </w:footnote>
  <w:footnote w:type="continuationSeparator" w:id="0">
    <w:p w14:paraId="17587108" w14:textId="77777777" w:rsidR="00E87329" w:rsidRDefault="00E87329">
      <w:r>
        <w:continuationSeparator/>
      </w:r>
    </w:p>
  </w:footnote>
  <w:footnote w:type="continuationNotice" w:id="1">
    <w:p w14:paraId="6F37FC1D" w14:textId="77777777" w:rsidR="00E87329" w:rsidRDefault="00E873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6B9"/>
    <w:rsid w:val="003F4D8D"/>
    <w:rsid w:val="003F5B99"/>
    <w:rsid w:val="004041C9"/>
    <w:rsid w:val="004074DB"/>
    <w:rsid w:val="00421AF1"/>
    <w:rsid w:val="00423862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66A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84F9D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2BE7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E5135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4A0B"/>
    <w:rsid w:val="00E37F70"/>
    <w:rsid w:val="00E446C1"/>
    <w:rsid w:val="00E55B7F"/>
    <w:rsid w:val="00E57867"/>
    <w:rsid w:val="00E6154B"/>
    <w:rsid w:val="00E758B9"/>
    <w:rsid w:val="00E85569"/>
    <w:rsid w:val="00E856AF"/>
    <w:rsid w:val="00E86B83"/>
    <w:rsid w:val="00E87329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99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5393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56</cp:revision>
  <cp:lastPrinted>2021-11-09T19:20:00Z</cp:lastPrinted>
  <dcterms:created xsi:type="dcterms:W3CDTF">2022-02-01T14:08:00Z</dcterms:created>
  <dcterms:modified xsi:type="dcterms:W3CDTF">2022-12-01T10:25:00Z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