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998A36A" w:rsidR="00B422EC" w:rsidRPr="00F364F7" w:rsidRDefault="00B914EA" w:rsidP="00643D8A">
      <w:pPr>
        <w:pStyle w:val="MonthDayYear"/>
        <w:rPr>
          <w:lang w:val="it-IT"/>
        </w:rPr>
      </w:pPr>
      <w:r w:rsidRPr="00F364F7">
        <w:rPr>
          <w:lang w:val="it-IT"/>
        </w:rPr>
        <w:t>7 marzo</w:t>
      </w:r>
      <w:r w:rsidR="00BF6E82" w:rsidRPr="00F364F7">
        <w:rPr>
          <w:lang w:val="it-IT"/>
        </w:rPr>
        <w:t xml:space="preserve"> 20</w:t>
      </w:r>
      <w:r w:rsidR="00F635FC" w:rsidRPr="00F364F7">
        <w:rPr>
          <w:lang w:val="it-IT"/>
        </w:rPr>
        <w:t>2</w:t>
      </w:r>
      <w:r w:rsidR="0006344D" w:rsidRPr="00F364F7">
        <w:rPr>
          <w:lang w:val="it-IT"/>
        </w:rPr>
        <w:t>3</w:t>
      </w:r>
    </w:p>
    <w:p w14:paraId="23E0592D" w14:textId="67D491EE" w:rsidR="00BE075C" w:rsidRPr="00F364F7" w:rsidRDefault="00BE075C" w:rsidP="00BE075C">
      <w:pPr>
        <w:spacing w:before="560" w:after="240"/>
        <w:rPr>
          <w:rFonts w:asciiTheme="majorHAnsi" w:hAnsiTheme="majorHAnsi" w:cs="Calibri Light"/>
          <w:szCs w:val="22"/>
          <w:lang w:val="it-IT"/>
        </w:rPr>
      </w:pPr>
      <w:r w:rsidRPr="00F364F7">
        <w:rPr>
          <w:rFonts w:asciiTheme="majorHAnsi" w:hAnsiTheme="majorHAnsi" w:cs="Calibri Light"/>
          <w:szCs w:val="22"/>
          <w:lang w:val="it-IT"/>
        </w:rPr>
        <w:t xml:space="preserve">Risultati </w:t>
      </w:r>
      <w:r w:rsidR="00636686" w:rsidRPr="00F364F7">
        <w:rPr>
          <w:rFonts w:asciiTheme="majorHAnsi" w:hAnsiTheme="majorHAnsi" w:cs="Calibri Light"/>
          <w:szCs w:val="22"/>
          <w:lang w:val="it-IT"/>
        </w:rPr>
        <w:t xml:space="preserve">complessivamente </w:t>
      </w:r>
      <w:r w:rsidRPr="00F364F7">
        <w:rPr>
          <w:rFonts w:asciiTheme="majorHAnsi" w:hAnsiTheme="majorHAnsi" w:cs="Calibri Light"/>
          <w:szCs w:val="22"/>
          <w:lang w:val="it-IT"/>
        </w:rPr>
        <w:t xml:space="preserve">soddisfacenti in un contesto molto sfidante </w:t>
      </w:r>
    </w:p>
    <w:p w14:paraId="76AD0789" w14:textId="62335F1C" w:rsidR="007F0F63" w:rsidRPr="00F364F7" w:rsidRDefault="008D52CF" w:rsidP="00B07BEA">
      <w:pPr>
        <w:jc w:val="left"/>
        <w:rPr>
          <w:rStyle w:val="Headline"/>
          <w:lang w:val="it-IT"/>
        </w:rPr>
      </w:pPr>
      <w:r w:rsidRPr="00F364F7">
        <w:rPr>
          <w:rStyle w:val="Headline"/>
          <w:lang w:val="it-IT"/>
        </w:rPr>
        <w:t>Henkel: significativo aumento del fatturato nel 2022</w:t>
      </w:r>
      <w:r w:rsidR="00636686" w:rsidRPr="00F364F7">
        <w:rPr>
          <w:rStyle w:val="Headline"/>
          <w:lang w:val="it-IT"/>
        </w:rPr>
        <w:t>,</w:t>
      </w:r>
      <w:r w:rsidRPr="00F364F7">
        <w:rPr>
          <w:rStyle w:val="Headline"/>
          <w:lang w:val="it-IT"/>
        </w:rPr>
        <w:t xml:space="preserve"> </w:t>
      </w:r>
      <w:r w:rsidR="00705595" w:rsidRPr="00F364F7">
        <w:rPr>
          <w:rStyle w:val="Headline"/>
          <w:lang w:val="it-IT"/>
        </w:rPr>
        <w:t>pr</w:t>
      </w:r>
      <w:r w:rsidR="001344A7" w:rsidRPr="00F364F7">
        <w:rPr>
          <w:rStyle w:val="Headline"/>
          <w:lang w:val="it-IT"/>
        </w:rPr>
        <w:t>evista un’</w:t>
      </w:r>
      <w:r w:rsidR="00705595" w:rsidRPr="00F364F7">
        <w:rPr>
          <w:rStyle w:val="Headline"/>
          <w:lang w:val="it-IT"/>
        </w:rPr>
        <w:t>ulteriore crescita nel</w:t>
      </w:r>
      <w:r w:rsidR="00E63D07" w:rsidRPr="00F364F7">
        <w:rPr>
          <w:rStyle w:val="Headline"/>
          <w:lang w:val="it-IT"/>
        </w:rPr>
        <w:t xml:space="preserve"> 2023</w:t>
      </w:r>
    </w:p>
    <w:p w14:paraId="6706FA18" w14:textId="5D51015A" w:rsidR="00852511" w:rsidRPr="00F364F7" w:rsidRDefault="00852511" w:rsidP="00365E44">
      <w:pPr>
        <w:rPr>
          <w:lang w:val="it-IT"/>
        </w:rPr>
      </w:pPr>
    </w:p>
    <w:p w14:paraId="07ADB7F5" w14:textId="77777777" w:rsidR="008D52CF" w:rsidRPr="00F364F7" w:rsidRDefault="008D52CF" w:rsidP="00365E44">
      <w:pPr>
        <w:rPr>
          <w:lang w:val="it-IT"/>
        </w:rPr>
      </w:pPr>
    </w:p>
    <w:p w14:paraId="14DFD819" w14:textId="69DE2189" w:rsidR="00636686" w:rsidRPr="00F364F7" w:rsidRDefault="00547640" w:rsidP="00636686">
      <w:pPr>
        <w:numPr>
          <w:ilvl w:val="0"/>
          <w:numId w:val="8"/>
        </w:numPr>
        <w:spacing w:after="80"/>
        <w:ind w:left="357" w:right="-108" w:hanging="357"/>
        <w:jc w:val="left"/>
        <w:rPr>
          <w:rFonts w:asciiTheme="majorHAnsi" w:hAnsiTheme="majorHAnsi" w:cs="Calibri Light"/>
          <w:b/>
          <w:szCs w:val="22"/>
          <w:lang w:val="it-IT"/>
        </w:rPr>
      </w:pPr>
      <w:bookmarkStart w:id="0" w:name="_Hlk43712519"/>
      <w:r w:rsidRPr="00F364F7">
        <w:rPr>
          <w:rFonts w:asciiTheme="majorHAnsi" w:hAnsiTheme="majorHAnsi" w:cs="Calibri Light"/>
          <w:b/>
          <w:szCs w:val="22"/>
          <w:lang w:val="it-IT"/>
        </w:rPr>
        <w:t>Risultati dell’anno fiscale</w:t>
      </w:r>
      <w:r w:rsidR="00636686" w:rsidRPr="00F364F7">
        <w:rPr>
          <w:rFonts w:asciiTheme="majorHAnsi" w:hAnsiTheme="majorHAnsi" w:cs="Calibri Light"/>
          <w:b/>
          <w:szCs w:val="22"/>
          <w:lang w:val="it-IT"/>
        </w:rPr>
        <w:t xml:space="preserve"> 202</w:t>
      </w:r>
      <w:bookmarkStart w:id="1" w:name="_Hlk64363173"/>
      <w:r w:rsidR="00636686" w:rsidRPr="00F364F7">
        <w:rPr>
          <w:rFonts w:asciiTheme="majorHAnsi" w:hAnsiTheme="majorHAnsi" w:cs="Calibri Light"/>
          <w:b/>
          <w:szCs w:val="22"/>
          <w:lang w:val="it-IT"/>
        </w:rPr>
        <w:t>2:</w:t>
      </w:r>
    </w:p>
    <w:bookmarkEnd w:id="1"/>
    <w:p w14:paraId="6A71E9A8" w14:textId="4CDD4EC7" w:rsidR="00636686" w:rsidRPr="00F364F7" w:rsidRDefault="00547640" w:rsidP="00636686">
      <w:pPr>
        <w:numPr>
          <w:ilvl w:val="1"/>
          <w:numId w:val="8"/>
        </w:numPr>
        <w:spacing w:after="80" w:line="266" w:lineRule="auto"/>
        <w:ind w:left="709" w:right="-108" w:hanging="283"/>
        <w:jc w:val="left"/>
        <w:rPr>
          <w:rFonts w:asciiTheme="majorHAnsi" w:hAnsiTheme="majorHAnsi" w:cs="Calibri Light"/>
          <w:b/>
          <w:szCs w:val="22"/>
          <w:lang w:val="it-IT"/>
        </w:rPr>
      </w:pPr>
      <w:r w:rsidRPr="00F364F7">
        <w:rPr>
          <w:rFonts w:asciiTheme="majorHAnsi" w:hAnsiTheme="majorHAnsi" w:cs="Calibri Light"/>
          <w:b/>
          <w:szCs w:val="22"/>
          <w:lang w:val="it-IT"/>
        </w:rPr>
        <w:t xml:space="preserve">Fatturato del </w:t>
      </w:r>
      <w:r w:rsidR="00636686" w:rsidRPr="00F364F7">
        <w:rPr>
          <w:rFonts w:asciiTheme="majorHAnsi" w:hAnsiTheme="majorHAnsi" w:cs="Calibri Light"/>
          <w:b/>
          <w:szCs w:val="22"/>
          <w:lang w:val="it-IT"/>
        </w:rPr>
        <w:t>Gr</w:t>
      </w:r>
      <w:r w:rsidRPr="00F364F7">
        <w:rPr>
          <w:rFonts w:asciiTheme="majorHAnsi" w:hAnsiTheme="majorHAnsi" w:cs="Calibri Light"/>
          <w:b/>
          <w:szCs w:val="22"/>
          <w:lang w:val="it-IT"/>
        </w:rPr>
        <w:t>uppo</w:t>
      </w:r>
      <w:r w:rsidR="00636686" w:rsidRPr="00F364F7">
        <w:rPr>
          <w:rFonts w:asciiTheme="majorHAnsi" w:hAnsiTheme="majorHAnsi" w:cs="Calibri Light"/>
          <w:b/>
          <w:szCs w:val="22"/>
          <w:lang w:val="it-IT"/>
        </w:rPr>
        <w:t>: 22</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 xml:space="preserve">4 </w:t>
      </w:r>
      <w:r w:rsidRPr="00F364F7">
        <w:rPr>
          <w:rFonts w:asciiTheme="majorHAnsi" w:hAnsiTheme="majorHAnsi" w:cs="Calibri Light"/>
          <w:b/>
          <w:szCs w:val="22"/>
          <w:lang w:val="it-IT"/>
        </w:rPr>
        <w:t>miliardi di</w:t>
      </w:r>
      <w:r w:rsidR="00636686" w:rsidRPr="00F364F7">
        <w:rPr>
          <w:rFonts w:asciiTheme="majorHAnsi" w:hAnsiTheme="majorHAnsi" w:cs="Calibri Light"/>
          <w:b/>
          <w:szCs w:val="22"/>
          <w:lang w:val="it-IT"/>
        </w:rPr>
        <w:t xml:space="preserve"> euro, </w:t>
      </w:r>
      <w:bookmarkEnd w:id="0"/>
      <w:r w:rsidR="00A33783" w:rsidRPr="00F364F7">
        <w:rPr>
          <w:rFonts w:asciiTheme="majorHAnsi" w:hAnsiTheme="majorHAnsi" w:cs="Calibri Light"/>
          <w:b/>
          <w:szCs w:val="22"/>
          <w:lang w:val="it-IT"/>
        </w:rPr>
        <w:t>crescita organica</w:t>
      </w:r>
      <w:r w:rsidR="00636686" w:rsidRPr="00F364F7">
        <w:rPr>
          <w:rFonts w:asciiTheme="majorHAnsi" w:hAnsiTheme="majorHAnsi" w:cs="Calibri Light"/>
          <w:b/>
          <w:szCs w:val="22"/>
          <w:lang w:val="it-IT"/>
        </w:rPr>
        <w:t>*</w:t>
      </w:r>
      <w:r w:rsidR="000863DE" w:rsidRPr="00F364F7">
        <w:rPr>
          <w:rFonts w:asciiTheme="majorHAnsi" w:hAnsiTheme="majorHAnsi" w:cs="Calibri Light"/>
          <w:b/>
          <w:szCs w:val="22"/>
          <w:lang w:val="it-IT"/>
        </w:rPr>
        <w:t xml:space="preserve"> +</w:t>
      </w:r>
      <w:r w:rsidR="00636686" w:rsidRPr="00F364F7">
        <w:rPr>
          <w:rFonts w:asciiTheme="majorHAnsi" w:hAnsiTheme="majorHAnsi" w:cs="Calibri Light"/>
          <w:b/>
          <w:szCs w:val="22"/>
          <w:lang w:val="it-IT"/>
        </w:rPr>
        <w:t>8</w:t>
      </w:r>
      <w:r w:rsidR="000863DE"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8</w:t>
      </w:r>
      <w:r w:rsidR="000863DE" w:rsidRPr="00F364F7">
        <w:rPr>
          <w:rFonts w:asciiTheme="majorHAnsi" w:hAnsiTheme="majorHAnsi" w:cs="Calibri Light"/>
          <w:b/>
          <w:szCs w:val="22"/>
          <w:lang w:val="it-IT"/>
        </w:rPr>
        <w:t>%</w:t>
      </w:r>
    </w:p>
    <w:p w14:paraId="2F1DC32D" w14:textId="6F82553F" w:rsidR="00636686" w:rsidRPr="00F364F7" w:rsidRDefault="000863DE" w:rsidP="00636686">
      <w:pPr>
        <w:numPr>
          <w:ilvl w:val="1"/>
          <w:numId w:val="8"/>
        </w:numPr>
        <w:spacing w:after="80" w:line="266" w:lineRule="auto"/>
        <w:ind w:left="709" w:right="-108" w:hanging="283"/>
        <w:jc w:val="left"/>
        <w:rPr>
          <w:rFonts w:asciiTheme="majorHAnsi" w:hAnsiTheme="majorHAnsi" w:cs="Calibri Light"/>
          <w:b/>
          <w:szCs w:val="22"/>
          <w:lang w:val="it-IT"/>
        </w:rPr>
      </w:pPr>
      <w:r w:rsidRPr="00F364F7">
        <w:rPr>
          <w:rFonts w:asciiTheme="majorHAnsi" w:hAnsiTheme="majorHAnsi" w:cs="Calibri Light"/>
          <w:b/>
          <w:szCs w:val="22"/>
          <w:lang w:val="it-IT"/>
        </w:rPr>
        <w:t>Margine o</w:t>
      </w:r>
      <w:r w:rsidR="00636686" w:rsidRPr="00F364F7">
        <w:rPr>
          <w:rFonts w:asciiTheme="majorHAnsi" w:hAnsiTheme="majorHAnsi" w:cs="Calibri Light"/>
          <w:b/>
          <w:szCs w:val="22"/>
          <w:lang w:val="it-IT"/>
        </w:rPr>
        <w:t>pera</w:t>
      </w:r>
      <w:r w:rsidRPr="00F364F7">
        <w:rPr>
          <w:rFonts w:asciiTheme="majorHAnsi" w:hAnsiTheme="majorHAnsi" w:cs="Calibri Light"/>
          <w:b/>
          <w:szCs w:val="22"/>
          <w:lang w:val="it-IT"/>
        </w:rPr>
        <w:t>tivo</w:t>
      </w:r>
      <w:r w:rsidR="00636686" w:rsidRPr="00F364F7">
        <w:rPr>
          <w:rFonts w:asciiTheme="majorHAnsi" w:hAnsiTheme="majorHAnsi" w:cs="Calibri Light"/>
          <w:b/>
          <w:szCs w:val="22"/>
          <w:lang w:val="it-IT"/>
        </w:rPr>
        <w:t xml:space="preserve"> (EBIT)**:  2</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 xml:space="preserve">3 </w:t>
      </w:r>
      <w:r w:rsidRPr="00F364F7">
        <w:rPr>
          <w:rFonts w:asciiTheme="majorHAnsi" w:hAnsiTheme="majorHAnsi" w:cs="Calibri Light"/>
          <w:b/>
          <w:szCs w:val="22"/>
          <w:lang w:val="it-IT"/>
        </w:rPr>
        <w:t>miliardi di</w:t>
      </w:r>
      <w:r w:rsidR="00636686" w:rsidRPr="00F364F7">
        <w:rPr>
          <w:rFonts w:asciiTheme="majorHAnsi" w:hAnsiTheme="majorHAnsi" w:cs="Calibri Light"/>
          <w:b/>
          <w:szCs w:val="22"/>
          <w:lang w:val="it-IT"/>
        </w:rPr>
        <w:t xml:space="preserve"> euro, -13</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7</w:t>
      </w:r>
      <w:r w:rsidRPr="00F364F7">
        <w:rPr>
          <w:rFonts w:asciiTheme="majorHAnsi" w:hAnsiTheme="majorHAnsi" w:cs="Calibri Light"/>
          <w:b/>
          <w:szCs w:val="22"/>
          <w:lang w:val="it-IT"/>
        </w:rPr>
        <w:t>%</w:t>
      </w:r>
    </w:p>
    <w:p w14:paraId="23D55377" w14:textId="782A5578" w:rsidR="00636686" w:rsidRPr="00F364F7" w:rsidRDefault="000863DE" w:rsidP="00636686">
      <w:pPr>
        <w:numPr>
          <w:ilvl w:val="1"/>
          <w:numId w:val="8"/>
        </w:numPr>
        <w:spacing w:after="80" w:line="266" w:lineRule="auto"/>
        <w:ind w:left="709" w:right="-108" w:hanging="283"/>
        <w:jc w:val="left"/>
        <w:rPr>
          <w:rFonts w:asciiTheme="majorHAnsi" w:hAnsiTheme="majorHAnsi" w:cs="Calibri Light"/>
          <w:b/>
          <w:szCs w:val="22"/>
          <w:lang w:val="it-IT"/>
        </w:rPr>
      </w:pPr>
      <w:r w:rsidRPr="00F364F7">
        <w:rPr>
          <w:rFonts w:asciiTheme="majorHAnsi" w:hAnsiTheme="majorHAnsi" w:cs="Calibri Light"/>
          <w:b/>
          <w:szCs w:val="22"/>
          <w:lang w:val="it-IT"/>
        </w:rPr>
        <w:t xml:space="preserve">Margine </w:t>
      </w:r>
      <w:r w:rsidR="00636686" w:rsidRPr="00F364F7">
        <w:rPr>
          <w:rFonts w:asciiTheme="majorHAnsi" w:hAnsiTheme="majorHAnsi" w:cs="Calibri Light"/>
          <w:b/>
          <w:szCs w:val="22"/>
          <w:lang w:val="it-IT"/>
        </w:rPr>
        <w:t>EBIT</w:t>
      </w:r>
      <w:r w:rsidRPr="00F364F7">
        <w:rPr>
          <w:rFonts w:asciiTheme="majorHAnsi" w:hAnsiTheme="majorHAnsi" w:cs="Calibri Light"/>
          <w:b/>
          <w:szCs w:val="22"/>
          <w:lang w:val="it-IT"/>
        </w:rPr>
        <w:t xml:space="preserve"> </w:t>
      </w:r>
      <w:r w:rsidR="00636686" w:rsidRPr="00F364F7">
        <w:rPr>
          <w:rFonts w:asciiTheme="majorHAnsi" w:hAnsiTheme="majorHAnsi" w:cs="Calibri Light"/>
          <w:b/>
          <w:szCs w:val="22"/>
          <w:lang w:val="it-IT"/>
        </w:rPr>
        <w:t>**: 10</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4</w:t>
      </w:r>
      <w:r w:rsidR="00E22730"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 -3</w:t>
      </w:r>
      <w:r w:rsidR="00E22730"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0</w:t>
      </w:r>
      <w:r w:rsidR="00E22730" w:rsidRPr="00F364F7">
        <w:rPr>
          <w:rFonts w:asciiTheme="majorHAnsi" w:hAnsiTheme="majorHAnsi" w:cs="Calibri Light"/>
          <w:b/>
          <w:szCs w:val="22"/>
          <w:lang w:val="it-IT"/>
        </w:rPr>
        <w:t xml:space="preserve"> punti</w:t>
      </w:r>
    </w:p>
    <w:p w14:paraId="49EFC5F6" w14:textId="1F51D662" w:rsidR="00636686" w:rsidRPr="00F364F7" w:rsidRDefault="007D08B2" w:rsidP="00636686">
      <w:pPr>
        <w:pStyle w:val="Paragrafoelenco"/>
        <w:numPr>
          <w:ilvl w:val="1"/>
          <w:numId w:val="8"/>
        </w:numPr>
        <w:spacing w:after="80" w:line="266" w:lineRule="auto"/>
        <w:ind w:left="709" w:right="-108" w:hanging="283"/>
        <w:contextualSpacing w:val="0"/>
        <w:jc w:val="left"/>
        <w:rPr>
          <w:rFonts w:asciiTheme="majorHAnsi" w:hAnsiTheme="majorHAnsi" w:cs="Calibri Light"/>
          <w:b/>
          <w:szCs w:val="22"/>
          <w:lang w:val="it-IT"/>
        </w:rPr>
      </w:pPr>
      <w:r w:rsidRPr="00F364F7">
        <w:rPr>
          <w:rFonts w:asciiTheme="majorHAnsi" w:hAnsiTheme="majorHAnsi" w:cs="Calibri Light"/>
          <w:b/>
          <w:szCs w:val="22"/>
          <w:lang w:val="it-IT"/>
        </w:rPr>
        <w:t>Utile per azione privilegiata</w:t>
      </w:r>
      <w:r w:rsidR="00636686" w:rsidRPr="00F364F7">
        <w:rPr>
          <w:rFonts w:asciiTheme="majorHAnsi" w:hAnsiTheme="majorHAnsi" w:cs="Calibri Light"/>
          <w:b/>
          <w:szCs w:val="22"/>
          <w:lang w:val="it-IT"/>
        </w:rPr>
        <w:t xml:space="preserve"> (EPS)**: 3</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90 euro, -17</w:t>
      </w:r>
      <w:r w:rsidR="00ED43D1"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8</w:t>
      </w:r>
      <w:r w:rsidR="00ED43D1"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 xml:space="preserve"> </w:t>
      </w:r>
      <w:r w:rsidR="00ED43D1" w:rsidRPr="00F364F7">
        <w:rPr>
          <w:rFonts w:asciiTheme="majorHAnsi" w:hAnsiTheme="majorHAnsi" w:cs="Calibri Light"/>
          <w:b/>
          <w:szCs w:val="22"/>
          <w:lang w:val="it-IT"/>
        </w:rPr>
        <w:t>a tassi costanti di cambio</w:t>
      </w:r>
    </w:p>
    <w:p w14:paraId="0E8A3E05" w14:textId="1906F975" w:rsidR="00636686" w:rsidRPr="00F364F7" w:rsidRDefault="00636686" w:rsidP="00636686">
      <w:pPr>
        <w:pStyle w:val="Paragrafoelenco"/>
        <w:numPr>
          <w:ilvl w:val="0"/>
          <w:numId w:val="8"/>
        </w:numPr>
        <w:spacing w:after="80"/>
        <w:ind w:left="357" w:right="-108" w:hanging="357"/>
        <w:contextualSpacing w:val="0"/>
        <w:jc w:val="left"/>
        <w:rPr>
          <w:rFonts w:asciiTheme="majorHAnsi" w:hAnsiTheme="majorHAnsi" w:cs="Calibri Light"/>
          <w:b/>
          <w:szCs w:val="22"/>
          <w:lang w:val="it-IT"/>
        </w:rPr>
      </w:pPr>
      <w:r w:rsidRPr="00F364F7">
        <w:rPr>
          <w:rFonts w:asciiTheme="majorHAnsi" w:hAnsiTheme="majorHAnsi" w:cs="Calibri Light"/>
          <w:b/>
          <w:szCs w:val="22"/>
          <w:lang w:val="it-IT"/>
        </w:rPr>
        <w:t>Propos</w:t>
      </w:r>
      <w:r w:rsidR="00ED43D1" w:rsidRPr="00F364F7">
        <w:rPr>
          <w:rFonts w:asciiTheme="majorHAnsi" w:hAnsiTheme="majorHAnsi" w:cs="Calibri Light"/>
          <w:b/>
          <w:szCs w:val="22"/>
          <w:lang w:val="it-IT"/>
        </w:rPr>
        <w:t xml:space="preserve">to dividendo </w:t>
      </w:r>
      <w:r w:rsidR="008E0267">
        <w:rPr>
          <w:rFonts w:asciiTheme="majorHAnsi" w:hAnsiTheme="majorHAnsi" w:cs="Calibri Light"/>
          <w:b/>
          <w:szCs w:val="22"/>
          <w:lang w:val="it-IT"/>
        </w:rPr>
        <w:t>a</w:t>
      </w:r>
      <w:r w:rsidR="00ED43D1" w:rsidRPr="00F364F7">
        <w:rPr>
          <w:rFonts w:asciiTheme="majorHAnsi" w:hAnsiTheme="majorHAnsi" w:cs="Calibri Light"/>
          <w:b/>
          <w:szCs w:val="22"/>
          <w:lang w:val="it-IT"/>
        </w:rPr>
        <w:t>l livello dello scorso anno</w:t>
      </w:r>
      <w:r w:rsidRPr="00F364F7">
        <w:rPr>
          <w:rFonts w:asciiTheme="majorHAnsi" w:hAnsiTheme="majorHAnsi" w:cs="Calibri Light"/>
          <w:b/>
          <w:szCs w:val="22"/>
          <w:lang w:val="it-IT"/>
        </w:rPr>
        <w:t>: 1</w:t>
      </w:r>
      <w:r w:rsidR="00ED43D1" w:rsidRPr="00F364F7">
        <w:rPr>
          <w:rFonts w:asciiTheme="majorHAnsi" w:hAnsiTheme="majorHAnsi" w:cs="Calibri Light"/>
          <w:b/>
          <w:szCs w:val="22"/>
          <w:lang w:val="it-IT"/>
        </w:rPr>
        <w:t>,</w:t>
      </w:r>
      <w:r w:rsidRPr="00F364F7">
        <w:rPr>
          <w:rFonts w:asciiTheme="majorHAnsi" w:hAnsiTheme="majorHAnsi" w:cs="Calibri Light"/>
          <w:b/>
          <w:szCs w:val="22"/>
          <w:lang w:val="it-IT"/>
        </w:rPr>
        <w:t xml:space="preserve">85 euro per </w:t>
      </w:r>
      <w:r w:rsidR="00ED43D1" w:rsidRPr="00F364F7">
        <w:rPr>
          <w:rFonts w:asciiTheme="majorHAnsi" w:hAnsiTheme="majorHAnsi" w:cs="Calibri Light"/>
          <w:b/>
          <w:szCs w:val="22"/>
          <w:lang w:val="it-IT"/>
        </w:rPr>
        <w:t>azione privilegiata</w:t>
      </w:r>
    </w:p>
    <w:p w14:paraId="2AD91E5C" w14:textId="65FB230A" w:rsidR="00636686" w:rsidRPr="00F364F7" w:rsidRDefault="00ED43D1" w:rsidP="00ED43D1">
      <w:pPr>
        <w:numPr>
          <w:ilvl w:val="0"/>
          <w:numId w:val="8"/>
        </w:numPr>
        <w:spacing w:after="80"/>
        <w:ind w:left="357" w:right="-108" w:hanging="357"/>
        <w:jc w:val="left"/>
        <w:rPr>
          <w:rFonts w:asciiTheme="majorHAnsi" w:hAnsiTheme="majorHAnsi" w:cs="Calibri Light"/>
          <w:b/>
          <w:szCs w:val="22"/>
          <w:lang w:val="it-IT"/>
        </w:rPr>
      </w:pPr>
      <w:r w:rsidRPr="00F364F7">
        <w:rPr>
          <w:rFonts w:asciiTheme="majorHAnsi" w:hAnsiTheme="majorHAnsi" w:cs="Calibri Light"/>
          <w:b/>
          <w:szCs w:val="22"/>
          <w:lang w:val="it-IT"/>
        </w:rPr>
        <w:t xml:space="preserve">Operativa la nuova business </w:t>
      </w:r>
      <w:proofErr w:type="spellStart"/>
      <w:r w:rsidRPr="00F364F7">
        <w:rPr>
          <w:rFonts w:asciiTheme="majorHAnsi" w:hAnsiTheme="majorHAnsi" w:cs="Calibri Light"/>
          <w:b/>
          <w:szCs w:val="22"/>
          <w:lang w:val="it-IT"/>
        </w:rPr>
        <w:t>unit</w:t>
      </w:r>
      <w:proofErr w:type="spellEnd"/>
      <w:r w:rsidRPr="00F364F7">
        <w:rPr>
          <w:rFonts w:asciiTheme="majorHAnsi" w:hAnsiTheme="majorHAnsi" w:cs="Calibri Light"/>
          <w:b/>
          <w:szCs w:val="22"/>
          <w:lang w:val="it-IT"/>
        </w:rPr>
        <w:t xml:space="preserve"> </w:t>
      </w:r>
      <w:r w:rsidR="00636686" w:rsidRPr="00F364F7">
        <w:rPr>
          <w:rFonts w:asciiTheme="majorHAnsi" w:hAnsiTheme="majorHAnsi" w:cs="Calibri Light"/>
          <w:b/>
          <w:szCs w:val="22"/>
          <w:lang w:val="it-IT"/>
        </w:rPr>
        <w:t xml:space="preserve">Consumer Brands </w:t>
      </w:r>
    </w:p>
    <w:p w14:paraId="35F42AC9" w14:textId="1E617623" w:rsidR="00636686" w:rsidRPr="00F364F7" w:rsidRDefault="001344A7" w:rsidP="00636686">
      <w:pPr>
        <w:numPr>
          <w:ilvl w:val="0"/>
          <w:numId w:val="8"/>
        </w:numPr>
        <w:spacing w:after="80"/>
        <w:ind w:left="357" w:right="-108" w:hanging="357"/>
        <w:jc w:val="left"/>
        <w:rPr>
          <w:rFonts w:asciiTheme="majorHAnsi" w:hAnsiTheme="majorHAnsi" w:cs="Calibri Light"/>
          <w:b/>
          <w:szCs w:val="22"/>
          <w:lang w:val="it-IT"/>
        </w:rPr>
      </w:pPr>
      <w:r w:rsidRPr="00F364F7">
        <w:rPr>
          <w:rFonts w:asciiTheme="majorHAnsi" w:hAnsiTheme="majorHAnsi" w:cs="Calibri Light"/>
          <w:b/>
          <w:szCs w:val="22"/>
          <w:lang w:val="it-IT"/>
        </w:rPr>
        <w:t>Previsioni per l’anno fiscale</w:t>
      </w:r>
      <w:r w:rsidR="00636686" w:rsidRPr="00F364F7">
        <w:rPr>
          <w:rFonts w:asciiTheme="majorHAnsi" w:hAnsiTheme="majorHAnsi" w:cs="Calibri Light"/>
          <w:b/>
          <w:szCs w:val="22"/>
          <w:lang w:val="it-IT"/>
        </w:rPr>
        <w:t xml:space="preserve"> 2023: </w:t>
      </w:r>
      <w:r w:rsidRPr="00F364F7">
        <w:rPr>
          <w:rFonts w:asciiTheme="majorHAnsi" w:hAnsiTheme="majorHAnsi" w:cs="Calibri Light"/>
          <w:b/>
          <w:szCs w:val="22"/>
          <w:lang w:val="it-IT"/>
        </w:rPr>
        <w:t>attesa un’ulteriore crescita</w:t>
      </w:r>
    </w:p>
    <w:p w14:paraId="731A2ECB" w14:textId="61972CBC" w:rsidR="00636686" w:rsidRPr="00F364F7" w:rsidRDefault="006736A8" w:rsidP="00636686">
      <w:pPr>
        <w:numPr>
          <w:ilvl w:val="1"/>
          <w:numId w:val="8"/>
        </w:numPr>
        <w:spacing w:after="80" w:line="266" w:lineRule="auto"/>
        <w:ind w:left="1077" w:right="-108" w:hanging="357"/>
        <w:jc w:val="left"/>
        <w:rPr>
          <w:rFonts w:asciiTheme="majorHAnsi" w:hAnsiTheme="majorHAnsi" w:cs="Calibri Light"/>
          <w:b/>
          <w:szCs w:val="22"/>
          <w:lang w:val="it-IT"/>
        </w:rPr>
      </w:pPr>
      <w:r w:rsidRPr="00F364F7">
        <w:rPr>
          <w:rFonts w:asciiTheme="majorHAnsi" w:hAnsiTheme="majorHAnsi" w:cs="Calibri Light"/>
          <w:b/>
          <w:szCs w:val="22"/>
          <w:lang w:val="it-IT"/>
        </w:rPr>
        <w:t>Crescita organica del fatturato tra</w:t>
      </w:r>
      <w:r w:rsidR="00636686" w:rsidRPr="00F364F7">
        <w:rPr>
          <w:rFonts w:asciiTheme="majorHAnsi" w:hAnsiTheme="majorHAnsi" w:cs="Calibri Light"/>
          <w:b/>
          <w:szCs w:val="22"/>
          <w:lang w:val="it-IT"/>
        </w:rPr>
        <w:t xml:space="preserve"> 1</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 xml:space="preserve">0 </w:t>
      </w:r>
      <w:r w:rsidRPr="00F364F7">
        <w:rPr>
          <w:rFonts w:asciiTheme="majorHAnsi" w:hAnsiTheme="majorHAnsi" w:cs="Calibri Light"/>
          <w:b/>
          <w:szCs w:val="22"/>
          <w:lang w:val="it-IT"/>
        </w:rPr>
        <w:t>e</w:t>
      </w:r>
      <w:r w:rsidR="00636686" w:rsidRPr="00F364F7">
        <w:rPr>
          <w:rFonts w:asciiTheme="majorHAnsi" w:hAnsiTheme="majorHAnsi" w:cs="Calibri Light"/>
          <w:b/>
          <w:szCs w:val="22"/>
          <w:lang w:val="it-IT"/>
        </w:rPr>
        <w:t xml:space="preserve"> 3</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0</w:t>
      </w:r>
      <w:r w:rsidRPr="00F364F7">
        <w:rPr>
          <w:rFonts w:asciiTheme="majorHAnsi" w:hAnsiTheme="majorHAnsi" w:cs="Calibri Light"/>
          <w:b/>
          <w:szCs w:val="22"/>
          <w:lang w:val="it-IT"/>
        </w:rPr>
        <w:t>%</w:t>
      </w:r>
    </w:p>
    <w:p w14:paraId="4E82106A" w14:textId="0BBA6CD1" w:rsidR="00636686" w:rsidRPr="00F364F7" w:rsidRDefault="006736A8" w:rsidP="00636686">
      <w:pPr>
        <w:numPr>
          <w:ilvl w:val="1"/>
          <w:numId w:val="8"/>
        </w:numPr>
        <w:spacing w:after="80" w:line="266" w:lineRule="auto"/>
        <w:ind w:left="1077" w:right="-108" w:hanging="357"/>
        <w:jc w:val="left"/>
        <w:rPr>
          <w:rFonts w:asciiTheme="majorHAnsi" w:hAnsiTheme="majorHAnsi" w:cs="Calibri Light"/>
          <w:b/>
          <w:szCs w:val="22"/>
          <w:lang w:val="it-IT"/>
        </w:rPr>
      </w:pPr>
      <w:r w:rsidRPr="00F364F7">
        <w:rPr>
          <w:rFonts w:asciiTheme="majorHAnsi" w:hAnsiTheme="majorHAnsi" w:cs="Calibri Light"/>
          <w:b/>
          <w:szCs w:val="22"/>
          <w:lang w:val="it-IT"/>
        </w:rPr>
        <w:t xml:space="preserve">Margine </w:t>
      </w:r>
      <w:r w:rsidR="00636686" w:rsidRPr="00F364F7">
        <w:rPr>
          <w:rFonts w:asciiTheme="majorHAnsi" w:hAnsiTheme="majorHAnsi" w:cs="Calibri Light"/>
          <w:b/>
          <w:szCs w:val="22"/>
          <w:lang w:val="it-IT"/>
        </w:rPr>
        <w:t>EBIT</w:t>
      </w:r>
      <w:r w:rsidRPr="00F364F7">
        <w:rPr>
          <w:rFonts w:asciiTheme="majorHAnsi" w:hAnsiTheme="majorHAnsi" w:cs="Calibri Light"/>
          <w:b/>
          <w:szCs w:val="22"/>
          <w:lang w:val="it-IT"/>
        </w:rPr>
        <w:t xml:space="preserve"> </w:t>
      </w:r>
      <w:r w:rsidR="00636686" w:rsidRPr="00F364F7">
        <w:rPr>
          <w:rFonts w:asciiTheme="majorHAnsi" w:hAnsiTheme="majorHAnsi" w:cs="Calibri Light"/>
          <w:b/>
          <w:szCs w:val="22"/>
          <w:lang w:val="it-IT"/>
        </w:rPr>
        <w:t>**</w:t>
      </w:r>
      <w:r w:rsidRPr="00F364F7">
        <w:rPr>
          <w:rFonts w:asciiTheme="majorHAnsi" w:hAnsiTheme="majorHAnsi" w:cs="Calibri Light"/>
          <w:b/>
          <w:szCs w:val="22"/>
          <w:lang w:val="it-IT"/>
        </w:rPr>
        <w:t xml:space="preserve"> tra</w:t>
      </w:r>
      <w:r w:rsidR="00636686" w:rsidRPr="00F364F7">
        <w:rPr>
          <w:rFonts w:asciiTheme="majorHAnsi" w:hAnsiTheme="majorHAnsi" w:cs="Calibri Light"/>
          <w:b/>
          <w:szCs w:val="22"/>
          <w:lang w:val="it-IT"/>
        </w:rPr>
        <w:t xml:space="preserve"> 10</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 xml:space="preserve">0 </w:t>
      </w:r>
      <w:r w:rsidRPr="00F364F7">
        <w:rPr>
          <w:rFonts w:asciiTheme="majorHAnsi" w:hAnsiTheme="majorHAnsi" w:cs="Calibri Light"/>
          <w:b/>
          <w:szCs w:val="22"/>
          <w:lang w:val="it-IT"/>
        </w:rPr>
        <w:t>e</w:t>
      </w:r>
      <w:r w:rsidR="00636686" w:rsidRPr="00F364F7">
        <w:rPr>
          <w:rFonts w:asciiTheme="majorHAnsi" w:hAnsiTheme="majorHAnsi" w:cs="Calibri Light"/>
          <w:b/>
          <w:szCs w:val="22"/>
          <w:lang w:val="it-IT"/>
        </w:rPr>
        <w:t xml:space="preserve"> 12</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0</w:t>
      </w:r>
      <w:r w:rsidRPr="00F364F7">
        <w:rPr>
          <w:rFonts w:asciiTheme="majorHAnsi" w:hAnsiTheme="majorHAnsi" w:cs="Calibri Light"/>
          <w:b/>
          <w:szCs w:val="22"/>
          <w:lang w:val="it-IT"/>
        </w:rPr>
        <w:t>%</w:t>
      </w:r>
    </w:p>
    <w:p w14:paraId="6EBC9749" w14:textId="49B5DC30" w:rsidR="00636686" w:rsidRPr="00F364F7" w:rsidRDefault="006736A8" w:rsidP="00636686">
      <w:pPr>
        <w:pStyle w:val="Paragrafoelenco"/>
        <w:numPr>
          <w:ilvl w:val="1"/>
          <w:numId w:val="8"/>
        </w:numPr>
        <w:spacing w:after="80" w:line="266" w:lineRule="auto"/>
        <w:ind w:left="1077" w:right="-108" w:hanging="357"/>
        <w:contextualSpacing w:val="0"/>
        <w:jc w:val="left"/>
        <w:rPr>
          <w:rFonts w:asciiTheme="majorHAnsi" w:hAnsiTheme="majorHAnsi" w:cs="Calibri Light"/>
          <w:b/>
          <w:szCs w:val="22"/>
          <w:lang w:val="it-IT"/>
        </w:rPr>
      </w:pPr>
      <w:r w:rsidRPr="00F364F7">
        <w:rPr>
          <w:rFonts w:asciiTheme="majorHAnsi" w:hAnsiTheme="majorHAnsi" w:cs="Calibri Light"/>
          <w:b/>
          <w:szCs w:val="22"/>
          <w:lang w:val="it-IT"/>
        </w:rPr>
        <w:t>Utile per azione privilegiata</w:t>
      </w:r>
      <w:r w:rsidR="00636686" w:rsidRPr="00F364F7">
        <w:rPr>
          <w:rFonts w:asciiTheme="majorHAnsi" w:hAnsiTheme="majorHAnsi" w:cs="Calibri Light"/>
          <w:b/>
          <w:szCs w:val="22"/>
          <w:lang w:val="it-IT"/>
        </w:rPr>
        <w:t xml:space="preserve"> (EPS)**</w:t>
      </w:r>
      <w:r w:rsidRPr="00F364F7">
        <w:rPr>
          <w:rFonts w:asciiTheme="majorHAnsi" w:hAnsiTheme="majorHAnsi" w:cs="Calibri Light"/>
          <w:b/>
          <w:szCs w:val="22"/>
          <w:lang w:val="it-IT"/>
        </w:rPr>
        <w:t xml:space="preserve"> tra</w:t>
      </w:r>
      <w:r w:rsidR="00636686" w:rsidRPr="00F364F7">
        <w:rPr>
          <w:rFonts w:asciiTheme="majorHAnsi" w:hAnsiTheme="majorHAnsi" w:cs="Calibri Light"/>
          <w:b/>
          <w:szCs w:val="22"/>
          <w:lang w:val="it-IT"/>
        </w:rPr>
        <w:t xml:space="preserve"> -10</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 xml:space="preserve">0 </w:t>
      </w:r>
      <w:r w:rsidRPr="00F364F7">
        <w:rPr>
          <w:rFonts w:asciiTheme="majorHAnsi" w:hAnsiTheme="majorHAnsi" w:cs="Calibri Light"/>
          <w:b/>
          <w:szCs w:val="22"/>
          <w:lang w:val="it-IT"/>
        </w:rPr>
        <w:t>e</w:t>
      </w:r>
      <w:r w:rsidR="00636686" w:rsidRPr="00F364F7">
        <w:rPr>
          <w:rFonts w:asciiTheme="majorHAnsi" w:hAnsiTheme="majorHAnsi" w:cs="Calibri Light"/>
          <w:b/>
          <w:szCs w:val="22"/>
          <w:lang w:val="it-IT"/>
        </w:rPr>
        <w:t xml:space="preserve"> +10</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0</w:t>
      </w:r>
      <w:r w:rsidRPr="00F364F7">
        <w:rPr>
          <w:rFonts w:asciiTheme="majorHAnsi" w:hAnsiTheme="majorHAnsi" w:cs="Calibri Light"/>
          <w:b/>
          <w:szCs w:val="22"/>
          <w:lang w:val="it-IT"/>
        </w:rPr>
        <w:t>%</w:t>
      </w:r>
      <w:r w:rsidR="00636686" w:rsidRPr="00F364F7">
        <w:rPr>
          <w:rFonts w:asciiTheme="majorHAnsi" w:hAnsiTheme="majorHAnsi" w:cs="Calibri Light"/>
          <w:b/>
          <w:szCs w:val="22"/>
          <w:lang w:val="it-IT"/>
        </w:rPr>
        <w:t xml:space="preserve"> </w:t>
      </w:r>
      <w:r w:rsidRPr="00F364F7">
        <w:rPr>
          <w:rFonts w:asciiTheme="majorHAnsi" w:hAnsiTheme="majorHAnsi" w:cs="Calibri Light"/>
          <w:b/>
          <w:szCs w:val="22"/>
          <w:lang w:val="it-IT"/>
        </w:rPr>
        <w:t>a tassi costanti di cambio</w:t>
      </w:r>
    </w:p>
    <w:p w14:paraId="0E9E43AB" w14:textId="77777777" w:rsidR="00636686" w:rsidRPr="00F364F7" w:rsidRDefault="00636686" w:rsidP="00E63D07">
      <w:pPr>
        <w:rPr>
          <w:rFonts w:cs="Segoe UI"/>
          <w:szCs w:val="22"/>
          <w:lang w:val="it-IT"/>
        </w:rPr>
      </w:pPr>
    </w:p>
    <w:p w14:paraId="4DDEDD5F" w14:textId="1C5D2D78" w:rsidR="00B07BEA" w:rsidRPr="00F364F7" w:rsidRDefault="008B4ABC" w:rsidP="000B33AC">
      <w:pPr>
        <w:contextualSpacing/>
        <w:rPr>
          <w:rFonts w:cs="Segoe UI"/>
          <w:b/>
          <w:bCs/>
          <w:szCs w:val="22"/>
          <w:lang w:val="it-IT"/>
        </w:rPr>
      </w:pPr>
      <w:r w:rsidRPr="00F364F7">
        <w:rPr>
          <w:rFonts w:cs="Segoe UI"/>
          <w:b/>
          <w:bCs/>
          <w:szCs w:val="22"/>
          <w:lang w:val="it-IT"/>
        </w:rPr>
        <w:t>Düsseldorf – “</w:t>
      </w:r>
      <w:r w:rsidR="00A33AA2" w:rsidRPr="00F364F7">
        <w:rPr>
          <w:rFonts w:cs="Segoe UI"/>
          <w:b/>
          <w:bCs/>
          <w:szCs w:val="22"/>
          <w:lang w:val="it-IT"/>
        </w:rPr>
        <w:t>I</w:t>
      </w:r>
      <w:r w:rsidR="001A49C6" w:rsidRPr="00F364F7">
        <w:rPr>
          <w:rFonts w:cs="Segoe UI"/>
          <w:b/>
          <w:bCs/>
          <w:szCs w:val="22"/>
          <w:lang w:val="it-IT"/>
        </w:rPr>
        <w:t>n un anno molto sfidante</w:t>
      </w:r>
      <w:r w:rsidR="00A33AA2" w:rsidRPr="00F364F7">
        <w:rPr>
          <w:rFonts w:cs="Segoe UI"/>
          <w:b/>
          <w:bCs/>
          <w:szCs w:val="22"/>
          <w:lang w:val="it-IT"/>
        </w:rPr>
        <w:t xml:space="preserve"> come il 2022</w:t>
      </w:r>
      <w:r w:rsidR="00B34C84" w:rsidRPr="00F364F7">
        <w:rPr>
          <w:rFonts w:cs="Segoe UI"/>
          <w:b/>
          <w:bCs/>
          <w:szCs w:val="22"/>
          <w:lang w:val="it-IT"/>
        </w:rPr>
        <w:t xml:space="preserve"> abbiamo ottenuto un</w:t>
      </w:r>
      <w:r w:rsidR="00A33AA2" w:rsidRPr="00F364F7">
        <w:rPr>
          <w:rFonts w:cs="Segoe UI"/>
          <w:b/>
          <w:bCs/>
          <w:szCs w:val="22"/>
          <w:lang w:val="it-IT"/>
        </w:rPr>
        <w:t>a</w:t>
      </w:r>
      <w:r w:rsidR="001A49C6" w:rsidRPr="00F364F7">
        <w:rPr>
          <w:rFonts w:cs="Segoe UI"/>
          <w:b/>
          <w:bCs/>
          <w:szCs w:val="22"/>
          <w:lang w:val="it-IT"/>
        </w:rPr>
        <w:t xml:space="preserve"> significativ</w:t>
      </w:r>
      <w:r w:rsidR="00A33AA2" w:rsidRPr="00F364F7">
        <w:rPr>
          <w:rFonts w:cs="Segoe UI"/>
          <w:b/>
          <w:bCs/>
          <w:szCs w:val="22"/>
          <w:lang w:val="it-IT"/>
        </w:rPr>
        <w:t>a</w:t>
      </w:r>
      <w:r w:rsidR="001A49C6" w:rsidRPr="00F364F7">
        <w:rPr>
          <w:rFonts w:cs="Segoe UI"/>
          <w:b/>
          <w:bCs/>
          <w:szCs w:val="22"/>
          <w:lang w:val="it-IT"/>
        </w:rPr>
        <w:t xml:space="preserve"> </w:t>
      </w:r>
      <w:r w:rsidR="00A33AA2" w:rsidRPr="00F364F7">
        <w:rPr>
          <w:rFonts w:cs="Segoe UI"/>
          <w:b/>
          <w:bCs/>
          <w:szCs w:val="22"/>
          <w:lang w:val="it-IT"/>
        </w:rPr>
        <w:t>crescita</w:t>
      </w:r>
      <w:r w:rsidR="001A49C6" w:rsidRPr="00F364F7">
        <w:rPr>
          <w:rFonts w:cs="Segoe UI"/>
          <w:b/>
          <w:bCs/>
          <w:szCs w:val="22"/>
          <w:lang w:val="it-IT"/>
        </w:rPr>
        <w:t xml:space="preserve"> del fatturato e una profittabilità soddisfacente</w:t>
      </w:r>
      <w:r w:rsidR="00A33AA2" w:rsidRPr="00F364F7">
        <w:rPr>
          <w:rFonts w:cs="Segoe UI"/>
          <w:b/>
          <w:bCs/>
          <w:szCs w:val="22"/>
          <w:lang w:val="it-IT"/>
        </w:rPr>
        <w:t>, e abbiamo implementato importanti misure strategiche. Siamo riusciti a compensare parzialmente il drammatico aumento dei costi delle materie prime e della logistica</w:t>
      </w:r>
      <w:r w:rsidR="003A772D" w:rsidRPr="00F364F7">
        <w:rPr>
          <w:rFonts w:cs="Segoe UI"/>
          <w:b/>
          <w:bCs/>
          <w:szCs w:val="22"/>
          <w:lang w:val="it-IT"/>
        </w:rPr>
        <w:t xml:space="preserve"> applicando prezzi più alti e continuando a lavorare sull’efficienza. </w:t>
      </w:r>
      <w:r w:rsidR="006371D8" w:rsidRPr="00F364F7">
        <w:rPr>
          <w:rFonts w:cs="Segoe UI"/>
          <w:b/>
          <w:bCs/>
          <w:szCs w:val="22"/>
          <w:lang w:val="it-IT"/>
        </w:rPr>
        <w:t>Il nostro fatturato è così salito al nuovo record di circa</w:t>
      </w:r>
      <w:r w:rsidRPr="00F364F7">
        <w:rPr>
          <w:rFonts w:cs="Segoe UI"/>
          <w:b/>
          <w:bCs/>
          <w:szCs w:val="22"/>
          <w:lang w:val="it-IT"/>
        </w:rPr>
        <w:t xml:space="preserve"> 22</w:t>
      </w:r>
      <w:r w:rsidR="006371D8" w:rsidRPr="00F364F7">
        <w:rPr>
          <w:rFonts w:cs="Segoe UI"/>
          <w:b/>
          <w:bCs/>
          <w:szCs w:val="22"/>
          <w:lang w:val="it-IT"/>
        </w:rPr>
        <w:t>,</w:t>
      </w:r>
      <w:r w:rsidRPr="00F364F7">
        <w:rPr>
          <w:rFonts w:cs="Segoe UI"/>
          <w:b/>
          <w:bCs/>
          <w:szCs w:val="22"/>
          <w:lang w:val="it-IT"/>
        </w:rPr>
        <w:t xml:space="preserve">4 </w:t>
      </w:r>
      <w:r w:rsidR="006371D8" w:rsidRPr="00F364F7">
        <w:rPr>
          <w:rFonts w:cs="Segoe UI"/>
          <w:b/>
          <w:bCs/>
          <w:szCs w:val="22"/>
          <w:lang w:val="it-IT"/>
        </w:rPr>
        <w:t>miliardi di</w:t>
      </w:r>
      <w:r w:rsidRPr="00F364F7">
        <w:rPr>
          <w:rFonts w:cs="Segoe UI"/>
          <w:b/>
          <w:bCs/>
          <w:szCs w:val="22"/>
          <w:lang w:val="it-IT"/>
        </w:rPr>
        <w:t xml:space="preserve"> euro, </w:t>
      </w:r>
      <w:r w:rsidR="006371D8" w:rsidRPr="00F364F7">
        <w:rPr>
          <w:rFonts w:cs="Segoe UI"/>
          <w:b/>
          <w:bCs/>
          <w:szCs w:val="22"/>
          <w:lang w:val="it-IT"/>
        </w:rPr>
        <w:t>con un profitto operativo</w:t>
      </w:r>
      <w:r w:rsidRPr="00F364F7">
        <w:rPr>
          <w:rFonts w:cs="Segoe UI"/>
          <w:b/>
          <w:bCs/>
          <w:szCs w:val="22"/>
          <w:lang w:val="it-IT"/>
        </w:rPr>
        <w:t xml:space="preserve"> </w:t>
      </w:r>
      <w:r w:rsidR="006371D8" w:rsidRPr="00F364F7">
        <w:rPr>
          <w:rFonts w:cs="Segoe UI"/>
          <w:b/>
          <w:bCs/>
          <w:szCs w:val="22"/>
          <w:lang w:val="it-IT"/>
        </w:rPr>
        <w:t>di</w:t>
      </w:r>
      <w:r w:rsidRPr="00F364F7">
        <w:rPr>
          <w:rFonts w:cs="Segoe UI"/>
          <w:b/>
          <w:bCs/>
          <w:szCs w:val="22"/>
          <w:lang w:val="it-IT"/>
        </w:rPr>
        <w:t xml:space="preserve"> 2</w:t>
      </w:r>
      <w:r w:rsidR="006371D8" w:rsidRPr="00F364F7">
        <w:rPr>
          <w:rFonts w:cs="Segoe UI"/>
          <w:b/>
          <w:bCs/>
          <w:szCs w:val="22"/>
          <w:lang w:val="it-IT"/>
        </w:rPr>
        <w:t>,</w:t>
      </w:r>
      <w:r w:rsidRPr="00F364F7">
        <w:rPr>
          <w:rFonts w:cs="Segoe UI"/>
          <w:b/>
          <w:bCs/>
          <w:szCs w:val="22"/>
          <w:lang w:val="it-IT"/>
        </w:rPr>
        <w:t xml:space="preserve">3 </w:t>
      </w:r>
      <w:r w:rsidR="006371D8" w:rsidRPr="00F364F7">
        <w:rPr>
          <w:rFonts w:cs="Segoe UI"/>
          <w:b/>
          <w:bCs/>
          <w:szCs w:val="22"/>
          <w:lang w:val="it-IT"/>
        </w:rPr>
        <w:t>miliardi di</w:t>
      </w:r>
      <w:r w:rsidRPr="00F364F7">
        <w:rPr>
          <w:rFonts w:cs="Segoe UI"/>
          <w:b/>
          <w:bCs/>
          <w:szCs w:val="22"/>
          <w:lang w:val="it-IT"/>
        </w:rPr>
        <w:t xml:space="preserve"> euro. </w:t>
      </w:r>
      <w:r w:rsidR="00B83C0B" w:rsidRPr="00F364F7">
        <w:rPr>
          <w:rFonts w:cs="Segoe UI"/>
          <w:b/>
          <w:bCs/>
          <w:szCs w:val="22"/>
          <w:lang w:val="it-IT"/>
        </w:rPr>
        <w:t>Su queste basi</w:t>
      </w:r>
      <w:r w:rsidRPr="00F364F7">
        <w:rPr>
          <w:rFonts w:cs="Segoe UI"/>
          <w:b/>
          <w:bCs/>
          <w:szCs w:val="22"/>
          <w:lang w:val="it-IT"/>
        </w:rPr>
        <w:t>,</w:t>
      </w:r>
      <w:r w:rsidR="00B83C0B" w:rsidRPr="00F364F7">
        <w:rPr>
          <w:rFonts w:cs="Segoe UI"/>
          <w:b/>
          <w:bCs/>
          <w:szCs w:val="22"/>
          <w:lang w:val="it-IT"/>
        </w:rPr>
        <w:t xml:space="preserve"> proporremo agli azionisti un dividendo </w:t>
      </w:r>
      <w:r w:rsidR="008E0267">
        <w:rPr>
          <w:rFonts w:cs="Segoe UI"/>
          <w:b/>
          <w:bCs/>
          <w:szCs w:val="22"/>
          <w:lang w:val="it-IT"/>
        </w:rPr>
        <w:t>a</w:t>
      </w:r>
      <w:r w:rsidR="00B83C0B" w:rsidRPr="00F364F7">
        <w:rPr>
          <w:rFonts w:cs="Segoe UI"/>
          <w:b/>
          <w:bCs/>
          <w:szCs w:val="22"/>
          <w:lang w:val="it-IT"/>
        </w:rPr>
        <w:t xml:space="preserve">llo stesso livello dell’anno scorso. </w:t>
      </w:r>
      <w:r w:rsidR="000D214D" w:rsidRPr="00F364F7">
        <w:rPr>
          <w:rFonts w:cs="Segoe UI"/>
          <w:b/>
          <w:bCs/>
          <w:szCs w:val="22"/>
          <w:lang w:val="it-IT"/>
        </w:rPr>
        <w:t>Con l</w:t>
      </w:r>
      <w:r w:rsidR="00B83C0B" w:rsidRPr="00F364F7">
        <w:rPr>
          <w:rFonts w:cs="Segoe UI"/>
          <w:b/>
          <w:bCs/>
          <w:szCs w:val="22"/>
          <w:lang w:val="it-IT"/>
        </w:rPr>
        <w:t xml:space="preserve">’integrazione delle nostre attività </w:t>
      </w:r>
      <w:r w:rsidR="00B46B2E">
        <w:rPr>
          <w:rFonts w:cs="Segoe UI"/>
          <w:b/>
          <w:bCs/>
          <w:szCs w:val="22"/>
          <w:lang w:val="it-IT"/>
        </w:rPr>
        <w:t xml:space="preserve">rivolte </w:t>
      </w:r>
      <w:r w:rsidR="00B83C0B" w:rsidRPr="00F364F7">
        <w:rPr>
          <w:rFonts w:cs="Segoe UI"/>
          <w:b/>
          <w:bCs/>
          <w:szCs w:val="22"/>
          <w:lang w:val="it-IT"/>
        </w:rPr>
        <w:t xml:space="preserve">al </w:t>
      </w:r>
      <w:r w:rsidR="00B46B2E">
        <w:rPr>
          <w:rFonts w:cs="Segoe UI"/>
          <w:b/>
          <w:bCs/>
          <w:szCs w:val="22"/>
          <w:lang w:val="it-IT"/>
        </w:rPr>
        <w:t xml:space="preserve">largo </w:t>
      </w:r>
      <w:r w:rsidR="00B83C0B" w:rsidRPr="00F364F7">
        <w:rPr>
          <w:rFonts w:cs="Segoe UI"/>
          <w:b/>
          <w:bCs/>
          <w:szCs w:val="22"/>
          <w:lang w:val="it-IT"/>
        </w:rPr>
        <w:t>consumo nella nuova</w:t>
      </w:r>
      <w:r w:rsidRPr="00F364F7">
        <w:rPr>
          <w:rFonts w:cs="Segoe UI"/>
          <w:b/>
          <w:bCs/>
          <w:szCs w:val="22"/>
          <w:lang w:val="it-IT"/>
        </w:rPr>
        <w:t xml:space="preserve"> </w:t>
      </w:r>
      <w:r w:rsidR="000D214D" w:rsidRPr="00F364F7">
        <w:rPr>
          <w:rFonts w:cs="Segoe UI"/>
          <w:b/>
          <w:bCs/>
          <w:szCs w:val="22"/>
          <w:lang w:val="it-IT"/>
        </w:rPr>
        <w:t xml:space="preserve">divisione </w:t>
      </w:r>
      <w:r w:rsidR="00B07BEA" w:rsidRPr="00F364F7">
        <w:rPr>
          <w:rFonts w:cs="Segoe UI"/>
          <w:b/>
          <w:bCs/>
          <w:szCs w:val="22"/>
          <w:lang w:val="it-IT"/>
        </w:rPr>
        <w:lastRenderedPageBreak/>
        <w:t>Consumer Brands,</w:t>
      </w:r>
      <w:r w:rsidR="000D214D" w:rsidRPr="00F364F7">
        <w:rPr>
          <w:rFonts w:cs="Segoe UI"/>
          <w:b/>
          <w:bCs/>
          <w:szCs w:val="22"/>
          <w:lang w:val="it-IT"/>
        </w:rPr>
        <w:t xml:space="preserve"> abbiamo avviato con successo una delle più grandi trasformazioni della nostra azienda negli ultimi decenni</w:t>
      </w:r>
      <w:r w:rsidR="00B07BEA" w:rsidRPr="00F364F7">
        <w:rPr>
          <w:rFonts w:cs="Segoe UI"/>
          <w:b/>
          <w:bCs/>
          <w:szCs w:val="22"/>
          <w:lang w:val="it-IT"/>
        </w:rPr>
        <w:t>”</w:t>
      </w:r>
      <w:r w:rsidR="0088508D" w:rsidRPr="00F364F7">
        <w:rPr>
          <w:rFonts w:cs="Segoe UI"/>
          <w:b/>
          <w:bCs/>
          <w:szCs w:val="22"/>
          <w:lang w:val="it-IT"/>
        </w:rPr>
        <w:t>,</w:t>
      </w:r>
      <w:r w:rsidR="00B07BEA" w:rsidRPr="00F364F7">
        <w:rPr>
          <w:rFonts w:cs="Segoe UI"/>
          <w:b/>
          <w:bCs/>
          <w:szCs w:val="22"/>
          <w:lang w:val="it-IT"/>
        </w:rPr>
        <w:t xml:space="preserve"> </w:t>
      </w:r>
      <w:r w:rsidR="0088508D" w:rsidRPr="00F364F7">
        <w:rPr>
          <w:rFonts w:cs="Segoe UI"/>
          <w:b/>
          <w:bCs/>
          <w:szCs w:val="22"/>
          <w:lang w:val="it-IT"/>
        </w:rPr>
        <w:t xml:space="preserve">ha detto il </w:t>
      </w:r>
      <w:r w:rsidR="00B07BEA" w:rsidRPr="00F364F7">
        <w:rPr>
          <w:rFonts w:cs="Segoe UI"/>
          <w:b/>
          <w:bCs/>
          <w:szCs w:val="22"/>
          <w:lang w:val="it-IT"/>
        </w:rPr>
        <w:t>CEO</w:t>
      </w:r>
      <w:r w:rsidR="0088508D" w:rsidRPr="00F364F7">
        <w:rPr>
          <w:rFonts w:cs="Segoe UI"/>
          <w:b/>
          <w:bCs/>
          <w:szCs w:val="22"/>
          <w:lang w:val="it-IT"/>
        </w:rPr>
        <w:t xml:space="preserve"> di Henkel,</w:t>
      </w:r>
      <w:r w:rsidR="00B07BEA" w:rsidRPr="00F364F7">
        <w:rPr>
          <w:rFonts w:cs="Segoe UI"/>
          <w:b/>
          <w:bCs/>
          <w:szCs w:val="22"/>
          <w:lang w:val="it-IT"/>
        </w:rPr>
        <w:t xml:space="preserve"> Carsten </w:t>
      </w:r>
      <w:proofErr w:type="spellStart"/>
      <w:r w:rsidR="00B07BEA" w:rsidRPr="00F364F7">
        <w:rPr>
          <w:rFonts w:cs="Segoe UI"/>
          <w:b/>
          <w:bCs/>
          <w:szCs w:val="22"/>
          <w:lang w:val="it-IT"/>
        </w:rPr>
        <w:t>Knobel</w:t>
      </w:r>
      <w:proofErr w:type="spellEnd"/>
      <w:r w:rsidR="00B07BEA" w:rsidRPr="00F364F7">
        <w:rPr>
          <w:rFonts w:cs="Segoe UI"/>
          <w:b/>
          <w:bCs/>
          <w:szCs w:val="22"/>
          <w:lang w:val="it-IT"/>
        </w:rPr>
        <w:t xml:space="preserve">. </w:t>
      </w:r>
    </w:p>
    <w:p w14:paraId="79DF5FF2" w14:textId="77777777" w:rsidR="00B07BEA" w:rsidRPr="00F364F7" w:rsidRDefault="00B07BEA" w:rsidP="000B33AC">
      <w:pPr>
        <w:contextualSpacing/>
        <w:rPr>
          <w:rFonts w:cs="Segoe UI"/>
          <w:b/>
          <w:bCs/>
          <w:szCs w:val="22"/>
          <w:lang w:val="it-IT"/>
        </w:rPr>
      </w:pPr>
    </w:p>
    <w:p w14:paraId="0970D056" w14:textId="1067FC36" w:rsidR="00B07BEA" w:rsidRPr="00F364F7" w:rsidRDefault="00B07BEA" w:rsidP="000B33AC">
      <w:pPr>
        <w:contextualSpacing/>
        <w:rPr>
          <w:rFonts w:cs="Segoe UI"/>
          <w:b/>
          <w:bCs/>
          <w:szCs w:val="22"/>
          <w:lang w:val="it-IT"/>
        </w:rPr>
      </w:pPr>
      <w:r w:rsidRPr="00F364F7">
        <w:rPr>
          <w:rFonts w:cs="Segoe UI"/>
          <w:b/>
          <w:bCs/>
          <w:szCs w:val="22"/>
          <w:lang w:val="it-IT"/>
        </w:rPr>
        <w:t>“</w:t>
      </w:r>
      <w:r w:rsidR="0088508D" w:rsidRPr="00F364F7">
        <w:rPr>
          <w:rFonts w:cs="Segoe UI"/>
          <w:b/>
          <w:bCs/>
          <w:szCs w:val="22"/>
          <w:lang w:val="it-IT"/>
        </w:rPr>
        <w:t>Grazie al</w:t>
      </w:r>
      <w:r w:rsidR="000A127D" w:rsidRPr="00F364F7">
        <w:rPr>
          <w:rFonts w:cs="Segoe UI"/>
          <w:b/>
          <w:bCs/>
          <w:szCs w:val="22"/>
          <w:lang w:val="it-IT"/>
        </w:rPr>
        <w:t xml:space="preserve"> grande impegno </w:t>
      </w:r>
      <w:proofErr w:type="gramStart"/>
      <w:r w:rsidR="000A127D" w:rsidRPr="00F364F7">
        <w:rPr>
          <w:rFonts w:cs="Segoe UI"/>
          <w:b/>
          <w:bCs/>
          <w:szCs w:val="22"/>
          <w:lang w:val="it-IT"/>
        </w:rPr>
        <w:t>del nostro team globale</w:t>
      </w:r>
      <w:proofErr w:type="gramEnd"/>
      <w:r w:rsidR="000A127D" w:rsidRPr="00F364F7">
        <w:rPr>
          <w:rFonts w:cs="Segoe UI"/>
          <w:b/>
          <w:bCs/>
          <w:szCs w:val="22"/>
          <w:lang w:val="it-IT"/>
        </w:rPr>
        <w:t>, alla nostra cultura</w:t>
      </w:r>
      <w:r w:rsidR="00335766" w:rsidRPr="00F364F7">
        <w:rPr>
          <w:rFonts w:cs="Segoe UI"/>
          <w:b/>
          <w:bCs/>
          <w:szCs w:val="22"/>
          <w:lang w:val="it-IT"/>
        </w:rPr>
        <w:t>,</w:t>
      </w:r>
      <w:r w:rsidR="000A127D" w:rsidRPr="00F364F7">
        <w:rPr>
          <w:rFonts w:cs="Segoe UI"/>
          <w:b/>
          <w:bCs/>
          <w:szCs w:val="22"/>
          <w:lang w:val="it-IT"/>
        </w:rPr>
        <w:t xml:space="preserve"> alla solida</w:t>
      </w:r>
      <w:r w:rsidR="00335766" w:rsidRPr="00F364F7">
        <w:rPr>
          <w:rFonts w:cs="Segoe UI"/>
          <w:b/>
          <w:bCs/>
          <w:szCs w:val="22"/>
          <w:lang w:val="it-IT"/>
        </w:rPr>
        <w:t xml:space="preserve"> e lungimirante</w:t>
      </w:r>
      <w:r w:rsidR="000A127D" w:rsidRPr="00F364F7">
        <w:rPr>
          <w:rFonts w:cs="Segoe UI"/>
          <w:b/>
          <w:bCs/>
          <w:szCs w:val="22"/>
          <w:lang w:val="it-IT"/>
        </w:rPr>
        <w:t xml:space="preserve"> strategia di crescita</w:t>
      </w:r>
      <w:r w:rsidR="00335766" w:rsidRPr="00F364F7">
        <w:rPr>
          <w:rFonts w:cs="Segoe UI"/>
          <w:b/>
          <w:bCs/>
          <w:szCs w:val="22"/>
          <w:lang w:val="it-IT"/>
        </w:rPr>
        <w:t>, abbiamo</w:t>
      </w:r>
      <w:r w:rsidR="004D6D2A" w:rsidRPr="00F364F7">
        <w:rPr>
          <w:rFonts w:cs="Segoe UI"/>
          <w:b/>
          <w:bCs/>
          <w:szCs w:val="22"/>
          <w:lang w:val="it-IT"/>
        </w:rPr>
        <w:t xml:space="preserve"> superato complessivamente bene le difficoltà dell’anno fiscale appena concluso. Siamo ben </w:t>
      </w:r>
      <w:r w:rsidR="000674E1" w:rsidRPr="00F364F7">
        <w:rPr>
          <w:rFonts w:cs="Segoe UI"/>
          <w:b/>
          <w:bCs/>
          <w:szCs w:val="22"/>
          <w:lang w:val="it-IT"/>
        </w:rPr>
        <w:t>equipaggiati per</w:t>
      </w:r>
      <w:r w:rsidR="00DD5253" w:rsidRPr="00F364F7">
        <w:rPr>
          <w:rFonts w:cs="Segoe UI"/>
          <w:b/>
          <w:bCs/>
          <w:szCs w:val="22"/>
          <w:lang w:val="it-IT"/>
        </w:rPr>
        <w:t xml:space="preserve"> navigare in questi tempi complessi e raggiungere obiettivi ambizioni. </w:t>
      </w:r>
      <w:r w:rsidR="001D5C40" w:rsidRPr="00F364F7">
        <w:rPr>
          <w:rFonts w:cs="Segoe UI"/>
          <w:b/>
          <w:bCs/>
          <w:szCs w:val="22"/>
          <w:lang w:val="it-IT"/>
        </w:rPr>
        <w:t>Siamo pronti per crescere ancora</w:t>
      </w:r>
      <w:r w:rsidR="00640D27" w:rsidRPr="00F364F7">
        <w:rPr>
          <w:rFonts w:cs="Segoe UI"/>
          <w:b/>
          <w:bCs/>
          <w:szCs w:val="22"/>
          <w:lang w:val="it-IT"/>
        </w:rPr>
        <w:t xml:space="preserve">, trainati dallo sviluppo delle nostre divisioni </w:t>
      </w:r>
      <w:proofErr w:type="spellStart"/>
      <w:r w:rsidRPr="00F364F7">
        <w:rPr>
          <w:rFonts w:cs="Segoe UI"/>
          <w:b/>
          <w:bCs/>
          <w:szCs w:val="22"/>
          <w:lang w:val="it-IT"/>
        </w:rPr>
        <w:t>Adhesive</w:t>
      </w:r>
      <w:proofErr w:type="spellEnd"/>
      <w:r w:rsidRPr="00F364F7">
        <w:rPr>
          <w:rFonts w:cs="Segoe UI"/>
          <w:b/>
          <w:bCs/>
          <w:szCs w:val="22"/>
          <w:lang w:val="it-IT"/>
        </w:rPr>
        <w:t xml:space="preserve"> Technologies </w:t>
      </w:r>
      <w:r w:rsidR="00640D27" w:rsidRPr="00F364F7">
        <w:rPr>
          <w:rFonts w:cs="Segoe UI"/>
          <w:b/>
          <w:bCs/>
          <w:szCs w:val="22"/>
          <w:lang w:val="it-IT"/>
        </w:rPr>
        <w:t>e</w:t>
      </w:r>
      <w:r w:rsidRPr="00F364F7">
        <w:rPr>
          <w:rFonts w:cs="Segoe UI"/>
          <w:b/>
          <w:bCs/>
          <w:szCs w:val="22"/>
          <w:lang w:val="it-IT"/>
        </w:rPr>
        <w:t xml:space="preserve"> Consumer Brands”</w:t>
      </w:r>
      <w:r w:rsidR="00640D27" w:rsidRPr="00F364F7">
        <w:rPr>
          <w:rFonts w:cs="Segoe UI"/>
          <w:b/>
          <w:bCs/>
          <w:szCs w:val="22"/>
          <w:lang w:val="it-IT"/>
        </w:rPr>
        <w:t>.</w:t>
      </w:r>
    </w:p>
    <w:p w14:paraId="47F52BD0" w14:textId="77777777" w:rsidR="00B07BEA" w:rsidRPr="00F364F7" w:rsidRDefault="00B07BEA" w:rsidP="000B33AC">
      <w:pPr>
        <w:contextualSpacing/>
        <w:rPr>
          <w:rFonts w:cs="Segoe UI"/>
          <w:b/>
          <w:bCs/>
          <w:szCs w:val="22"/>
          <w:lang w:val="it-IT"/>
        </w:rPr>
      </w:pPr>
    </w:p>
    <w:p w14:paraId="66B8451C" w14:textId="08B8B1DA" w:rsidR="00441449" w:rsidRPr="00F364F7" w:rsidRDefault="00441449" w:rsidP="000B33AC">
      <w:pPr>
        <w:contextualSpacing/>
        <w:rPr>
          <w:rFonts w:cs="Segoe UI"/>
          <w:b/>
          <w:bCs/>
          <w:szCs w:val="22"/>
          <w:lang w:val="it-IT" w:eastAsia="de-DE"/>
        </w:rPr>
      </w:pPr>
      <w:r w:rsidRPr="00F364F7">
        <w:rPr>
          <w:rFonts w:cs="Segoe UI"/>
          <w:b/>
          <w:bCs/>
          <w:szCs w:val="22"/>
          <w:lang w:val="it-IT" w:eastAsia="de-DE"/>
        </w:rPr>
        <w:t>Fatturato e profittabilità nell’anno fiscale 2022</w:t>
      </w:r>
    </w:p>
    <w:p w14:paraId="3A60192B" w14:textId="77777777" w:rsidR="00AE5705" w:rsidRDefault="00AE5705" w:rsidP="000B33AC">
      <w:pPr>
        <w:contextualSpacing/>
        <w:rPr>
          <w:rFonts w:cs="Segoe UI"/>
          <w:szCs w:val="22"/>
          <w:lang w:val="it-IT"/>
        </w:rPr>
      </w:pPr>
    </w:p>
    <w:p w14:paraId="0B9EF904" w14:textId="16214AE4" w:rsidR="006C14EA" w:rsidRPr="00F364F7" w:rsidRDefault="00441449" w:rsidP="000B33AC">
      <w:pPr>
        <w:contextualSpacing/>
        <w:rPr>
          <w:lang w:val="it-IT"/>
        </w:rPr>
      </w:pPr>
      <w:r w:rsidRPr="00F364F7">
        <w:rPr>
          <w:rFonts w:cs="Segoe UI"/>
          <w:szCs w:val="22"/>
          <w:lang w:val="it-IT"/>
        </w:rPr>
        <w:t xml:space="preserve">Il </w:t>
      </w:r>
      <w:r w:rsidRPr="00F364F7">
        <w:rPr>
          <w:rFonts w:cs="Segoe UI"/>
          <w:b/>
          <w:bCs/>
          <w:szCs w:val="22"/>
          <w:lang w:val="it-IT"/>
        </w:rPr>
        <w:t>fatturato</w:t>
      </w:r>
      <w:r w:rsidRPr="00F364F7">
        <w:rPr>
          <w:rFonts w:cs="Segoe UI"/>
          <w:szCs w:val="22"/>
          <w:lang w:val="it-IT"/>
        </w:rPr>
        <w:t xml:space="preserve"> del Gruppo Henkel è salito a </w:t>
      </w:r>
      <w:r w:rsidR="00B07BEA" w:rsidRPr="00F364F7">
        <w:rPr>
          <w:rFonts w:cs="Segoe UI"/>
          <w:szCs w:val="22"/>
          <w:lang w:val="it-IT"/>
        </w:rPr>
        <w:t>22</w:t>
      </w:r>
      <w:r w:rsidR="00474DD5" w:rsidRPr="00F364F7">
        <w:rPr>
          <w:rFonts w:cs="Segoe UI"/>
          <w:szCs w:val="22"/>
          <w:lang w:val="it-IT"/>
        </w:rPr>
        <w:t>.</w:t>
      </w:r>
      <w:r w:rsidR="00B07BEA" w:rsidRPr="00F364F7">
        <w:rPr>
          <w:rFonts w:cs="Segoe UI"/>
          <w:szCs w:val="22"/>
          <w:lang w:val="it-IT"/>
        </w:rPr>
        <w:t>397 milion</w:t>
      </w:r>
      <w:r w:rsidR="00474DD5" w:rsidRPr="00F364F7">
        <w:rPr>
          <w:rFonts w:cs="Segoe UI"/>
          <w:szCs w:val="22"/>
          <w:lang w:val="it-IT"/>
        </w:rPr>
        <w:t>i di</w:t>
      </w:r>
      <w:r w:rsidR="00B07BEA" w:rsidRPr="00F364F7">
        <w:rPr>
          <w:rFonts w:cs="Segoe UI"/>
          <w:szCs w:val="22"/>
          <w:lang w:val="it-IT"/>
        </w:rPr>
        <w:t xml:space="preserve"> euro </w:t>
      </w:r>
      <w:r w:rsidR="00474DD5" w:rsidRPr="00F364F7">
        <w:rPr>
          <w:rFonts w:cs="Segoe UI"/>
          <w:szCs w:val="22"/>
          <w:lang w:val="it-IT"/>
        </w:rPr>
        <w:t>nell’anno</w:t>
      </w:r>
      <w:r w:rsidR="00B07BEA" w:rsidRPr="00F364F7">
        <w:rPr>
          <w:rFonts w:cs="Segoe UI"/>
          <w:szCs w:val="22"/>
          <w:lang w:val="it-IT"/>
        </w:rPr>
        <w:t xml:space="preserve"> fiscal</w:t>
      </w:r>
      <w:r w:rsidR="00474DD5" w:rsidRPr="00F364F7">
        <w:rPr>
          <w:rFonts w:cs="Segoe UI"/>
          <w:szCs w:val="22"/>
          <w:lang w:val="it-IT"/>
        </w:rPr>
        <w:t>e</w:t>
      </w:r>
      <w:r w:rsidR="00B07BEA" w:rsidRPr="00F364F7">
        <w:rPr>
          <w:rFonts w:cs="Segoe UI"/>
          <w:szCs w:val="22"/>
          <w:lang w:val="it-IT"/>
        </w:rPr>
        <w:t xml:space="preserve"> 2022</w:t>
      </w:r>
      <w:r w:rsidR="00474DD5" w:rsidRPr="00F364F7">
        <w:rPr>
          <w:rFonts w:cs="Segoe UI"/>
          <w:szCs w:val="22"/>
          <w:lang w:val="it-IT"/>
        </w:rPr>
        <w:t>, con una crescita nominale</w:t>
      </w:r>
      <w:r w:rsidR="00B07BEA" w:rsidRPr="00F364F7">
        <w:rPr>
          <w:rFonts w:cs="Segoe UI"/>
          <w:szCs w:val="22"/>
          <w:lang w:val="it-IT"/>
        </w:rPr>
        <w:t xml:space="preserve"> </w:t>
      </w:r>
      <w:r w:rsidR="00474DD5" w:rsidRPr="00F364F7">
        <w:rPr>
          <w:rFonts w:cs="Segoe UI"/>
          <w:szCs w:val="22"/>
          <w:lang w:val="it-IT"/>
        </w:rPr>
        <w:t>dell’</w:t>
      </w:r>
      <w:r w:rsidR="00B07BEA" w:rsidRPr="00F364F7">
        <w:rPr>
          <w:rFonts w:cs="Segoe UI"/>
          <w:szCs w:val="22"/>
          <w:lang w:val="it-IT"/>
        </w:rPr>
        <w:t>11</w:t>
      </w:r>
      <w:r w:rsidR="00474DD5" w:rsidRPr="00F364F7">
        <w:rPr>
          <w:rFonts w:cs="Segoe UI"/>
          <w:szCs w:val="22"/>
          <w:lang w:val="it-IT"/>
        </w:rPr>
        <w:t>,</w:t>
      </w:r>
      <w:r w:rsidR="00B07BEA" w:rsidRPr="00F364F7">
        <w:rPr>
          <w:rFonts w:cs="Segoe UI"/>
          <w:szCs w:val="22"/>
          <w:lang w:val="it-IT"/>
        </w:rPr>
        <w:t>6</w:t>
      </w:r>
      <w:r w:rsidR="00474DD5" w:rsidRPr="00F364F7">
        <w:rPr>
          <w:rFonts w:cs="Segoe UI"/>
          <w:szCs w:val="22"/>
          <w:lang w:val="it-IT"/>
        </w:rPr>
        <w:t>%</w:t>
      </w:r>
      <w:r w:rsidR="00B07BEA" w:rsidRPr="00F364F7">
        <w:rPr>
          <w:rFonts w:cs="Segoe UI"/>
          <w:szCs w:val="22"/>
          <w:lang w:val="it-IT"/>
        </w:rPr>
        <w:t xml:space="preserve"> </w:t>
      </w:r>
      <w:r w:rsidR="00474DD5" w:rsidRPr="00F364F7">
        <w:rPr>
          <w:rFonts w:cs="Segoe UI"/>
          <w:szCs w:val="22"/>
          <w:lang w:val="it-IT"/>
        </w:rPr>
        <w:t>e una significativa</w:t>
      </w:r>
      <w:r w:rsidR="00B07BEA" w:rsidRPr="00F364F7">
        <w:rPr>
          <w:rFonts w:cs="Segoe UI"/>
          <w:szCs w:val="22"/>
          <w:lang w:val="it-IT"/>
        </w:rPr>
        <w:t xml:space="preserve"> </w:t>
      </w:r>
      <w:r w:rsidR="008668BD" w:rsidRPr="00F364F7">
        <w:rPr>
          <w:rFonts w:cs="Segoe UI"/>
          <w:b/>
          <w:bCs/>
          <w:szCs w:val="22"/>
          <w:lang w:val="it-IT"/>
        </w:rPr>
        <w:t xml:space="preserve">crescita </w:t>
      </w:r>
      <w:r w:rsidR="00B07BEA" w:rsidRPr="00F364F7">
        <w:rPr>
          <w:rFonts w:cs="Segoe UI"/>
          <w:b/>
          <w:bCs/>
          <w:szCs w:val="22"/>
          <w:lang w:val="it-IT"/>
        </w:rPr>
        <w:t>organic</w:t>
      </w:r>
      <w:r w:rsidR="008668BD" w:rsidRPr="00F364F7">
        <w:rPr>
          <w:rFonts w:cs="Segoe UI"/>
          <w:b/>
          <w:bCs/>
          <w:szCs w:val="22"/>
          <w:lang w:val="it-IT"/>
        </w:rPr>
        <w:t>a</w:t>
      </w:r>
      <w:r w:rsidR="00B07BEA" w:rsidRPr="00F364F7">
        <w:rPr>
          <w:rFonts w:cs="Segoe UI"/>
          <w:b/>
          <w:bCs/>
          <w:szCs w:val="22"/>
          <w:lang w:val="it-IT"/>
        </w:rPr>
        <w:t xml:space="preserve"> </w:t>
      </w:r>
      <w:r w:rsidR="008668BD" w:rsidRPr="00F364F7">
        <w:rPr>
          <w:rFonts w:cs="Segoe UI"/>
          <w:szCs w:val="22"/>
          <w:lang w:val="it-IT"/>
        </w:rPr>
        <w:t>pari all’</w:t>
      </w:r>
      <w:r w:rsidR="00B07BEA" w:rsidRPr="00F364F7">
        <w:rPr>
          <w:rFonts w:cs="Segoe UI"/>
          <w:szCs w:val="22"/>
          <w:lang w:val="it-IT"/>
        </w:rPr>
        <w:t>8</w:t>
      </w:r>
      <w:r w:rsidR="008668BD" w:rsidRPr="00F364F7">
        <w:rPr>
          <w:rFonts w:cs="Segoe UI"/>
          <w:szCs w:val="22"/>
          <w:lang w:val="it-IT"/>
        </w:rPr>
        <w:t>,</w:t>
      </w:r>
      <w:r w:rsidR="00B07BEA" w:rsidRPr="00F364F7">
        <w:rPr>
          <w:rFonts w:cs="Segoe UI"/>
          <w:szCs w:val="22"/>
          <w:lang w:val="it-IT"/>
        </w:rPr>
        <w:t>8</w:t>
      </w:r>
      <w:r w:rsidR="008668BD" w:rsidRPr="00F364F7">
        <w:rPr>
          <w:rFonts w:cs="Segoe UI"/>
          <w:szCs w:val="22"/>
          <w:lang w:val="it-IT"/>
        </w:rPr>
        <w:t>%</w:t>
      </w:r>
      <w:r w:rsidR="00B07BEA" w:rsidRPr="00F364F7">
        <w:rPr>
          <w:rFonts w:cs="Segoe UI"/>
          <w:szCs w:val="22"/>
          <w:lang w:val="it-IT"/>
        </w:rPr>
        <w:t>,</w:t>
      </w:r>
      <w:r w:rsidR="00B07BEA" w:rsidRPr="00F364F7">
        <w:rPr>
          <w:lang w:val="it-IT"/>
        </w:rPr>
        <w:t xml:space="preserve"> </w:t>
      </w:r>
      <w:r w:rsidR="006C14EA" w:rsidRPr="00F364F7">
        <w:rPr>
          <w:lang w:val="it-IT"/>
        </w:rPr>
        <w:t xml:space="preserve">dovuta anche all’aumento dei prezzi praticati da tutte le business </w:t>
      </w:r>
      <w:proofErr w:type="spellStart"/>
      <w:r w:rsidR="006C14EA" w:rsidRPr="00F364F7">
        <w:rPr>
          <w:lang w:val="it-IT"/>
        </w:rPr>
        <w:t>unit</w:t>
      </w:r>
      <w:proofErr w:type="spellEnd"/>
      <w:r w:rsidR="006C14EA" w:rsidRPr="00F364F7">
        <w:rPr>
          <w:lang w:val="it-IT"/>
        </w:rPr>
        <w:t xml:space="preserve">. </w:t>
      </w:r>
      <w:r w:rsidR="006446C4" w:rsidRPr="00F364F7">
        <w:rPr>
          <w:lang w:val="it-IT"/>
        </w:rPr>
        <w:t>A</w:t>
      </w:r>
      <w:r w:rsidR="006C14EA" w:rsidRPr="00F364F7">
        <w:rPr>
          <w:lang w:val="it-IT"/>
        </w:rPr>
        <w:t xml:space="preserve">cquisizioni e </w:t>
      </w:r>
      <w:r w:rsidR="001D7547" w:rsidRPr="00F364F7">
        <w:rPr>
          <w:lang w:val="it-IT"/>
        </w:rPr>
        <w:t xml:space="preserve">dismissioni hanno avuto un impatto </w:t>
      </w:r>
      <w:r w:rsidR="00C73886" w:rsidRPr="00F364F7">
        <w:rPr>
          <w:lang w:val="it-IT"/>
        </w:rPr>
        <w:t>pari al -1,1% sul fatturato, mentre le oscillazioni valutarie hanno</w:t>
      </w:r>
      <w:r w:rsidR="006446C4" w:rsidRPr="00F364F7">
        <w:rPr>
          <w:lang w:val="it-IT"/>
        </w:rPr>
        <w:t xml:space="preserve"> avuto un impatto </w:t>
      </w:r>
      <w:r w:rsidR="00231E45">
        <w:rPr>
          <w:lang w:val="it-IT"/>
        </w:rPr>
        <w:t xml:space="preserve">positivo </w:t>
      </w:r>
      <w:r w:rsidR="006446C4" w:rsidRPr="00F364F7">
        <w:rPr>
          <w:lang w:val="it-IT"/>
        </w:rPr>
        <w:t>pari al 3,9%.</w:t>
      </w:r>
    </w:p>
    <w:p w14:paraId="37C62802" w14:textId="77777777" w:rsidR="00B07BEA" w:rsidRPr="00F364F7" w:rsidRDefault="00B07BEA" w:rsidP="000B33AC">
      <w:pPr>
        <w:contextualSpacing/>
        <w:rPr>
          <w:rFonts w:cs="Segoe UI"/>
          <w:szCs w:val="22"/>
          <w:lang w:val="it-IT"/>
        </w:rPr>
      </w:pPr>
    </w:p>
    <w:p w14:paraId="47F9B2FC" w14:textId="33C45CCB" w:rsidR="00B07BEA" w:rsidRPr="00F364F7" w:rsidRDefault="001A1B7F" w:rsidP="000B33AC">
      <w:pPr>
        <w:contextualSpacing/>
        <w:rPr>
          <w:rFonts w:cs="Segoe UI"/>
          <w:szCs w:val="22"/>
          <w:lang w:val="it-IT"/>
        </w:rPr>
      </w:pPr>
      <w:r w:rsidRPr="00F364F7">
        <w:rPr>
          <w:rFonts w:cs="Segoe UI"/>
          <w:szCs w:val="22"/>
          <w:lang w:val="it-IT"/>
        </w:rPr>
        <w:t>La divisione</w:t>
      </w:r>
      <w:r w:rsidR="00B07BEA" w:rsidRPr="00F364F7">
        <w:rPr>
          <w:rFonts w:cs="Segoe UI"/>
          <w:szCs w:val="22"/>
          <w:lang w:val="it-IT"/>
        </w:rPr>
        <w:t xml:space="preserve"> </w:t>
      </w:r>
      <w:proofErr w:type="spellStart"/>
      <w:r w:rsidR="00B07BEA" w:rsidRPr="00F364F7">
        <w:rPr>
          <w:rFonts w:cs="Segoe UI"/>
          <w:b/>
          <w:bCs/>
          <w:szCs w:val="22"/>
          <w:lang w:val="it-IT"/>
        </w:rPr>
        <w:t>Adhesive</w:t>
      </w:r>
      <w:proofErr w:type="spellEnd"/>
      <w:r w:rsidR="00B07BEA" w:rsidRPr="00F364F7">
        <w:rPr>
          <w:rFonts w:cs="Segoe UI"/>
          <w:b/>
          <w:bCs/>
          <w:szCs w:val="22"/>
          <w:lang w:val="it-IT"/>
        </w:rPr>
        <w:t xml:space="preserve"> Technologies</w:t>
      </w:r>
      <w:r w:rsidR="00B07BEA" w:rsidRPr="00F364F7">
        <w:rPr>
          <w:rFonts w:cs="Segoe UI"/>
          <w:szCs w:val="22"/>
          <w:lang w:val="it-IT"/>
        </w:rPr>
        <w:t xml:space="preserve"> </w:t>
      </w:r>
      <w:r w:rsidRPr="00F364F7">
        <w:rPr>
          <w:rFonts w:cs="Segoe UI"/>
          <w:szCs w:val="22"/>
          <w:lang w:val="it-IT"/>
        </w:rPr>
        <w:t xml:space="preserve">ha ottenuto una crescita a doppia </w:t>
      </w:r>
      <w:r w:rsidR="00D776A9">
        <w:rPr>
          <w:rFonts w:cs="Segoe UI"/>
          <w:szCs w:val="22"/>
          <w:lang w:val="it-IT"/>
        </w:rPr>
        <w:t>cifra</w:t>
      </w:r>
      <w:r w:rsidRPr="00F364F7">
        <w:rPr>
          <w:rFonts w:cs="Segoe UI"/>
          <w:szCs w:val="22"/>
          <w:lang w:val="it-IT"/>
        </w:rPr>
        <w:t xml:space="preserve"> del fatturato organico (+</w:t>
      </w:r>
      <w:r w:rsidR="00B07BEA" w:rsidRPr="00F364F7">
        <w:rPr>
          <w:rFonts w:cs="Segoe UI"/>
          <w:szCs w:val="22"/>
          <w:lang w:val="it-IT"/>
        </w:rPr>
        <w:t>13</w:t>
      </w:r>
      <w:r w:rsidRPr="00F364F7">
        <w:rPr>
          <w:rFonts w:cs="Segoe UI"/>
          <w:szCs w:val="22"/>
          <w:lang w:val="it-IT"/>
        </w:rPr>
        <w:t>,</w:t>
      </w:r>
      <w:r w:rsidR="00B07BEA" w:rsidRPr="00F364F7">
        <w:rPr>
          <w:rFonts w:cs="Segoe UI"/>
          <w:szCs w:val="22"/>
          <w:lang w:val="it-IT"/>
        </w:rPr>
        <w:t>2</w:t>
      </w:r>
      <w:r w:rsidRPr="00F364F7">
        <w:rPr>
          <w:rFonts w:cs="Segoe UI"/>
          <w:szCs w:val="22"/>
          <w:lang w:val="it-IT"/>
        </w:rPr>
        <w:t>%)</w:t>
      </w:r>
      <w:r w:rsidR="00B07BEA" w:rsidRPr="00F364F7">
        <w:rPr>
          <w:rFonts w:cs="Segoe UI"/>
          <w:szCs w:val="22"/>
          <w:lang w:val="it-IT"/>
        </w:rPr>
        <w:t xml:space="preserve"> </w:t>
      </w:r>
      <w:r w:rsidR="00781A7C" w:rsidRPr="00F364F7">
        <w:rPr>
          <w:rFonts w:cs="Segoe UI"/>
          <w:szCs w:val="22"/>
          <w:lang w:val="it-IT"/>
        </w:rPr>
        <w:t>grazie al contributo di tutte le aree di</w:t>
      </w:r>
      <w:r w:rsidR="00B07BEA" w:rsidRPr="00F364F7">
        <w:rPr>
          <w:rFonts w:cs="Segoe UI"/>
          <w:szCs w:val="22"/>
          <w:lang w:val="it-IT"/>
        </w:rPr>
        <w:t xml:space="preserve"> business. </w:t>
      </w:r>
      <w:r w:rsidR="005A5313" w:rsidRPr="00F364F7">
        <w:rPr>
          <w:rFonts w:cs="Segoe UI"/>
          <w:szCs w:val="22"/>
          <w:lang w:val="it-IT"/>
        </w:rPr>
        <w:t xml:space="preserve">L’andamento del fatturato organico di </w:t>
      </w:r>
      <w:r w:rsidR="00B07BEA" w:rsidRPr="00F364F7">
        <w:rPr>
          <w:rFonts w:cs="Segoe UI"/>
          <w:b/>
          <w:bCs/>
          <w:szCs w:val="22"/>
          <w:lang w:val="it-IT"/>
        </w:rPr>
        <w:t>Beauty Care</w:t>
      </w:r>
      <w:r w:rsidR="00B07BEA" w:rsidRPr="00F364F7">
        <w:rPr>
          <w:rFonts w:cs="Segoe UI"/>
          <w:szCs w:val="22"/>
          <w:lang w:val="it-IT"/>
        </w:rPr>
        <w:t xml:space="preserve"> </w:t>
      </w:r>
      <w:r w:rsidR="005A5313" w:rsidRPr="00F364F7">
        <w:rPr>
          <w:rFonts w:cs="Segoe UI"/>
          <w:szCs w:val="22"/>
          <w:lang w:val="it-IT"/>
        </w:rPr>
        <w:t>è stato leggermente negativo (-0,5%)</w:t>
      </w:r>
      <w:r w:rsidR="00582A7A" w:rsidRPr="00F364F7">
        <w:rPr>
          <w:rFonts w:cs="Segoe UI"/>
          <w:szCs w:val="22"/>
          <w:lang w:val="it-IT"/>
        </w:rPr>
        <w:t>.</w:t>
      </w:r>
      <w:r w:rsidR="00B07BEA" w:rsidRPr="00F364F7">
        <w:rPr>
          <w:rFonts w:cs="Segoe UI"/>
          <w:szCs w:val="22"/>
          <w:lang w:val="it-IT"/>
        </w:rPr>
        <w:t xml:space="preserve"> </w:t>
      </w:r>
      <w:r w:rsidR="00810D53" w:rsidRPr="00F364F7">
        <w:rPr>
          <w:rFonts w:cs="Segoe UI"/>
          <w:szCs w:val="22"/>
          <w:lang w:val="it-IT"/>
        </w:rPr>
        <w:t>Mentre i</w:t>
      </w:r>
      <w:r w:rsidR="00582A7A" w:rsidRPr="00F364F7">
        <w:rPr>
          <w:rFonts w:cs="Segoe UI"/>
          <w:szCs w:val="22"/>
          <w:lang w:val="it-IT"/>
        </w:rPr>
        <w:t>l segmento professionale della cura dei capelli</w:t>
      </w:r>
      <w:r w:rsidR="00810D53" w:rsidRPr="00F364F7">
        <w:rPr>
          <w:rFonts w:cs="Segoe UI"/>
          <w:szCs w:val="22"/>
          <w:lang w:val="it-IT"/>
        </w:rPr>
        <w:t xml:space="preserve"> ha mostrato </w:t>
      </w:r>
      <w:r w:rsidR="00671D51">
        <w:rPr>
          <w:rFonts w:cs="Segoe UI"/>
          <w:szCs w:val="22"/>
          <w:lang w:val="it-IT"/>
        </w:rPr>
        <w:t xml:space="preserve">segni di </w:t>
      </w:r>
      <w:r w:rsidR="00810D53" w:rsidRPr="00F364F7">
        <w:rPr>
          <w:rFonts w:cs="Segoe UI"/>
          <w:szCs w:val="22"/>
          <w:lang w:val="it-IT"/>
        </w:rPr>
        <w:t>ripresa</w:t>
      </w:r>
      <w:r w:rsidR="00E3271B" w:rsidRPr="00F364F7">
        <w:rPr>
          <w:rFonts w:cs="Segoe UI"/>
          <w:szCs w:val="22"/>
          <w:lang w:val="it-IT"/>
        </w:rPr>
        <w:t>, le attività al consumo sono state</w:t>
      </w:r>
      <w:r w:rsidR="00810D53" w:rsidRPr="00F364F7">
        <w:rPr>
          <w:rFonts w:cs="Segoe UI"/>
          <w:szCs w:val="22"/>
          <w:lang w:val="it-IT"/>
        </w:rPr>
        <w:t xml:space="preserve"> penalizzate dalle </w:t>
      </w:r>
      <w:r w:rsidR="00AE65B0" w:rsidRPr="00F364F7">
        <w:rPr>
          <w:rFonts w:cs="Segoe UI"/>
          <w:szCs w:val="22"/>
          <w:lang w:val="it-IT"/>
        </w:rPr>
        <w:t>misure già annunciate di gestione del portafoglio.</w:t>
      </w:r>
      <w:r w:rsidR="00E3271B" w:rsidRPr="00F364F7">
        <w:rPr>
          <w:rFonts w:cs="Segoe UI"/>
          <w:szCs w:val="22"/>
          <w:lang w:val="it-IT"/>
        </w:rPr>
        <w:t xml:space="preserve"> </w:t>
      </w:r>
      <w:r w:rsidR="00300B3D" w:rsidRPr="00F364F7">
        <w:rPr>
          <w:rFonts w:cs="Segoe UI"/>
          <w:szCs w:val="22"/>
          <w:lang w:val="it-IT"/>
        </w:rPr>
        <w:t xml:space="preserve">La business </w:t>
      </w:r>
      <w:proofErr w:type="spellStart"/>
      <w:r w:rsidR="00300B3D" w:rsidRPr="00F364F7">
        <w:rPr>
          <w:rFonts w:cs="Segoe UI"/>
          <w:szCs w:val="22"/>
          <w:lang w:val="it-IT"/>
        </w:rPr>
        <w:t>unit</w:t>
      </w:r>
      <w:proofErr w:type="spellEnd"/>
      <w:r w:rsidR="00300B3D" w:rsidRPr="00F364F7">
        <w:rPr>
          <w:rFonts w:cs="Segoe UI"/>
          <w:szCs w:val="22"/>
          <w:lang w:val="it-IT"/>
        </w:rPr>
        <w:t xml:space="preserve"> </w:t>
      </w:r>
      <w:proofErr w:type="spellStart"/>
      <w:r w:rsidR="00B07BEA" w:rsidRPr="00F364F7">
        <w:rPr>
          <w:rFonts w:cs="Segoe UI"/>
          <w:b/>
          <w:bCs/>
          <w:szCs w:val="22"/>
          <w:lang w:val="it-IT"/>
        </w:rPr>
        <w:t>Laundry</w:t>
      </w:r>
      <w:proofErr w:type="spellEnd"/>
      <w:r w:rsidR="00B07BEA" w:rsidRPr="00F364F7">
        <w:rPr>
          <w:rFonts w:cs="Segoe UI"/>
          <w:b/>
          <w:bCs/>
          <w:szCs w:val="22"/>
          <w:lang w:val="it-IT"/>
        </w:rPr>
        <w:t xml:space="preserve"> &amp; Home Care</w:t>
      </w:r>
      <w:r w:rsidR="00B07BEA" w:rsidRPr="00F364F7">
        <w:rPr>
          <w:rFonts w:cs="Segoe UI"/>
          <w:szCs w:val="22"/>
          <w:lang w:val="it-IT"/>
        </w:rPr>
        <w:t xml:space="preserve"> </w:t>
      </w:r>
      <w:r w:rsidR="00B759F3" w:rsidRPr="00F364F7">
        <w:rPr>
          <w:rFonts w:cs="Segoe UI"/>
          <w:szCs w:val="22"/>
          <w:lang w:val="it-IT"/>
        </w:rPr>
        <w:t>ha visto una crescita del fatturato organico</w:t>
      </w:r>
      <w:r w:rsidR="00B07BEA" w:rsidRPr="00F364F7">
        <w:rPr>
          <w:rFonts w:cs="Segoe UI"/>
          <w:szCs w:val="22"/>
          <w:lang w:val="it-IT"/>
        </w:rPr>
        <w:t xml:space="preserve"> </w:t>
      </w:r>
      <w:r w:rsidR="00B759F3" w:rsidRPr="00F364F7">
        <w:rPr>
          <w:rFonts w:cs="Segoe UI"/>
          <w:szCs w:val="22"/>
          <w:lang w:val="it-IT"/>
        </w:rPr>
        <w:t xml:space="preserve">del </w:t>
      </w:r>
      <w:r w:rsidR="00B07BEA" w:rsidRPr="00F364F7">
        <w:rPr>
          <w:rFonts w:cs="Segoe UI"/>
          <w:szCs w:val="22"/>
          <w:lang w:val="it-IT"/>
        </w:rPr>
        <w:t>6</w:t>
      </w:r>
      <w:r w:rsidR="00B759F3" w:rsidRPr="00F364F7">
        <w:rPr>
          <w:rFonts w:cs="Segoe UI"/>
          <w:szCs w:val="22"/>
          <w:lang w:val="it-IT"/>
        </w:rPr>
        <w:t>,</w:t>
      </w:r>
      <w:r w:rsidR="00B07BEA" w:rsidRPr="00F364F7">
        <w:rPr>
          <w:rFonts w:cs="Segoe UI"/>
          <w:szCs w:val="22"/>
          <w:lang w:val="it-IT"/>
        </w:rPr>
        <w:t>3</w:t>
      </w:r>
      <w:r w:rsidR="00B759F3" w:rsidRPr="00F364F7">
        <w:rPr>
          <w:rFonts w:cs="Segoe UI"/>
          <w:szCs w:val="22"/>
          <w:lang w:val="it-IT"/>
        </w:rPr>
        <w:t>%</w:t>
      </w:r>
      <w:r w:rsidR="00B07BEA" w:rsidRPr="00F364F7">
        <w:rPr>
          <w:rFonts w:cs="Segoe UI"/>
          <w:szCs w:val="22"/>
          <w:lang w:val="it-IT"/>
        </w:rPr>
        <w:t xml:space="preserve">, </w:t>
      </w:r>
      <w:r w:rsidR="00D91744" w:rsidRPr="00F364F7">
        <w:rPr>
          <w:rFonts w:cs="Segoe UI"/>
          <w:szCs w:val="22"/>
          <w:lang w:val="it-IT"/>
        </w:rPr>
        <w:t xml:space="preserve">trainata soprattutto dallo sviluppo importante dell’area </w:t>
      </w:r>
      <w:proofErr w:type="spellStart"/>
      <w:r w:rsidR="00B07BEA" w:rsidRPr="00F364F7">
        <w:rPr>
          <w:rFonts w:cs="Segoe UI"/>
          <w:szCs w:val="22"/>
          <w:lang w:val="it-IT"/>
        </w:rPr>
        <w:t>Laundry</w:t>
      </w:r>
      <w:proofErr w:type="spellEnd"/>
      <w:r w:rsidR="00B07BEA" w:rsidRPr="00F364F7">
        <w:rPr>
          <w:rFonts w:cs="Segoe UI"/>
          <w:szCs w:val="22"/>
          <w:lang w:val="it-IT"/>
        </w:rPr>
        <w:t xml:space="preserve"> Care.</w:t>
      </w:r>
    </w:p>
    <w:p w14:paraId="51545AB7" w14:textId="77777777" w:rsidR="00B07BEA" w:rsidRPr="00F364F7" w:rsidRDefault="00B07BEA" w:rsidP="000B33AC">
      <w:pPr>
        <w:contextualSpacing/>
        <w:rPr>
          <w:rFonts w:cs="Segoe UI"/>
          <w:szCs w:val="22"/>
          <w:lang w:val="it-IT"/>
        </w:rPr>
      </w:pPr>
    </w:p>
    <w:p w14:paraId="2C291146" w14:textId="2F04F4DD" w:rsidR="00B07BEA" w:rsidRPr="00F364F7" w:rsidRDefault="007E067C" w:rsidP="000B33AC">
      <w:pPr>
        <w:contextualSpacing/>
        <w:rPr>
          <w:rFonts w:cs="Segoe UI"/>
          <w:szCs w:val="22"/>
          <w:lang w:val="it-IT"/>
        </w:rPr>
      </w:pPr>
      <w:r w:rsidRPr="00F364F7">
        <w:rPr>
          <w:rFonts w:cs="Segoe UI"/>
          <w:szCs w:val="22"/>
          <w:lang w:val="it-IT"/>
        </w:rPr>
        <w:t xml:space="preserve">Nei </w:t>
      </w:r>
      <w:r w:rsidRPr="00F364F7">
        <w:rPr>
          <w:rFonts w:cs="Segoe UI"/>
          <w:b/>
          <w:bCs/>
          <w:szCs w:val="22"/>
          <w:lang w:val="it-IT"/>
        </w:rPr>
        <w:t>mercati emergenti</w:t>
      </w:r>
      <w:r w:rsidRPr="00F364F7">
        <w:rPr>
          <w:rFonts w:cs="Segoe UI"/>
          <w:szCs w:val="22"/>
          <w:lang w:val="it-IT"/>
        </w:rPr>
        <w:t xml:space="preserve"> il fatturato è cresciuto in termini organici</w:t>
      </w:r>
      <w:r w:rsidR="00B07BEA" w:rsidRPr="00F364F7">
        <w:rPr>
          <w:rFonts w:cs="Segoe UI"/>
          <w:szCs w:val="22"/>
          <w:lang w:val="it-IT"/>
        </w:rPr>
        <w:t xml:space="preserve"> </w:t>
      </w:r>
      <w:r w:rsidRPr="00F364F7">
        <w:rPr>
          <w:rFonts w:cs="Segoe UI"/>
          <w:szCs w:val="22"/>
          <w:lang w:val="it-IT"/>
        </w:rPr>
        <w:t>del</w:t>
      </w:r>
      <w:r w:rsidR="00B07BEA" w:rsidRPr="00F364F7">
        <w:rPr>
          <w:rFonts w:cs="Segoe UI"/>
          <w:szCs w:val="22"/>
          <w:lang w:val="it-IT"/>
        </w:rPr>
        <w:t xml:space="preserve"> 13</w:t>
      </w:r>
      <w:r w:rsidRPr="00F364F7">
        <w:rPr>
          <w:rFonts w:cs="Segoe UI"/>
          <w:szCs w:val="22"/>
          <w:lang w:val="it-IT"/>
        </w:rPr>
        <w:t>,</w:t>
      </w:r>
      <w:r w:rsidR="00B07BEA" w:rsidRPr="00F364F7">
        <w:rPr>
          <w:rFonts w:cs="Segoe UI"/>
          <w:szCs w:val="22"/>
          <w:lang w:val="it-IT"/>
        </w:rPr>
        <w:t>3</w:t>
      </w:r>
      <w:r w:rsidRPr="00F364F7">
        <w:rPr>
          <w:rFonts w:cs="Segoe UI"/>
          <w:szCs w:val="22"/>
          <w:lang w:val="it-IT"/>
        </w:rPr>
        <w:t>%, mentre nei</w:t>
      </w:r>
      <w:r w:rsidR="00B07BEA" w:rsidRPr="00F364F7">
        <w:rPr>
          <w:rFonts w:cs="Segoe UI"/>
          <w:szCs w:val="22"/>
          <w:lang w:val="it-IT"/>
        </w:rPr>
        <w:t xml:space="preserve"> </w:t>
      </w:r>
      <w:r w:rsidRPr="00F364F7">
        <w:rPr>
          <w:rFonts w:cs="Segoe UI"/>
          <w:b/>
          <w:bCs/>
          <w:szCs w:val="22"/>
          <w:lang w:val="it-IT"/>
        </w:rPr>
        <w:t xml:space="preserve">mercati </w:t>
      </w:r>
      <w:r w:rsidR="00B07BEA" w:rsidRPr="00F364F7">
        <w:rPr>
          <w:rFonts w:cs="Segoe UI"/>
          <w:b/>
          <w:bCs/>
          <w:szCs w:val="22"/>
          <w:lang w:val="it-IT"/>
        </w:rPr>
        <w:t>matur</w:t>
      </w:r>
      <w:r w:rsidRPr="00F364F7">
        <w:rPr>
          <w:rFonts w:cs="Segoe UI"/>
          <w:b/>
          <w:bCs/>
          <w:szCs w:val="22"/>
          <w:lang w:val="it-IT"/>
        </w:rPr>
        <w:t>i</w:t>
      </w:r>
      <w:r w:rsidR="00B07BEA" w:rsidRPr="00F364F7">
        <w:rPr>
          <w:rFonts w:cs="Segoe UI"/>
          <w:b/>
          <w:bCs/>
          <w:szCs w:val="22"/>
          <w:lang w:val="it-IT"/>
        </w:rPr>
        <w:t xml:space="preserve"> </w:t>
      </w:r>
      <w:r w:rsidRPr="00F364F7">
        <w:rPr>
          <w:rFonts w:cs="Segoe UI"/>
          <w:szCs w:val="22"/>
          <w:lang w:val="it-IT"/>
        </w:rPr>
        <w:t>lo sviluppo è stato del</w:t>
      </w:r>
      <w:r w:rsidR="00B07BEA" w:rsidRPr="00F364F7">
        <w:rPr>
          <w:rFonts w:cs="Segoe UI"/>
          <w:szCs w:val="22"/>
          <w:lang w:val="it-IT"/>
        </w:rPr>
        <w:t xml:space="preserve"> 5</w:t>
      </w:r>
      <w:r w:rsidRPr="00F364F7">
        <w:rPr>
          <w:rFonts w:cs="Segoe UI"/>
          <w:szCs w:val="22"/>
          <w:lang w:val="it-IT"/>
        </w:rPr>
        <w:t>,</w:t>
      </w:r>
      <w:r w:rsidR="00B07BEA" w:rsidRPr="00F364F7">
        <w:rPr>
          <w:rFonts w:cs="Segoe UI"/>
          <w:szCs w:val="22"/>
          <w:lang w:val="it-IT"/>
        </w:rPr>
        <w:t>2</w:t>
      </w:r>
      <w:r w:rsidRPr="00F364F7">
        <w:rPr>
          <w:rFonts w:cs="Segoe UI"/>
          <w:szCs w:val="22"/>
          <w:lang w:val="it-IT"/>
        </w:rPr>
        <w:t>%</w:t>
      </w:r>
      <w:r w:rsidR="00B07BEA" w:rsidRPr="00F364F7">
        <w:rPr>
          <w:rFonts w:cs="Segoe UI"/>
          <w:szCs w:val="22"/>
          <w:lang w:val="it-IT"/>
        </w:rPr>
        <w:t>.</w:t>
      </w:r>
    </w:p>
    <w:p w14:paraId="3E886865" w14:textId="77777777" w:rsidR="00B07BEA" w:rsidRPr="00F364F7" w:rsidRDefault="00B07BEA" w:rsidP="000B33AC">
      <w:pPr>
        <w:contextualSpacing/>
        <w:rPr>
          <w:rFonts w:cs="Segoe UI"/>
          <w:szCs w:val="22"/>
          <w:lang w:val="it-IT"/>
        </w:rPr>
      </w:pPr>
    </w:p>
    <w:p w14:paraId="1219CCDA" w14:textId="7DD1B1BB" w:rsidR="00B07BEA" w:rsidRPr="00F364F7" w:rsidRDefault="007E067C" w:rsidP="000B33AC">
      <w:pPr>
        <w:contextualSpacing/>
        <w:rPr>
          <w:rFonts w:cs="Segoe UI"/>
          <w:szCs w:val="22"/>
          <w:lang w:val="it-IT"/>
        </w:rPr>
      </w:pPr>
      <w:r w:rsidRPr="00F364F7">
        <w:rPr>
          <w:rFonts w:cs="Segoe UI"/>
          <w:szCs w:val="22"/>
          <w:lang w:val="it-IT"/>
        </w:rPr>
        <w:t xml:space="preserve">Il </w:t>
      </w:r>
      <w:r w:rsidR="00CE7B00" w:rsidRPr="00F364F7">
        <w:rPr>
          <w:rFonts w:cs="Segoe UI"/>
          <w:b/>
          <w:bCs/>
          <w:szCs w:val="22"/>
          <w:lang w:val="it-IT"/>
        </w:rPr>
        <w:t>margine operativo depurato</w:t>
      </w:r>
      <w:r w:rsidR="00B07BEA" w:rsidRPr="00F364F7">
        <w:rPr>
          <w:rFonts w:cs="Segoe UI"/>
          <w:b/>
          <w:bCs/>
          <w:szCs w:val="22"/>
          <w:lang w:val="it-IT"/>
        </w:rPr>
        <w:t xml:space="preserve"> (EBIT</w:t>
      </w:r>
      <w:r w:rsidR="00CE7B00" w:rsidRPr="00F364F7">
        <w:rPr>
          <w:rFonts w:cs="Segoe UI"/>
          <w:b/>
          <w:bCs/>
          <w:szCs w:val="22"/>
          <w:lang w:val="it-IT"/>
        </w:rPr>
        <w:t xml:space="preserve"> depurato</w:t>
      </w:r>
      <w:r w:rsidR="00B07BEA" w:rsidRPr="00F364F7">
        <w:rPr>
          <w:rFonts w:cs="Segoe UI"/>
          <w:b/>
          <w:bCs/>
          <w:szCs w:val="22"/>
          <w:lang w:val="it-IT"/>
        </w:rPr>
        <w:t>)</w:t>
      </w:r>
      <w:r w:rsidR="00B07BEA" w:rsidRPr="00F364F7">
        <w:rPr>
          <w:rFonts w:cs="Segoe UI"/>
          <w:szCs w:val="22"/>
          <w:lang w:val="it-IT"/>
        </w:rPr>
        <w:t xml:space="preserve"> </w:t>
      </w:r>
      <w:r w:rsidR="00CE7B00" w:rsidRPr="00F364F7">
        <w:rPr>
          <w:rFonts w:cs="Segoe UI"/>
          <w:szCs w:val="22"/>
          <w:lang w:val="it-IT"/>
        </w:rPr>
        <w:t xml:space="preserve">ha raggiunto i </w:t>
      </w:r>
      <w:r w:rsidR="00B07BEA" w:rsidRPr="00F364F7">
        <w:rPr>
          <w:rFonts w:cs="Segoe UI"/>
          <w:szCs w:val="22"/>
          <w:lang w:val="it-IT"/>
        </w:rPr>
        <w:t>2</w:t>
      </w:r>
      <w:r w:rsidR="00CE7B00" w:rsidRPr="00F364F7">
        <w:rPr>
          <w:rFonts w:cs="Segoe UI"/>
          <w:szCs w:val="22"/>
          <w:lang w:val="it-IT"/>
        </w:rPr>
        <w:t>.</w:t>
      </w:r>
      <w:r w:rsidR="00B07BEA" w:rsidRPr="00F364F7">
        <w:rPr>
          <w:rFonts w:cs="Segoe UI"/>
          <w:szCs w:val="22"/>
          <w:lang w:val="it-IT"/>
        </w:rPr>
        <w:t>319 milion</w:t>
      </w:r>
      <w:r w:rsidR="00C96A7C" w:rsidRPr="00F364F7">
        <w:rPr>
          <w:rFonts w:cs="Segoe UI"/>
          <w:szCs w:val="22"/>
          <w:lang w:val="it-IT"/>
        </w:rPr>
        <w:t>i di</w:t>
      </w:r>
      <w:r w:rsidR="00B07BEA" w:rsidRPr="00F364F7">
        <w:rPr>
          <w:rFonts w:cs="Segoe UI"/>
          <w:szCs w:val="22"/>
          <w:lang w:val="it-IT"/>
        </w:rPr>
        <w:t xml:space="preserve"> euro</w:t>
      </w:r>
      <w:r w:rsidR="00C96A7C" w:rsidRPr="00F364F7">
        <w:rPr>
          <w:rFonts w:cs="Segoe UI"/>
          <w:szCs w:val="22"/>
          <w:lang w:val="it-IT"/>
        </w:rPr>
        <w:t>, in calo rispetto</w:t>
      </w:r>
      <w:r w:rsidR="00B07BEA" w:rsidRPr="00F364F7">
        <w:rPr>
          <w:lang w:val="it-IT"/>
        </w:rPr>
        <w:t xml:space="preserve"> </w:t>
      </w:r>
      <w:r w:rsidR="00C96A7C" w:rsidRPr="00F364F7">
        <w:rPr>
          <w:rFonts w:cs="Segoe UI"/>
          <w:szCs w:val="22"/>
          <w:lang w:val="it-IT"/>
        </w:rPr>
        <w:t>ai</w:t>
      </w:r>
      <w:r w:rsidR="00B07BEA" w:rsidRPr="00F364F7">
        <w:rPr>
          <w:rFonts w:cs="Segoe UI"/>
          <w:szCs w:val="22"/>
          <w:lang w:val="it-IT"/>
        </w:rPr>
        <w:t xml:space="preserve"> 2</w:t>
      </w:r>
      <w:r w:rsidR="00C96A7C" w:rsidRPr="00F364F7">
        <w:rPr>
          <w:rFonts w:cs="Segoe UI"/>
          <w:szCs w:val="22"/>
          <w:lang w:val="it-IT"/>
        </w:rPr>
        <w:t>.</w:t>
      </w:r>
      <w:r w:rsidR="00B07BEA" w:rsidRPr="00F364F7">
        <w:rPr>
          <w:rFonts w:cs="Segoe UI"/>
          <w:szCs w:val="22"/>
          <w:lang w:val="it-IT"/>
        </w:rPr>
        <w:t>686 milion</w:t>
      </w:r>
      <w:r w:rsidR="00C96A7C" w:rsidRPr="00F364F7">
        <w:rPr>
          <w:rFonts w:cs="Segoe UI"/>
          <w:szCs w:val="22"/>
          <w:lang w:val="it-IT"/>
        </w:rPr>
        <w:t>i di</w:t>
      </w:r>
      <w:r w:rsidR="00B07BEA" w:rsidRPr="00F364F7">
        <w:rPr>
          <w:rFonts w:cs="Segoe UI"/>
          <w:szCs w:val="22"/>
          <w:lang w:val="it-IT"/>
        </w:rPr>
        <w:t xml:space="preserve"> euro </w:t>
      </w:r>
      <w:r w:rsidR="00C96A7C" w:rsidRPr="00F364F7">
        <w:rPr>
          <w:rFonts w:cs="Segoe UI"/>
          <w:szCs w:val="22"/>
          <w:lang w:val="it-IT"/>
        </w:rPr>
        <w:t>dell’anno fiscale</w:t>
      </w:r>
      <w:r w:rsidR="00B07BEA" w:rsidRPr="00F364F7">
        <w:rPr>
          <w:rFonts w:cs="Segoe UI"/>
          <w:szCs w:val="22"/>
          <w:lang w:val="it-IT"/>
        </w:rPr>
        <w:t xml:space="preserve"> 2021 (-13</w:t>
      </w:r>
      <w:r w:rsidR="00C96A7C" w:rsidRPr="00F364F7">
        <w:rPr>
          <w:rFonts w:cs="Segoe UI"/>
          <w:szCs w:val="22"/>
          <w:lang w:val="it-IT"/>
        </w:rPr>
        <w:t>,</w:t>
      </w:r>
      <w:r w:rsidR="00B07BEA" w:rsidRPr="00F364F7">
        <w:rPr>
          <w:rFonts w:cs="Segoe UI"/>
          <w:szCs w:val="22"/>
          <w:lang w:val="it-IT"/>
        </w:rPr>
        <w:t>7</w:t>
      </w:r>
      <w:r w:rsidR="00C96A7C" w:rsidRPr="00F364F7">
        <w:rPr>
          <w:rFonts w:cs="Segoe UI"/>
          <w:szCs w:val="22"/>
          <w:lang w:val="it-IT"/>
        </w:rPr>
        <w:t>%</w:t>
      </w:r>
      <w:r w:rsidR="00B07BEA" w:rsidRPr="00F364F7">
        <w:rPr>
          <w:rFonts w:cs="Segoe UI"/>
          <w:szCs w:val="22"/>
          <w:lang w:val="it-IT"/>
        </w:rPr>
        <w:t xml:space="preserve">). </w:t>
      </w:r>
      <w:r w:rsidR="00E1480F" w:rsidRPr="00F364F7">
        <w:rPr>
          <w:rFonts w:cs="Segoe UI"/>
          <w:szCs w:val="22"/>
          <w:lang w:val="it-IT"/>
        </w:rPr>
        <w:t xml:space="preserve">Sulla profittabilità ha pesato l’aumento rilevante dei costi delle materie prime e della logistica, </w:t>
      </w:r>
      <w:r w:rsidR="009961AA" w:rsidRPr="00F364F7">
        <w:rPr>
          <w:rFonts w:cs="Segoe UI"/>
          <w:szCs w:val="22"/>
          <w:lang w:val="it-IT"/>
        </w:rPr>
        <w:t>che sono stati solo parzialmente compensati dal</w:t>
      </w:r>
      <w:r w:rsidR="0070469C" w:rsidRPr="00F364F7">
        <w:rPr>
          <w:rFonts w:cs="Segoe UI"/>
          <w:szCs w:val="22"/>
          <w:lang w:val="it-IT"/>
        </w:rPr>
        <w:t xml:space="preserve"> rincaro dei prezzi e dalle continue misure per contenere i costi e migliorare l’efficienza della produzione e della </w:t>
      </w:r>
      <w:r w:rsidR="00B07BEA" w:rsidRPr="00F364F7">
        <w:rPr>
          <w:rFonts w:cs="Segoe UI"/>
          <w:szCs w:val="22"/>
          <w:lang w:val="it-IT"/>
        </w:rPr>
        <w:t>supply chain.</w:t>
      </w:r>
    </w:p>
    <w:p w14:paraId="02D478BA" w14:textId="77777777" w:rsidR="00B07BEA" w:rsidRPr="00F364F7" w:rsidRDefault="00B07BEA" w:rsidP="000B33AC">
      <w:pPr>
        <w:contextualSpacing/>
        <w:rPr>
          <w:rFonts w:cs="Segoe UI"/>
          <w:szCs w:val="22"/>
          <w:lang w:val="it-IT"/>
        </w:rPr>
      </w:pPr>
    </w:p>
    <w:p w14:paraId="2C282D85" w14:textId="192356F7" w:rsidR="00B07BEA" w:rsidRPr="00F364F7" w:rsidRDefault="00B07BEA" w:rsidP="000B33AC">
      <w:pPr>
        <w:contextualSpacing/>
        <w:rPr>
          <w:rFonts w:cs="Segoe UI"/>
          <w:szCs w:val="22"/>
          <w:lang w:val="it-IT"/>
        </w:rPr>
      </w:pPr>
      <w:r w:rsidRPr="00F364F7">
        <w:rPr>
          <w:rFonts w:cs="Segoe UI"/>
          <w:szCs w:val="22"/>
          <w:lang w:val="it-IT"/>
        </w:rPr>
        <w:t>A</w:t>
      </w:r>
      <w:r w:rsidR="00867B24" w:rsidRPr="00F364F7">
        <w:rPr>
          <w:rFonts w:cs="Segoe UI"/>
          <w:szCs w:val="22"/>
          <w:lang w:val="it-IT"/>
        </w:rPr>
        <w:t>l</w:t>
      </w:r>
      <w:r w:rsidRPr="00F364F7">
        <w:rPr>
          <w:rFonts w:cs="Segoe UI"/>
          <w:szCs w:val="22"/>
          <w:lang w:val="it-IT"/>
        </w:rPr>
        <w:t xml:space="preserve"> 10</w:t>
      </w:r>
      <w:r w:rsidR="00867B24" w:rsidRPr="00F364F7">
        <w:rPr>
          <w:rFonts w:cs="Segoe UI"/>
          <w:szCs w:val="22"/>
          <w:lang w:val="it-IT"/>
        </w:rPr>
        <w:t>,</w:t>
      </w:r>
      <w:r w:rsidRPr="00F364F7">
        <w:rPr>
          <w:rFonts w:cs="Segoe UI"/>
          <w:szCs w:val="22"/>
          <w:lang w:val="it-IT"/>
        </w:rPr>
        <w:t>4</w:t>
      </w:r>
      <w:r w:rsidR="00867B24" w:rsidRPr="00F364F7">
        <w:rPr>
          <w:rFonts w:cs="Segoe UI"/>
          <w:szCs w:val="22"/>
          <w:lang w:val="it-IT"/>
        </w:rPr>
        <w:t>%</w:t>
      </w:r>
      <w:r w:rsidRPr="00F364F7">
        <w:rPr>
          <w:rFonts w:cs="Segoe UI"/>
          <w:szCs w:val="22"/>
          <w:lang w:val="it-IT"/>
        </w:rPr>
        <w:t>,</w:t>
      </w:r>
      <w:r w:rsidR="0048113B" w:rsidRPr="00F364F7">
        <w:rPr>
          <w:rFonts w:cs="Segoe UI"/>
          <w:szCs w:val="22"/>
          <w:lang w:val="it-IT"/>
        </w:rPr>
        <w:t xml:space="preserve"> il</w:t>
      </w:r>
      <w:r w:rsidRPr="00F364F7">
        <w:rPr>
          <w:rFonts w:cs="Segoe UI"/>
          <w:b/>
          <w:bCs/>
          <w:szCs w:val="22"/>
          <w:lang w:val="it-IT"/>
        </w:rPr>
        <w:t xml:space="preserve"> </w:t>
      </w:r>
      <w:r w:rsidR="0048113B" w:rsidRPr="00F364F7">
        <w:rPr>
          <w:rFonts w:cs="Segoe UI"/>
          <w:b/>
          <w:bCs/>
          <w:szCs w:val="22"/>
          <w:lang w:val="it-IT"/>
        </w:rPr>
        <w:t xml:space="preserve">tasso depurato di ritorno sulle vendite </w:t>
      </w:r>
      <w:r w:rsidRPr="00F364F7">
        <w:rPr>
          <w:rFonts w:cs="Segoe UI"/>
          <w:b/>
          <w:bCs/>
          <w:szCs w:val="22"/>
          <w:lang w:val="it-IT"/>
        </w:rPr>
        <w:t>(</w:t>
      </w:r>
      <w:r w:rsidR="0048113B" w:rsidRPr="00F364F7">
        <w:rPr>
          <w:rFonts w:cs="Segoe UI"/>
          <w:b/>
          <w:bCs/>
          <w:szCs w:val="22"/>
          <w:lang w:val="it-IT"/>
        </w:rPr>
        <w:t>margine</w:t>
      </w:r>
      <w:r w:rsidRPr="00F364F7">
        <w:rPr>
          <w:rFonts w:cs="Segoe UI"/>
          <w:b/>
          <w:bCs/>
          <w:szCs w:val="22"/>
          <w:lang w:val="it-IT"/>
        </w:rPr>
        <w:t xml:space="preserve"> EBIT </w:t>
      </w:r>
      <w:r w:rsidR="0048113B" w:rsidRPr="00F364F7">
        <w:rPr>
          <w:rFonts w:cs="Segoe UI"/>
          <w:b/>
          <w:bCs/>
          <w:szCs w:val="22"/>
          <w:lang w:val="it-IT"/>
        </w:rPr>
        <w:t>depurato</w:t>
      </w:r>
      <w:r w:rsidRPr="00F364F7">
        <w:rPr>
          <w:rFonts w:cs="Segoe UI"/>
          <w:b/>
          <w:bCs/>
          <w:szCs w:val="22"/>
          <w:lang w:val="it-IT"/>
        </w:rPr>
        <w:t>)</w:t>
      </w:r>
      <w:r w:rsidRPr="00F364F7">
        <w:rPr>
          <w:rFonts w:cs="Segoe UI"/>
          <w:szCs w:val="22"/>
          <w:lang w:val="it-IT"/>
        </w:rPr>
        <w:t xml:space="preserve"> </w:t>
      </w:r>
      <w:r w:rsidR="0048113B" w:rsidRPr="00F364F7">
        <w:rPr>
          <w:rFonts w:cs="Segoe UI"/>
          <w:szCs w:val="22"/>
          <w:lang w:val="it-IT"/>
        </w:rPr>
        <w:t>è stato inferiore allo scorso anno</w:t>
      </w:r>
      <w:r w:rsidRPr="00F364F7">
        <w:rPr>
          <w:rFonts w:cs="Segoe UI"/>
          <w:szCs w:val="22"/>
          <w:lang w:val="it-IT"/>
        </w:rPr>
        <w:t xml:space="preserve"> (13</w:t>
      </w:r>
      <w:r w:rsidR="0048113B" w:rsidRPr="00F364F7">
        <w:rPr>
          <w:rFonts w:cs="Segoe UI"/>
          <w:szCs w:val="22"/>
          <w:lang w:val="it-IT"/>
        </w:rPr>
        <w:t>,</w:t>
      </w:r>
      <w:r w:rsidRPr="00F364F7">
        <w:rPr>
          <w:rFonts w:cs="Segoe UI"/>
          <w:szCs w:val="22"/>
          <w:lang w:val="it-IT"/>
        </w:rPr>
        <w:t>4</w:t>
      </w:r>
      <w:r w:rsidR="0048113B" w:rsidRPr="00F364F7">
        <w:rPr>
          <w:rFonts w:cs="Segoe UI"/>
          <w:szCs w:val="22"/>
          <w:lang w:val="it-IT"/>
        </w:rPr>
        <w:t>% nel 2021</w:t>
      </w:r>
      <w:r w:rsidRPr="00F364F7">
        <w:rPr>
          <w:rFonts w:cs="Segoe UI"/>
          <w:szCs w:val="22"/>
          <w:lang w:val="it-IT"/>
        </w:rPr>
        <w:t>).</w:t>
      </w:r>
    </w:p>
    <w:p w14:paraId="503E4B34" w14:textId="77777777" w:rsidR="0048113B" w:rsidRPr="00F364F7" w:rsidRDefault="0048113B" w:rsidP="000B33AC">
      <w:pPr>
        <w:contextualSpacing/>
        <w:rPr>
          <w:rFonts w:cs="Segoe UI"/>
          <w:szCs w:val="22"/>
          <w:lang w:val="it-IT"/>
        </w:rPr>
      </w:pPr>
    </w:p>
    <w:p w14:paraId="7E4685FF" w14:textId="6E6C0D4C" w:rsidR="0018676E" w:rsidRPr="00F364F7" w:rsidRDefault="0048113B" w:rsidP="000B33AC">
      <w:pPr>
        <w:contextualSpacing/>
        <w:rPr>
          <w:rFonts w:cs="Segoe UI"/>
          <w:bCs/>
          <w:szCs w:val="22"/>
          <w:lang w:val="it-IT"/>
        </w:rPr>
      </w:pPr>
      <w:r w:rsidRPr="00F364F7">
        <w:rPr>
          <w:rFonts w:cs="Segoe UI"/>
          <w:bCs/>
          <w:szCs w:val="22"/>
          <w:lang w:val="it-IT"/>
        </w:rPr>
        <w:lastRenderedPageBreak/>
        <w:t xml:space="preserve">Gli </w:t>
      </w:r>
      <w:r w:rsidRPr="00F364F7">
        <w:rPr>
          <w:rFonts w:cs="Segoe UI"/>
          <w:b/>
          <w:szCs w:val="22"/>
          <w:lang w:val="it-IT"/>
        </w:rPr>
        <w:t>utili depurate per azione privilegiata</w:t>
      </w:r>
      <w:r w:rsidRPr="00F364F7">
        <w:rPr>
          <w:rFonts w:cs="Segoe UI"/>
          <w:bCs/>
          <w:szCs w:val="22"/>
          <w:lang w:val="it-IT"/>
        </w:rPr>
        <w:t xml:space="preserve"> sono scesi del 14,5% a 3,90 euro (</w:t>
      </w:r>
      <w:r w:rsidR="0018676E" w:rsidRPr="00F364F7">
        <w:rPr>
          <w:rFonts w:cs="Segoe UI"/>
          <w:bCs/>
          <w:szCs w:val="22"/>
          <w:lang w:val="it-IT"/>
        </w:rPr>
        <w:t xml:space="preserve">4,56 euro l’anno scorso), </w:t>
      </w:r>
      <w:r w:rsidR="00F462A2" w:rsidRPr="00F364F7">
        <w:rPr>
          <w:rFonts w:cs="Segoe UI"/>
          <w:bCs/>
          <w:szCs w:val="22"/>
          <w:lang w:val="it-IT"/>
        </w:rPr>
        <w:t>ovvero del 17,8% a tassi costanti di cambio.</w:t>
      </w:r>
    </w:p>
    <w:p w14:paraId="0FC441D3" w14:textId="77777777" w:rsidR="00B07BEA" w:rsidRPr="00F364F7" w:rsidRDefault="00B07BEA" w:rsidP="000B33AC">
      <w:pPr>
        <w:contextualSpacing/>
        <w:rPr>
          <w:rFonts w:cs="Segoe UI"/>
          <w:szCs w:val="22"/>
          <w:lang w:val="it-IT"/>
        </w:rPr>
      </w:pPr>
    </w:p>
    <w:p w14:paraId="3EF98222" w14:textId="06A6B819" w:rsidR="00310F19" w:rsidRPr="00F364F7" w:rsidRDefault="00F462A2" w:rsidP="000B33AC">
      <w:pPr>
        <w:contextualSpacing/>
        <w:rPr>
          <w:rFonts w:cs="Segoe UI"/>
          <w:szCs w:val="22"/>
          <w:lang w:val="it-IT"/>
        </w:rPr>
      </w:pPr>
      <w:r w:rsidRPr="00F364F7">
        <w:rPr>
          <w:rFonts w:cs="Segoe UI"/>
          <w:szCs w:val="22"/>
          <w:lang w:val="it-IT"/>
        </w:rPr>
        <w:t xml:space="preserve">Il </w:t>
      </w:r>
      <w:r w:rsidRPr="00F364F7">
        <w:rPr>
          <w:rFonts w:cs="Segoe UI"/>
          <w:b/>
          <w:bCs/>
          <w:szCs w:val="22"/>
          <w:lang w:val="it-IT"/>
        </w:rPr>
        <w:t>capitale circolante netto</w:t>
      </w:r>
      <w:r w:rsidR="00B07BEA" w:rsidRPr="00F364F7">
        <w:rPr>
          <w:rFonts w:cs="Segoe UI"/>
          <w:b/>
          <w:bCs/>
          <w:szCs w:val="22"/>
          <w:lang w:val="it-IT"/>
        </w:rPr>
        <w:t xml:space="preserve"> </w:t>
      </w:r>
      <w:r w:rsidRPr="00F364F7">
        <w:rPr>
          <w:rFonts w:cs="Segoe UI"/>
          <w:szCs w:val="22"/>
          <w:lang w:val="it-IT"/>
        </w:rPr>
        <w:t>in percentuale sul fatturato è cresciuto del</w:t>
      </w:r>
      <w:r w:rsidR="00B07BEA" w:rsidRPr="00F364F7">
        <w:rPr>
          <w:rFonts w:cs="Segoe UI"/>
          <w:szCs w:val="22"/>
          <w:lang w:val="it-IT"/>
        </w:rPr>
        <w:t xml:space="preserve"> 4</w:t>
      </w:r>
      <w:r w:rsidRPr="00F364F7">
        <w:rPr>
          <w:rFonts w:cs="Segoe UI"/>
          <w:szCs w:val="22"/>
          <w:lang w:val="it-IT"/>
        </w:rPr>
        <w:t>,</w:t>
      </w:r>
      <w:r w:rsidR="00B07BEA" w:rsidRPr="00F364F7">
        <w:rPr>
          <w:rFonts w:cs="Segoe UI"/>
          <w:szCs w:val="22"/>
          <w:lang w:val="it-IT"/>
        </w:rPr>
        <w:t>5</w:t>
      </w:r>
      <w:r w:rsidRPr="00F364F7">
        <w:rPr>
          <w:rFonts w:cs="Segoe UI"/>
          <w:szCs w:val="22"/>
          <w:lang w:val="it-IT"/>
        </w:rPr>
        <w:t>%</w:t>
      </w:r>
      <w:r w:rsidR="00B07BEA" w:rsidRPr="00F364F7">
        <w:rPr>
          <w:rFonts w:cs="Segoe UI"/>
          <w:szCs w:val="22"/>
          <w:lang w:val="it-IT"/>
        </w:rPr>
        <w:t xml:space="preserve">, </w:t>
      </w:r>
      <w:r w:rsidR="00E26809" w:rsidRPr="00F364F7">
        <w:rPr>
          <w:rFonts w:cs="Segoe UI"/>
          <w:szCs w:val="22"/>
          <w:lang w:val="it-IT"/>
        </w:rPr>
        <w:t>guadagnando</w:t>
      </w:r>
      <w:r w:rsidR="00B07BEA" w:rsidRPr="00F364F7">
        <w:rPr>
          <w:rFonts w:cs="Segoe UI"/>
          <w:szCs w:val="22"/>
          <w:lang w:val="it-IT"/>
        </w:rPr>
        <w:t xml:space="preserve"> 2</w:t>
      </w:r>
      <w:r w:rsidR="00E26809" w:rsidRPr="00F364F7">
        <w:rPr>
          <w:rFonts w:cs="Segoe UI"/>
          <w:szCs w:val="22"/>
          <w:lang w:val="it-IT"/>
        </w:rPr>
        <w:t>,</w:t>
      </w:r>
      <w:r w:rsidR="00B07BEA" w:rsidRPr="00F364F7">
        <w:rPr>
          <w:rFonts w:cs="Segoe UI"/>
          <w:szCs w:val="22"/>
          <w:lang w:val="it-IT"/>
        </w:rPr>
        <w:t>3</w:t>
      </w:r>
      <w:r w:rsidR="00E26809" w:rsidRPr="00F364F7">
        <w:rPr>
          <w:rFonts w:cs="Segoe UI"/>
          <w:szCs w:val="22"/>
          <w:lang w:val="it-IT"/>
        </w:rPr>
        <w:t xml:space="preserve"> punti percentuali rispetto all’anno scorso</w:t>
      </w:r>
      <w:r w:rsidR="00B07BEA" w:rsidRPr="00F364F7">
        <w:rPr>
          <w:rFonts w:cs="Segoe UI"/>
          <w:szCs w:val="22"/>
          <w:lang w:val="it-IT"/>
        </w:rPr>
        <w:t>.</w:t>
      </w:r>
      <w:r w:rsidR="00310F19" w:rsidRPr="00F364F7">
        <w:rPr>
          <w:rFonts w:cs="Segoe UI"/>
          <w:szCs w:val="22"/>
          <w:lang w:val="it-IT"/>
        </w:rPr>
        <w:t xml:space="preserve"> Questo è attribuibile principalmente al rilevante aumento dei prezzi dei materiali diretti.</w:t>
      </w:r>
    </w:p>
    <w:p w14:paraId="56036D46" w14:textId="77777777" w:rsidR="00B07BEA" w:rsidRPr="00F364F7" w:rsidRDefault="00B07BEA" w:rsidP="000B33AC">
      <w:pPr>
        <w:contextualSpacing/>
        <w:rPr>
          <w:rFonts w:cs="Segoe UI"/>
          <w:szCs w:val="22"/>
          <w:lang w:val="it-IT"/>
        </w:rPr>
      </w:pPr>
    </w:p>
    <w:p w14:paraId="291165BC" w14:textId="7B4B75B9" w:rsidR="00B9535A" w:rsidRPr="00F364F7" w:rsidRDefault="00310F19" w:rsidP="000B33AC">
      <w:pPr>
        <w:contextualSpacing/>
        <w:rPr>
          <w:rFonts w:cs="Segoe UI"/>
          <w:szCs w:val="22"/>
          <w:lang w:val="it-IT"/>
        </w:rPr>
      </w:pPr>
      <w:r w:rsidRPr="00F364F7">
        <w:rPr>
          <w:rFonts w:cs="Segoe UI"/>
          <w:szCs w:val="22"/>
          <w:lang w:val="it-IT"/>
        </w:rPr>
        <w:t xml:space="preserve">Il </w:t>
      </w:r>
      <w:r w:rsidRPr="00F364F7">
        <w:rPr>
          <w:rFonts w:cs="Segoe UI"/>
          <w:b/>
          <w:bCs/>
          <w:szCs w:val="22"/>
          <w:lang w:val="it-IT"/>
        </w:rPr>
        <w:t xml:space="preserve">flusso libero di cassa </w:t>
      </w:r>
      <w:r w:rsidRPr="00F364F7">
        <w:rPr>
          <w:rFonts w:cs="Segoe UI"/>
          <w:szCs w:val="22"/>
          <w:lang w:val="it-IT"/>
        </w:rPr>
        <w:t>è stato pari a</w:t>
      </w:r>
      <w:r w:rsidR="00B07BEA" w:rsidRPr="00F364F7">
        <w:rPr>
          <w:rFonts w:cs="Segoe UI"/>
          <w:szCs w:val="22"/>
          <w:lang w:val="it-IT"/>
        </w:rPr>
        <w:t xml:space="preserve"> 653 milion</w:t>
      </w:r>
      <w:r w:rsidRPr="00F364F7">
        <w:rPr>
          <w:rFonts w:cs="Segoe UI"/>
          <w:szCs w:val="22"/>
          <w:lang w:val="it-IT"/>
        </w:rPr>
        <w:t>i di</w:t>
      </w:r>
      <w:r w:rsidR="00B07BEA" w:rsidRPr="00F364F7">
        <w:rPr>
          <w:rFonts w:cs="Segoe UI"/>
          <w:szCs w:val="22"/>
          <w:lang w:val="it-IT"/>
        </w:rPr>
        <w:t xml:space="preserve"> euro, </w:t>
      </w:r>
      <w:r w:rsidR="00521921" w:rsidRPr="00F364F7">
        <w:rPr>
          <w:rFonts w:cs="Segoe UI"/>
          <w:szCs w:val="22"/>
          <w:lang w:val="it-IT"/>
        </w:rPr>
        <w:t xml:space="preserve">in significativo calo rispetto ai 1.478 milioni di euro del </w:t>
      </w:r>
      <w:r w:rsidR="00B07BEA" w:rsidRPr="00F364F7">
        <w:rPr>
          <w:rFonts w:cs="Segoe UI"/>
          <w:szCs w:val="22"/>
          <w:lang w:val="it-IT"/>
        </w:rPr>
        <w:t>2021</w:t>
      </w:r>
      <w:r w:rsidR="00E94A45" w:rsidRPr="00F364F7">
        <w:rPr>
          <w:rFonts w:cs="Segoe UI"/>
          <w:szCs w:val="22"/>
          <w:lang w:val="it-IT"/>
        </w:rPr>
        <w:t xml:space="preserve"> in ragione dell’aumento del capitale circolante netto e </w:t>
      </w:r>
      <w:r w:rsidR="00B9535A" w:rsidRPr="00F364F7">
        <w:rPr>
          <w:rFonts w:cs="Segoe UI"/>
          <w:szCs w:val="22"/>
          <w:lang w:val="it-IT"/>
        </w:rPr>
        <w:t xml:space="preserve">del flusso ridotto di cassa delle attività operative, </w:t>
      </w:r>
      <w:r w:rsidR="00727229" w:rsidRPr="00F364F7">
        <w:rPr>
          <w:rFonts w:cs="Segoe UI"/>
          <w:szCs w:val="22"/>
          <w:lang w:val="it-IT"/>
        </w:rPr>
        <w:t>risultato del margine operativo inferiore.</w:t>
      </w:r>
    </w:p>
    <w:p w14:paraId="5031AFDF" w14:textId="77777777" w:rsidR="00B07BEA" w:rsidRPr="00F364F7" w:rsidRDefault="00B07BEA" w:rsidP="000B33AC">
      <w:pPr>
        <w:contextualSpacing/>
        <w:rPr>
          <w:rFonts w:cs="Segoe UI"/>
          <w:szCs w:val="22"/>
          <w:lang w:val="it-IT"/>
        </w:rPr>
      </w:pPr>
    </w:p>
    <w:p w14:paraId="2EE9C24E" w14:textId="50241FAE" w:rsidR="00727229" w:rsidRPr="00F364F7" w:rsidRDefault="00727229" w:rsidP="000B33AC">
      <w:pPr>
        <w:contextualSpacing/>
        <w:rPr>
          <w:rFonts w:cs="Segoe UI"/>
          <w:szCs w:val="22"/>
          <w:lang w:val="it-IT"/>
        </w:rPr>
      </w:pPr>
      <w:r w:rsidRPr="00F364F7">
        <w:rPr>
          <w:rFonts w:cs="Segoe UI"/>
          <w:szCs w:val="22"/>
          <w:lang w:val="it-IT"/>
        </w:rPr>
        <w:t>La</w:t>
      </w:r>
      <w:r w:rsidR="00B07BEA" w:rsidRPr="00F364F7">
        <w:rPr>
          <w:rFonts w:cs="Segoe UI"/>
          <w:szCs w:val="22"/>
          <w:lang w:val="it-IT"/>
        </w:rPr>
        <w:t xml:space="preserve"> </w:t>
      </w:r>
      <w:r w:rsidR="00B07BEA" w:rsidRPr="00F364F7">
        <w:rPr>
          <w:rFonts w:cs="Segoe UI"/>
          <w:b/>
          <w:bCs/>
          <w:szCs w:val="22"/>
          <w:lang w:val="it-IT"/>
        </w:rPr>
        <w:t>posi</w:t>
      </w:r>
      <w:r w:rsidRPr="00F364F7">
        <w:rPr>
          <w:rFonts w:cs="Segoe UI"/>
          <w:b/>
          <w:bCs/>
          <w:szCs w:val="22"/>
          <w:lang w:val="it-IT"/>
        </w:rPr>
        <w:t>zione finanziaria netta</w:t>
      </w:r>
      <w:r w:rsidR="00B07BEA" w:rsidRPr="00F364F7">
        <w:rPr>
          <w:rFonts w:cs="Segoe UI"/>
          <w:szCs w:val="22"/>
          <w:lang w:val="it-IT"/>
        </w:rPr>
        <w:t xml:space="preserve"> </w:t>
      </w:r>
      <w:r w:rsidRPr="00F364F7">
        <w:rPr>
          <w:rFonts w:cs="Segoe UI"/>
          <w:szCs w:val="22"/>
          <w:lang w:val="it-IT"/>
        </w:rPr>
        <w:t>è stata di</w:t>
      </w:r>
      <w:r w:rsidR="00B07BEA" w:rsidRPr="00F364F7">
        <w:rPr>
          <w:rFonts w:cs="Segoe UI"/>
          <w:szCs w:val="22"/>
          <w:lang w:val="it-IT"/>
        </w:rPr>
        <w:t xml:space="preserve"> -1</w:t>
      </w:r>
      <w:r w:rsidRPr="00F364F7">
        <w:rPr>
          <w:rFonts w:cs="Segoe UI"/>
          <w:szCs w:val="22"/>
          <w:lang w:val="it-IT"/>
        </w:rPr>
        <w:t>.</w:t>
      </w:r>
      <w:r w:rsidR="00B07BEA" w:rsidRPr="00F364F7">
        <w:rPr>
          <w:rFonts w:cs="Segoe UI"/>
          <w:szCs w:val="22"/>
          <w:lang w:val="it-IT"/>
        </w:rPr>
        <w:t>267 milion</w:t>
      </w:r>
      <w:r w:rsidRPr="00F364F7">
        <w:rPr>
          <w:rFonts w:cs="Segoe UI"/>
          <w:szCs w:val="22"/>
          <w:lang w:val="it-IT"/>
        </w:rPr>
        <w:t>i</w:t>
      </w:r>
      <w:r w:rsidR="00B07BEA" w:rsidRPr="00F364F7">
        <w:rPr>
          <w:rFonts w:cs="Segoe UI"/>
          <w:szCs w:val="22"/>
          <w:lang w:val="it-IT"/>
        </w:rPr>
        <w:t xml:space="preserve"> </w:t>
      </w:r>
      <w:r w:rsidRPr="00F364F7">
        <w:rPr>
          <w:rFonts w:cs="Segoe UI"/>
          <w:szCs w:val="22"/>
          <w:lang w:val="it-IT"/>
        </w:rPr>
        <w:t xml:space="preserve">di </w:t>
      </w:r>
      <w:r w:rsidR="00B07BEA" w:rsidRPr="00F364F7">
        <w:rPr>
          <w:rFonts w:cs="Segoe UI"/>
          <w:szCs w:val="22"/>
          <w:lang w:val="it-IT"/>
        </w:rPr>
        <w:t>euro (-292 milion</w:t>
      </w:r>
      <w:r w:rsidRPr="00F364F7">
        <w:rPr>
          <w:rFonts w:cs="Segoe UI"/>
          <w:szCs w:val="22"/>
          <w:lang w:val="it-IT"/>
        </w:rPr>
        <w:t>i di</w:t>
      </w:r>
      <w:r w:rsidR="00B07BEA" w:rsidRPr="00F364F7">
        <w:rPr>
          <w:rFonts w:cs="Segoe UI"/>
          <w:szCs w:val="22"/>
          <w:lang w:val="it-IT"/>
        </w:rPr>
        <w:t xml:space="preserve"> euro</w:t>
      </w:r>
      <w:r w:rsidRPr="00F364F7">
        <w:rPr>
          <w:rFonts w:cs="Segoe UI"/>
          <w:szCs w:val="22"/>
          <w:lang w:val="it-IT"/>
        </w:rPr>
        <w:t xml:space="preserve"> al 31 dicembre 2021</w:t>
      </w:r>
      <w:r w:rsidR="00B07BEA" w:rsidRPr="00F364F7">
        <w:rPr>
          <w:rFonts w:cs="Segoe UI"/>
          <w:szCs w:val="22"/>
          <w:lang w:val="it-IT"/>
        </w:rPr>
        <w:t xml:space="preserve">). </w:t>
      </w:r>
      <w:r w:rsidRPr="00F364F7">
        <w:rPr>
          <w:rFonts w:cs="Segoe UI"/>
          <w:szCs w:val="22"/>
          <w:lang w:val="it-IT"/>
        </w:rPr>
        <w:t xml:space="preserve">Ciò riflette le spese </w:t>
      </w:r>
      <w:r w:rsidR="0090597F" w:rsidRPr="00F364F7">
        <w:rPr>
          <w:rFonts w:cs="Segoe UI"/>
          <w:szCs w:val="22"/>
          <w:lang w:val="it-IT"/>
        </w:rPr>
        <w:t>relative alla campagna di riacquisto delle azioni lanciata nel febbraio 2022 e al pagamento dei dividenti nel secondo trimestre dell’anno.</w:t>
      </w:r>
    </w:p>
    <w:p w14:paraId="0F88D506" w14:textId="77777777" w:rsidR="00B07BEA" w:rsidRPr="00F364F7" w:rsidRDefault="00B07BEA" w:rsidP="000B33AC">
      <w:pPr>
        <w:contextualSpacing/>
        <w:rPr>
          <w:rFonts w:cs="Segoe UI"/>
          <w:lang w:val="it-IT"/>
        </w:rPr>
      </w:pPr>
    </w:p>
    <w:p w14:paraId="6F1168A0" w14:textId="14F11499" w:rsidR="001B57F9" w:rsidRPr="00F364F7" w:rsidRDefault="00750CC4" w:rsidP="000B33AC">
      <w:pPr>
        <w:contextualSpacing/>
        <w:rPr>
          <w:rFonts w:cs="Segoe UI"/>
          <w:lang w:val="it-IT"/>
        </w:rPr>
      </w:pPr>
      <w:r w:rsidRPr="00F364F7">
        <w:rPr>
          <w:rFonts w:cs="Segoe UI"/>
          <w:lang w:val="it-IT"/>
        </w:rPr>
        <w:t>All’</w:t>
      </w:r>
      <w:proofErr w:type="spellStart"/>
      <w:r w:rsidR="00B07BEA" w:rsidRPr="00F364F7">
        <w:rPr>
          <w:rFonts w:cs="Segoe UI"/>
          <w:lang w:val="it-IT"/>
        </w:rPr>
        <w:t>Annual</w:t>
      </w:r>
      <w:proofErr w:type="spellEnd"/>
      <w:r w:rsidR="00B07BEA" w:rsidRPr="00F364F7">
        <w:rPr>
          <w:rFonts w:cs="Segoe UI"/>
          <w:lang w:val="it-IT"/>
        </w:rPr>
        <w:t xml:space="preserve"> General Meeting </w:t>
      </w:r>
      <w:r w:rsidRPr="00F364F7">
        <w:rPr>
          <w:rFonts w:cs="Segoe UI"/>
          <w:lang w:val="it-IT"/>
        </w:rPr>
        <w:t>del 24</w:t>
      </w:r>
      <w:r w:rsidR="00B07BEA" w:rsidRPr="00F364F7">
        <w:rPr>
          <w:rFonts w:cs="Segoe UI"/>
          <w:lang w:val="it-IT"/>
        </w:rPr>
        <w:t xml:space="preserve"> </w:t>
      </w:r>
      <w:r w:rsidRPr="00F364F7">
        <w:rPr>
          <w:rFonts w:cs="Segoe UI"/>
          <w:lang w:val="it-IT"/>
        </w:rPr>
        <w:t>a</w:t>
      </w:r>
      <w:r w:rsidR="00B07BEA" w:rsidRPr="00F364F7">
        <w:rPr>
          <w:rFonts w:cs="Segoe UI"/>
          <w:lang w:val="it-IT"/>
        </w:rPr>
        <w:t>pril</w:t>
      </w:r>
      <w:r w:rsidRPr="00F364F7">
        <w:rPr>
          <w:rFonts w:cs="Segoe UI"/>
          <w:lang w:val="it-IT"/>
        </w:rPr>
        <w:t>e</w:t>
      </w:r>
      <w:r w:rsidR="00B07BEA" w:rsidRPr="00F364F7">
        <w:rPr>
          <w:rFonts w:cs="Segoe UI"/>
          <w:lang w:val="it-IT"/>
        </w:rPr>
        <w:t xml:space="preserve"> 2023</w:t>
      </w:r>
      <w:r w:rsidRPr="00F364F7">
        <w:rPr>
          <w:rFonts w:cs="Segoe UI"/>
          <w:lang w:val="it-IT"/>
        </w:rPr>
        <w:t xml:space="preserve"> sarà proposto</w:t>
      </w:r>
      <w:r w:rsidR="00F15D6F" w:rsidRPr="00F364F7">
        <w:rPr>
          <w:rFonts w:cs="Segoe UI"/>
          <w:lang w:val="it-IT"/>
        </w:rPr>
        <w:t xml:space="preserve"> agli azionisti un dividendo </w:t>
      </w:r>
      <w:r w:rsidR="00572056">
        <w:rPr>
          <w:rFonts w:cs="Segoe UI"/>
          <w:lang w:val="it-IT"/>
        </w:rPr>
        <w:t>a</w:t>
      </w:r>
      <w:r w:rsidR="00F15D6F" w:rsidRPr="00F364F7">
        <w:rPr>
          <w:rFonts w:cs="Segoe UI"/>
          <w:lang w:val="it-IT"/>
        </w:rPr>
        <w:t xml:space="preserve">llo stesso livello dello scorso anno, pari a </w:t>
      </w:r>
      <w:r w:rsidR="00B07BEA" w:rsidRPr="00F364F7">
        <w:rPr>
          <w:rFonts w:cs="Segoe UI"/>
          <w:lang w:val="it-IT"/>
        </w:rPr>
        <w:t>1</w:t>
      </w:r>
      <w:r w:rsidR="00F15D6F" w:rsidRPr="00F364F7">
        <w:rPr>
          <w:rFonts w:cs="Segoe UI"/>
          <w:lang w:val="it-IT"/>
        </w:rPr>
        <w:t>,</w:t>
      </w:r>
      <w:r w:rsidR="00B07BEA" w:rsidRPr="00F364F7">
        <w:rPr>
          <w:rFonts w:cs="Segoe UI"/>
          <w:lang w:val="it-IT"/>
        </w:rPr>
        <w:t>85 euro per</w:t>
      </w:r>
      <w:r w:rsidR="00F15D6F" w:rsidRPr="00F364F7">
        <w:rPr>
          <w:rFonts w:cs="Segoe UI"/>
          <w:lang w:val="it-IT"/>
        </w:rPr>
        <w:t xml:space="preserve"> azione privilegiata</w:t>
      </w:r>
      <w:r w:rsidR="00B07BEA" w:rsidRPr="00F364F7">
        <w:rPr>
          <w:rFonts w:cs="Segoe UI"/>
          <w:lang w:val="it-IT"/>
        </w:rPr>
        <w:t xml:space="preserve"> </w:t>
      </w:r>
      <w:r w:rsidR="00F15D6F" w:rsidRPr="00F364F7">
        <w:rPr>
          <w:rFonts w:cs="Segoe UI"/>
          <w:lang w:val="it-IT"/>
        </w:rPr>
        <w:t>e</w:t>
      </w:r>
      <w:r w:rsidR="00B07BEA" w:rsidRPr="00F364F7">
        <w:rPr>
          <w:rFonts w:cs="Segoe UI"/>
          <w:lang w:val="it-IT"/>
        </w:rPr>
        <w:t xml:space="preserve"> 1</w:t>
      </w:r>
      <w:r w:rsidR="00F15D6F" w:rsidRPr="00F364F7">
        <w:rPr>
          <w:rFonts w:cs="Segoe UI"/>
          <w:lang w:val="it-IT"/>
        </w:rPr>
        <w:t>,</w:t>
      </w:r>
      <w:r w:rsidR="00B07BEA" w:rsidRPr="00F364F7">
        <w:rPr>
          <w:rFonts w:cs="Segoe UI"/>
          <w:lang w:val="it-IT"/>
        </w:rPr>
        <w:t xml:space="preserve">83 euro per </w:t>
      </w:r>
      <w:r w:rsidR="00F15D6F" w:rsidRPr="00F364F7">
        <w:rPr>
          <w:rFonts w:cs="Segoe UI"/>
          <w:lang w:val="it-IT"/>
        </w:rPr>
        <w:t>azione ordinaria</w:t>
      </w:r>
      <w:r w:rsidR="00B07BEA" w:rsidRPr="00F364F7">
        <w:rPr>
          <w:rFonts w:cs="Segoe UI"/>
          <w:lang w:val="it-IT"/>
        </w:rPr>
        <w:t xml:space="preserve">. </w:t>
      </w:r>
      <w:r w:rsidR="00F15D6F" w:rsidRPr="00F364F7">
        <w:rPr>
          <w:rFonts w:cs="Segoe UI"/>
          <w:lang w:val="it-IT"/>
        </w:rPr>
        <w:t xml:space="preserve">Questo </w:t>
      </w:r>
      <w:r w:rsidR="00CE46F3" w:rsidRPr="00F364F7">
        <w:rPr>
          <w:rFonts w:cs="Segoe UI"/>
          <w:lang w:val="it-IT"/>
        </w:rPr>
        <w:t xml:space="preserve">corrisponde a un </w:t>
      </w:r>
      <w:r w:rsidR="001B57F9" w:rsidRPr="00F364F7">
        <w:rPr>
          <w:rFonts w:cs="Segoe UI"/>
          <w:lang w:val="it-IT"/>
        </w:rPr>
        <w:t xml:space="preserve">rapporto di </w:t>
      </w:r>
      <w:proofErr w:type="spellStart"/>
      <w:r w:rsidR="001B57F9" w:rsidRPr="00F364F7">
        <w:rPr>
          <w:rFonts w:cs="Segoe UI"/>
          <w:lang w:val="it-IT"/>
        </w:rPr>
        <w:t>payout</w:t>
      </w:r>
      <w:proofErr w:type="spellEnd"/>
      <w:r w:rsidR="00CE46F3" w:rsidRPr="00F364F7">
        <w:rPr>
          <w:rFonts w:cs="Segoe UI"/>
          <w:lang w:val="it-IT"/>
        </w:rPr>
        <w:t xml:space="preserve"> del 46,6%, </w:t>
      </w:r>
      <w:r w:rsidR="001B57F9" w:rsidRPr="00F364F7">
        <w:rPr>
          <w:rFonts w:cs="Segoe UI"/>
          <w:lang w:val="it-IT"/>
        </w:rPr>
        <w:t xml:space="preserve">che è </w:t>
      </w:r>
      <w:r w:rsidR="00CE46F3" w:rsidRPr="00F364F7">
        <w:rPr>
          <w:rFonts w:cs="Segoe UI"/>
          <w:lang w:val="it-IT"/>
        </w:rPr>
        <w:t>superiore alla</w:t>
      </w:r>
      <w:r w:rsidR="001B57F9" w:rsidRPr="00F364F7">
        <w:rPr>
          <w:rFonts w:cs="Segoe UI"/>
          <w:lang w:val="it-IT"/>
        </w:rPr>
        <w:t xml:space="preserve"> fascia tra il 30 e il 40% </w:t>
      </w:r>
      <w:r w:rsidR="00D86984" w:rsidRPr="00F364F7">
        <w:rPr>
          <w:rFonts w:cs="Segoe UI"/>
          <w:lang w:val="it-IT"/>
        </w:rPr>
        <w:t>indicata come obiettivo e riflette</w:t>
      </w:r>
      <w:r w:rsidR="00DF28A0" w:rsidRPr="00F364F7">
        <w:rPr>
          <w:rFonts w:cs="Segoe UI"/>
          <w:lang w:val="it-IT"/>
        </w:rPr>
        <w:t xml:space="preserve"> l’inusuale impatto sulla profittabilità dell’aumento dei prezzi e dei costi della logistica. La solidità finanziaria e il basso indebitamento del Gruppo consentono a Henkel di mantenere continuità</w:t>
      </w:r>
      <w:r w:rsidR="00EB51AD" w:rsidRPr="00F364F7">
        <w:rPr>
          <w:rFonts w:cs="Segoe UI"/>
          <w:lang w:val="it-IT"/>
        </w:rPr>
        <w:t xml:space="preserve"> nei dividendi proposti agli azionisti.</w:t>
      </w:r>
    </w:p>
    <w:p w14:paraId="2BCA98BF" w14:textId="29C7BFAF" w:rsidR="00F15D6F" w:rsidRPr="00F364F7" w:rsidRDefault="00CE46F3" w:rsidP="000B33AC">
      <w:pPr>
        <w:contextualSpacing/>
        <w:rPr>
          <w:rFonts w:cs="Segoe UI"/>
          <w:lang w:val="it-IT"/>
        </w:rPr>
      </w:pPr>
      <w:r w:rsidRPr="00F364F7">
        <w:rPr>
          <w:rFonts w:cs="Segoe UI"/>
          <w:lang w:val="it-IT"/>
        </w:rPr>
        <w:t xml:space="preserve"> </w:t>
      </w:r>
    </w:p>
    <w:p w14:paraId="72B4A673" w14:textId="126451B5" w:rsidR="009106CB" w:rsidRPr="00F364F7" w:rsidRDefault="00666111" w:rsidP="000B33AC">
      <w:pPr>
        <w:contextualSpacing/>
        <w:rPr>
          <w:rFonts w:cs="Segoe UI"/>
          <w:b/>
          <w:bCs/>
          <w:szCs w:val="22"/>
          <w:lang w:val="it-IT" w:eastAsia="de-DE"/>
        </w:rPr>
      </w:pPr>
      <w:r w:rsidRPr="00F364F7">
        <w:rPr>
          <w:rFonts w:cs="Segoe UI"/>
          <w:b/>
          <w:bCs/>
          <w:szCs w:val="22"/>
          <w:lang w:val="it-IT" w:eastAsia="de-DE"/>
        </w:rPr>
        <w:t>Previsioni per l’anno fiscale</w:t>
      </w:r>
      <w:r w:rsidR="009106CB" w:rsidRPr="00F364F7">
        <w:rPr>
          <w:rFonts w:cs="Segoe UI"/>
          <w:b/>
          <w:bCs/>
          <w:szCs w:val="22"/>
          <w:lang w:val="it-IT" w:eastAsia="de-DE"/>
        </w:rPr>
        <w:t xml:space="preserve"> 2023</w:t>
      </w:r>
    </w:p>
    <w:p w14:paraId="28AC68EA" w14:textId="77777777" w:rsidR="000B33AC" w:rsidRDefault="000B33AC" w:rsidP="000B33AC">
      <w:pPr>
        <w:contextualSpacing/>
        <w:rPr>
          <w:rFonts w:cs="Segoe UI"/>
          <w:szCs w:val="22"/>
          <w:lang w:val="it-IT"/>
        </w:rPr>
      </w:pPr>
    </w:p>
    <w:p w14:paraId="3ABBAF46" w14:textId="5727B089" w:rsidR="009106CB" w:rsidRPr="00F364F7" w:rsidRDefault="00666111" w:rsidP="000B33AC">
      <w:pPr>
        <w:contextualSpacing/>
        <w:rPr>
          <w:rFonts w:cs="Segoe UI"/>
          <w:szCs w:val="22"/>
          <w:lang w:val="it-IT"/>
        </w:rPr>
      </w:pPr>
      <w:r w:rsidRPr="00F364F7">
        <w:rPr>
          <w:rFonts w:cs="Segoe UI"/>
          <w:szCs w:val="22"/>
          <w:lang w:val="it-IT"/>
        </w:rPr>
        <w:t xml:space="preserve">L’economia mondiale </w:t>
      </w:r>
      <w:r w:rsidR="00041023" w:rsidRPr="00F364F7">
        <w:rPr>
          <w:rFonts w:cs="Segoe UI"/>
          <w:szCs w:val="22"/>
          <w:lang w:val="it-IT"/>
        </w:rPr>
        <w:t xml:space="preserve">rimarrà debole nel 2023. In base alle attuali stime, </w:t>
      </w:r>
      <w:r w:rsidR="006944F0" w:rsidRPr="00F364F7">
        <w:rPr>
          <w:rFonts w:cs="Segoe UI"/>
          <w:szCs w:val="22"/>
          <w:lang w:val="it-IT"/>
        </w:rPr>
        <w:t xml:space="preserve">la spinta inflazionistica resterà </w:t>
      </w:r>
      <w:r w:rsidR="009942F4">
        <w:rPr>
          <w:rFonts w:cs="Segoe UI"/>
          <w:szCs w:val="22"/>
          <w:lang w:val="it-IT"/>
        </w:rPr>
        <w:t>alta</w:t>
      </w:r>
      <w:r w:rsidR="006944F0" w:rsidRPr="00F364F7">
        <w:rPr>
          <w:rFonts w:cs="Segoe UI"/>
          <w:szCs w:val="22"/>
          <w:lang w:val="it-IT"/>
        </w:rPr>
        <w:t xml:space="preserve"> a causa dell’aumento previsto del costo del lavoro</w:t>
      </w:r>
      <w:r w:rsidR="008E6164" w:rsidRPr="00F364F7">
        <w:rPr>
          <w:rFonts w:cs="Segoe UI"/>
          <w:szCs w:val="22"/>
          <w:lang w:val="it-IT"/>
        </w:rPr>
        <w:t>, dell’energia e dei beni</w:t>
      </w:r>
      <w:r w:rsidR="00960117" w:rsidRPr="00F364F7">
        <w:rPr>
          <w:rFonts w:cs="Segoe UI"/>
          <w:szCs w:val="22"/>
          <w:lang w:val="it-IT"/>
        </w:rPr>
        <w:t xml:space="preserve"> commodity. In questo contesto, </w:t>
      </w:r>
      <w:r w:rsidR="0038157F" w:rsidRPr="00F364F7">
        <w:rPr>
          <w:rFonts w:cs="Segoe UI"/>
          <w:szCs w:val="22"/>
          <w:lang w:val="it-IT"/>
        </w:rPr>
        <w:t xml:space="preserve">rispetto al 2022 </w:t>
      </w:r>
      <w:r w:rsidR="00960117" w:rsidRPr="00F364F7">
        <w:rPr>
          <w:rFonts w:cs="Segoe UI"/>
          <w:szCs w:val="22"/>
          <w:lang w:val="it-IT"/>
        </w:rPr>
        <w:t xml:space="preserve">si attende per i prezzi medi dei materiali diretti </w:t>
      </w:r>
      <w:r w:rsidR="00860FC6" w:rsidRPr="00F364F7">
        <w:rPr>
          <w:rFonts w:cs="Segoe UI"/>
          <w:szCs w:val="22"/>
          <w:lang w:val="it-IT"/>
        </w:rPr>
        <w:t xml:space="preserve">un rincaro </w:t>
      </w:r>
      <w:r w:rsidR="0022302C" w:rsidRPr="00F364F7">
        <w:rPr>
          <w:rFonts w:cs="Segoe UI"/>
          <w:szCs w:val="22"/>
          <w:lang w:val="it-IT"/>
        </w:rPr>
        <w:t>nella fascia bassa o media della cifra singola</w:t>
      </w:r>
      <w:r w:rsidR="0038157F" w:rsidRPr="00F364F7">
        <w:rPr>
          <w:rFonts w:cs="Segoe UI"/>
          <w:szCs w:val="22"/>
          <w:lang w:val="it-IT"/>
        </w:rPr>
        <w:t xml:space="preserve">. </w:t>
      </w:r>
      <w:r w:rsidR="00F463F6" w:rsidRPr="00F364F7">
        <w:rPr>
          <w:rFonts w:cs="Segoe UI"/>
          <w:szCs w:val="22"/>
          <w:lang w:val="it-IT"/>
        </w:rPr>
        <w:t>I tassi d’interesse rimarranno significativamente più alti negli anni scorsi</w:t>
      </w:r>
      <w:r w:rsidR="00C35951">
        <w:rPr>
          <w:rFonts w:cs="Segoe UI"/>
          <w:szCs w:val="22"/>
          <w:lang w:val="it-IT"/>
        </w:rPr>
        <w:t>. L</w:t>
      </w:r>
      <w:r w:rsidR="0099638C" w:rsidRPr="00F364F7">
        <w:rPr>
          <w:rFonts w:cs="Segoe UI"/>
          <w:szCs w:val="22"/>
          <w:lang w:val="it-IT"/>
        </w:rPr>
        <w:t xml:space="preserve">a domanda industriale </w:t>
      </w:r>
      <w:r w:rsidR="003C3F70" w:rsidRPr="00F364F7">
        <w:rPr>
          <w:rFonts w:cs="Segoe UI"/>
          <w:szCs w:val="22"/>
          <w:lang w:val="it-IT"/>
        </w:rPr>
        <w:t>sa</w:t>
      </w:r>
      <w:r w:rsidR="0099638C" w:rsidRPr="00F364F7">
        <w:rPr>
          <w:rFonts w:cs="Segoe UI"/>
          <w:szCs w:val="22"/>
          <w:lang w:val="it-IT"/>
        </w:rPr>
        <w:t>rà inferiore</w:t>
      </w:r>
      <w:r w:rsidR="003C3F70" w:rsidRPr="00F364F7">
        <w:rPr>
          <w:rFonts w:cs="Segoe UI"/>
          <w:szCs w:val="22"/>
          <w:lang w:val="it-IT"/>
        </w:rPr>
        <w:t xml:space="preserve"> all’anno </w:t>
      </w:r>
      <w:r w:rsidR="00562830" w:rsidRPr="00F364F7">
        <w:rPr>
          <w:rFonts w:cs="Segoe UI"/>
          <w:szCs w:val="22"/>
          <w:lang w:val="it-IT"/>
        </w:rPr>
        <w:t>passato, mentre la ripresa dei mercati al consumo nelle aree chiave per Henkel subirà un rallentamento.</w:t>
      </w:r>
      <w:r w:rsidR="002F142F" w:rsidRPr="00F364F7">
        <w:rPr>
          <w:rFonts w:cs="Segoe UI"/>
          <w:szCs w:val="22"/>
          <w:lang w:val="it-IT"/>
        </w:rPr>
        <w:t xml:space="preserve"> La dismissione delle attività di Henkel </w:t>
      </w:r>
      <w:r w:rsidR="00C35951">
        <w:rPr>
          <w:rFonts w:cs="Segoe UI"/>
          <w:szCs w:val="22"/>
          <w:lang w:val="it-IT"/>
        </w:rPr>
        <w:t>in</w:t>
      </w:r>
      <w:r w:rsidR="002F142F" w:rsidRPr="00F364F7">
        <w:rPr>
          <w:rFonts w:cs="Segoe UI"/>
          <w:szCs w:val="22"/>
          <w:lang w:val="it-IT"/>
        </w:rPr>
        <w:t xml:space="preserve"> Russia sarà comple</w:t>
      </w:r>
      <w:r w:rsidR="00B05E80" w:rsidRPr="00F364F7">
        <w:rPr>
          <w:rFonts w:cs="Segoe UI"/>
          <w:szCs w:val="22"/>
          <w:lang w:val="it-IT"/>
        </w:rPr>
        <w:t>tata entro la fine del primo trimestre 2023.</w:t>
      </w:r>
    </w:p>
    <w:p w14:paraId="6BCAA6DD" w14:textId="58706691" w:rsidR="00B05E80" w:rsidRPr="00F364F7" w:rsidRDefault="00B05E80" w:rsidP="000B33AC">
      <w:pPr>
        <w:contextualSpacing/>
        <w:rPr>
          <w:rFonts w:cs="Segoe UI"/>
          <w:szCs w:val="22"/>
          <w:lang w:val="it-IT"/>
        </w:rPr>
      </w:pPr>
    </w:p>
    <w:p w14:paraId="4D3FF5E2" w14:textId="602BA988" w:rsidR="009106CB" w:rsidRPr="00F364F7" w:rsidRDefault="00B05E80" w:rsidP="000B33AC">
      <w:pPr>
        <w:contextualSpacing/>
        <w:rPr>
          <w:rFonts w:cs="Segoe UI"/>
          <w:szCs w:val="22"/>
          <w:lang w:val="it-IT"/>
        </w:rPr>
      </w:pPr>
      <w:r w:rsidRPr="00F364F7">
        <w:rPr>
          <w:rFonts w:cs="Segoe UI"/>
          <w:szCs w:val="22"/>
          <w:lang w:val="it-IT"/>
        </w:rPr>
        <w:t xml:space="preserve">Considerati questi elementi, </w:t>
      </w:r>
      <w:r w:rsidR="000A0407" w:rsidRPr="00F364F7">
        <w:rPr>
          <w:rFonts w:cs="Segoe UI"/>
          <w:szCs w:val="22"/>
          <w:lang w:val="it-IT"/>
        </w:rPr>
        <w:t xml:space="preserve">per l’anno fiscale 2023 </w:t>
      </w:r>
      <w:r w:rsidRPr="00F364F7">
        <w:rPr>
          <w:rFonts w:cs="Segoe UI"/>
          <w:szCs w:val="22"/>
          <w:lang w:val="it-IT"/>
        </w:rPr>
        <w:t xml:space="preserve">Henkel prevede </w:t>
      </w:r>
      <w:r w:rsidR="000A0407" w:rsidRPr="00F364F7">
        <w:rPr>
          <w:rFonts w:cs="Segoe UI"/>
          <w:szCs w:val="22"/>
          <w:lang w:val="it-IT"/>
        </w:rPr>
        <w:t xml:space="preserve">una </w:t>
      </w:r>
      <w:r w:rsidR="000A0407" w:rsidRPr="00F364F7">
        <w:rPr>
          <w:rFonts w:cs="Segoe UI"/>
          <w:b/>
          <w:bCs/>
          <w:szCs w:val="22"/>
          <w:lang w:val="it-IT"/>
        </w:rPr>
        <w:t xml:space="preserve">crescita organica del fatturato </w:t>
      </w:r>
      <w:r w:rsidR="000A0407" w:rsidRPr="00F364F7">
        <w:rPr>
          <w:rFonts w:cs="Segoe UI"/>
          <w:szCs w:val="22"/>
          <w:lang w:val="it-IT"/>
        </w:rPr>
        <w:t>tra</w:t>
      </w:r>
      <w:r w:rsidR="009106CB" w:rsidRPr="00F364F7">
        <w:rPr>
          <w:rFonts w:cs="Segoe UI"/>
          <w:szCs w:val="22"/>
          <w:lang w:val="it-IT"/>
        </w:rPr>
        <w:t xml:space="preserve"> </w:t>
      </w:r>
      <w:r w:rsidR="000A0407" w:rsidRPr="00F364F7">
        <w:rPr>
          <w:rFonts w:cs="Segoe UI"/>
          <w:szCs w:val="22"/>
          <w:lang w:val="it-IT"/>
        </w:rPr>
        <w:t>l’</w:t>
      </w:r>
      <w:r w:rsidR="009106CB" w:rsidRPr="00F364F7">
        <w:rPr>
          <w:rFonts w:cs="Segoe UI"/>
          <w:szCs w:val="22"/>
          <w:lang w:val="it-IT"/>
        </w:rPr>
        <w:t>1</w:t>
      </w:r>
      <w:r w:rsidR="000A0407" w:rsidRPr="00F364F7">
        <w:rPr>
          <w:rFonts w:cs="Segoe UI"/>
          <w:szCs w:val="22"/>
          <w:lang w:val="it-IT"/>
        </w:rPr>
        <w:t>,</w:t>
      </w:r>
      <w:r w:rsidR="009106CB" w:rsidRPr="00F364F7">
        <w:rPr>
          <w:rFonts w:cs="Segoe UI"/>
          <w:szCs w:val="22"/>
          <w:lang w:val="it-IT"/>
        </w:rPr>
        <w:t xml:space="preserve">0 </w:t>
      </w:r>
      <w:r w:rsidR="000A0407" w:rsidRPr="00F364F7">
        <w:rPr>
          <w:rFonts w:cs="Segoe UI"/>
          <w:szCs w:val="22"/>
          <w:lang w:val="it-IT"/>
        </w:rPr>
        <w:t>e il</w:t>
      </w:r>
      <w:r w:rsidR="009106CB" w:rsidRPr="00F364F7">
        <w:rPr>
          <w:rFonts w:cs="Segoe UI"/>
          <w:szCs w:val="22"/>
          <w:lang w:val="it-IT"/>
        </w:rPr>
        <w:t xml:space="preserve"> 3</w:t>
      </w:r>
      <w:r w:rsidR="000A0407" w:rsidRPr="00F364F7">
        <w:rPr>
          <w:rFonts w:cs="Segoe UI"/>
          <w:szCs w:val="22"/>
          <w:lang w:val="it-IT"/>
        </w:rPr>
        <w:t>,</w:t>
      </w:r>
      <w:r w:rsidR="009106CB" w:rsidRPr="00F364F7">
        <w:rPr>
          <w:rFonts w:cs="Segoe UI"/>
          <w:szCs w:val="22"/>
          <w:lang w:val="it-IT"/>
        </w:rPr>
        <w:t>0</w:t>
      </w:r>
      <w:r w:rsidR="000A0407" w:rsidRPr="00F364F7">
        <w:rPr>
          <w:rFonts w:cs="Segoe UI"/>
          <w:szCs w:val="22"/>
          <w:lang w:val="it-IT"/>
        </w:rPr>
        <w:t>%</w:t>
      </w:r>
      <w:r w:rsidR="009106CB" w:rsidRPr="00F364F7">
        <w:rPr>
          <w:rFonts w:cs="Segoe UI"/>
          <w:szCs w:val="22"/>
          <w:lang w:val="it-IT"/>
        </w:rPr>
        <w:t xml:space="preserve">, </w:t>
      </w:r>
      <w:r w:rsidR="000A0407" w:rsidRPr="00F364F7">
        <w:rPr>
          <w:rFonts w:cs="Segoe UI"/>
          <w:szCs w:val="22"/>
          <w:lang w:val="it-IT"/>
        </w:rPr>
        <w:t xml:space="preserve">con uno sviluppo in questa fascia per entrambe le business </w:t>
      </w:r>
      <w:proofErr w:type="spellStart"/>
      <w:r w:rsidR="000A0407" w:rsidRPr="00F364F7">
        <w:rPr>
          <w:rFonts w:cs="Segoe UI"/>
          <w:szCs w:val="22"/>
          <w:lang w:val="it-IT"/>
        </w:rPr>
        <w:t>unit</w:t>
      </w:r>
      <w:proofErr w:type="spellEnd"/>
      <w:r w:rsidR="000A0407" w:rsidRPr="00F364F7">
        <w:rPr>
          <w:rFonts w:cs="Segoe UI"/>
          <w:szCs w:val="22"/>
          <w:lang w:val="it-IT"/>
        </w:rPr>
        <w:t>.</w:t>
      </w:r>
      <w:r w:rsidR="00572A99" w:rsidRPr="00F364F7">
        <w:rPr>
          <w:rFonts w:cs="Segoe UI"/>
          <w:szCs w:val="22"/>
          <w:lang w:val="it-IT"/>
        </w:rPr>
        <w:t xml:space="preserve"> Il</w:t>
      </w:r>
      <w:r w:rsidR="00AF402D">
        <w:rPr>
          <w:rFonts w:cs="Segoe UI"/>
          <w:szCs w:val="22"/>
          <w:lang w:val="it-IT"/>
        </w:rPr>
        <w:t xml:space="preserve"> </w:t>
      </w:r>
      <w:r w:rsidR="00572A99" w:rsidRPr="00F364F7">
        <w:rPr>
          <w:rFonts w:cs="Segoe UI"/>
          <w:b/>
          <w:bCs/>
          <w:szCs w:val="22"/>
          <w:lang w:val="it-IT"/>
        </w:rPr>
        <w:t>tasso depurato di ritorno sulle vendite (margine EBIT depurato)</w:t>
      </w:r>
      <w:r w:rsidR="00572A99" w:rsidRPr="00F364F7">
        <w:rPr>
          <w:rFonts w:cs="Segoe UI"/>
          <w:szCs w:val="22"/>
          <w:lang w:val="it-IT"/>
        </w:rPr>
        <w:t xml:space="preserve"> </w:t>
      </w:r>
      <w:r w:rsidR="0094606F" w:rsidRPr="00F364F7">
        <w:rPr>
          <w:rFonts w:cs="Segoe UI"/>
          <w:szCs w:val="22"/>
          <w:lang w:val="it-IT"/>
        </w:rPr>
        <w:t>è atteso tra il</w:t>
      </w:r>
      <w:r w:rsidR="009106CB" w:rsidRPr="00F364F7">
        <w:rPr>
          <w:rFonts w:cs="Segoe UI"/>
          <w:szCs w:val="22"/>
          <w:lang w:val="it-IT"/>
        </w:rPr>
        <w:t xml:space="preserve"> 10</w:t>
      </w:r>
      <w:r w:rsidR="0094606F" w:rsidRPr="00F364F7">
        <w:rPr>
          <w:rFonts w:cs="Segoe UI"/>
          <w:szCs w:val="22"/>
          <w:lang w:val="it-IT"/>
        </w:rPr>
        <w:t>,</w:t>
      </w:r>
      <w:r w:rsidR="009106CB" w:rsidRPr="00F364F7">
        <w:rPr>
          <w:rFonts w:cs="Segoe UI"/>
          <w:szCs w:val="22"/>
          <w:lang w:val="it-IT"/>
        </w:rPr>
        <w:t xml:space="preserve">0 </w:t>
      </w:r>
      <w:r w:rsidR="0094606F" w:rsidRPr="00F364F7">
        <w:rPr>
          <w:rFonts w:cs="Segoe UI"/>
          <w:szCs w:val="22"/>
          <w:lang w:val="it-IT"/>
        </w:rPr>
        <w:t>e il</w:t>
      </w:r>
      <w:r w:rsidR="009106CB" w:rsidRPr="00F364F7">
        <w:rPr>
          <w:rFonts w:cs="Segoe UI"/>
          <w:szCs w:val="22"/>
          <w:lang w:val="it-IT"/>
        </w:rPr>
        <w:t xml:space="preserve"> 12</w:t>
      </w:r>
      <w:r w:rsidR="0094606F" w:rsidRPr="00F364F7">
        <w:rPr>
          <w:rFonts w:cs="Segoe UI"/>
          <w:szCs w:val="22"/>
          <w:lang w:val="it-IT"/>
        </w:rPr>
        <w:t>,</w:t>
      </w:r>
      <w:r w:rsidR="009106CB" w:rsidRPr="00F364F7">
        <w:rPr>
          <w:rFonts w:cs="Segoe UI"/>
          <w:szCs w:val="22"/>
          <w:lang w:val="it-IT"/>
        </w:rPr>
        <w:t>0</w:t>
      </w:r>
      <w:r w:rsidR="0094606F" w:rsidRPr="00F364F7">
        <w:rPr>
          <w:rFonts w:cs="Segoe UI"/>
          <w:szCs w:val="22"/>
          <w:lang w:val="it-IT"/>
        </w:rPr>
        <w:t>%</w:t>
      </w:r>
      <w:r w:rsidR="00C00DAA" w:rsidRPr="00F364F7">
        <w:rPr>
          <w:rFonts w:cs="Segoe UI"/>
          <w:szCs w:val="22"/>
          <w:lang w:val="it-IT"/>
        </w:rPr>
        <w:t>, in particolare tra il</w:t>
      </w:r>
      <w:r w:rsidR="009106CB" w:rsidRPr="00F364F7">
        <w:rPr>
          <w:rFonts w:cs="Segoe UI"/>
          <w:szCs w:val="22"/>
          <w:lang w:val="it-IT"/>
        </w:rPr>
        <w:t xml:space="preserve"> 13</w:t>
      </w:r>
      <w:r w:rsidR="00C00DAA" w:rsidRPr="00F364F7">
        <w:rPr>
          <w:rFonts w:cs="Segoe UI"/>
          <w:szCs w:val="22"/>
          <w:lang w:val="it-IT"/>
        </w:rPr>
        <w:t>,</w:t>
      </w:r>
      <w:r w:rsidR="009106CB" w:rsidRPr="00F364F7">
        <w:rPr>
          <w:rFonts w:cs="Segoe UI"/>
          <w:szCs w:val="22"/>
          <w:lang w:val="it-IT"/>
        </w:rPr>
        <w:t xml:space="preserve">0 </w:t>
      </w:r>
      <w:r w:rsidR="00C00DAA" w:rsidRPr="00F364F7">
        <w:rPr>
          <w:rFonts w:cs="Segoe UI"/>
          <w:szCs w:val="22"/>
          <w:lang w:val="it-IT"/>
        </w:rPr>
        <w:t>e il</w:t>
      </w:r>
      <w:r w:rsidR="009106CB" w:rsidRPr="00F364F7">
        <w:rPr>
          <w:rFonts w:cs="Segoe UI"/>
          <w:szCs w:val="22"/>
          <w:lang w:val="it-IT"/>
        </w:rPr>
        <w:t xml:space="preserve"> 15</w:t>
      </w:r>
      <w:r w:rsidR="00C00DAA" w:rsidRPr="00F364F7">
        <w:rPr>
          <w:rFonts w:cs="Segoe UI"/>
          <w:szCs w:val="22"/>
          <w:lang w:val="it-IT"/>
        </w:rPr>
        <w:t>,</w:t>
      </w:r>
      <w:r w:rsidR="009106CB" w:rsidRPr="00F364F7">
        <w:rPr>
          <w:rFonts w:cs="Segoe UI"/>
          <w:szCs w:val="22"/>
          <w:lang w:val="it-IT"/>
        </w:rPr>
        <w:t>0</w:t>
      </w:r>
      <w:r w:rsidR="00C00DAA" w:rsidRPr="00F364F7">
        <w:rPr>
          <w:rFonts w:cs="Segoe UI"/>
          <w:szCs w:val="22"/>
          <w:lang w:val="it-IT"/>
        </w:rPr>
        <w:t>% per</w:t>
      </w:r>
      <w:r w:rsidR="009106CB" w:rsidRPr="00F364F7">
        <w:rPr>
          <w:rFonts w:cs="Segoe UI"/>
          <w:szCs w:val="22"/>
          <w:lang w:val="it-IT"/>
        </w:rPr>
        <w:t xml:space="preserve"> </w:t>
      </w:r>
      <w:proofErr w:type="spellStart"/>
      <w:r w:rsidR="009106CB" w:rsidRPr="00F364F7">
        <w:rPr>
          <w:rFonts w:cs="Segoe UI"/>
          <w:szCs w:val="22"/>
          <w:lang w:val="it-IT"/>
        </w:rPr>
        <w:t>Adhesive</w:t>
      </w:r>
      <w:proofErr w:type="spellEnd"/>
      <w:r w:rsidR="009106CB" w:rsidRPr="00F364F7">
        <w:rPr>
          <w:rFonts w:cs="Segoe UI"/>
          <w:szCs w:val="22"/>
          <w:lang w:val="it-IT"/>
        </w:rPr>
        <w:t xml:space="preserve"> Technologies </w:t>
      </w:r>
      <w:r w:rsidR="00C00DAA" w:rsidRPr="00F364F7">
        <w:rPr>
          <w:rFonts w:cs="Segoe UI"/>
          <w:szCs w:val="22"/>
          <w:lang w:val="it-IT"/>
        </w:rPr>
        <w:t>e tra il</w:t>
      </w:r>
      <w:r w:rsidR="009106CB" w:rsidRPr="00F364F7">
        <w:rPr>
          <w:rFonts w:cs="Segoe UI"/>
          <w:szCs w:val="22"/>
          <w:lang w:val="it-IT"/>
        </w:rPr>
        <w:t xml:space="preserve"> 7</w:t>
      </w:r>
      <w:r w:rsidR="00C00DAA" w:rsidRPr="00F364F7">
        <w:rPr>
          <w:rFonts w:cs="Segoe UI"/>
          <w:szCs w:val="22"/>
          <w:lang w:val="it-IT"/>
        </w:rPr>
        <w:t>,</w:t>
      </w:r>
      <w:r w:rsidR="009106CB" w:rsidRPr="00F364F7">
        <w:rPr>
          <w:rFonts w:cs="Segoe UI"/>
          <w:szCs w:val="22"/>
          <w:lang w:val="it-IT"/>
        </w:rPr>
        <w:t xml:space="preserve">5 </w:t>
      </w:r>
      <w:r w:rsidR="00C00DAA" w:rsidRPr="00F364F7">
        <w:rPr>
          <w:rFonts w:cs="Segoe UI"/>
          <w:szCs w:val="22"/>
          <w:lang w:val="it-IT"/>
        </w:rPr>
        <w:t>e il</w:t>
      </w:r>
      <w:r w:rsidR="009106CB" w:rsidRPr="00F364F7">
        <w:rPr>
          <w:rFonts w:cs="Segoe UI"/>
          <w:szCs w:val="22"/>
          <w:lang w:val="it-IT"/>
        </w:rPr>
        <w:t xml:space="preserve"> 9</w:t>
      </w:r>
      <w:r w:rsidR="00C00DAA" w:rsidRPr="00F364F7">
        <w:rPr>
          <w:rFonts w:cs="Segoe UI"/>
          <w:szCs w:val="22"/>
          <w:lang w:val="it-IT"/>
        </w:rPr>
        <w:t>,</w:t>
      </w:r>
      <w:r w:rsidR="009106CB" w:rsidRPr="00F364F7">
        <w:rPr>
          <w:rFonts w:cs="Segoe UI"/>
          <w:szCs w:val="22"/>
          <w:lang w:val="it-IT"/>
        </w:rPr>
        <w:t>5</w:t>
      </w:r>
      <w:r w:rsidR="00C00DAA" w:rsidRPr="00F364F7">
        <w:rPr>
          <w:rFonts w:cs="Segoe UI"/>
          <w:szCs w:val="22"/>
          <w:lang w:val="it-IT"/>
        </w:rPr>
        <w:t>% per</w:t>
      </w:r>
      <w:r w:rsidR="009106CB" w:rsidRPr="00F364F7">
        <w:rPr>
          <w:rFonts w:cs="Segoe UI"/>
          <w:szCs w:val="22"/>
          <w:lang w:val="it-IT"/>
        </w:rPr>
        <w:t xml:space="preserve"> </w:t>
      </w:r>
      <w:r w:rsidR="009106CB" w:rsidRPr="00F364F7">
        <w:rPr>
          <w:rFonts w:cs="Segoe UI"/>
          <w:szCs w:val="22"/>
          <w:lang w:val="it-IT"/>
        </w:rPr>
        <w:lastRenderedPageBreak/>
        <w:t xml:space="preserve">Consumer Brands. </w:t>
      </w:r>
      <w:r w:rsidR="00C00DAA" w:rsidRPr="00F364F7">
        <w:rPr>
          <w:rFonts w:cs="Segoe UI"/>
          <w:szCs w:val="22"/>
          <w:lang w:val="it-IT"/>
        </w:rPr>
        <w:t xml:space="preserve">A tassi costanti di cambio, </w:t>
      </w:r>
      <w:r w:rsidR="00F20B09" w:rsidRPr="00F364F7">
        <w:rPr>
          <w:rFonts w:cs="Segoe UI"/>
          <w:szCs w:val="22"/>
          <w:lang w:val="it-IT"/>
        </w:rPr>
        <w:t>l’</w:t>
      </w:r>
      <w:r w:rsidR="00F20B09" w:rsidRPr="00F364F7">
        <w:rPr>
          <w:rFonts w:cs="Segoe UI"/>
          <w:b/>
          <w:bCs/>
          <w:szCs w:val="22"/>
          <w:lang w:val="it-IT"/>
        </w:rPr>
        <w:t>utile depurato per azione privilegiata</w:t>
      </w:r>
      <w:r w:rsidR="009106CB" w:rsidRPr="00F364F7">
        <w:rPr>
          <w:rFonts w:cs="Segoe UI"/>
          <w:szCs w:val="22"/>
          <w:lang w:val="it-IT"/>
        </w:rPr>
        <w:t xml:space="preserve"> </w:t>
      </w:r>
      <w:r w:rsidR="009106CB" w:rsidRPr="00F364F7">
        <w:rPr>
          <w:rFonts w:cs="Segoe UI"/>
          <w:b/>
          <w:bCs/>
          <w:szCs w:val="22"/>
          <w:lang w:val="it-IT"/>
        </w:rPr>
        <w:t>(EPS)</w:t>
      </w:r>
      <w:r w:rsidR="009106CB" w:rsidRPr="00F364F7">
        <w:rPr>
          <w:rFonts w:cs="Segoe UI"/>
          <w:szCs w:val="22"/>
          <w:lang w:val="it-IT"/>
        </w:rPr>
        <w:t xml:space="preserve"> </w:t>
      </w:r>
      <w:r w:rsidR="00F20B09" w:rsidRPr="00F364F7">
        <w:rPr>
          <w:rFonts w:cs="Segoe UI"/>
          <w:szCs w:val="22"/>
          <w:lang w:val="it-IT"/>
        </w:rPr>
        <w:t>è stimato tra</w:t>
      </w:r>
      <w:r w:rsidR="009106CB" w:rsidRPr="00F364F7">
        <w:rPr>
          <w:rFonts w:cs="Segoe UI"/>
          <w:szCs w:val="22"/>
          <w:lang w:val="it-IT"/>
        </w:rPr>
        <w:t xml:space="preserve"> </w:t>
      </w:r>
      <w:r w:rsidR="00F20B09" w:rsidRPr="00F364F7">
        <w:rPr>
          <w:rFonts w:cs="Segoe UI"/>
          <w:szCs w:val="22"/>
          <w:lang w:val="it-IT"/>
        </w:rPr>
        <w:t xml:space="preserve">il </w:t>
      </w:r>
      <w:r w:rsidR="009106CB" w:rsidRPr="00F364F7">
        <w:rPr>
          <w:rFonts w:cs="Segoe UI"/>
          <w:szCs w:val="22"/>
          <w:lang w:val="it-IT"/>
        </w:rPr>
        <w:t>-10</w:t>
      </w:r>
      <w:r w:rsidR="00F20B09" w:rsidRPr="00F364F7">
        <w:rPr>
          <w:rFonts w:cs="Segoe UI"/>
          <w:szCs w:val="22"/>
          <w:lang w:val="it-IT"/>
        </w:rPr>
        <w:t>,</w:t>
      </w:r>
      <w:r w:rsidR="009106CB" w:rsidRPr="00F364F7">
        <w:rPr>
          <w:rFonts w:cs="Segoe UI"/>
          <w:szCs w:val="22"/>
          <w:lang w:val="it-IT"/>
        </w:rPr>
        <w:t xml:space="preserve">0 </w:t>
      </w:r>
      <w:r w:rsidR="00F20B09" w:rsidRPr="00F364F7">
        <w:rPr>
          <w:rFonts w:cs="Segoe UI"/>
          <w:szCs w:val="22"/>
          <w:lang w:val="it-IT"/>
        </w:rPr>
        <w:t>e il</w:t>
      </w:r>
      <w:r w:rsidR="009106CB" w:rsidRPr="00F364F7">
        <w:rPr>
          <w:rFonts w:cs="Segoe UI"/>
          <w:szCs w:val="22"/>
          <w:lang w:val="it-IT"/>
        </w:rPr>
        <w:t xml:space="preserve"> +10</w:t>
      </w:r>
      <w:r w:rsidR="00F20B09" w:rsidRPr="00F364F7">
        <w:rPr>
          <w:rFonts w:cs="Segoe UI"/>
          <w:szCs w:val="22"/>
          <w:lang w:val="it-IT"/>
        </w:rPr>
        <w:t>,</w:t>
      </w:r>
      <w:r w:rsidR="009106CB" w:rsidRPr="00F364F7">
        <w:rPr>
          <w:rFonts w:cs="Segoe UI"/>
          <w:szCs w:val="22"/>
          <w:lang w:val="it-IT"/>
        </w:rPr>
        <w:t>0</w:t>
      </w:r>
      <w:r w:rsidR="00F20B09" w:rsidRPr="00F364F7">
        <w:rPr>
          <w:rFonts w:cs="Segoe UI"/>
          <w:szCs w:val="22"/>
          <w:lang w:val="it-IT"/>
        </w:rPr>
        <w:t>%</w:t>
      </w:r>
      <w:r w:rsidR="009106CB" w:rsidRPr="00F364F7">
        <w:rPr>
          <w:rFonts w:cs="Segoe UI"/>
          <w:szCs w:val="22"/>
          <w:lang w:val="it-IT"/>
        </w:rPr>
        <w:t xml:space="preserve">. </w:t>
      </w:r>
    </w:p>
    <w:p w14:paraId="103C2688" w14:textId="77777777" w:rsidR="00F20B09" w:rsidRPr="00F364F7" w:rsidRDefault="00F20B09" w:rsidP="000B33AC">
      <w:pPr>
        <w:contextualSpacing/>
        <w:jc w:val="left"/>
        <w:rPr>
          <w:rFonts w:cs="Segoe UI"/>
          <w:szCs w:val="22"/>
          <w:lang w:val="it-IT"/>
        </w:rPr>
      </w:pPr>
    </w:p>
    <w:p w14:paraId="6438FCC4" w14:textId="77777777" w:rsidR="00D81901" w:rsidRPr="00F364F7" w:rsidRDefault="00D81901" w:rsidP="00D81901">
      <w:pPr>
        <w:spacing w:after="80"/>
        <w:ind w:right="-108"/>
        <w:jc w:val="left"/>
        <w:rPr>
          <w:rFonts w:asciiTheme="majorHAnsi" w:hAnsiTheme="majorHAnsi" w:cs="Calibri Light"/>
          <w:b/>
          <w:szCs w:val="22"/>
          <w:lang w:val="it-IT"/>
        </w:rPr>
      </w:pPr>
      <w:r w:rsidRPr="00F364F7">
        <w:rPr>
          <w:rFonts w:asciiTheme="majorHAnsi" w:hAnsiTheme="majorHAnsi" w:cs="Calibri Light"/>
          <w:b/>
          <w:szCs w:val="22"/>
          <w:lang w:val="it-IT"/>
        </w:rPr>
        <w:t xml:space="preserve">Operativa la nuova business </w:t>
      </w:r>
      <w:proofErr w:type="spellStart"/>
      <w:r w:rsidRPr="00F364F7">
        <w:rPr>
          <w:rFonts w:asciiTheme="majorHAnsi" w:hAnsiTheme="majorHAnsi" w:cs="Calibri Light"/>
          <w:b/>
          <w:szCs w:val="22"/>
          <w:lang w:val="it-IT"/>
        </w:rPr>
        <w:t>unit</w:t>
      </w:r>
      <w:proofErr w:type="spellEnd"/>
      <w:r w:rsidRPr="00F364F7">
        <w:rPr>
          <w:rFonts w:asciiTheme="majorHAnsi" w:hAnsiTheme="majorHAnsi" w:cs="Calibri Light"/>
          <w:b/>
          <w:szCs w:val="22"/>
          <w:lang w:val="it-IT"/>
        </w:rPr>
        <w:t xml:space="preserve"> Consumer Brands </w:t>
      </w:r>
    </w:p>
    <w:p w14:paraId="3EF59D24" w14:textId="77777777" w:rsidR="00001861" w:rsidRPr="004B5B71" w:rsidRDefault="00001861" w:rsidP="000B33AC">
      <w:pPr>
        <w:contextualSpacing/>
        <w:rPr>
          <w:rFonts w:cs="Segoe UI"/>
          <w:szCs w:val="22"/>
          <w:lang w:val="it-IT" w:eastAsia="de-DE"/>
        </w:rPr>
      </w:pPr>
    </w:p>
    <w:p w14:paraId="188D444A" w14:textId="376FD2FE" w:rsidR="00190C2D" w:rsidRDefault="004B5B71" w:rsidP="000B33AC">
      <w:pPr>
        <w:contextualSpacing/>
        <w:rPr>
          <w:rFonts w:cs="Segoe UI"/>
          <w:szCs w:val="22"/>
          <w:lang w:val="it-IT" w:eastAsia="de-DE"/>
        </w:rPr>
      </w:pPr>
      <w:r w:rsidRPr="004B5B71">
        <w:rPr>
          <w:rFonts w:cs="Segoe UI"/>
          <w:szCs w:val="22"/>
          <w:lang w:val="it-IT" w:eastAsia="de-DE"/>
        </w:rPr>
        <w:t xml:space="preserve">Annunciata </w:t>
      </w:r>
      <w:r w:rsidR="007E0411">
        <w:rPr>
          <w:rFonts w:cs="Segoe UI"/>
          <w:szCs w:val="22"/>
          <w:lang w:val="it-IT" w:eastAsia="de-DE"/>
        </w:rPr>
        <w:t>n</w:t>
      </w:r>
      <w:r>
        <w:rPr>
          <w:rFonts w:cs="Segoe UI"/>
          <w:szCs w:val="22"/>
          <w:lang w:val="it-IT" w:eastAsia="de-DE"/>
        </w:rPr>
        <w:t>el</w:t>
      </w:r>
      <w:r w:rsidR="007E0411">
        <w:rPr>
          <w:rFonts w:cs="Segoe UI"/>
          <w:szCs w:val="22"/>
          <w:lang w:val="it-IT" w:eastAsia="de-DE"/>
        </w:rPr>
        <w:t xml:space="preserve"> gennaio</w:t>
      </w:r>
      <w:r>
        <w:rPr>
          <w:rFonts w:cs="Segoe UI"/>
          <w:szCs w:val="22"/>
          <w:lang w:val="it-IT" w:eastAsia="de-DE"/>
        </w:rPr>
        <w:t xml:space="preserve"> 2022, l’integrazione delle attività rivolte al largo consumo in un’unica divisione</w:t>
      </w:r>
      <w:r w:rsidR="007E0411">
        <w:rPr>
          <w:rFonts w:cs="Segoe UI"/>
          <w:szCs w:val="22"/>
          <w:lang w:val="it-IT" w:eastAsia="de-DE"/>
        </w:rPr>
        <w:t xml:space="preserve"> </w:t>
      </w:r>
      <w:r w:rsidR="008A575A">
        <w:rPr>
          <w:rFonts w:cs="Segoe UI"/>
          <w:szCs w:val="22"/>
          <w:lang w:val="it-IT" w:eastAsia="de-DE"/>
        </w:rPr>
        <w:t>rappresenta una delle maggiori trasformazioni di Henkel negli ultimi decenni.</w:t>
      </w:r>
      <w:r w:rsidR="007E0411">
        <w:rPr>
          <w:rFonts w:cs="Segoe UI"/>
          <w:szCs w:val="22"/>
          <w:lang w:val="it-IT" w:eastAsia="de-DE"/>
        </w:rPr>
        <w:t xml:space="preserve"> La nuova business </w:t>
      </w:r>
      <w:proofErr w:type="spellStart"/>
      <w:r w:rsidR="007E0411">
        <w:rPr>
          <w:rFonts w:cs="Segoe UI"/>
          <w:szCs w:val="22"/>
          <w:lang w:val="it-IT" w:eastAsia="de-DE"/>
        </w:rPr>
        <w:t>unit</w:t>
      </w:r>
      <w:proofErr w:type="spellEnd"/>
      <w:r w:rsidR="007E0411">
        <w:rPr>
          <w:rFonts w:cs="Segoe UI"/>
          <w:szCs w:val="22"/>
          <w:lang w:val="it-IT" w:eastAsia="de-DE"/>
        </w:rPr>
        <w:t xml:space="preserve"> Consumer Brands, operativa dall’inizio del 2023,</w:t>
      </w:r>
      <w:r w:rsidR="00190C2D">
        <w:rPr>
          <w:rFonts w:cs="Segoe UI"/>
          <w:szCs w:val="22"/>
          <w:lang w:val="it-IT" w:eastAsia="de-DE"/>
        </w:rPr>
        <w:t xml:space="preserve"> riunisce nella stessa organizzazione tutti i marchi al consumo in diverse categorie merceologiche, compresi brand iconici come Persil (Dixan in Italia) e </w:t>
      </w:r>
      <w:r w:rsidR="009106CB" w:rsidRPr="00190C2D">
        <w:rPr>
          <w:rFonts w:cs="Segoe UI"/>
          <w:szCs w:val="22"/>
          <w:lang w:val="it-IT" w:eastAsia="de-DE"/>
        </w:rPr>
        <w:t xml:space="preserve">Schwarzkopf. </w:t>
      </w:r>
      <w:r w:rsidR="00190C2D" w:rsidRPr="00190C2D">
        <w:rPr>
          <w:rFonts w:cs="Segoe UI"/>
          <w:szCs w:val="22"/>
          <w:lang w:val="it-IT" w:eastAsia="de-DE"/>
        </w:rPr>
        <w:t>Con questa operazione</w:t>
      </w:r>
      <w:r w:rsidR="009106CB" w:rsidRPr="00190C2D">
        <w:rPr>
          <w:rFonts w:cs="Segoe UI"/>
          <w:szCs w:val="22"/>
          <w:lang w:val="it-IT" w:eastAsia="de-DE"/>
        </w:rPr>
        <w:t xml:space="preserve">, Henkel </w:t>
      </w:r>
      <w:r w:rsidR="00190C2D" w:rsidRPr="00190C2D">
        <w:rPr>
          <w:rFonts w:cs="Segoe UI"/>
          <w:szCs w:val="22"/>
          <w:lang w:val="it-IT" w:eastAsia="de-DE"/>
        </w:rPr>
        <w:t xml:space="preserve">ha creato una piattaforma </w:t>
      </w:r>
      <w:proofErr w:type="spellStart"/>
      <w:r w:rsidR="00190C2D" w:rsidRPr="00190C2D">
        <w:rPr>
          <w:rFonts w:cs="Segoe UI"/>
          <w:szCs w:val="22"/>
          <w:lang w:val="it-IT" w:eastAsia="de-DE"/>
        </w:rPr>
        <w:t>multicategoria</w:t>
      </w:r>
      <w:proofErr w:type="spellEnd"/>
      <w:r w:rsidR="00190C2D" w:rsidRPr="00190C2D">
        <w:rPr>
          <w:rFonts w:cs="Segoe UI"/>
          <w:szCs w:val="22"/>
          <w:lang w:val="it-IT" w:eastAsia="de-DE"/>
        </w:rPr>
        <w:t xml:space="preserve"> </w:t>
      </w:r>
      <w:r w:rsidR="00D7590F">
        <w:rPr>
          <w:rFonts w:cs="Segoe UI"/>
          <w:szCs w:val="22"/>
          <w:lang w:val="it-IT" w:eastAsia="de-DE"/>
        </w:rPr>
        <w:t>del</w:t>
      </w:r>
      <w:r w:rsidR="00BE1570">
        <w:rPr>
          <w:rFonts w:cs="Segoe UI"/>
          <w:szCs w:val="22"/>
          <w:lang w:val="it-IT" w:eastAsia="de-DE"/>
        </w:rPr>
        <w:t xml:space="preserve"> </w:t>
      </w:r>
      <w:r w:rsidR="00781B08">
        <w:rPr>
          <w:rFonts w:cs="Segoe UI"/>
          <w:szCs w:val="22"/>
          <w:lang w:val="it-IT" w:eastAsia="de-DE"/>
        </w:rPr>
        <w:t xml:space="preserve">valore </w:t>
      </w:r>
      <w:r w:rsidR="00D7590F">
        <w:rPr>
          <w:rFonts w:cs="Segoe UI"/>
          <w:szCs w:val="22"/>
          <w:lang w:val="it-IT" w:eastAsia="de-DE"/>
        </w:rPr>
        <w:t>di</w:t>
      </w:r>
      <w:r w:rsidR="00BE1570">
        <w:rPr>
          <w:rFonts w:cs="Segoe UI"/>
          <w:szCs w:val="22"/>
          <w:lang w:val="it-IT" w:eastAsia="de-DE"/>
        </w:rPr>
        <w:t xml:space="preserve"> circa 11 miliardi di euro </w:t>
      </w:r>
      <w:r w:rsidR="00781B08">
        <w:rPr>
          <w:rFonts w:cs="Segoe UI"/>
          <w:szCs w:val="22"/>
          <w:lang w:val="it-IT" w:eastAsia="de-DE"/>
        </w:rPr>
        <w:t xml:space="preserve">di fatturato </w:t>
      </w:r>
      <w:r w:rsidR="00BE1570">
        <w:rPr>
          <w:rFonts w:cs="Segoe UI"/>
          <w:szCs w:val="22"/>
          <w:lang w:val="it-IT" w:eastAsia="de-DE"/>
        </w:rPr>
        <w:t xml:space="preserve">nel 2022. </w:t>
      </w:r>
    </w:p>
    <w:p w14:paraId="3349A71C" w14:textId="30D951A4" w:rsidR="00BE1570" w:rsidRDefault="00BE1570" w:rsidP="000B33AC">
      <w:pPr>
        <w:contextualSpacing/>
        <w:rPr>
          <w:rFonts w:cs="Segoe UI"/>
          <w:szCs w:val="22"/>
          <w:lang w:val="it-IT" w:eastAsia="de-DE"/>
        </w:rPr>
      </w:pPr>
    </w:p>
    <w:p w14:paraId="1C1DC2D1" w14:textId="768B725F" w:rsidR="00781B08" w:rsidRPr="00190C2D" w:rsidRDefault="00AD7392" w:rsidP="000B33AC">
      <w:pPr>
        <w:contextualSpacing/>
        <w:rPr>
          <w:rFonts w:cs="Segoe UI"/>
          <w:szCs w:val="22"/>
          <w:lang w:val="it-IT" w:eastAsia="de-DE"/>
        </w:rPr>
      </w:pPr>
      <w:r>
        <w:rPr>
          <w:rFonts w:cs="Segoe UI"/>
          <w:szCs w:val="22"/>
          <w:lang w:val="it-IT" w:eastAsia="de-DE"/>
        </w:rPr>
        <w:t xml:space="preserve">L’obiettivo della fusione è aumentare la profittabilità delle attività del Gruppo rivolte al largo consumo </w:t>
      </w:r>
      <w:r w:rsidR="00F34AF9">
        <w:rPr>
          <w:rFonts w:cs="Segoe UI"/>
          <w:szCs w:val="22"/>
          <w:lang w:val="it-IT" w:eastAsia="de-DE"/>
        </w:rPr>
        <w:t xml:space="preserve">e generare </w:t>
      </w:r>
      <w:r w:rsidR="00653244">
        <w:rPr>
          <w:rFonts w:cs="Segoe UI"/>
          <w:szCs w:val="22"/>
          <w:lang w:val="it-IT" w:eastAsia="de-DE"/>
        </w:rPr>
        <w:t>nuove</w:t>
      </w:r>
      <w:r w:rsidR="00F34AF9">
        <w:rPr>
          <w:rFonts w:cs="Segoe UI"/>
          <w:szCs w:val="22"/>
          <w:lang w:val="it-IT" w:eastAsia="de-DE"/>
        </w:rPr>
        <w:t xml:space="preserve"> opportunità di crescita. Per questo motivo, il portafoglio</w:t>
      </w:r>
      <w:r w:rsidR="008C30F2">
        <w:rPr>
          <w:rFonts w:cs="Segoe UI"/>
          <w:szCs w:val="22"/>
          <w:lang w:val="it-IT" w:eastAsia="de-DE"/>
        </w:rPr>
        <w:t xml:space="preserve"> delle categorie cura capelli, bucato e pulizia della casa verrà ottimizzato per </w:t>
      </w:r>
      <w:r w:rsidR="002427CB">
        <w:rPr>
          <w:rFonts w:cs="Segoe UI"/>
          <w:szCs w:val="22"/>
          <w:lang w:val="it-IT" w:eastAsia="de-DE"/>
        </w:rPr>
        <w:t xml:space="preserve">focalizzarsi sui mercati e i marchi che offrono </w:t>
      </w:r>
      <w:r w:rsidR="00653244">
        <w:rPr>
          <w:rFonts w:cs="Segoe UI"/>
          <w:szCs w:val="22"/>
          <w:lang w:val="it-IT" w:eastAsia="de-DE"/>
        </w:rPr>
        <w:t xml:space="preserve">un </w:t>
      </w:r>
      <w:r w:rsidR="002427CB">
        <w:rPr>
          <w:rFonts w:cs="Segoe UI"/>
          <w:szCs w:val="22"/>
          <w:lang w:val="it-IT" w:eastAsia="de-DE"/>
        </w:rPr>
        <w:t xml:space="preserve">maggior </w:t>
      </w:r>
      <w:r w:rsidR="00244387">
        <w:rPr>
          <w:rFonts w:cs="Segoe UI"/>
          <w:szCs w:val="22"/>
          <w:lang w:val="it-IT" w:eastAsia="de-DE"/>
        </w:rPr>
        <w:t>potenzial</w:t>
      </w:r>
      <w:r w:rsidR="00653244">
        <w:rPr>
          <w:rFonts w:cs="Segoe UI"/>
          <w:szCs w:val="22"/>
          <w:lang w:val="it-IT" w:eastAsia="de-DE"/>
        </w:rPr>
        <w:t>e</w:t>
      </w:r>
      <w:r w:rsidR="00244387">
        <w:rPr>
          <w:rFonts w:cs="Segoe UI"/>
          <w:szCs w:val="22"/>
          <w:lang w:val="it-IT" w:eastAsia="de-DE"/>
        </w:rPr>
        <w:t xml:space="preserve"> di sviluppo e </w:t>
      </w:r>
      <w:r w:rsidR="00C57AF9">
        <w:rPr>
          <w:rFonts w:cs="Segoe UI"/>
          <w:szCs w:val="22"/>
          <w:lang w:val="it-IT" w:eastAsia="de-DE"/>
        </w:rPr>
        <w:t xml:space="preserve">marginalità. L’integrazione </w:t>
      </w:r>
      <w:r w:rsidR="00CB43A2">
        <w:rPr>
          <w:rFonts w:cs="Segoe UI"/>
          <w:szCs w:val="22"/>
          <w:lang w:val="it-IT" w:eastAsia="de-DE"/>
        </w:rPr>
        <w:t>cre</w:t>
      </w:r>
      <w:r w:rsidR="00C57AF9">
        <w:rPr>
          <w:rFonts w:cs="Segoe UI"/>
          <w:szCs w:val="22"/>
          <w:lang w:val="it-IT" w:eastAsia="de-DE"/>
        </w:rPr>
        <w:t xml:space="preserve">erà sinergie significative, che saranno in parte usate per </w:t>
      </w:r>
      <w:r w:rsidR="00CB43A2">
        <w:rPr>
          <w:rFonts w:cs="Segoe UI"/>
          <w:szCs w:val="22"/>
          <w:lang w:val="it-IT" w:eastAsia="de-DE"/>
        </w:rPr>
        <w:t xml:space="preserve">investimenti mirati sulle priorità strategiche quali l’innovazione, la sostenibilità e la digitalizzazione, nonché per </w:t>
      </w:r>
      <w:r w:rsidR="00B83F5F">
        <w:rPr>
          <w:rFonts w:cs="Segoe UI"/>
          <w:szCs w:val="22"/>
          <w:lang w:val="it-IT" w:eastAsia="de-DE"/>
        </w:rPr>
        <w:t xml:space="preserve">rafforzare la profittabilità e la crescita della stessa business </w:t>
      </w:r>
      <w:proofErr w:type="spellStart"/>
      <w:r w:rsidR="00B83F5F">
        <w:rPr>
          <w:rFonts w:cs="Segoe UI"/>
          <w:szCs w:val="22"/>
          <w:lang w:val="it-IT" w:eastAsia="de-DE"/>
        </w:rPr>
        <w:t>unit</w:t>
      </w:r>
      <w:proofErr w:type="spellEnd"/>
      <w:r w:rsidR="00B83F5F">
        <w:rPr>
          <w:rFonts w:cs="Segoe UI"/>
          <w:szCs w:val="22"/>
          <w:lang w:val="it-IT" w:eastAsia="de-DE"/>
        </w:rPr>
        <w:t>.</w:t>
      </w:r>
    </w:p>
    <w:p w14:paraId="65022E94" w14:textId="61F05E03" w:rsidR="005E2778" w:rsidRPr="007F4C34" w:rsidRDefault="005E2778" w:rsidP="00E63D07">
      <w:pPr>
        <w:rPr>
          <w:rFonts w:cs="Segoe UI"/>
          <w:szCs w:val="22"/>
          <w:lang w:val="it-IT"/>
        </w:rPr>
      </w:pPr>
    </w:p>
    <w:p w14:paraId="5D53928C" w14:textId="77777777" w:rsidR="00761F81" w:rsidRPr="007F4C34" w:rsidRDefault="00761F81" w:rsidP="00E63D07">
      <w:pPr>
        <w:rPr>
          <w:rFonts w:cs="Segoe UI"/>
          <w:szCs w:val="22"/>
          <w:lang w:val="it-IT"/>
        </w:rPr>
      </w:pPr>
    </w:p>
    <w:p w14:paraId="2FC9E9F5" w14:textId="55AA9F80" w:rsidR="00C33F9E" w:rsidRPr="00F364F7" w:rsidRDefault="00C33F9E" w:rsidP="00E63D07">
      <w:pPr>
        <w:rPr>
          <w:rFonts w:cs="Segoe UI"/>
          <w:szCs w:val="22"/>
          <w:lang w:val="it-IT"/>
        </w:rPr>
      </w:pPr>
      <w:r w:rsidRPr="00F364F7">
        <w:rPr>
          <w:rFonts w:cs="Segoe UI"/>
          <w:szCs w:val="22"/>
          <w:lang w:val="it-IT"/>
        </w:rPr>
        <w:t xml:space="preserve">NOTA: il comunicato stampa integrale è disponibile in inglese </w:t>
      </w:r>
      <w:r w:rsidR="00B262F5" w:rsidRPr="00F364F7">
        <w:rPr>
          <w:rFonts w:cs="Segoe UI"/>
          <w:szCs w:val="22"/>
          <w:lang w:val="it-IT"/>
        </w:rPr>
        <w:t xml:space="preserve">sul sito </w:t>
      </w:r>
      <w:hyperlink r:id="rId12" w:history="1">
        <w:r w:rsidR="00D3108E" w:rsidRPr="00F364F7">
          <w:rPr>
            <w:rStyle w:val="Collegamentoipertestuale"/>
            <w:rFonts w:cs="Segoe UI"/>
            <w:sz w:val="22"/>
            <w:szCs w:val="22"/>
            <w:lang w:val="it-IT"/>
          </w:rPr>
          <w:t>Henkel.com</w:t>
        </w:r>
      </w:hyperlink>
    </w:p>
    <w:p w14:paraId="0299B73B" w14:textId="77777777" w:rsidR="00A12E23" w:rsidRPr="00F364F7" w:rsidRDefault="00A12E23" w:rsidP="00E63D07">
      <w:pPr>
        <w:rPr>
          <w:rFonts w:cs="Segoe UI"/>
          <w:szCs w:val="22"/>
          <w:lang w:val="it-IT"/>
        </w:rPr>
      </w:pPr>
    </w:p>
    <w:p w14:paraId="73222D33" w14:textId="13171A8F" w:rsidR="00C57D96" w:rsidRPr="005E2778" w:rsidRDefault="00C57D96" w:rsidP="00C57D96">
      <w:pPr>
        <w:spacing w:line="240" w:lineRule="auto"/>
        <w:jc w:val="left"/>
        <w:rPr>
          <w:rStyle w:val="AboutandContactHeadline"/>
          <w:rFonts w:cs="Segoe UI"/>
          <w:b w:val="0"/>
          <w:bCs w:val="0"/>
          <w:sz w:val="17"/>
          <w:szCs w:val="17"/>
          <w:lang w:val="it-IT"/>
        </w:rPr>
      </w:pPr>
      <w:r w:rsidRPr="005E2778">
        <w:rPr>
          <w:rStyle w:val="AboutandContactHeadline"/>
          <w:sz w:val="17"/>
          <w:szCs w:val="17"/>
          <w:lang w:val="it-IT"/>
        </w:rPr>
        <w:t>Informazioni su Henkel</w:t>
      </w:r>
      <w:r w:rsidR="00A15CFA" w:rsidRPr="005E2778">
        <w:rPr>
          <w:rStyle w:val="AboutandContactHeadline"/>
          <w:sz w:val="17"/>
          <w:szCs w:val="17"/>
          <w:lang w:val="it-IT"/>
        </w:rPr>
        <w:t xml:space="preserve"> </w:t>
      </w:r>
    </w:p>
    <w:p w14:paraId="012CFFAF" w14:textId="77777777" w:rsidR="00C57D96" w:rsidRPr="005E2778" w:rsidRDefault="00C57D96" w:rsidP="00C57D96">
      <w:pPr>
        <w:rPr>
          <w:rStyle w:val="AboutandContactBody"/>
          <w:sz w:val="17"/>
          <w:szCs w:val="17"/>
          <w:lang w:val="it-IT"/>
        </w:rPr>
      </w:pPr>
    </w:p>
    <w:p w14:paraId="36597D52" w14:textId="18D30532" w:rsidR="00C57D96" w:rsidRPr="005E2778" w:rsidRDefault="00C57D96" w:rsidP="00C57D96">
      <w:pPr>
        <w:rPr>
          <w:rStyle w:val="Collegamentoipertestuale"/>
          <w:rFonts w:asciiTheme="minorHAnsi" w:hAnsiTheme="minorHAnsi" w:cstheme="minorHAnsi"/>
          <w:b/>
          <w:bCs/>
          <w:color w:val="auto"/>
          <w:sz w:val="17"/>
          <w:szCs w:val="17"/>
          <w:u w:val="none"/>
          <w:lang w:val="it-IT"/>
        </w:rPr>
      </w:pPr>
      <w:r w:rsidRPr="005E2778">
        <w:rPr>
          <w:rStyle w:val="AboutandContactBody"/>
          <w:sz w:val="17"/>
          <w:szCs w:val="17"/>
          <w:lang w:val="it-IT"/>
        </w:rPr>
        <w:t xml:space="preserve">Con i suoi marchi, innovazioni e tecnologie, Henkel detiene posizioni di leadership sia nel settore industriale sia nel largo consumo. La business </w:t>
      </w:r>
      <w:proofErr w:type="spellStart"/>
      <w:r w:rsidRPr="005E2778">
        <w:rPr>
          <w:rStyle w:val="AboutandContactBody"/>
          <w:sz w:val="17"/>
          <w:szCs w:val="17"/>
          <w:lang w:val="it-IT"/>
        </w:rPr>
        <w:t>unit</w:t>
      </w:r>
      <w:proofErr w:type="spellEnd"/>
      <w:r w:rsidRPr="005E2778">
        <w:rPr>
          <w:rStyle w:val="AboutandContactBody"/>
          <w:sz w:val="17"/>
          <w:szCs w:val="17"/>
          <w:lang w:val="it-IT"/>
        </w:rPr>
        <w:t xml:space="preserve"> </w:t>
      </w:r>
      <w:proofErr w:type="spellStart"/>
      <w:r w:rsidRPr="005E2778">
        <w:rPr>
          <w:rStyle w:val="AboutandContactBody"/>
          <w:sz w:val="17"/>
          <w:szCs w:val="17"/>
          <w:lang w:val="it-IT"/>
        </w:rPr>
        <w:t>Adhesive</w:t>
      </w:r>
      <w:proofErr w:type="spellEnd"/>
      <w:r w:rsidRPr="005E2778">
        <w:rPr>
          <w:rStyle w:val="AboutandContactBody"/>
          <w:sz w:val="17"/>
          <w:szCs w:val="17"/>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5E2778">
        <w:rPr>
          <w:rStyle w:val="AboutandContactBody"/>
          <w:sz w:val="17"/>
          <w:szCs w:val="17"/>
          <w:lang w:val="it-IT"/>
        </w:rPr>
        <w:t>Loctite</w:t>
      </w:r>
      <w:proofErr w:type="spellEnd"/>
      <w:r w:rsidRPr="005E2778">
        <w:rPr>
          <w:rStyle w:val="AboutandContactBody"/>
          <w:sz w:val="17"/>
          <w:szCs w:val="17"/>
          <w:lang w:val="it-IT"/>
        </w:rPr>
        <w:t>, Persil (Dixan in Italia) e Schwarzkopf. Nel 202</w:t>
      </w:r>
      <w:r w:rsidR="00874DB1" w:rsidRPr="005E2778">
        <w:rPr>
          <w:rStyle w:val="AboutandContactBody"/>
          <w:sz w:val="17"/>
          <w:szCs w:val="17"/>
          <w:lang w:val="it-IT"/>
        </w:rPr>
        <w:t>2</w:t>
      </w:r>
      <w:r w:rsidRPr="005E2778">
        <w:rPr>
          <w:rStyle w:val="AboutandContactBody"/>
          <w:sz w:val="17"/>
          <w:szCs w:val="17"/>
          <w:lang w:val="it-IT"/>
        </w:rPr>
        <w:t xml:space="preserve"> Henkel ha registrato un fatturato complessivo di oltre 2</w:t>
      </w:r>
      <w:r w:rsidR="00874DB1" w:rsidRPr="005E2778">
        <w:rPr>
          <w:rStyle w:val="AboutandContactBody"/>
          <w:sz w:val="17"/>
          <w:szCs w:val="17"/>
          <w:lang w:val="it-IT"/>
        </w:rPr>
        <w:t>2</w:t>
      </w:r>
      <w:r w:rsidRPr="005E2778">
        <w:rPr>
          <w:rStyle w:val="AboutandContactBody"/>
          <w:sz w:val="17"/>
          <w:szCs w:val="17"/>
          <w:lang w:val="it-IT"/>
        </w:rPr>
        <w:t xml:space="preserve"> miliardi di euro, con un margine operativo </w:t>
      </w:r>
      <w:r w:rsidR="00BF68ED" w:rsidRPr="005E2778">
        <w:rPr>
          <w:rStyle w:val="AboutandContactBody"/>
          <w:sz w:val="17"/>
          <w:szCs w:val="17"/>
          <w:lang w:val="it-IT"/>
        </w:rPr>
        <w:t>depurato</w:t>
      </w:r>
      <w:r w:rsidRPr="005E2778">
        <w:rPr>
          <w:rStyle w:val="AboutandContactBody"/>
          <w:sz w:val="17"/>
          <w:szCs w:val="17"/>
          <w:lang w:val="it-IT"/>
        </w:rPr>
        <w:t xml:space="preserve"> pari a</w:t>
      </w:r>
      <w:r w:rsidR="00BF68ED" w:rsidRPr="005E2778">
        <w:rPr>
          <w:rStyle w:val="AboutandContactBody"/>
          <w:sz w:val="17"/>
          <w:szCs w:val="17"/>
          <w:lang w:val="it-IT"/>
        </w:rPr>
        <w:t xml:space="preserve"> circa</w:t>
      </w:r>
      <w:r w:rsidRPr="005E2778">
        <w:rPr>
          <w:rStyle w:val="AboutandContactBody"/>
          <w:sz w:val="17"/>
          <w:szCs w:val="17"/>
          <w:lang w:val="it-IT"/>
        </w:rPr>
        <w:t xml:space="preserve"> 2,</w:t>
      </w:r>
      <w:r w:rsidR="00BF68ED" w:rsidRPr="005E2778">
        <w:rPr>
          <w:rStyle w:val="AboutandContactBody"/>
          <w:sz w:val="17"/>
          <w:szCs w:val="17"/>
          <w:lang w:val="it-IT"/>
        </w:rPr>
        <w:t>3</w:t>
      </w:r>
      <w:r w:rsidRPr="005E2778">
        <w:rPr>
          <w:rStyle w:val="AboutandContactBody"/>
          <w:sz w:val="17"/>
          <w:szCs w:val="17"/>
          <w:lang w:val="it-IT"/>
        </w:rPr>
        <w:t xml:space="preserve"> miliardi di euro. Le azioni privilegiate Henkel sono quotate presso la Borsa tedesca secondo l'indice DAX. Lo sviluppo sostenibile ha una lunga tradizione in Henkel, che ha una chiara strategia di sostenibilità con obiettivi concreti. Fondata nel 1876, Henkel impiega oltre 50.000 collaboratori nel mondo – </w:t>
      </w:r>
      <w:proofErr w:type="gramStart"/>
      <w:r w:rsidRPr="005E2778">
        <w:rPr>
          <w:rStyle w:val="AboutandContactBody"/>
          <w:sz w:val="17"/>
          <w:szCs w:val="17"/>
          <w:lang w:val="it-IT"/>
        </w:rPr>
        <w:t>un team eterogeneo</w:t>
      </w:r>
      <w:proofErr w:type="gramEnd"/>
      <w:r w:rsidRPr="005E2778">
        <w:rPr>
          <w:rStyle w:val="AboutandContactBody"/>
          <w:sz w:val="17"/>
          <w:szCs w:val="17"/>
          <w:lang w:val="it-IT"/>
        </w:rPr>
        <w:t xml:space="preserve">, unito da una forte cultura aziendale, valori condivisi e un </w:t>
      </w:r>
      <w:proofErr w:type="spellStart"/>
      <w:r w:rsidRPr="005E2778">
        <w:rPr>
          <w:rStyle w:val="AboutandContactBody"/>
          <w:sz w:val="17"/>
          <w:szCs w:val="17"/>
          <w:lang w:val="it-IT"/>
        </w:rPr>
        <w:t>purpose</w:t>
      </w:r>
      <w:proofErr w:type="spellEnd"/>
      <w:r w:rsidRPr="005E2778">
        <w:rPr>
          <w:rStyle w:val="AboutandContactBody"/>
          <w:sz w:val="17"/>
          <w:szCs w:val="17"/>
          <w:lang w:val="it-IT"/>
        </w:rPr>
        <w:t xml:space="preserve"> comune: “Pionieri nel cuore per il bene di intere generazioni”. Per maggiori informazioni, visitate il sito </w:t>
      </w:r>
      <w:hyperlink r:id="rId13" w:history="1">
        <w:r w:rsidRPr="005E2778">
          <w:rPr>
            <w:rStyle w:val="Collegamentoipertestuale"/>
            <w:sz w:val="17"/>
            <w:szCs w:val="17"/>
            <w:lang w:val="it-IT"/>
          </w:rPr>
          <w:t>www.henkel.com</w:t>
        </w:r>
      </w:hyperlink>
      <w:r w:rsidRPr="005E2778">
        <w:rPr>
          <w:rStyle w:val="AboutandContactBody"/>
          <w:sz w:val="17"/>
          <w:szCs w:val="17"/>
          <w:lang w:val="it-IT"/>
        </w:rPr>
        <w:t xml:space="preserve"> </w:t>
      </w:r>
    </w:p>
    <w:p w14:paraId="76FC1CD9" w14:textId="77777777" w:rsidR="00424155" w:rsidRPr="005E2778" w:rsidRDefault="00424155" w:rsidP="00C57D96">
      <w:pPr>
        <w:rPr>
          <w:rStyle w:val="Collegamentoipertestuale"/>
          <w:rFonts w:asciiTheme="minorHAnsi" w:hAnsiTheme="minorHAnsi" w:cstheme="minorHAnsi"/>
          <w:b/>
          <w:bCs/>
          <w:sz w:val="17"/>
          <w:szCs w:val="17"/>
          <w:lang w:val="it-IT"/>
        </w:rPr>
      </w:pPr>
    </w:p>
    <w:p w14:paraId="2B6FE2E1" w14:textId="77777777" w:rsidR="00C57D96" w:rsidRPr="005E2778" w:rsidRDefault="00C57D96" w:rsidP="00C57D96">
      <w:pPr>
        <w:tabs>
          <w:tab w:val="left" w:pos="1080"/>
          <w:tab w:val="left" w:pos="4500"/>
        </w:tabs>
        <w:rPr>
          <w:rStyle w:val="AboutandContactBody"/>
          <w:rFonts w:asciiTheme="majorHAnsi" w:hAnsiTheme="majorHAnsi" w:cstheme="majorHAnsi"/>
          <w:b/>
          <w:sz w:val="17"/>
          <w:szCs w:val="17"/>
          <w:lang w:val="it-IT"/>
        </w:rPr>
      </w:pPr>
      <w:r w:rsidRPr="005E2778">
        <w:rPr>
          <w:rStyle w:val="AboutandContactBody"/>
          <w:rFonts w:asciiTheme="majorHAnsi" w:hAnsiTheme="majorHAnsi" w:cstheme="majorHAnsi"/>
          <w:b/>
          <w:sz w:val="17"/>
          <w:szCs w:val="17"/>
          <w:lang w:val="it-IT"/>
        </w:rPr>
        <w:t xml:space="preserve">Per informazioni alla stampa: </w:t>
      </w:r>
    </w:p>
    <w:p w14:paraId="7E5FAD5F" w14:textId="77777777" w:rsidR="00C57D96" w:rsidRPr="005E2778" w:rsidRDefault="00C57D96" w:rsidP="00C57D96">
      <w:pPr>
        <w:tabs>
          <w:tab w:val="left" w:pos="1080"/>
          <w:tab w:val="left" w:pos="4500"/>
        </w:tabs>
        <w:rPr>
          <w:rStyle w:val="AboutandContactBody"/>
          <w:rFonts w:asciiTheme="majorHAnsi" w:hAnsiTheme="majorHAnsi" w:cstheme="majorHAnsi"/>
          <w:b/>
          <w:sz w:val="17"/>
          <w:szCs w:val="17"/>
          <w:lang w:val="it-IT"/>
        </w:rPr>
      </w:pPr>
    </w:p>
    <w:p w14:paraId="378B1B56" w14:textId="77777777" w:rsidR="00C57D96" w:rsidRPr="005E2778" w:rsidRDefault="00C57D96" w:rsidP="00C57D96">
      <w:pPr>
        <w:tabs>
          <w:tab w:val="left" w:pos="1080"/>
          <w:tab w:val="left" w:pos="4500"/>
        </w:tabs>
        <w:rPr>
          <w:rStyle w:val="AboutandContactBody"/>
          <w:rFonts w:asciiTheme="majorHAnsi" w:hAnsiTheme="majorHAnsi" w:cstheme="majorHAnsi"/>
          <w:b/>
          <w:sz w:val="17"/>
          <w:szCs w:val="17"/>
          <w:lang w:val="it-IT"/>
        </w:rPr>
      </w:pPr>
      <w:r w:rsidRPr="005E2778">
        <w:rPr>
          <w:rStyle w:val="AboutandContactBody"/>
          <w:rFonts w:asciiTheme="majorHAnsi" w:hAnsiTheme="majorHAnsi" w:cstheme="majorHAnsi"/>
          <w:b/>
          <w:sz w:val="17"/>
          <w:szCs w:val="17"/>
          <w:lang w:val="it-IT"/>
        </w:rPr>
        <w:t>Giusi Viani</w:t>
      </w:r>
      <w:r w:rsidRPr="005E2778">
        <w:rPr>
          <w:rStyle w:val="AboutandContactBody"/>
          <w:rFonts w:asciiTheme="majorHAnsi" w:hAnsiTheme="majorHAnsi" w:cstheme="majorHAnsi"/>
          <w:b/>
          <w:sz w:val="17"/>
          <w:szCs w:val="17"/>
          <w:lang w:val="it-IT"/>
        </w:rPr>
        <w:tab/>
      </w:r>
      <w:r w:rsidRPr="005E2778">
        <w:rPr>
          <w:rStyle w:val="AboutandContactBody"/>
          <w:rFonts w:asciiTheme="majorHAnsi" w:hAnsiTheme="majorHAnsi" w:cstheme="majorHAnsi"/>
          <w:b/>
          <w:sz w:val="17"/>
          <w:szCs w:val="17"/>
          <w:lang w:val="it-IT"/>
        </w:rPr>
        <w:tab/>
        <w:t xml:space="preserve">Silvia Vergani </w:t>
      </w:r>
      <w:r w:rsidRPr="005E2778">
        <w:rPr>
          <w:rStyle w:val="AboutandContactBody"/>
          <w:rFonts w:asciiTheme="majorHAnsi" w:hAnsiTheme="majorHAnsi" w:cstheme="majorHAnsi"/>
          <w:b/>
          <w:sz w:val="17"/>
          <w:szCs w:val="17"/>
          <w:lang w:val="it-IT"/>
        </w:rPr>
        <w:tab/>
      </w:r>
    </w:p>
    <w:p w14:paraId="6EA4759A" w14:textId="77777777" w:rsidR="00C57D96" w:rsidRPr="005E2778" w:rsidRDefault="00C57D96" w:rsidP="00C57D96">
      <w:pPr>
        <w:tabs>
          <w:tab w:val="left" w:pos="1080"/>
          <w:tab w:val="left" w:pos="4500"/>
        </w:tabs>
        <w:rPr>
          <w:rStyle w:val="AboutandContactBody"/>
          <w:rFonts w:asciiTheme="majorHAnsi" w:hAnsiTheme="majorHAnsi" w:cstheme="majorHAnsi"/>
          <w:b/>
          <w:sz w:val="17"/>
          <w:szCs w:val="17"/>
          <w:lang w:val="it-IT"/>
        </w:rPr>
      </w:pPr>
      <w:r w:rsidRPr="005E2778">
        <w:rPr>
          <w:rStyle w:val="AboutandContactBody"/>
          <w:rFonts w:asciiTheme="majorHAnsi" w:hAnsiTheme="majorHAnsi" w:cstheme="majorHAnsi"/>
          <w:bCs/>
          <w:sz w:val="17"/>
          <w:szCs w:val="17"/>
          <w:lang w:val="it-IT"/>
        </w:rPr>
        <w:t>Head of Corporate Communications, Henkel Italia</w:t>
      </w:r>
      <w:r w:rsidRPr="005E2778">
        <w:rPr>
          <w:rStyle w:val="AboutandContactBody"/>
          <w:rFonts w:asciiTheme="majorHAnsi" w:hAnsiTheme="majorHAnsi" w:cstheme="majorHAnsi"/>
          <w:b/>
          <w:sz w:val="17"/>
          <w:szCs w:val="17"/>
          <w:lang w:val="it-IT"/>
        </w:rPr>
        <w:tab/>
      </w:r>
      <w:r w:rsidRPr="005E2778">
        <w:rPr>
          <w:rStyle w:val="AboutandContactBody"/>
          <w:rFonts w:asciiTheme="majorHAnsi" w:hAnsiTheme="majorHAnsi" w:cstheme="majorHAnsi"/>
          <w:bCs/>
          <w:sz w:val="17"/>
          <w:szCs w:val="17"/>
          <w:lang w:val="it-IT"/>
        </w:rPr>
        <w:t>Corporate Comm. Consultant, Henkel Italia</w:t>
      </w:r>
      <w:r w:rsidRPr="005E2778">
        <w:rPr>
          <w:rStyle w:val="AboutandContactBody"/>
          <w:rFonts w:asciiTheme="majorHAnsi" w:hAnsiTheme="majorHAnsi" w:cstheme="majorHAnsi"/>
          <w:b/>
          <w:sz w:val="17"/>
          <w:szCs w:val="17"/>
          <w:lang w:val="it-IT"/>
        </w:rPr>
        <w:t xml:space="preserve"> </w:t>
      </w:r>
    </w:p>
    <w:p w14:paraId="36407A19" w14:textId="77777777" w:rsidR="00C57D96" w:rsidRPr="005E2778" w:rsidRDefault="00C57D96" w:rsidP="00C57D96">
      <w:pPr>
        <w:tabs>
          <w:tab w:val="left" w:pos="1080"/>
          <w:tab w:val="left" w:pos="4500"/>
        </w:tabs>
        <w:rPr>
          <w:rStyle w:val="AboutandContactBody"/>
          <w:rFonts w:asciiTheme="majorHAnsi" w:hAnsiTheme="majorHAnsi" w:cstheme="majorHAnsi"/>
          <w:bCs/>
          <w:sz w:val="17"/>
          <w:szCs w:val="17"/>
          <w:lang w:val="it-IT"/>
        </w:rPr>
      </w:pPr>
      <w:r w:rsidRPr="005E2778">
        <w:rPr>
          <w:rStyle w:val="AboutandContactBody"/>
          <w:rFonts w:asciiTheme="majorHAnsi" w:hAnsiTheme="majorHAnsi" w:cstheme="majorHAnsi"/>
          <w:bCs/>
          <w:sz w:val="17"/>
          <w:szCs w:val="17"/>
          <w:lang w:val="it-IT"/>
        </w:rPr>
        <w:t>Tel: +39 348 4761287</w:t>
      </w:r>
      <w:r w:rsidRPr="005E2778">
        <w:rPr>
          <w:rStyle w:val="AboutandContactBody"/>
          <w:rFonts w:asciiTheme="majorHAnsi" w:hAnsiTheme="majorHAnsi" w:cstheme="majorHAnsi"/>
          <w:bCs/>
          <w:sz w:val="17"/>
          <w:szCs w:val="17"/>
          <w:lang w:val="it-IT"/>
        </w:rPr>
        <w:tab/>
        <w:t>Tel: +39 349 7668102</w:t>
      </w:r>
    </w:p>
    <w:p w14:paraId="1CAE75D3" w14:textId="6B57199A" w:rsidR="00112A28" w:rsidRPr="005E2778" w:rsidRDefault="00C57D96" w:rsidP="00424155">
      <w:pPr>
        <w:tabs>
          <w:tab w:val="left" w:pos="1080"/>
          <w:tab w:val="left" w:pos="4500"/>
        </w:tabs>
        <w:rPr>
          <w:rStyle w:val="AboutandContactBody"/>
          <w:rFonts w:asciiTheme="majorHAnsi" w:hAnsiTheme="majorHAnsi" w:cstheme="majorHAnsi"/>
          <w:bCs/>
          <w:color w:val="0000FF"/>
          <w:sz w:val="17"/>
          <w:szCs w:val="17"/>
          <w:u w:val="single"/>
          <w:lang w:val="it-IT"/>
        </w:rPr>
      </w:pPr>
      <w:r w:rsidRPr="005E2778">
        <w:rPr>
          <w:rStyle w:val="AboutandContactBody"/>
          <w:rFonts w:asciiTheme="majorHAnsi" w:hAnsiTheme="majorHAnsi" w:cstheme="majorHAnsi"/>
          <w:bCs/>
          <w:sz w:val="17"/>
          <w:szCs w:val="17"/>
          <w:lang w:val="it-IT"/>
        </w:rPr>
        <w:t xml:space="preserve">E-mail: </w:t>
      </w:r>
      <w:hyperlink r:id="rId14" w:history="1">
        <w:r w:rsidRPr="005E2778">
          <w:rPr>
            <w:rStyle w:val="Collegamentoipertestuale"/>
            <w:rFonts w:asciiTheme="majorHAnsi" w:hAnsiTheme="majorHAnsi" w:cstheme="majorHAnsi"/>
            <w:bCs/>
            <w:sz w:val="17"/>
            <w:szCs w:val="17"/>
            <w:lang w:val="it-IT"/>
          </w:rPr>
          <w:t>giusi.viani@henkel.com</w:t>
        </w:r>
      </w:hyperlink>
      <w:r w:rsidRPr="005E2778">
        <w:rPr>
          <w:rStyle w:val="AboutandContactBody"/>
          <w:rFonts w:asciiTheme="majorHAnsi" w:hAnsiTheme="majorHAnsi" w:cstheme="majorHAnsi"/>
          <w:bCs/>
          <w:sz w:val="17"/>
          <w:szCs w:val="17"/>
          <w:lang w:val="it-IT"/>
        </w:rPr>
        <w:t xml:space="preserve"> </w:t>
      </w:r>
      <w:r w:rsidRPr="005E2778">
        <w:rPr>
          <w:rStyle w:val="AboutandContactBody"/>
          <w:rFonts w:asciiTheme="majorHAnsi" w:hAnsiTheme="majorHAnsi" w:cstheme="majorHAnsi"/>
          <w:bCs/>
          <w:sz w:val="17"/>
          <w:szCs w:val="17"/>
          <w:lang w:val="it-IT"/>
        </w:rPr>
        <w:tab/>
        <w:t xml:space="preserve">E-mail: </w:t>
      </w:r>
      <w:hyperlink r:id="rId15" w:history="1">
        <w:r w:rsidRPr="005E2778">
          <w:rPr>
            <w:rStyle w:val="Collegamentoipertestuale"/>
            <w:rFonts w:asciiTheme="majorHAnsi" w:hAnsiTheme="majorHAnsi" w:cstheme="majorHAnsi"/>
            <w:bCs/>
            <w:sz w:val="17"/>
            <w:szCs w:val="17"/>
            <w:lang w:val="it-IT"/>
          </w:rPr>
          <w:t>silvia.vergani@henkel.com</w:t>
        </w:r>
      </w:hyperlink>
    </w:p>
    <w:sectPr w:rsidR="00112A28" w:rsidRPr="005E2778"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853C" w14:textId="77777777" w:rsidR="003545C4" w:rsidRDefault="003545C4">
      <w:r>
        <w:separator/>
      </w:r>
    </w:p>
  </w:endnote>
  <w:endnote w:type="continuationSeparator" w:id="0">
    <w:p w14:paraId="5A25D896" w14:textId="77777777" w:rsidR="003545C4" w:rsidRDefault="003545C4">
      <w:r>
        <w:continuationSeparator/>
      </w:r>
    </w:p>
  </w:endnote>
  <w:endnote w:type="continuationNotice" w:id="1">
    <w:p w14:paraId="18A38760" w14:textId="77777777" w:rsidR="003545C4" w:rsidRDefault="003545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E9E64B4" w:rsidR="00CF6F33" w:rsidRPr="00112A28" w:rsidRDefault="00112A28" w:rsidP="00112A28">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231E45">
      <w:fldChar w:fldCharType="begin"/>
    </w:r>
    <w:r w:rsidR="00231E45">
      <w:instrText xml:space="preserve"> NUMPAGES  \* Arabic  \* MERGEFORMAT </w:instrText>
    </w:r>
    <w:r w:rsidR="00231E45">
      <w:fldChar w:fldCharType="separate"/>
    </w:r>
    <w:r>
      <w:t>2</w:t>
    </w:r>
    <w:r w:rsidR="00231E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D4EA" w14:textId="306AB9F8" w:rsidR="006952C4" w:rsidRPr="006952C4" w:rsidRDefault="00092D24" w:rsidP="00092D24">
    <w:pPr>
      <w:pStyle w:val="He04Funote"/>
      <w:spacing w:after="60"/>
      <w:rPr>
        <w:sz w:val="14"/>
        <w:szCs w:val="14"/>
        <w:lang w:val="it-IT"/>
      </w:rPr>
    </w:pPr>
    <w:r w:rsidRPr="006952C4">
      <w:rPr>
        <w:sz w:val="14"/>
        <w:szCs w:val="14"/>
        <w:lang w:val="it-IT"/>
      </w:rPr>
      <w:t>*  E</w:t>
    </w:r>
    <w:r w:rsidR="006952C4" w:rsidRPr="006952C4">
      <w:rPr>
        <w:sz w:val="14"/>
        <w:szCs w:val="14"/>
        <w:lang w:val="it-IT"/>
      </w:rPr>
      <w:t xml:space="preserve">scludendo lo sviluppo organico del </w:t>
    </w:r>
    <w:r w:rsidR="006952C4">
      <w:rPr>
        <w:sz w:val="14"/>
        <w:szCs w:val="14"/>
        <w:lang w:val="it-IT"/>
      </w:rPr>
      <w:t>fatturato in Russia dall’inizio del secondo trimestre 2022</w:t>
    </w:r>
    <w:r w:rsidR="00A4361D">
      <w:rPr>
        <w:sz w:val="14"/>
        <w:szCs w:val="14"/>
        <w:lang w:val="it-IT"/>
      </w:rPr>
      <w:t xml:space="preserve"> a fronte della decisione di terminare le attività nel Paese</w:t>
    </w:r>
    <w:r w:rsidR="00B1046B">
      <w:rPr>
        <w:sz w:val="14"/>
        <w:szCs w:val="14"/>
        <w:lang w:val="it-IT"/>
      </w:rPr>
      <w:t>, ed escludendo gli effetti dell’applicazione della IAS 29 per la Turchia.</w:t>
    </w:r>
  </w:p>
  <w:p w14:paraId="0DD6ED8A" w14:textId="0A8AD862" w:rsidR="00092D24" w:rsidRPr="00943B29" w:rsidRDefault="00092D24" w:rsidP="00092D24">
    <w:pPr>
      <w:autoSpaceDE w:val="0"/>
      <w:autoSpaceDN w:val="0"/>
      <w:adjustRightInd w:val="0"/>
      <w:spacing w:after="60" w:line="240" w:lineRule="auto"/>
      <w:rPr>
        <w:sz w:val="14"/>
        <w:szCs w:val="14"/>
        <w:lang w:val="it-IT"/>
      </w:rPr>
    </w:pPr>
    <w:r w:rsidRPr="00943B29">
      <w:rPr>
        <w:sz w:val="14"/>
        <w:szCs w:val="14"/>
        <w:lang w:val="it-IT"/>
      </w:rPr>
      <w:t xml:space="preserve">** </w:t>
    </w:r>
    <w:r w:rsidR="00B1046B" w:rsidRPr="00943B29">
      <w:rPr>
        <w:sz w:val="14"/>
        <w:szCs w:val="14"/>
        <w:lang w:val="it-IT"/>
      </w:rPr>
      <w:t xml:space="preserve">Depurato da </w:t>
    </w:r>
    <w:r w:rsidR="00943B29" w:rsidRPr="00943B29">
      <w:rPr>
        <w:sz w:val="14"/>
        <w:szCs w:val="14"/>
        <w:lang w:val="it-IT"/>
      </w:rPr>
      <w:t>spese e ricavi straordinari, nonché oneri di ris</w:t>
    </w:r>
    <w:r w:rsidR="00943B29">
      <w:rPr>
        <w:sz w:val="14"/>
        <w:szCs w:val="14"/>
        <w:lang w:val="it-IT"/>
      </w:rPr>
      <w:t>trutturazione</w:t>
    </w:r>
    <w:r w:rsidRPr="00943B29">
      <w:rPr>
        <w:sz w:val="14"/>
        <w:szCs w:val="14"/>
        <w:lang w:val="it-IT"/>
      </w:rPr>
      <w:t>.</w:t>
    </w:r>
  </w:p>
  <w:p w14:paraId="577A058E" w14:textId="447A21D9" w:rsidR="00CF6F33" w:rsidRPr="00992A11" w:rsidRDefault="00B422EC" w:rsidP="00992A11">
    <w:pPr>
      <w:pStyle w:val="Pidipagina"/>
    </w:pPr>
    <w:r w:rsidRPr="00992A11">
      <w:t>Pag</w:t>
    </w:r>
    <w:r w:rsidR="00E63D07">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1FF5" w14:textId="77777777" w:rsidR="003545C4" w:rsidRDefault="003545C4">
      <w:r>
        <w:separator/>
      </w:r>
    </w:p>
  </w:footnote>
  <w:footnote w:type="continuationSeparator" w:id="0">
    <w:p w14:paraId="6856CDD4" w14:textId="77777777" w:rsidR="003545C4" w:rsidRDefault="003545C4">
      <w:r>
        <w:continuationSeparator/>
      </w:r>
    </w:p>
  </w:footnote>
  <w:footnote w:type="continuationNotice" w:id="1">
    <w:p w14:paraId="0FCCAD6C" w14:textId="77777777" w:rsidR="003545C4" w:rsidRDefault="003545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DB5807D"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A3916FD"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386514">
      <w:t>Comunicato</w:t>
    </w:r>
    <w:proofErr w:type="spellEnd"/>
    <w:r w:rsidR="00386514">
      <w:t xml:space="preserve"> </w:t>
    </w:r>
    <w:proofErr w:type="spellStart"/>
    <w:r w:rsidR="00386514">
      <w:t>stampa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7"/>
  </w:num>
  <w:num w:numId="4" w16cid:durableId="1658344630">
    <w:abstractNumId w:val="4"/>
  </w:num>
  <w:num w:numId="5" w16cid:durableId="2132553883">
    <w:abstractNumId w:val="2"/>
  </w:num>
  <w:num w:numId="6" w16cid:durableId="545726518">
    <w:abstractNumId w:val="5"/>
  </w:num>
  <w:num w:numId="7" w16cid:durableId="798450495">
    <w:abstractNumId w:val="6"/>
  </w:num>
  <w:num w:numId="8" w16cid:durableId="454642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1861"/>
    <w:rsid w:val="00002AA4"/>
    <w:rsid w:val="00003F1A"/>
    <w:rsid w:val="000049DB"/>
    <w:rsid w:val="00005267"/>
    <w:rsid w:val="00006346"/>
    <w:rsid w:val="000100F1"/>
    <w:rsid w:val="00021C67"/>
    <w:rsid w:val="00030557"/>
    <w:rsid w:val="00030F51"/>
    <w:rsid w:val="00035A84"/>
    <w:rsid w:val="00040CC9"/>
    <w:rsid w:val="00041023"/>
    <w:rsid w:val="00051E86"/>
    <w:rsid w:val="00055447"/>
    <w:rsid w:val="000575F9"/>
    <w:rsid w:val="00060D28"/>
    <w:rsid w:val="000618FC"/>
    <w:rsid w:val="0006344D"/>
    <w:rsid w:val="00066030"/>
    <w:rsid w:val="00067071"/>
    <w:rsid w:val="000674E1"/>
    <w:rsid w:val="000722E8"/>
    <w:rsid w:val="00075870"/>
    <w:rsid w:val="00080D10"/>
    <w:rsid w:val="0008357F"/>
    <w:rsid w:val="00083B58"/>
    <w:rsid w:val="00084890"/>
    <w:rsid w:val="000863DE"/>
    <w:rsid w:val="00086EAB"/>
    <w:rsid w:val="00092D24"/>
    <w:rsid w:val="00093064"/>
    <w:rsid w:val="00095CE4"/>
    <w:rsid w:val="00095D8E"/>
    <w:rsid w:val="000A0407"/>
    <w:rsid w:val="000A127D"/>
    <w:rsid w:val="000A69C1"/>
    <w:rsid w:val="000A7721"/>
    <w:rsid w:val="000B33AC"/>
    <w:rsid w:val="000B383D"/>
    <w:rsid w:val="000B406F"/>
    <w:rsid w:val="000B5115"/>
    <w:rsid w:val="000B5232"/>
    <w:rsid w:val="000B695A"/>
    <w:rsid w:val="000C210A"/>
    <w:rsid w:val="000C56DD"/>
    <w:rsid w:val="000D1672"/>
    <w:rsid w:val="000D214D"/>
    <w:rsid w:val="000D2C0B"/>
    <w:rsid w:val="000E27CA"/>
    <w:rsid w:val="000E2F62"/>
    <w:rsid w:val="000E38ED"/>
    <w:rsid w:val="000E7F24"/>
    <w:rsid w:val="000F03BE"/>
    <w:rsid w:val="000F1757"/>
    <w:rsid w:val="000F225B"/>
    <w:rsid w:val="000F7FAF"/>
    <w:rsid w:val="001038DC"/>
    <w:rsid w:val="001046F4"/>
    <w:rsid w:val="00105571"/>
    <w:rsid w:val="00105975"/>
    <w:rsid w:val="00106375"/>
    <w:rsid w:val="00106E89"/>
    <w:rsid w:val="00111F4D"/>
    <w:rsid w:val="00112A28"/>
    <w:rsid w:val="00115230"/>
    <w:rsid w:val="00115B5F"/>
    <w:rsid w:val="001162B4"/>
    <w:rsid w:val="00121873"/>
    <w:rsid w:val="00122C50"/>
    <w:rsid w:val="00122CBC"/>
    <w:rsid w:val="00122FC3"/>
    <w:rsid w:val="00126D4A"/>
    <w:rsid w:val="00127BC6"/>
    <w:rsid w:val="00132DA9"/>
    <w:rsid w:val="0013305B"/>
    <w:rsid w:val="001338A5"/>
    <w:rsid w:val="00133B99"/>
    <w:rsid w:val="001344A7"/>
    <w:rsid w:val="00141741"/>
    <w:rsid w:val="00143372"/>
    <w:rsid w:val="001443BD"/>
    <w:rsid w:val="001449DB"/>
    <w:rsid w:val="00147A69"/>
    <w:rsid w:val="00150606"/>
    <w:rsid w:val="00150DDE"/>
    <w:rsid w:val="0015208F"/>
    <w:rsid w:val="00152CD7"/>
    <w:rsid w:val="001548C8"/>
    <w:rsid w:val="00154EBF"/>
    <w:rsid w:val="00156310"/>
    <w:rsid w:val="001577E9"/>
    <w:rsid w:val="0016138C"/>
    <w:rsid w:val="00164BC2"/>
    <w:rsid w:val="001705EF"/>
    <w:rsid w:val="001731CE"/>
    <w:rsid w:val="001804BD"/>
    <w:rsid w:val="00185DBA"/>
    <w:rsid w:val="0018676E"/>
    <w:rsid w:val="00190C2D"/>
    <w:rsid w:val="001928D4"/>
    <w:rsid w:val="0019384F"/>
    <w:rsid w:val="00195C72"/>
    <w:rsid w:val="001A1B7F"/>
    <w:rsid w:val="001A49C6"/>
    <w:rsid w:val="001B36A1"/>
    <w:rsid w:val="001B3FC4"/>
    <w:rsid w:val="001B4993"/>
    <w:rsid w:val="001B57F9"/>
    <w:rsid w:val="001B7C20"/>
    <w:rsid w:val="001C0B32"/>
    <w:rsid w:val="001C4BE1"/>
    <w:rsid w:val="001C7DB0"/>
    <w:rsid w:val="001D122A"/>
    <w:rsid w:val="001D5C40"/>
    <w:rsid w:val="001D7547"/>
    <w:rsid w:val="001D7ADF"/>
    <w:rsid w:val="001E0F71"/>
    <w:rsid w:val="001E60F0"/>
    <w:rsid w:val="001E6D05"/>
    <w:rsid w:val="001E7C28"/>
    <w:rsid w:val="001F034E"/>
    <w:rsid w:val="001F1BDF"/>
    <w:rsid w:val="001F4956"/>
    <w:rsid w:val="001F7110"/>
    <w:rsid w:val="001F7E96"/>
    <w:rsid w:val="00200D18"/>
    <w:rsid w:val="00202284"/>
    <w:rsid w:val="00206A21"/>
    <w:rsid w:val="00212488"/>
    <w:rsid w:val="00220628"/>
    <w:rsid w:val="00222BF4"/>
    <w:rsid w:val="0022302C"/>
    <w:rsid w:val="002240AC"/>
    <w:rsid w:val="002304D2"/>
    <w:rsid w:val="00231E45"/>
    <w:rsid w:val="00234ABD"/>
    <w:rsid w:val="00236E2A"/>
    <w:rsid w:val="00237F62"/>
    <w:rsid w:val="002427CB"/>
    <w:rsid w:val="00244387"/>
    <w:rsid w:val="0024586A"/>
    <w:rsid w:val="00250049"/>
    <w:rsid w:val="00251C2B"/>
    <w:rsid w:val="0025220E"/>
    <w:rsid w:val="002536DC"/>
    <w:rsid w:val="00256F0C"/>
    <w:rsid w:val="00262C05"/>
    <w:rsid w:val="00271734"/>
    <w:rsid w:val="00275027"/>
    <w:rsid w:val="00281D14"/>
    <w:rsid w:val="00282082"/>
    <w:rsid w:val="00282C13"/>
    <w:rsid w:val="00291160"/>
    <w:rsid w:val="002A0304"/>
    <w:rsid w:val="002A0CCC"/>
    <w:rsid w:val="002A0DF7"/>
    <w:rsid w:val="002A2975"/>
    <w:rsid w:val="002A60E0"/>
    <w:rsid w:val="002B3A62"/>
    <w:rsid w:val="002C07F7"/>
    <w:rsid w:val="002C1344"/>
    <w:rsid w:val="002C252E"/>
    <w:rsid w:val="002C6773"/>
    <w:rsid w:val="002C725D"/>
    <w:rsid w:val="002D2A3D"/>
    <w:rsid w:val="002D615F"/>
    <w:rsid w:val="002D6160"/>
    <w:rsid w:val="002E0B17"/>
    <w:rsid w:val="002E11C2"/>
    <w:rsid w:val="002E393B"/>
    <w:rsid w:val="002E4FFB"/>
    <w:rsid w:val="002E7DED"/>
    <w:rsid w:val="002F142F"/>
    <w:rsid w:val="002F78EA"/>
    <w:rsid w:val="002F7E11"/>
    <w:rsid w:val="002F7FDE"/>
    <w:rsid w:val="00300B3D"/>
    <w:rsid w:val="00304087"/>
    <w:rsid w:val="00304C25"/>
    <w:rsid w:val="00310ACD"/>
    <w:rsid w:val="00310F19"/>
    <w:rsid w:val="0031379F"/>
    <w:rsid w:val="00314EE2"/>
    <w:rsid w:val="00316785"/>
    <w:rsid w:val="00320A26"/>
    <w:rsid w:val="00321344"/>
    <w:rsid w:val="00322D7F"/>
    <w:rsid w:val="00324C1C"/>
    <w:rsid w:val="0033451C"/>
    <w:rsid w:val="003355EE"/>
    <w:rsid w:val="00335766"/>
    <w:rsid w:val="00336854"/>
    <w:rsid w:val="0034015C"/>
    <w:rsid w:val="00342B09"/>
    <w:rsid w:val="00343A91"/>
    <w:rsid w:val="00343AFB"/>
    <w:rsid w:val="003442F4"/>
    <w:rsid w:val="00350E98"/>
    <w:rsid w:val="0035218F"/>
    <w:rsid w:val="00353705"/>
    <w:rsid w:val="003545C4"/>
    <w:rsid w:val="00354EAE"/>
    <w:rsid w:val="003562E8"/>
    <w:rsid w:val="0036036A"/>
    <w:rsid w:val="0036357D"/>
    <w:rsid w:val="003649BC"/>
    <w:rsid w:val="00365E44"/>
    <w:rsid w:val="00367AA1"/>
    <w:rsid w:val="00372E36"/>
    <w:rsid w:val="00376EE9"/>
    <w:rsid w:val="003775CB"/>
    <w:rsid w:val="00377CBB"/>
    <w:rsid w:val="0038157F"/>
    <w:rsid w:val="00381807"/>
    <w:rsid w:val="00385185"/>
    <w:rsid w:val="003858C8"/>
    <w:rsid w:val="00386514"/>
    <w:rsid w:val="003877B6"/>
    <w:rsid w:val="0039014F"/>
    <w:rsid w:val="00391734"/>
    <w:rsid w:val="00391D60"/>
    <w:rsid w:val="00393887"/>
    <w:rsid w:val="00394C6B"/>
    <w:rsid w:val="00395271"/>
    <w:rsid w:val="0039597A"/>
    <w:rsid w:val="003970C7"/>
    <w:rsid w:val="003A1322"/>
    <w:rsid w:val="003A3119"/>
    <w:rsid w:val="003A4E62"/>
    <w:rsid w:val="003A772D"/>
    <w:rsid w:val="003B1069"/>
    <w:rsid w:val="003B390A"/>
    <w:rsid w:val="003B463E"/>
    <w:rsid w:val="003C15DE"/>
    <w:rsid w:val="003C3F70"/>
    <w:rsid w:val="003C4EB2"/>
    <w:rsid w:val="003F1181"/>
    <w:rsid w:val="003F1AF3"/>
    <w:rsid w:val="003F34EE"/>
    <w:rsid w:val="003F4D8D"/>
    <w:rsid w:val="00413250"/>
    <w:rsid w:val="0042016B"/>
    <w:rsid w:val="00424155"/>
    <w:rsid w:val="00426E0C"/>
    <w:rsid w:val="004313E7"/>
    <w:rsid w:val="00432C46"/>
    <w:rsid w:val="00432D6B"/>
    <w:rsid w:val="0043457D"/>
    <w:rsid w:val="00441449"/>
    <w:rsid w:val="00443E48"/>
    <w:rsid w:val="0044705B"/>
    <w:rsid w:val="0044757F"/>
    <w:rsid w:val="0044763B"/>
    <w:rsid w:val="00447F59"/>
    <w:rsid w:val="00451F34"/>
    <w:rsid w:val="00454670"/>
    <w:rsid w:val="00455E7D"/>
    <w:rsid w:val="004629B3"/>
    <w:rsid w:val="0046376E"/>
    <w:rsid w:val="004637F1"/>
    <w:rsid w:val="00463EB0"/>
    <w:rsid w:val="0046690F"/>
    <w:rsid w:val="00472FEC"/>
    <w:rsid w:val="00474DD5"/>
    <w:rsid w:val="00475E3F"/>
    <w:rsid w:val="00475F84"/>
    <w:rsid w:val="0048113B"/>
    <w:rsid w:val="004852E1"/>
    <w:rsid w:val="00487732"/>
    <w:rsid w:val="00490A03"/>
    <w:rsid w:val="00493327"/>
    <w:rsid w:val="00493715"/>
    <w:rsid w:val="00494DBE"/>
    <w:rsid w:val="00495CE6"/>
    <w:rsid w:val="004A323C"/>
    <w:rsid w:val="004A5179"/>
    <w:rsid w:val="004A69F5"/>
    <w:rsid w:val="004A6A46"/>
    <w:rsid w:val="004A6A8C"/>
    <w:rsid w:val="004B0727"/>
    <w:rsid w:val="004B3E14"/>
    <w:rsid w:val="004B54E8"/>
    <w:rsid w:val="004B5B71"/>
    <w:rsid w:val="004C4FEB"/>
    <w:rsid w:val="004C537A"/>
    <w:rsid w:val="004C6B79"/>
    <w:rsid w:val="004D051A"/>
    <w:rsid w:val="004D059B"/>
    <w:rsid w:val="004D4CB6"/>
    <w:rsid w:val="004D4CEE"/>
    <w:rsid w:val="004D6D2A"/>
    <w:rsid w:val="004E3341"/>
    <w:rsid w:val="004F10C1"/>
    <w:rsid w:val="004F5AB4"/>
    <w:rsid w:val="00502E62"/>
    <w:rsid w:val="00503A2B"/>
    <w:rsid w:val="00504452"/>
    <w:rsid w:val="00506B8A"/>
    <w:rsid w:val="005070E9"/>
    <w:rsid w:val="00507470"/>
    <w:rsid w:val="005130C5"/>
    <w:rsid w:val="005160D9"/>
    <w:rsid w:val="0051641D"/>
    <w:rsid w:val="00521921"/>
    <w:rsid w:val="0052212B"/>
    <w:rsid w:val="0052517E"/>
    <w:rsid w:val="00531B98"/>
    <w:rsid w:val="00534B46"/>
    <w:rsid w:val="00540358"/>
    <w:rsid w:val="00540D47"/>
    <w:rsid w:val="005427D4"/>
    <w:rsid w:val="00547640"/>
    <w:rsid w:val="00550864"/>
    <w:rsid w:val="00550E56"/>
    <w:rsid w:val="00554012"/>
    <w:rsid w:val="0055542A"/>
    <w:rsid w:val="0055571E"/>
    <w:rsid w:val="00556503"/>
    <w:rsid w:val="00556F67"/>
    <w:rsid w:val="00557F2C"/>
    <w:rsid w:val="00560834"/>
    <w:rsid w:val="00562830"/>
    <w:rsid w:val="00564A0E"/>
    <w:rsid w:val="00565557"/>
    <w:rsid w:val="00572056"/>
    <w:rsid w:val="00572A99"/>
    <w:rsid w:val="00573F14"/>
    <w:rsid w:val="00580FCA"/>
    <w:rsid w:val="00582A7A"/>
    <w:rsid w:val="005833F0"/>
    <w:rsid w:val="00586CAF"/>
    <w:rsid w:val="005873E9"/>
    <w:rsid w:val="00591180"/>
    <w:rsid w:val="00595834"/>
    <w:rsid w:val="0059722C"/>
    <w:rsid w:val="005974C4"/>
    <w:rsid w:val="00597D07"/>
    <w:rsid w:val="005A3846"/>
    <w:rsid w:val="005A5313"/>
    <w:rsid w:val="005B0DE8"/>
    <w:rsid w:val="005B1F0C"/>
    <w:rsid w:val="005B6A58"/>
    <w:rsid w:val="005C2F4F"/>
    <w:rsid w:val="005C6E34"/>
    <w:rsid w:val="005C7112"/>
    <w:rsid w:val="005D0407"/>
    <w:rsid w:val="005D0561"/>
    <w:rsid w:val="005D0AD9"/>
    <w:rsid w:val="005D22F6"/>
    <w:rsid w:val="005E0C30"/>
    <w:rsid w:val="005E18F4"/>
    <w:rsid w:val="005E2778"/>
    <w:rsid w:val="005E3779"/>
    <w:rsid w:val="005E69D9"/>
    <w:rsid w:val="005F27F4"/>
    <w:rsid w:val="005F3239"/>
    <w:rsid w:val="005F6567"/>
    <w:rsid w:val="005F6CD4"/>
    <w:rsid w:val="00600641"/>
    <w:rsid w:val="006036BF"/>
    <w:rsid w:val="00607256"/>
    <w:rsid w:val="0061321A"/>
    <w:rsid w:val="006144B1"/>
    <w:rsid w:val="00623A22"/>
    <w:rsid w:val="006335F1"/>
    <w:rsid w:val="006345B6"/>
    <w:rsid w:val="00635712"/>
    <w:rsid w:val="00636686"/>
    <w:rsid w:val="006371D8"/>
    <w:rsid w:val="00640D27"/>
    <w:rsid w:val="00643D8A"/>
    <w:rsid w:val="006446C4"/>
    <w:rsid w:val="006513EB"/>
    <w:rsid w:val="00652229"/>
    <w:rsid w:val="00652793"/>
    <w:rsid w:val="00653244"/>
    <w:rsid w:val="006626CA"/>
    <w:rsid w:val="00663487"/>
    <w:rsid w:val="00664388"/>
    <w:rsid w:val="00666111"/>
    <w:rsid w:val="006716F0"/>
    <w:rsid w:val="00671D51"/>
    <w:rsid w:val="00672382"/>
    <w:rsid w:val="006736A8"/>
    <w:rsid w:val="00675605"/>
    <w:rsid w:val="0067613F"/>
    <w:rsid w:val="00680211"/>
    <w:rsid w:val="00681FD7"/>
    <w:rsid w:val="00682643"/>
    <w:rsid w:val="00682EB9"/>
    <w:rsid w:val="0068441A"/>
    <w:rsid w:val="00686387"/>
    <w:rsid w:val="00690B19"/>
    <w:rsid w:val="006944F0"/>
    <w:rsid w:val="006952C4"/>
    <w:rsid w:val="006A0A3C"/>
    <w:rsid w:val="006A79F0"/>
    <w:rsid w:val="006B2FB2"/>
    <w:rsid w:val="006B47EE"/>
    <w:rsid w:val="006B499F"/>
    <w:rsid w:val="006C14EA"/>
    <w:rsid w:val="006C1A90"/>
    <w:rsid w:val="006D0A77"/>
    <w:rsid w:val="006D4996"/>
    <w:rsid w:val="006D54AB"/>
    <w:rsid w:val="006E3006"/>
    <w:rsid w:val="006E4123"/>
    <w:rsid w:val="006E5032"/>
    <w:rsid w:val="006E5BDA"/>
    <w:rsid w:val="006F0FC7"/>
    <w:rsid w:val="006F1446"/>
    <w:rsid w:val="006F1753"/>
    <w:rsid w:val="006F23F3"/>
    <w:rsid w:val="006F39A9"/>
    <w:rsid w:val="006F3B80"/>
    <w:rsid w:val="006F3F09"/>
    <w:rsid w:val="006F670F"/>
    <w:rsid w:val="00700C80"/>
    <w:rsid w:val="00703272"/>
    <w:rsid w:val="0070469C"/>
    <w:rsid w:val="00705595"/>
    <w:rsid w:val="0070572E"/>
    <w:rsid w:val="0070733C"/>
    <w:rsid w:val="00710C5D"/>
    <w:rsid w:val="007115DB"/>
    <w:rsid w:val="0071348C"/>
    <w:rsid w:val="00717273"/>
    <w:rsid w:val="00720FD4"/>
    <w:rsid w:val="00722392"/>
    <w:rsid w:val="00724AF2"/>
    <w:rsid w:val="00726849"/>
    <w:rsid w:val="00727229"/>
    <w:rsid w:val="007304BB"/>
    <w:rsid w:val="0073096C"/>
    <w:rsid w:val="00735ED4"/>
    <w:rsid w:val="00742398"/>
    <w:rsid w:val="007427CB"/>
    <w:rsid w:val="007443A6"/>
    <w:rsid w:val="007507B5"/>
    <w:rsid w:val="0075091D"/>
    <w:rsid w:val="00750CC4"/>
    <w:rsid w:val="00753A24"/>
    <w:rsid w:val="007568A5"/>
    <w:rsid w:val="00761152"/>
    <w:rsid w:val="00761F81"/>
    <w:rsid w:val="00763878"/>
    <w:rsid w:val="00772188"/>
    <w:rsid w:val="00777F9A"/>
    <w:rsid w:val="007813D0"/>
    <w:rsid w:val="00781A7C"/>
    <w:rsid w:val="00781B08"/>
    <w:rsid w:val="00785993"/>
    <w:rsid w:val="007866E2"/>
    <w:rsid w:val="00786BA3"/>
    <w:rsid w:val="0079202F"/>
    <w:rsid w:val="007921C7"/>
    <w:rsid w:val="00795AF2"/>
    <w:rsid w:val="007A110F"/>
    <w:rsid w:val="007A1827"/>
    <w:rsid w:val="007A2AAD"/>
    <w:rsid w:val="007A341F"/>
    <w:rsid w:val="007A4432"/>
    <w:rsid w:val="007A784E"/>
    <w:rsid w:val="007B499C"/>
    <w:rsid w:val="007B4D4B"/>
    <w:rsid w:val="007D08B2"/>
    <w:rsid w:val="007D104A"/>
    <w:rsid w:val="007D1078"/>
    <w:rsid w:val="007D2A02"/>
    <w:rsid w:val="007D565D"/>
    <w:rsid w:val="007E0411"/>
    <w:rsid w:val="007E067C"/>
    <w:rsid w:val="007E62A0"/>
    <w:rsid w:val="007E6EA1"/>
    <w:rsid w:val="007F0F63"/>
    <w:rsid w:val="007F106B"/>
    <w:rsid w:val="007F2B1E"/>
    <w:rsid w:val="007F4C34"/>
    <w:rsid w:val="007F543F"/>
    <w:rsid w:val="007F62B4"/>
    <w:rsid w:val="007F68FF"/>
    <w:rsid w:val="007F73D6"/>
    <w:rsid w:val="00801517"/>
    <w:rsid w:val="00801893"/>
    <w:rsid w:val="00802F6F"/>
    <w:rsid w:val="00810D53"/>
    <w:rsid w:val="0081499A"/>
    <w:rsid w:val="00817AE8"/>
    <w:rsid w:val="00817DE8"/>
    <w:rsid w:val="008200C2"/>
    <w:rsid w:val="008229F5"/>
    <w:rsid w:val="0082699A"/>
    <w:rsid w:val="00833CEB"/>
    <w:rsid w:val="008372D2"/>
    <w:rsid w:val="008377BC"/>
    <w:rsid w:val="00841364"/>
    <w:rsid w:val="00844C17"/>
    <w:rsid w:val="00846FA6"/>
    <w:rsid w:val="00847726"/>
    <w:rsid w:val="00852511"/>
    <w:rsid w:val="00854348"/>
    <w:rsid w:val="00856952"/>
    <w:rsid w:val="00857601"/>
    <w:rsid w:val="00860171"/>
    <w:rsid w:val="00860FC6"/>
    <w:rsid w:val="008614F1"/>
    <w:rsid w:val="008639B3"/>
    <w:rsid w:val="00863C1A"/>
    <w:rsid w:val="0086645B"/>
    <w:rsid w:val="008668BD"/>
    <w:rsid w:val="00867B24"/>
    <w:rsid w:val="0087142D"/>
    <w:rsid w:val="008717E5"/>
    <w:rsid w:val="00871D29"/>
    <w:rsid w:val="00873956"/>
    <w:rsid w:val="00874DB1"/>
    <w:rsid w:val="00875F0D"/>
    <w:rsid w:val="00880E72"/>
    <w:rsid w:val="008815CA"/>
    <w:rsid w:val="008825EE"/>
    <w:rsid w:val="0088508D"/>
    <w:rsid w:val="008858D8"/>
    <w:rsid w:val="0088596E"/>
    <w:rsid w:val="00886A37"/>
    <w:rsid w:val="00887AA7"/>
    <w:rsid w:val="00890E2C"/>
    <w:rsid w:val="0089622A"/>
    <w:rsid w:val="00897343"/>
    <w:rsid w:val="0089796A"/>
    <w:rsid w:val="008A2375"/>
    <w:rsid w:val="008A575A"/>
    <w:rsid w:val="008B0241"/>
    <w:rsid w:val="008B2569"/>
    <w:rsid w:val="008B25D2"/>
    <w:rsid w:val="008B4ABC"/>
    <w:rsid w:val="008B6179"/>
    <w:rsid w:val="008C0724"/>
    <w:rsid w:val="008C30F2"/>
    <w:rsid w:val="008D33C2"/>
    <w:rsid w:val="008D52CF"/>
    <w:rsid w:val="008D7656"/>
    <w:rsid w:val="008D76C5"/>
    <w:rsid w:val="008E0267"/>
    <w:rsid w:val="008E0AFA"/>
    <w:rsid w:val="008E6164"/>
    <w:rsid w:val="008E75D3"/>
    <w:rsid w:val="008F125E"/>
    <w:rsid w:val="008F2071"/>
    <w:rsid w:val="008F4D2F"/>
    <w:rsid w:val="0090597F"/>
    <w:rsid w:val="00906292"/>
    <w:rsid w:val="009076AF"/>
    <w:rsid w:val="00907B47"/>
    <w:rsid w:val="009106CB"/>
    <w:rsid w:val="00917098"/>
    <w:rsid w:val="00917162"/>
    <w:rsid w:val="009251CC"/>
    <w:rsid w:val="0092714E"/>
    <w:rsid w:val="00932019"/>
    <w:rsid w:val="009324EC"/>
    <w:rsid w:val="009330C3"/>
    <w:rsid w:val="00937690"/>
    <w:rsid w:val="009418DA"/>
    <w:rsid w:val="00942002"/>
    <w:rsid w:val="00943B29"/>
    <w:rsid w:val="00943D68"/>
    <w:rsid w:val="00945FE3"/>
    <w:rsid w:val="0094606F"/>
    <w:rsid w:val="00947885"/>
    <w:rsid w:val="00947EDA"/>
    <w:rsid w:val="00952168"/>
    <w:rsid w:val="009527FE"/>
    <w:rsid w:val="00960117"/>
    <w:rsid w:val="00966391"/>
    <w:rsid w:val="009739A0"/>
    <w:rsid w:val="00974F84"/>
    <w:rsid w:val="009767C7"/>
    <w:rsid w:val="009827BF"/>
    <w:rsid w:val="0098579A"/>
    <w:rsid w:val="00991363"/>
    <w:rsid w:val="0099195A"/>
    <w:rsid w:val="00992A11"/>
    <w:rsid w:val="00993C66"/>
    <w:rsid w:val="009942F4"/>
    <w:rsid w:val="00994681"/>
    <w:rsid w:val="0099486A"/>
    <w:rsid w:val="009961AA"/>
    <w:rsid w:val="0099638C"/>
    <w:rsid w:val="00996442"/>
    <w:rsid w:val="009A0E26"/>
    <w:rsid w:val="009A16EC"/>
    <w:rsid w:val="009B10D0"/>
    <w:rsid w:val="009B1B57"/>
    <w:rsid w:val="009B29B7"/>
    <w:rsid w:val="009B3B37"/>
    <w:rsid w:val="009B5B9E"/>
    <w:rsid w:val="009B7D1F"/>
    <w:rsid w:val="009C088E"/>
    <w:rsid w:val="009C4D35"/>
    <w:rsid w:val="009C5EA1"/>
    <w:rsid w:val="009D1522"/>
    <w:rsid w:val="009D2259"/>
    <w:rsid w:val="009D7252"/>
    <w:rsid w:val="009E0FA8"/>
    <w:rsid w:val="009E5EB4"/>
    <w:rsid w:val="009F17AA"/>
    <w:rsid w:val="00A00B32"/>
    <w:rsid w:val="00A01F66"/>
    <w:rsid w:val="00A044D6"/>
    <w:rsid w:val="00A04ADB"/>
    <w:rsid w:val="00A118B9"/>
    <w:rsid w:val="00A11E0F"/>
    <w:rsid w:val="00A12E23"/>
    <w:rsid w:val="00A15CFA"/>
    <w:rsid w:val="00A178F5"/>
    <w:rsid w:val="00A17C3B"/>
    <w:rsid w:val="00A23264"/>
    <w:rsid w:val="00A26CB6"/>
    <w:rsid w:val="00A32F82"/>
    <w:rsid w:val="00A32F8B"/>
    <w:rsid w:val="00A33783"/>
    <w:rsid w:val="00A33AA2"/>
    <w:rsid w:val="00A348EF"/>
    <w:rsid w:val="00A3636F"/>
    <w:rsid w:val="00A3756F"/>
    <w:rsid w:val="00A42C94"/>
    <w:rsid w:val="00A42D6F"/>
    <w:rsid w:val="00A4361D"/>
    <w:rsid w:val="00A439A0"/>
    <w:rsid w:val="00A45A62"/>
    <w:rsid w:val="00A47370"/>
    <w:rsid w:val="00A54AC5"/>
    <w:rsid w:val="00A55DC3"/>
    <w:rsid w:val="00A56D41"/>
    <w:rsid w:val="00A570F8"/>
    <w:rsid w:val="00A57AE2"/>
    <w:rsid w:val="00A60BC9"/>
    <w:rsid w:val="00A61353"/>
    <w:rsid w:val="00A65CCA"/>
    <w:rsid w:val="00A66019"/>
    <w:rsid w:val="00A66DB1"/>
    <w:rsid w:val="00A67A92"/>
    <w:rsid w:val="00A765AE"/>
    <w:rsid w:val="00A7669D"/>
    <w:rsid w:val="00A80D04"/>
    <w:rsid w:val="00A855CB"/>
    <w:rsid w:val="00A87870"/>
    <w:rsid w:val="00A902C9"/>
    <w:rsid w:val="00A91A70"/>
    <w:rsid w:val="00A9795F"/>
    <w:rsid w:val="00A97D87"/>
    <w:rsid w:val="00AA1B85"/>
    <w:rsid w:val="00AA465E"/>
    <w:rsid w:val="00AA73EC"/>
    <w:rsid w:val="00AB07A9"/>
    <w:rsid w:val="00AB1CB6"/>
    <w:rsid w:val="00AB1D9A"/>
    <w:rsid w:val="00AB7D96"/>
    <w:rsid w:val="00AC10E8"/>
    <w:rsid w:val="00AC2D59"/>
    <w:rsid w:val="00AD1835"/>
    <w:rsid w:val="00AD4081"/>
    <w:rsid w:val="00AD41FE"/>
    <w:rsid w:val="00AD44D2"/>
    <w:rsid w:val="00AD44FE"/>
    <w:rsid w:val="00AD7392"/>
    <w:rsid w:val="00AE49F1"/>
    <w:rsid w:val="00AE4E41"/>
    <w:rsid w:val="00AE517C"/>
    <w:rsid w:val="00AE5705"/>
    <w:rsid w:val="00AE5C5D"/>
    <w:rsid w:val="00AE65B0"/>
    <w:rsid w:val="00AE7AC8"/>
    <w:rsid w:val="00AF04AB"/>
    <w:rsid w:val="00AF402D"/>
    <w:rsid w:val="00B00981"/>
    <w:rsid w:val="00B00E74"/>
    <w:rsid w:val="00B05CCA"/>
    <w:rsid w:val="00B05E80"/>
    <w:rsid w:val="00B07BEA"/>
    <w:rsid w:val="00B1046B"/>
    <w:rsid w:val="00B14271"/>
    <w:rsid w:val="00B14C02"/>
    <w:rsid w:val="00B16270"/>
    <w:rsid w:val="00B1753C"/>
    <w:rsid w:val="00B22446"/>
    <w:rsid w:val="00B22D78"/>
    <w:rsid w:val="00B23A53"/>
    <w:rsid w:val="00B23D6B"/>
    <w:rsid w:val="00B262F5"/>
    <w:rsid w:val="00B2685D"/>
    <w:rsid w:val="00B26BE9"/>
    <w:rsid w:val="00B27B02"/>
    <w:rsid w:val="00B30351"/>
    <w:rsid w:val="00B338DD"/>
    <w:rsid w:val="00B33C2A"/>
    <w:rsid w:val="00B34C84"/>
    <w:rsid w:val="00B35038"/>
    <w:rsid w:val="00B422EC"/>
    <w:rsid w:val="00B46B2E"/>
    <w:rsid w:val="00B506AE"/>
    <w:rsid w:val="00B60F7C"/>
    <w:rsid w:val="00B612D0"/>
    <w:rsid w:val="00B66D66"/>
    <w:rsid w:val="00B67703"/>
    <w:rsid w:val="00B67D4E"/>
    <w:rsid w:val="00B726D4"/>
    <w:rsid w:val="00B73E78"/>
    <w:rsid w:val="00B759F3"/>
    <w:rsid w:val="00B76017"/>
    <w:rsid w:val="00B768B3"/>
    <w:rsid w:val="00B8214F"/>
    <w:rsid w:val="00B829C9"/>
    <w:rsid w:val="00B83C0B"/>
    <w:rsid w:val="00B83F5F"/>
    <w:rsid w:val="00B86A4F"/>
    <w:rsid w:val="00B914EA"/>
    <w:rsid w:val="00B93035"/>
    <w:rsid w:val="00B9337E"/>
    <w:rsid w:val="00B935C2"/>
    <w:rsid w:val="00B93EF3"/>
    <w:rsid w:val="00B9516B"/>
    <w:rsid w:val="00B9535A"/>
    <w:rsid w:val="00B958E8"/>
    <w:rsid w:val="00B97E4A"/>
    <w:rsid w:val="00BA09B2"/>
    <w:rsid w:val="00BA0EB7"/>
    <w:rsid w:val="00BA511C"/>
    <w:rsid w:val="00BA593A"/>
    <w:rsid w:val="00BA5B46"/>
    <w:rsid w:val="00BB2D39"/>
    <w:rsid w:val="00BB5D0B"/>
    <w:rsid w:val="00BB5E00"/>
    <w:rsid w:val="00BC093E"/>
    <w:rsid w:val="00BC0995"/>
    <w:rsid w:val="00BC4A02"/>
    <w:rsid w:val="00BC63D7"/>
    <w:rsid w:val="00BC6A09"/>
    <w:rsid w:val="00BD2CE4"/>
    <w:rsid w:val="00BE075C"/>
    <w:rsid w:val="00BE09EC"/>
    <w:rsid w:val="00BE1570"/>
    <w:rsid w:val="00BE2667"/>
    <w:rsid w:val="00BE3FBB"/>
    <w:rsid w:val="00BE4DA6"/>
    <w:rsid w:val="00BE75F4"/>
    <w:rsid w:val="00BE793A"/>
    <w:rsid w:val="00BF070E"/>
    <w:rsid w:val="00BF2B82"/>
    <w:rsid w:val="00BF349B"/>
    <w:rsid w:val="00BF432A"/>
    <w:rsid w:val="00BF68ED"/>
    <w:rsid w:val="00BF6E82"/>
    <w:rsid w:val="00C00DAA"/>
    <w:rsid w:val="00C060C7"/>
    <w:rsid w:val="00C15EF0"/>
    <w:rsid w:val="00C16016"/>
    <w:rsid w:val="00C17FE7"/>
    <w:rsid w:val="00C2242A"/>
    <w:rsid w:val="00C24C17"/>
    <w:rsid w:val="00C266C7"/>
    <w:rsid w:val="00C33F9E"/>
    <w:rsid w:val="00C35308"/>
    <w:rsid w:val="00C35951"/>
    <w:rsid w:val="00C35DC1"/>
    <w:rsid w:val="00C3758F"/>
    <w:rsid w:val="00C37D7C"/>
    <w:rsid w:val="00C40B88"/>
    <w:rsid w:val="00C419F2"/>
    <w:rsid w:val="00C42C93"/>
    <w:rsid w:val="00C45908"/>
    <w:rsid w:val="00C45C98"/>
    <w:rsid w:val="00C46117"/>
    <w:rsid w:val="00C47D87"/>
    <w:rsid w:val="00C51901"/>
    <w:rsid w:val="00C5376E"/>
    <w:rsid w:val="00C57AF9"/>
    <w:rsid w:val="00C57D96"/>
    <w:rsid w:val="00C60C90"/>
    <w:rsid w:val="00C61767"/>
    <w:rsid w:val="00C71917"/>
    <w:rsid w:val="00C73886"/>
    <w:rsid w:val="00C808A6"/>
    <w:rsid w:val="00C818E4"/>
    <w:rsid w:val="00C81B9A"/>
    <w:rsid w:val="00C90562"/>
    <w:rsid w:val="00C92A3D"/>
    <w:rsid w:val="00C93D97"/>
    <w:rsid w:val="00C964DE"/>
    <w:rsid w:val="00C96A7C"/>
    <w:rsid w:val="00C97091"/>
    <w:rsid w:val="00C97260"/>
    <w:rsid w:val="00CA2001"/>
    <w:rsid w:val="00CB3F4A"/>
    <w:rsid w:val="00CB43A2"/>
    <w:rsid w:val="00CB53AA"/>
    <w:rsid w:val="00CB5B6C"/>
    <w:rsid w:val="00CC052E"/>
    <w:rsid w:val="00CC28E3"/>
    <w:rsid w:val="00CD16BE"/>
    <w:rsid w:val="00CD1C8B"/>
    <w:rsid w:val="00CD4616"/>
    <w:rsid w:val="00CD47AC"/>
    <w:rsid w:val="00CD56AF"/>
    <w:rsid w:val="00CD7D47"/>
    <w:rsid w:val="00CE0EEF"/>
    <w:rsid w:val="00CE188E"/>
    <w:rsid w:val="00CE33D5"/>
    <w:rsid w:val="00CE46F3"/>
    <w:rsid w:val="00CE6030"/>
    <w:rsid w:val="00CE7B00"/>
    <w:rsid w:val="00CF3A75"/>
    <w:rsid w:val="00CF5D37"/>
    <w:rsid w:val="00CF6F33"/>
    <w:rsid w:val="00D02248"/>
    <w:rsid w:val="00D025EA"/>
    <w:rsid w:val="00D03F41"/>
    <w:rsid w:val="00D063B8"/>
    <w:rsid w:val="00D06825"/>
    <w:rsid w:val="00D10FFA"/>
    <w:rsid w:val="00D17E3B"/>
    <w:rsid w:val="00D22BB0"/>
    <w:rsid w:val="00D23C09"/>
    <w:rsid w:val="00D23CED"/>
    <w:rsid w:val="00D24BD2"/>
    <w:rsid w:val="00D2573D"/>
    <w:rsid w:val="00D260A2"/>
    <w:rsid w:val="00D30CC6"/>
    <w:rsid w:val="00D3108E"/>
    <w:rsid w:val="00D3260C"/>
    <w:rsid w:val="00D33EE2"/>
    <w:rsid w:val="00D34155"/>
    <w:rsid w:val="00D35790"/>
    <w:rsid w:val="00D3598F"/>
    <w:rsid w:val="00D40B70"/>
    <w:rsid w:val="00D41986"/>
    <w:rsid w:val="00D518B6"/>
    <w:rsid w:val="00D53914"/>
    <w:rsid w:val="00D53B9D"/>
    <w:rsid w:val="00D5653B"/>
    <w:rsid w:val="00D61350"/>
    <w:rsid w:val="00D62685"/>
    <w:rsid w:val="00D62EF1"/>
    <w:rsid w:val="00D6309D"/>
    <w:rsid w:val="00D644CA"/>
    <w:rsid w:val="00D66F09"/>
    <w:rsid w:val="00D66FC2"/>
    <w:rsid w:val="00D7590F"/>
    <w:rsid w:val="00D75B53"/>
    <w:rsid w:val="00D76C7E"/>
    <w:rsid w:val="00D771DE"/>
    <w:rsid w:val="00D776A9"/>
    <w:rsid w:val="00D7776D"/>
    <w:rsid w:val="00D80EA6"/>
    <w:rsid w:val="00D81901"/>
    <w:rsid w:val="00D86984"/>
    <w:rsid w:val="00D91744"/>
    <w:rsid w:val="00D9293F"/>
    <w:rsid w:val="00D93598"/>
    <w:rsid w:val="00DA1E18"/>
    <w:rsid w:val="00DA2009"/>
    <w:rsid w:val="00DA49A4"/>
    <w:rsid w:val="00DB05B1"/>
    <w:rsid w:val="00DB50EB"/>
    <w:rsid w:val="00DB5A79"/>
    <w:rsid w:val="00DC0E5C"/>
    <w:rsid w:val="00DC2465"/>
    <w:rsid w:val="00DD512E"/>
    <w:rsid w:val="00DD5253"/>
    <w:rsid w:val="00DE1177"/>
    <w:rsid w:val="00DE2CEA"/>
    <w:rsid w:val="00DE3E35"/>
    <w:rsid w:val="00DE6A3C"/>
    <w:rsid w:val="00DE7193"/>
    <w:rsid w:val="00DE74F4"/>
    <w:rsid w:val="00DE7F97"/>
    <w:rsid w:val="00DF1010"/>
    <w:rsid w:val="00DF28A0"/>
    <w:rsid w:val="00DF5AEA"/>
    <w:rsid w:val="00DF5D17"/>
    <w:rsid w:val="00DF63F6"/>
    <w:rsid w:val="00E036D9"/>
    <w:rsid w:val="00E03D1F"/>
    <w:rsid w:val="00E04D7A"/>
    <w:rsid w:val="00E07E54"/>
    <w:rsid w:val="00E107F6"/>
    <w:rsid w:val="00E11C76"/>
    <w:rsid w:val="00E13747"/>
    <w:rsid w:val="00E1480F"/>
    <w:rsid w:val="00E16706"/>
    <w:rsid w:val="00E22730"/>
    <w:rsid w:val="00E22A36"/>
    <w:rsid w:val="00E22AC6"/>
    <w:rsid w:val="00E242BE"/>
    <w:rsid w:val="00E25AEA"/>
    <w:rsid w:val="00E26809"/>
    <w:rsid w:val="00E26E1A"/>
    <w:rsid w:val="00E26FDB"/>
    <w:rsid w:val="00E309A4"/>
    <w:rsid w:val="00E30DEF"/>
    <w:rsid w:val="00E30ED2"/>
    <w:rsid w:val="00E31276"/>
    <w:rsid w:val="00E3271B"/>
    <w:rsid w:val="00E33B01"/>
    <w:rsid w:val="00E37676"/>
    <w:rsid w:val="00E37F70"/>
    <w:rsid w:val="00E425F0"/>
    <w:rsid w:val="00E446C1"/>
    <w:rsid w:val="00E5120A"/>
    <w:rsid w:val="00E536A8"/>
    <w:rsid w:val="00E560B9"/>
    <w:rsid w:val="00E5719B"/>
    <w:rsid w:val="00E601FD"/>
    <w:rsid w:val="00E63D07"/>
    <w:rsid w:val="00E72BD1"/>
    <w:rsid w:val="00E742A3"/>
    <w:rsid w:val="00E744E0"/>
    <w:rsid w:val="00E748FE"/>
    <w:rsid w:val="00E758B9"/>
    <w:rsid w:val="00E82CB8"/>
    <w:rsid w:val="00E82E65"/>
    <w:rsid w:val="00E82F10"/>
    <w:rsid w:val="00E838B2"/>
    <w:rsid w:val="00E85569"/>
    <w:rsid w:val="00E856AF"/>
    <w:rsid w:val="00E86B83"/>
    <w:rsid w:val="00E87C64"/>
    <w:rsid w:val="00E910B2"/>
    <w:rsid w:val="00E93A01"/>
    <w:rsid w:val="00E93FF8"/>
    <w:rsid w:val="00E94901"/>
    <w:rsid w:val="00E94A45"/>
    <w:rsid w:val="00E962F0"/>
    <w:rsid w:val="00E96EAF"/>
    <w:rsid w:val="00EA0DF8"/>
    <w:rsid w:val="00EA1752"/>
    <w:rsid w:val="00EA2273"/>
    <w:rsid w:val="00EA5A89"/>
    <w:rsid w:val="00EA5BDB"/>
    <w:rsid w:val="00EB46D9"/>
    <w:rsid w:val="00EB51AD"/>
    <w:rsid w:val="00EC142D"/>
    <w:rsid w:val="00EC1E16"/>
    <w:rsid w:val="00EC6753"/>
    <w:rsid w:val="00ED0024"/>
    <w:rsid w:val="00ED0F85"/>
    <w:rsid w:val="00ED2B5C"/>
    <w:rsid w:val="00ED3269"/>
    <w:rsid w:val="00ED43D1"/>
    <w:rsid w:val="00ED4B36"/>
    <w:rsid w:val="00EE1A8C"/>
    <w:rsid w:val="00EE3488"/>
    <w:rsid w:val="00EE4643"/>
    <w:rsid w:val="00EE68CA"/>
    <w:rsid w:val="00EE7BE7"/>
    <w:rsid w:val="00EF1330"/>
    <w:rsid w:val="00EF15FF"/>
    <w:rsid w:val="00EF7111"/>
    <w:rsid w:val="00EF7D1A"/>
    <w:rsid w:val="00F02611"/>
    <w:rsid w:val="00F0448F"/>
    <w:rsid w:val="00F05A7D"/>
    <w:rsid w:val="00F0716C"/>
    <w:rsid w:val="00F07FFE"/>
    <w:rsid w:val="00F12105"/>
    <w:rsid w:val="00F13068"/>
    <w:rsid w:val="00F15D6F"/>
    <w:rsid w:val="00F20B09"/>
    <w:rsid w:val="00F270E9"/>
    <w:rsid w:val="00F275C0"/>
    <w:rsid w:val="00F346B6"/>
    <w:rsid w:val="00F34AF9"/>
    <w:rsid w:val="00F34B14"/>
    <w:rsid w:val="00F36145"/>
    <w:rsid w:val="00F364F7"/>
    <w:rsid w:val="00F37BDD"/>
    <w:rsid w:val="00F41503"/>
    <w:rsid w:val="00F41E85"/>
    <w:rsid w:val="00F462A2"/>
    <w:rsid w:val="00F463F6"/>
    <w:rsid w:val="00F466C8"/>
    <w:rsid w:val="00F469A9"/>
    <w:rsid w:val="00F4705A"/>
    <w:rsid w:val="00F50B46"/>
    <w:rsid w:val="00F50D1F"/>
    <w:rsid w:val="00F527DE"/>
    <w:rsid w:val="00F56256"/>
    <w:rsid w:val="00F6203E"/>
    <w:rsid w:val="00F62CE4"/>
    <w:rsid w:val="00F635FC"/>
    <w:rsid w:val="00F63D03"/>
    <w:rsid w:val="00F65E2F"/>
    <w:rsid w:val="00F675BC"/>
    <w:rsid w:val="00F67DF1"/>
    <w:rsid w:val="00F829D9"/>
    <w:rsid w:val="00F8309B"/>
    <w:rsid w:val="00F8326B"/>
    <w:rsid w:val="00F833C9"/>
    <w:rsid w:val="00F90064"/>
    <w:rsid w:val="00F96AFD"/>
    <w:rsid w:val="00FA1398"/>
    <w:rsid w:val="00FA2E19"/>
    <w:rsid w:val="00FA3399"/>
    <w:rsid w:val="00FA697F"/>
    <w:rsid w:val="00FB2144"/>
    <w:rsid w:val="00FB5521"/>
    <w:rsid w:val="00FB610D"/>
    <w:rsid w:val="00FC4477"/>
    <w:rsid w:val="00FC46FB"/>
    <w:rsid w:val="00FD083E"/>
    <w:rsid w:val="00FD0A38"/>
    <w:rsid w:val="00FD2BD3"/>
    <w:rsid w:val="00FD4CCA"/>
    <w:rsid w:val="00FE2A9E"/>
    <w:rsid w:val="00FE4A2A"/>
    <w:rsid w:val="00FF1073"/>
    <w:rsid w:val="00FF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 w:type="paragraph" w:styleId="Paragrafoelenco">
    <w:name w:val="List Paragraph"/>
    <w:basedOn w:val="Normale"/>
    <w:uiPriority w:val="34"/>
    <w:qFormat/>
    <w:rsid w:val="00636686"/>
    <w:pPr>
      <w:ind w:left="720"/>
      <w:contextualSpacing/>
    </w:pPr>
    <w:rPr>
      <w:lang w:val="de-DE"/>
    </w:rPr>
  </w:style>
  <w:style w:type="paragraph" w:customStyle="1" w:styleId="He04Funote">
    <w:name w:val="_He_04_Fußnote"/>
    <w:next w:val="Normale"/>
    <w:qFormat/>
    <w:rsid w:val="00092D24"/>
    <w:pPr>
      <w:tabs>
        <w:tab w:val="left" w:pos="85"/>
      </w:tabs>
      <w:spacing w:line="256" w:lineRule="auto"/>
      <w:ind w:left="85" w:hanging="85"/>
    </w:pPr>
    <w:rPr>
      <w:sz w:val="15"/>
      <w:szCs w:val="22"/>
      <w:lang w:val="de-DE"/>
    </w:rPr>
  </w:style>
  <w:style w:type="character" w:customStyle="1" w:styleId="normaltextrun">
    <w:name w:val="normaltextrun"/>
    <w:basedOn w:val="Carpredefinitoparagrafo"/>
    <w:rsid w:val="00475E3F"/>
  </w:style>
  <w:style w:type="character" w:customStyle="1" w:styleId="eop">
    <w:name w:val="eop"/>
    <w:basedOn w:val="Carpredefinitoparagrafo"/>
    <w:rsid w:val="00475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com/press-and-media/press-releases-and-kits/2023-03-07-henkel-delivers-significant-sales-increase-in-2022-poised-for-further-growth-in-fiscal-2023-18071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8" ma:contentTypeDescription="Create a new document." ma:contentTypeScope="" ma:versionID="fc0c0ee10bc4c81cbbbd0bd302b40af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e8971829535f1ee2b679c8a54fcfa8ac"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3.xml><?xml version="1.0" encoding="utf-8"?>
<ds:datastoreItem xmlns:ds="http://schemas.openxmlformats.org/officeDocument/2006/customXml" ds:itemID="{1EFC3F28-8EC2-4210-BE42-E1EFFBE7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1405</Words>
  <Characters>8339</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207</cp:revision>
  <cp:lastPrinted>2016-11-17T04:11:00Z</cp:lastPrinted>
  <dcterms:created xsi:type="dcterms:W3CDTF">2023-02-15T11:08:00Z</dcterms:created>
  <dcterms:modified xsi:type="dcterms:W3CDTF">2023-03-07T09:28:00Z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