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1E8" w14:textId="2FC8153E" w:rsidR="00B422EC" w:rsidRPr="008540E8" w:rsidRDefault="00295715" w:rsidP="0021752F">
      <w:pPr>
        <w:pStyle w:val="MonthDayYear"/>
        <w:rPr>
          <w:iCs/>
        </w:rPr>
      </w:pPr>
      <w:r w:rsidRPr="008540E8">
        <w:tab/>
      </w:r>
      <w:r w:rsidRPr="008540E8">
        <w:tab/>
      </w:r>
      <w:r w:rsidRPr="008540E8">
        <w:tab/>
      </w:r>
      <w:r w:rsidRPr="008540E8">
        <w:tab/>
      </w:r>
      <w:r w:rsidRPr="008540E8">
        <w:tab/>
      </w:r>
      <w:r w:rsidRPr="008540E8">
        <w:tab/>
        <w:t>7 mars 2023</w:t>
      </w:r>
    </w:p>
    <w:p w14:paraId="4E04281E" w14:textId="2D727008" w:rsidR="00295715" w:rsidRPr="008540E8" w:rsidRDefault="00EC0509" w:rsidP="00295715">
      <w:pPr>
        <w:spacing w:before="560" w:after="240"/>
        <w:rPr>
          <w:rFonts w:asciiTheme="majorHAnsi" w:hAnsiTheme="majorHAnsi" w:cstheme="majorHAnsi"/>
          <w:szCs w:val="22"/>
        </w:rPr>
      </w:pPr>
      <w:bookmarkStart w:id="0" w:name="_Hlk67574464"/>
      <w:r w:rsidRPr="008540E8">
        <w:rPr>
          <w:rFonts w:asciiTheme="majorHAnsi" w:hAnsiTheme="majorHAnsi"/>
        </w:rPr>
        <w:t>Une performance commerciale solide dans un environnement de marché difficile</w:t>
      </w:r>
    </w:p>
    <w:p w14:paraId="42DB22B7" w14:textId="38D2467F" w:rsidR="00A8294B" w:rsidRPr="008540E8" w:rsidRDefault="00295715" w:rsidP="00295715">
      <w:pPr>
        <w:jc w:val="left"/>
        <w:rPr>
          <w:rFonts w:asciiTheme="majorHAnsi" w:hAnsiTheme="majorHAnsi" w:cstheme="majorHAnsi"/>
          <w:b/>
          <w:bCs/>
          <w:sz w:val="32"/>
        </w:rPr>
      </w:pPr>
      <w:r w:rsidRPr="008540E8">
        <w:rPr>
          <w:rFonts w:asciiTheme="majorHAnsi" w:hAnsiTheme="majorHAnsi"/>
          <w:b/>
          <w:sz w:val="32"/>
        </w:rPr>
        <w:t>Henkel enregistre une augmentation significative de ses ventes en 2022 et s’apprête à poursuivre sa croissance au cours de l’exercice 2023</w:t>
      </w:r>
    </w:p>
    <w:p w14:paraId="2FCFD322" w14:textId="77777777" w:rsidR="00295715" w:rsidRPr="008540E8" w:rsidRDefault="00295715" w:rsidP="00295715">
      <w:pPr>
        <w:jc w:val="left"/>
      </w:pPr>
    </w:p>
    <w:p w14:paraId="52E38DBA" w14:textId="53183D49" w:rsidR="00295715" w:rsidRPr="008540E8" w:rsidRDefault="004863FF" w:rsidP="00295715">
      <w:pPr>
        <w:numPr>
          <w:ilvl w:val="0"/>
          <w:numId w:val="7"/>
        </w:numPr>
        <w:spacing w:after="80"/>
        <w:ind w:left="357" w:right="-108" w:hanging="357"/>
        <w:jc w:val="left"/>
        <w:rPr>
          <w:rFonts w:asciiTheme="majorHAnsi" w:hAnsiTheme="majorHAnsi" w:cstheme="majorHAnsi"/>
          <w:b/>
          <w:szCs w:val="22"/>
        </w:rPr>
      </w:pPr>
      <w:bookmarkStart w:id="1" w:name="_Hlk43712519"/>
      <w:r w:rsidRPr="008540E8">
        <w:rPr>
          <w:rFonts w:asciiTheme="majorHAnsi" w:hAnsiTheme="majorHAnsi"/>
          <w:b/>
        </w:rPr>
        <w:t>Résultats de l’année 202</w:t>
      </w:r>
      <w:bookmarkStart w:id="2" w:name="_Hlk64363173"/>
      <w:r w:rsidRPr="008540E8">
        <w:rPr>
          <w:rFonts w:asciiTheme="majorHAnsi" w:hAnsiTheme="majorHAnsi"/>
          <w:b/>
        </w:rPr>
        <w:t>2 :</w:t>
      </w:r>
    </w:p>
    <w:bookmarkEnd w:id="2"/>
    <w:p w14:paraId="7EC0F242" w14:textId="1A409D34" w:rsidR="00295715" w:rsidRPr="008540E8" w:rsidRDefault="004747D8" w:rsidP="00295715">
      <w:pPr>
        <w:numPr>
          <w:ilvl w:val="1"/>
          <w:numId w:val="7"/>
        </w:numPr>
        <w:spacing w:after="80" w:line="266" w:lineRule="auto"/>
        <w:ind w:left="709" w:right="-108" w:hanging="283"/>
        <w:jc w:val="left"/>
        <w:rPr>
          <w:rFonts w:asciiTheme="majorHAnsi" w:hAnsiTheme="majorHAnsi" w:cstheme="majorHAnsi"/>
          <w:b/>
          <w:szCs w:val="22"/>
        </w:rPr>
      </w:pPr>
      <w:r>
        <w:rPr>
          <w:rFonts w:asciiTheme="majorHAnsi" w:hAnsiTheme="majorHAnsi"/>
          <w:b/>
        </w:rPr>
        <w:t>Chiffre d’affaires</w:t>
      </w:r>
      <w:r w:rsidR="00F16FB6" w:rsidRPr="008540E8">
        <w:rPr>
          <w:rFonts w:asciiTheme="majorHAnsi" w:hAnsiTheme="majorHAnsi"/>
          <w:b/>
        </w:rPr>
        <w:t xml:space="preserve"> du Groupe : 22,4 milliards d’euros,</w:t>
      </w:r>
      <w:bookmarkEnd w:id="1"/>
      <w:r w:rsidR="00F16FB6" w:rsidRPr="008540E8">
        <w:rPr>
          <w:rFonts w:asciiTheme="majorHAnsi" w:hAnsiTheme="majorHAnsi"/>
          <w:b/>
        </w:rPr>
        <w:t xml:space="preserve"> croissance organique* de 8,8 %</w:t>
      </w:r>
    </w:p>
    <w:p w14:paraId="4B1AB813" w14:textId="7A9D8A28" w:rsidR="00295715" w:rsidRPr="008540E8" w:rsidRDefault="00A35469" w:rsidP="00295715">
      <w:pPr>
        <w:numPr>
          <w:ilvl w:val="1"/>
          <w:numId w:val="7"/>
        </w:numPr>
        <w:spacing w:after="80" w:line="266" w:lineRule="auto"/>
        <w:ind w:left="709" w:right="-108" w:hanging="283"/>
        <w:jc w:val="left"/>
        <w:rPr>
          <w:rFonts w:asciiTheme="majorHAnsi" w:hAnsiTheme="majorHAnsi" w:cstheme="majorHAnsi"/>
          <w:b/>
          <w:szCs w:val="22"/>
        </w:rPr>
      </w:pPr>
      <w:r>
        <w:rPr>
          <w:rFonts w:asciiTheme="majorHAnsi" w:hAnsiTheme="majorHAnsi"/>
          <w:b/>
        </w:rPr>
        <w:t>Résultat</w:t>
      </w:r>
      <w:r w:rsidR="00F16FB6" w:rsidRPr="008540E8">
        <w:rPr>
          <w:rFonts w:asciiTheme="majorHAnsi" w:hAnsiTheme="majorHAnsi"/>
          <w:b/>
        </w:rPr>
        <w:t xml:space="preserve"> d’exploitation (EBIT)** :  2,3 milliards d’euros, -13,7 %</w:t>
      </w:r>
    </w:p>
    <w:p w14:paraId="5B149288" w14:textId="57189361" w:rsidR="00295715" w:rsidRPr="008540E8" w:rsidRDefault="00F16FB6" w:rsidP="00295715">
      <w:pPr>
        <w:numPr>
          <w:ilvl w:val="1"/>
          <w:numId w:val="7"/>
        </w:numPr>
        <w:spacing w:after="80" w:line="266" w:lineRule="auto"/>
        <w:ind w:left="709" w:right="-108" w:hanging="283"/>
        <w:jc w:val="left"/>
        <w:rPr>
          <w:rFonts w:asciiTheme="majorHAnsi" w:hAnsiTheme="majorHAnsi" w:cstheme="majorHAnsi"/>
          <w:b/>
          <w:szCs w:val="22"/>
        </w:rPr>
      </w:pPr>
      <w:r w:rsidRPr="008540E8">
        <w:rPr>
          <w:rFonts w:asciiTheme="majorHAnsi" w:hAnsiTheme="majorHAnsi"/>
          <w:b/>
        </w:rPr>
        <w:t>Marge EBIT** : 10,4 %, -3,0 pp</w:t>
      </w:r>
    </w:p>
    <w:p w14:paraId="3F465F3F" w14:textId="476D2846" w:rsidR="00295715" w:rsidRPr="008540E8" w:rsidRDefault="00F16FB6" w:rsidP="00B41F9C">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sidRPr="008540E8">
        <w:rPr>
          <w:rFonts w:asciiTheme="majorHAnsi" w:hAnsiTheme="majorHAnsi"/>
          <w:b/>
        </w:rPr>
        <w:t>Bénéfice par action privilégiée (</w:t>
      </w:r>
      <w:r w:rsidR="004747D8">
        <w:rPr>
          <w:rFonts w:asciiTheme="majorHAnsi" w:hAnsiTheme="majorHAnsi"/>
          <w:b/>
        </w:rPr>
        <w:t>BPA</w:t>
      </w:r>
      <w:r w:rsidRPr="008540E8">
        <w:rPr>
          <w:rFonts w:asciiTheme="majorHAnsi" w:hAnsiTheme="majorHAnsi"/>
          <w:b/>
        </w:rPr>
        <w:t xml:space="preserve">)** : 3,90 euros, -17,8 % à taux de change constant </w:t>
      </w:r>
    </w:p>
    <w:p w14:paraId="1C769CD9" w14:textId="77777777" w:rsidR="00F16FB6" w:rsidRPr="008540E8" w:rsidRDefault="00F16FB6" w:rsidP="00F16FB6">
      <w:pPr>
        <w:pStyle w:val="ListParagraph"/>
        <w:numPr>
          <w:ilvl w:val="0"/>
          <w:numId w:val="7"/>
        </w:numPr>
        <w:spacing w:after="80"/>
        <w:ind w:left="357" w:right="-108" w:hanging="357"/>
        <w:contextualSpacing w:val="0"/>
        <w:jc w:val="left"/>
        <w:rPr>
          <w:rFonts w:asciiTheme="majorHAnsi" w:hAnsiTheme="majorHAnsi" w:cstheme="majorHAnsi"/>
          <w:b/>
          <w:szCs w:val="22"/>
        </w:rPr>
      </w:pPr>
      <w:r w:rsidRPr="008540E8">
        <w:rPr>
          <w:rFonts w:asciiTheme="majorHAnsi" w:hAnsiTheme="majorHAnsi"/>
          <w:b/>
        </w:rPr>
        <w:t>Proposition de dividende au niveau de l’année précédente : 1,85 euros par action privilégiée</w:t>
      </w:r>
    </w:p>
    <w:p w14:paraId="4392F666" w14:textId="0690A860" w:rsidR="00295715" w:rsidRPr="008540E8" w:rsidRDefault="00F16FB6" w:rsidP="00295715">
      <w:pPr>
        <w:numPr>
          <w:ilvl w:val="0"/>
          <w:numId w:val="7"/>
        </w:numPr>
        <w:spacing w:after="80"/>
        <w:ind w:left="357" w:right="-108" w:hanging="357"/>
        <w:jc w:val="left"/>
        <w:rPr>
          <w:rFonts w:asciiTheme="majorHAnsi" w:hAnsiTheme="majorHAnsi" w:cstheme="majorHAnsi"/>
          <w:b/>
          <w:szCs w:val="22"/>
        </w:rPr>
      </w:pPr>
      <w:r w:rsidRPr="008540E8">
        <w:rPr>
          <w:rFonts w:asciiTheme="majorHAnsi" w:hAnsiTheme="majorHAnsi"/>
          <w:b/>
        </w:rPr>
        <w:t>Bons progrès dans la mise en œuvre du p</w:t>
      </w:r>
      <w:r w:rsidR="004747D8">
        <w:rPr>
          <w:rFonts w:asciiTheme="majorHAnsi" w:hAnsiTheme="majorHAnsi"/>
          <w:b/>
        </w:rPr>
        <w:t>lan</w:t>
      </w:r>
      <w:r w:rsidRPr="008540E8">
        <w:rPr>
          <w:rFonts w:asciiTheme="majorHAnsi" w:hAnsiTheme="majorHAnsi"/>
          <w:b/>
        </w:rPr>
        <w:t xml:space="preserve"> de croissance ciblée</w:t>
      </w:r>
    </w:p>
    <w:p w14:paraId="39F31D2C" w14:textId="725660C1" w:rsidR="00295715" w:rsidRPr="008540E8" w:rsidRDefault="00F16FB6" w:rsidP="00450243">
      <w:pPr>
        <w:numPr>
          <w:ilvl w:val="0"/>
          <w:numId w:val="7"/>
        </w:numPr>
        <w:spacing w:after="80"/>
        <w:ind w:left="357" w:right="-108" w:hanging="357"/>
        <w:jc w:val="left"/>
        <w:rPr>
          <w:rFonts w:asciiTheme="majorHAnsi" w:hAnsiTheme="majorHAnsi" w:cstheme="majorHAnsi"/>
          <w:b/>
          <w:szCs w:val="22"/>
        </w:rPr>
      </w:pPr>
      <w:r w:rsidRPr="008540E8">
        <w:rPr>
          <w:rFonts w:asciiTheme="majorHAnsi" w:hAnsiTheme="majorHAnsi"/>
          <w:b/>
        </w:rPr>
        <w:t xml:space="preserve">Nouvelle </w:t>
      </w:r>
      <w:r w:rsidR="00A35469">
        <w:rPr>
          <w:rFonts w:asciiTheme="majorHAnsi" w:hAnsiTheme="majorHAnsi"/>
          <w:b/>
        </w:rPr>
        <w:t>entité</w:t>
      </w:r>
      <w:r w:rsidR="004747D8">
        <w:rPr>
          <w:rFonts w:asciiTheme="majorHAnsi" w:hAnsiTheme="majorHAnsi"/>
          <w:b/>
        </w:rPr>
        <w:t xml:space="preserve"> </w:t>
      </w:r>
      <w:r w:rsidRPr="008540E8">
        <w:rPr>
          <w:rFonts w:asciiTheme="majorHAnsi" w:hAnsiTheme="majorHAnsi"/>
          <w:b/>
        </w:rPr>
        <w:t xml:space="preserve">Consumer Brands lancée </w:t>
      </w:r>
    </w:p>
    <w:p w14:paraId="3EB30504" w14:textId="1EED452E" w:rsidR="00295715" w:rsidRPr="008540E8" w:rsidRDefault="00835CAB" w:rsidP="00295715">
      <w:pPr>
        <w:numPr>
          <w:ilvl w:val="0"/>
          <w:numId w:val="7"/>
        </w:numPr>
        <w:spacing w:after="80"/>
        <w:ind w:left="357" w:right="-108" w:hanging="357"/>
        <w:jc w:val="left"/>
        <w:rPr>
          <w:rFonts w:asciiTheme="majorHAnsi" w:hAnsiTheme="majorHAnsi" w:cstheme="majorHAnsi"/>
          <w:b/>
          <w:szCs w:val="22"/>
        </w:rPr>
      </w:pPr>
      <w:r w:rsidRPr="008540E8">
        <w:rPr>
          <w:rFonts w:asciiTheme="majorHAnsi" w:hAnsiTheme="majorHAnsi"/>
          <w:b/>
        </w:rPr>
        <w:t>L</w:t>
      </w:r>
      <w:r w:rsidR="004747D8">
        <w:rPr>
          <w:rFonts w:asciiTheme="majorHAnsi" w:hAnsiTheme="majorHAnsi"/>
          <w:b/>
        </w:rPr>
        <w:t>a stratégie de</w:t>
      </w:r>
      <w:r w:rsidRPr="008540E8">
        <w:rPr>
          <w:rFonts w:asciiTheme="majorHAnsi" w:hAnsiTheme="majorHAnsi"/>
          <w:b/>
        </w:rPr>
        <w:t xml:space="preserve"> développement durable </w:t>
      </w:r>
      <w:r w:rsidR="00A35469">
        <w:rPr>
          <w:rFonts w:asciiTheme="majorHAnsi" w:hAnsiTheme="majorHAnsi"/>
          <w:b/>
        </w:rPr>
        <w:t xml:space="preserve">du groupe </w:t>
      </w:r>
      <w:r w:rsidRPr="008540E8">
        <w:rPr>
          <w:rFonts w:asciiTheme="majorHAnsi" w:hAnsiTheme="majorHAnsi"/>
          <w:b/>
        </w:rPr>
        <w:t>progresse dans les domaines clés</w:t>
      </w:r>
    </w:p>
    <w:p w14:paraId="74D430BC" w14:textId="3BDB9381" w:rsidR="00295715" w:rsidRPr="008540E8" w:rsidRDefault="00FD49E2" w:rsidP="00295715">
      <w:pPr>
        <w:numPr>
          <w:ilvl w:val="0"/>
          <w:numId w:val="7"/>
        </w:numPr>
        <w:spacing w:after="80"/>
        <w:ind w:left="357" w:right="-108" w:hanging="357"/>
        <w:jc w:val="left"/>
        <w:rPr>
          <w:rFonts w:asciiTheme="majorHAnsi" w:hAnsiTheme="majorHAnsi" w:cstheme="majorHAnsi"/>
          <w:b/>
          <w:szCs w:val="22"/>
        </w:rPr>
      </w:pPr>
      <w:r w:rsidRPr="008540E8">
        <w:rPr>
          <w:rFonts w:asciiTheme="majorHAnsi" w:hAnsiTheme="majorHAnsi"/>
          <w:b/>
        </w:rPr>
        <w:t xml:space="preserve">Perspectives pour l’exercice 2023 : poursuite de la croissance </w:t>
      </w:r>
    </w:p>
    <w:p w14:paraId="0B5E84AD" w14:textId="71B69DDE" w:rsidR="00295715" w:rsidRPr="008540E8" w:rsidRDefault="00295715" w:rsidP="00295715">
      <w:pPr>
        <w:numPr>
          <w:ilvl w:val="1"/>
          <w:numId w:val="7"/>
        </w:numPr>
        <w:spacing w:after="80" w:line="266" w:lineRule="auto"/>
        <w:ind w:left="1077" w:right="-108" w:hanging="357"/>
        <w:jc w:val="left"/>
        <w:rPr>
          <w:rFonts w:asciiTheme="majorHAnsi" w:hAnsiTheme="majorHAnsi" w:cstheme="majorHAnsi"/>
          <w:b/>
          <w:szCs w:val="22"/>
        </w:rPr>
      </w:pPr>
      <w:r w:rsidRPr="008540E8">
        <w:rPr>
          <w:rFonts w:asciiTheme="majorHAnsi" w:hAnsiTheme="majorHAnsi"/>
          <w:b/>
        </w:rPr>
        <w:t>Croissance organique des ventes : 1,0 à +</w:t>
      </w:r>
      <w:r w:rsidR="00A11621">
        <w:rPr>
          <w:rFonts w:asciiTheme="majorHAnsi" w:hAnsiTheme="majorHAnsi"/>
          <w:b/>
        </w:rPr>
        <w:t>3</w:t>
      </w:r>
      <w:r w:rsidRPr="008540E8">
        <w:rPr>
          <w:rFonts w:asciiTheme="majorHAnsi" w:hAnsiTheme="majorHAnsi"/>
          <w:b/>
        </w:rPr>
        <w:t>,0 %</w:t>
      </w:r>
    </w:p>
    <w:p w14:paraId="4414955F" w14:textId="4E1E49ED" w:rsidR="00295715" w:rsidRPr="008540E8" w:rsidRDefault="00295715" w:rsidP="00295715">
      <w:pPr>
        <w:numPr>
          <w:ilvl w:val="1"/>
          <w:numId w:val="7"/>
        </w:numPr>
        <w:spacing w:after="80" w:line="266" w:lineRule="auto"/>
        <w:ind w:left="1077" w:right="-108" w:hanging="357"/>
        <w:jc w:val="left"/>
        <w:rPr>
          <w:rFonts w:asciiTheme="majorHAnsi" w:hAnsiTheme="majorHAnsi" w:cstheme="majorHAnsi"/>
          <w:b/>
          <w:szCs w:val="22"/>
        </w:rPr>
      </w:pPr>
      <w:r w:rsidRPr="008540E8">
        <w:rPr>
          <w:rFonts w:asciiTheme="majorHAnsi" w:hAnsiTheme="majorHAnsi"/>
          <w:b/>
        </w:rPr>
        <w:t>Marge EBIT** : 10,0 à 12,0 %</w:t>
      </w:r>
    </w:p>
    <w:p w14:paraId="64B34403" w14:textId="59770A13" w:rsidR="00295715" w:rsidRPr="008540E8" w:rsidRDefault="00295715" w:rsidP="00D80FF7">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rPr>
      </w:pPr>
      <w:r w:rsidRPr="008540E8">
        <w:rPr>
          <w:rFonts w:asciiTheme="majorHAnsi" w:hAnsiTheme="majorHAnsi"/>
          <w:b/>
        </w:rPr>
        <w:t>Bénéfice par action préférentielle (</w:t>
      </w:r>
      <w:r w:rsidR="004747D8">
        <w:rPr>
          <w:rFonts w:asciiTheme="majorHAnsi" w:hAnsiTheme="majorHAnsi"/>
          <w:b/>
        </w:rPr>
        <w:t>BPA</w:t>
      </w:r>
      <w:r w:rsidRPr="008540E8">
        <w:rPr>
          <w:rFonts w:asciiTheme="majorHAnsi" w:hAnsiTheme="majorHAnsi"/>
          <w:b/>
        </w:rPr>
        <w:t>)** : entre -10,0 et +10,0 % (à taux de change constant)</w:t>
      </w:r>
    </w:p>
    <w:p w14:paraId="4C451383" w14:textId="77777777" w:rsidR="00295715" w:rsidRPr="008540E8" w:rsidRDefault="00295715" w:rsidP="00295715">
      <w:pPr>
        <w:rPr>
          <w:rFonts w:cs="Segoe UI"/>
          <w:szCs w:val="22"/>
        </w:rPr>
      </w:pPr>
    </w:p>
    <w:p w14:paraId="37944360" w14:textId="13FD115D" w:rsidR="004540FE" w:rsidRPr="008540E8" w:rsidRDefault="00295715" w:rsidP="004540FE">
      <w:pPr>
        <w:rPr>
          <w:rFonts w:cs="Segoe UI"/>
          <w:b/>
          <w:bCs/>
          <w:szCs w:val="22"/>
        </w:rPr>
      </w:pPr>
      <w:r w:rsidRPr="008540E8">
        <w:rPr>
          <w:b/>
          <w:noProof/>
          <w:lang w:val="en-US"/>
        </w:rPr>
        <mc:AlternateContent>
          <mc:Choice Requires="wps">
            <w:drawing>
              <wp:anchor distT="45720" distB="45720" distL="114300" distR="114300" simplePos="0" relativeHeight="251659264" behindDoc="0" locked="0" layoutInCell="1" allowOverlap="1" wp14:anchorId="557A92A0" wp14:editId="0D03C960">
                <wp:simplePos x="0" y="0"/>
                <wp:positionH relativeFrom="margin">
                  <wp:posOffset>-66675</wp:posOffset>
                </wp:positionH>
                <wp:positionV relativeFrom="paragraph">
                  <wp:posOffset>1431925</wp:posOffset>
                </wp:positionV>
                <wp:extent cx="5413973" cy="497941"/>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973" cy="4979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8AD53" w14:textId="50A7414E" w:rsidR="00295715" w:rsidRPr="00754D7A" w:rsidRDefault="00295715" w:rsidP="00754D7A">
                            <w:pPr>
                              <w:pStyle w:val="He04Funote"/>
                              <w:spacing w:after="60"/>
                              <w:rPr>
                                <w:sz w:val="12"/>
                                <w:szCs w:val="12"/>
                              </w:rPr>
                            </w:pPr>
                            <w:r>
                              <w:rPr>
                                <w:sz w:val="12"/>
                              </w:rPr>
                              <w:t>* Hors développement organique des ventes en Russie depuis le début du deuxième trimestre 2022 dans le contexte de l’abandon annoncé des activités dans ce pays et hors effets de l’application de la norme IAS 29 pour la Turquie.</w:t>
                            </w:r>
                          </w:p>
                          <w:p w14:paraId="544DF6DC" w14:textId="2EFAF289" w:rsidR="00295715" w:rsidRPr="00B41F9C" w:rsidRDefault="00295715" w:rsidP="00295715">
                            <w:pPr>
                              <w:autoSpaceDE w:val="0"/>
                              <w:autoSpaceDN w:val="0"/>
                              <w:adjustRightInd w:val="0"/>
                              <w:spacing w:after="60" w:line="240" w:lineRule="auto"/>
                              <w:rPr>
                                <w:sz w:val="12"/>
                                <w:szCs w:val="12"/>
                              </w:rPr>
                            </w:pPr>
                            <w:r>
                              <w:rPr>
                                <w:sz w:val="12"/>
                              </w:rPr>
                              <w:t>** Ajusté pour tenir compte des dépenses et des revenus ponctuels, ainsi que des frais de restructuration.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7A92A0" id="_x0000_t202" coordsize="21600,21600" o:spt="202" path="m,l,21600r21600,l21600,xe">
                <v:stroke joinstyle="miter"/>
                <v:path gradientshapeok="t" o:connecttype="rect"/>
              </v:shapetype>
              <v:shape id="Textfeld 10" o:spid="_x0000_s1026" type="#_x0000_t202" style="position:absolute;left:0;text-align:left;margin-left:-5.25pt;margin-top:112.75pt;width:426.3pt;height:3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" stroked="f">
                <v:textbox>
                  <w:txbxContent>
                    <w:p w14:paraId="17E8AD53" w14:textId="50A7414E" w:rsidR="00295715" w:rsidRPr="00754D7A" w:rsidRDefault="00295715" w:rsidP="00754D7A">
                      <w:pPr>
                        <w:pStyle w:val="He04Funote"/>
                        <w:spacing w:after="60"/>
                        <w:rPr>
                          <w:sz w:val="12"/>
                          <w:szCs w:val="12"/>
                        </w:rPr>
                      </w:pPr>
                      <w:r>
                        <w:rPr>
                          <w:sz w:val="12"/>
                        </w:rPr>
                        <w:t>* Hors développement organique des ventes en Russie depuis le début du deuxième trimestre 2022 dans le contexte de l’abandon annoncé des activités dans ce pays et hors effets de l’application de la norme IAS 29 pour la Turquie.</w:t>
                      </w:r>
                    </w:p>
                    <w:p w14:paraId="544DF6DC" w14:textId="2EFAF289" w:rsidR="00295715" w:rsidRPr="00B41F9C" w:rsidRDefault="00295715" w:rsidP="00295715">
                      <w:pPr>
                        <w:autoSpaceDE w:val="0"/>
                        <w:autoSpaceDN w:val="0"/>
                        <w:adjustRightInd w:val="0"/>
                        <w:spacing w:after="60" w:line="240" w:lineRule="auto"/>
                        <w:rPr>
                          <w:sz w:val="12"/>
                          <w:szCs w:val="12"/>
                        </w:rPr>
                      </w:pPr>
                      <w:r>
                        <w:rPr>
                          <w:sz w:val="12"/>
                        </w:rPr>
                        <w:t>** Ajusté pour tenir compte des dépenses et des revenus ponctuels, ainsi que des frais de restructuration.</w:t>
                      </w:r>
                    </w:p>
                  </w:txbxContent>
                </v:textbox>
                <w10:wrap anchorx="margin"/>
              </v:shape>
            </w:pict>
          </mc:Fallback>
        </mc:AlternateContent>
      </w:r>
      <w:r w:rsidRPr="008540E8">
        <w:rPr>
          <w:b/>
        </w:rPr>
        <w:t>Düsseldorf - « En 2022, nous avons réalisé une croissance significative de</w:t>
      </w:r>
      <w:r w:rsidR="00A35469">
        <w:rPr>
          <w:b/>
        </w:rPr>
        <w:t xml:space="preserve"> nos </w:t>
      </w:r>
      <w:r w:rsidRPr="008540E8">
        <w:rPr>
          <w:b/>
        </w:rPr>
        <w:t xml:space="preserve">ventes et une performance solide des bénéfices au cours d’une année très difficile - et nous avons mis en œuvre d’importantes mesures stratégiques. Nous avons réussi à compenser </w:t>
      </w:r>
      <w:r w:rsidRPr="008540E8">
        <w:rPr>
          <w:b/>
        </w:rPr>
        <w:lastRenderedPageBreak/>
        <w:t>partiellement l’augmentation spectaculaire des coûts des matières premières et de la logistique par des prix plus élevés et des améliorations continues de l’efficacité. Cela se reflète dans notre chiffre d’affaires, qui a atteint un nouveau</w:t>
      </w:r>
      <w:r w:rsidR="00A35469">
        <w:rPr>
          <w:b/>
        </w:rPr>
        <w:t xml:space="preserve"> record</w:t>
      </w:r>
      <w:r w:rsidRPr="008540E8">
        <w:rPr>
          <w:b/>
        </w:rPr>
        <w:t xml:space="preserve"> </w:t>
      </w:r>
      <w:r w:rsidR="00230569">
        <w:rPr>
          <w:b/>
        </w:rPr>
        <w:t xml:space="preserve">à </w:t>
      </w:r>
      <w:r w:rsidRPr="008540E8">
        <w:rPr>
          <w:b/>
        </w:rPr>
        <w:t>environ 22,4 milliards d’euros, et dans notre</w:t>
      </w:r>
      <w:r w:rsidR="00A35469">
        <w:rPr>
          <w:b/>
        </w:rPr>
        <w:t xml:space="preserve"> résultat</w:t>
      </w:r>
      <w:r w:rsidRPr="008540E8">
        <w:rPr>
          <w:b/>
        </w:rPr>
        <w:t xml:space="preserve"> d’exploitation de 2,3 milliards d’euros. Sur cette base, nous proposons à nos actionnaires un dividende stable au niveau de l’année précédente. </w:t>
      </w:r>
      <w:bookmarkEnd w:id="0"/>
      <w:r w:rsidRPr="008540E8">
        <w:rPr>
          <w:b/>
        </w:rPr>
        <w:t xml:space="preserve">En fusionnant nos activités grand public au sein de </w:t>
      </w:r>
      <w:r w:rsidR="004747D8">
        <w:rPr>
          <w:b/>
        </w:rPr>
        <w:t xml:space="preserve">l’entité </w:t>
      </w:r>
      <w:r w:rsidRPr="008540E8">
        <w:rPr>
          <w:b/>
        </w:rPr>
        <w:t xml:space="preserve">Consumer Brands, nous avons également lancé avec succès l’une des plus grandes transformations </w:t>
      </w:r>
      <w:r w:rsidR="00A35469">
        <w:rPr>
          <w:b/>
        </w:rPr>
        <w:t xml:space="preserve">qu’ait connu </w:t>
      </w:r>
      <w:r w:rsidRPr="008540E8">
        <w:rPr>
          <w:b/>
        </w:rPr>
        <w:t xml:space="preserve">notre entreprise au cours des dernières décennies », a déclaré </w:t>
      </w:r>
      <w:r w:rsidR="004747D8">
        <w:rPr>
          <w:b/>
        </w:rPr>
        <w:t>le Président du Comité de direction</w:t>
      </w:r>
      <w:r w:rsidRPr="008540E8">
        <w:rPr>
          <w:b/>
        </w:rPr>
        <w:t xml:space="preserve"> de Henkel, Carsten </w:t>
      </w:r>
      <w:proofErr w:type="spellStart"/>
      <w:r w:rsidRPr="008540E8">
        <w:rPr>
          <w:b/>
        </w:rPr>
        <w:t>Knobel</w:t>
      </w:r>
      <w:proofErr w:type="spellEnd"/>
      <w:r w:rsidRPr="008540E8">
        <w:rPr>
          <w:b/>
        </w:rPr>
        <w:t xml:space="preserve">. </w:t>
      </w:r>
    </w:p>
    <w:p w14:paraId="14361456" w14:textId="77777777" w:rsidR="004540FE" w:rsidRPr="008540E8" w:rsidRDefault="004540FE" w:rsidP="004540FE">
      <w:pPr>
        <w:rPr>
          <w:rFonts w:cs="Segoe UI"/>
          <w:b/>
          <w:bCs/>
          <w:szCs w:val="22"/>
        </w:rPr>
      </w:pPr>
    </w:p>
    <w:p w14:paraId="7CC1ACA7" w14:textId="71209C09" w:rsidR="004540FE" w:rsidRPr="008540E8" w:rsidRDefault="004540FE" w:rsidP="004540FE">
      <w:pPr>
        <w:rPr>
          <w:rFonts w:cs="Segoe UI"/>
          <w:b/>
          <w:bCs/>
          <w:szCs w:val="22"/>
        </w:rPr>
      </w:pPr>
      <w:r w:rsidRPr="008540E8">
        <w:rPr>
          <w:b/>
        </w:rPr>
        <w:t xml:space="preserve">« Grâce </w:t>
      </w:r>
      <w:r w:rsidR="004747D8">
        <w:rPr>
          <w:b/>
        </w:rPr>
        <w:t xml:space="preserve">au solide </w:t>
      </w:r>
      <w:r w:rsidRPr="008540E8">
        <w:rPr>
          <w:b/>
        </w:rPr>
        <w:t xml:space="preserve">engagement de notre équipe mondiale, à notre culture forte et à une stratégie de croissance claire et à long terme, nous avons globalement bien maîtrisé les défis de l’exercice passé. Je pense que nous sommes bien équipés pour diriger Henkel en ces temps difficiles et pour atteindre nos objectifs ambitieux. Nous sommes prêts à poursuivre notre croissance au cours de l’exercice actuel, </w:t>
      </w:r>
      <w:r w:rsidR="00E808B5">
        <w:rPr>
          <w:b/>
        </w:rPr>
        <w:t>avec</w:t>
      </w:r>
      <w:r w:rsidRPr="008540E8">
        <w:rPr>
          <w:b/>
        </w:rPr>
        <w:t xml:space="preserve"> nos deux </w:t>
      </w:r>
      <w:r w:rsidR="00A35469">
        <w:rPr>
          <w:b/>
        </w:rPr>
        <w:t xml:space="preserve">activités </w:t>
      </w:r>
      <w:proofErr w:type="spellStart"/>
      <w:r w:rsidRPr="008540E8">
        <w:rPr>
          <w:b/>
        </w:rPr>
        <w:t>Adhesive</w:t>
      </w:r>
      <w:proofErr w:type="spellEnd"/>
      <w:r w:rsidRPr="008540E8">
        <w:rPr>
          <w:b/>
        </w:rPr>
        <w:t xml:space="preserve"> Technologies et Consumer Brands. »</w:t>
      </w:r>
    </w:p>
    <w:p w14:paraId="2D0971B7" w14:textId="77777777" w:rsidR="004540FE" w:rsidRPr="008540E8" w:rsidRDefault="004540FE" w:rsidP="004540FE">
      <w:pPr>
        <w:rPr>
          <w:rFonts w:cs="Segoe UI"/>
          <w:b/>
          <w:bCs/>
          <w:szCs w:val="22"/>
        </w:rPr>
      </w:pPr>
    </w:p>
    <w:p w14:paraId="5612E7CE" w14:textId="7EBC50D4" w:rsidR="00295715" w:rsidRPr="008540E8" w:rsidRDefault="00E75CFE" w:rsidP="00295715">
      <w:pPr>
        <w:rPr>
          <w:rFonts w:cs="Segoe UI"/>
          <w:b/>
          <w:bCs/>
          <w:szCs w:val="22"/>
        </w:rPr>
      </w:pPr>
      <w:r w:rsidRPr="008540E8">
        <w:rPr>
          <w:b/>
        </w:rPr>
        <w:t xml:space="preserve">Chiffre d’affaires et bénéfice du groupe pour l’exercice 2022 </w:t>
      </w:r>
    </w:p>
    <w:p w14:paraId="2E53A2B4" w14:textId="77777777" w:rsidR="00295715" w:rsidRPr="008540E8" w:rsidRDefault="00295715" w:rsidP="00295715">
      <w:pPr>
        <w:rPr>
          <w:rFonts w:cs="Segoe UI"/>
          <w:szCs w:val="22"/>
        </w:rPr>
      </w:pPr>
    </w:p>
    <w:p w14:paraId="5AD167EF" w14:textId="0B0EFE95" w:rsidR="00E75CFE" w:rsidRPr="008540E8" w:rsidRDefault="00E75CFE" w:rsidP="00E75CFE">
      <w:pPr>
        <w:rPr>
          <w:rFonts w:cs="Segoe UI"/>
          <w:szCs w:val="22"/>
        </w:rPr>
      </w:pPr>
      <w:r w:rsidRPr="008540E8">
        <w:t xml:space="preserve">Les </w:t>
      </w:r>
      <w:r w:rsidRPr="008540E8">
        <w:rPr>
          <w:b/>
        </w:rPr>
        <w:t>ventes du</w:t>
      </w:r>
      <w:r w:rsidRPr="008540E8">
        <w:t xml:space="preserve"> Groupe Henkel ont atteint 22 397 millions d’euros au cours de l’exercice 2022. Cela correspond à une croissance nominale de 11,6 % et à une </w:t>
      </w:r>
      <w:r w:rsidRPr="008540E8">
        <w:rPr>
          <w:b/>
        </w:rPr>
        <w:t>croissance organique</w:t>
      </w:r>
      <w:r w:rsidRPr="008540E8">
        <w:t xml:space="preserve"> </w:t>
      </w:r>
      <w:r w:rsidRPr="008540E8">
        <w:rPr>
          <w:b/>
        </w:rPr>
        <w:t>des ventes</w:t>
      </w:r>
      <w:r w:rsidRPr="008540E8">
        <w:t xml:space="preserve"> significative de 8,8 %, grâce à des augmentations de prix dans toutes</w:t>
      </w:r>
      <w:r w:rsidR="004747D8">
        <w:t xml:space="preserve"> les activités</w:t>
      </w:r>
      <w:r w:rsidRPr="008540E8">
        <w:t xml:space="preserve">. L’impact des acquisitions et des cessions sur les ventes a été légèrement négatif, à -1,1 %. Les effets de change ont eu un impact positif </w:t>
      </w:r>
      <w:r w:rsidR="00A35469">
        <w:t xml:space="preserve">sur les ventes de </w:t>
      </w:r>
      <w:r w:rsidRPr="008540E8">
        <w:t>3,9 %</w:t>
      </w:r>
      <w:r w:rsidR="00A35469">
        <w:t>.</w:t>
      </w:r>
    </w:p>
    <w:p w14:paraId="5AD66820" w14:textId="77777777" w:rsidR="00295715" w:rsidRPr="008540E8" w:rsidRDefault="00295715" w:rsidP="00295715">
      <w:pPr>
        <w:rPr>
          <w:rFonts w:cs="Segoe UI"/>
          <w:szCs w:val="22"/>
        </w:rPr>
      </w:pPr>
    </w:p>
    <w:p w14:paraId="3421F83C" w14:textId="5949509A" w:rsidR="00B15676" w:rsidRPr="008540E8" w:rsidRDefault="00B15676" w:rsidP="00B15676">
      <w:pPr>
        <w:rPr>
          <w:rFonts w:cs="Segoe UI"/>
          <w:szCs w:val="22"/>
        </w:rPr>
      </w:pPr>
      <w:r w:rsidRPr="008540E8">
        <w:t>L’</w:t>
      </w:r>
      <w:r w:rsidR="004747D8">
        <w:t>activité</w:t>
      </w:r>
      <w:r w:rsidRPr="008540E8">
        <w:t xml:space="preserve"> </w:t>
      </w:r>
      <w:proofErr w:type="spellStart"/>
      <w:r w:rsidRPr="008540E8">
        <w:rPr>
          <w:b/>
        </w:rPr>
        <w:t>Adhesive</w:t>
      </w:r>
      <w:proofErr w:type="spellEnd"/>
      <w:r w:rsidRPr="008540E8">
        <w:rPr>
          <w:b/>
        </w:rPr>
        <w:t xml:space="preserve"> Technologies</w:t>
      </w:r>
      <w:r w:rsidRPr="008540E8">
        <w:t xml:space="preserve"> a enregistré une croissance organique des ventes à deux chiffres de 13,2 %, à laquelle tous les secteurs d’activité ont contribué. L’évolution organique des ventes dans le secteur </w:t>
      </w:r>
      <w:r w:rsidR="00A35469">
        <w:t xml:space="preserve">d’activité </w:t>
      </w:r>
      <w:r w:rsidRPr="008540E8">
        <w:rPr>
          <w:b/>
        </w:rPr>
        <w:t>Beauty Care</w:t>
      </w:r>
      <w:r w:rsidRPr="008540E8">
        <w:t xml:space="preserve"> a été légèrement négative, à -0,5 %. Alors que la reprise en cours dans le secteur </w:t>
      </w:r>
      <w:proofErr w:type="spellStart"/>
      <w:r w:rsidRPr="008540E8">
        <w:t>Hair</w:t>
      </w:r>
      <w:proofErr w:type="spellEnd"/>
      <w:r w:rsidRPr="008540E8">
        <w:t xml:space="preserve"> Professional a eu un effet positif, les activités grand public de </w:t>
      </w:r>
      <w:r w:rsidR="004747D8">
        <w:t xml:space="preserve">l’activité </w:t>
      </w:r>
      <w:r w:rsidRPr="008540E8">
        <w:t xml:space="preserve">Beauty Care ont été </w:t>
      </w:r>
      <w:r w:rsidR="00E808B5">
        <w:t>impactées</w:t>
      </w:r>
      <w:r w:rsidRPr="008540E8">
        <w:t xml:space="preserve"> par la mise en œuvre des mesures de portefeuille annoncées. L’</w:t>
      </w:r>
      <w:r w:rsidR="004747D8">
        <w:t>activité</w:t>
      </w:r>
      <w:r w:rsidRPr="008540E8">
        <w:t xml:space="preserve"> </w:t>
      </w:r>
      <w:r w:rsidRPr="008540E8">
        <w:rPr>
          <w:b/>
        </w:rPr>
        <w:t>Laundry &amp; Home Care</w:t>
      </w:r>
      <w:r w:rsidRPr="008540E8">
        <w:t xml:space="preserve"> a généré une importante croissance organique des ventes de 6,3 %, principalement grâce au secteur d’activité Laundry</w:t>
      </w:r>
      <w:r w:rsidR="004747D8">
        <w:t>.</w:t>
      </w:r>
    </w:p>
    <w:p w14:paraId="394C62B3" w14:textId="77777777" w:rsidR="00B15676" w:rsidRPr="008540E8" w:rsidRDefault="00B15676" w:rsidP="00B15676">
      <w:pPr>
        <w:rPr>
          <w:rFonts w:cs="Segoe UI"/>
          <w:szCs w:val="22"/>
        </w:rPr>
      </w:pPr>
    </w:p>
    <w:p w14:paraId="7C495E43" w14:textId="67BA5880" w:rsidR="004A1D94" w:rsidRPr="008540E8" w:rsidRDefault="004A1D94" w:rsidP="004A1D94">
      <w:pPr>
        <w:rPr>
          <w:rFonts w:cs="Segoe UI"/>
          <w:szCs w:val="22"/>
        </w:rPr>
      </w:pPr>
      <w:r w:rsidRPr="008540E8">
        <w:t xml:space="preserve">Les </w:t>
      </w:r>
      <w:r w:rsidRPr="008540E8">
        <w:rPr>
          <w:b/>
        </w:rPr>
        <w:t>marchés émergents</w:t>
      </w:r>
      <w:r w:rsidRPr="008540E8">
        <w:t xml:space="preserve"> ont enregistré une croissance organique des ventes à deux chiffres de 13,3 %. Les activités sur les </w:t>
      </w:r>
      <w:r w:rsidRPr="008540E8">
        <w:rPr>
          <w:b/>
        </w:rPr>
        <w:t>marchés matures</w:t>
      </w:r>
      <w:r w:rsidRPr="008540E8">
        <w:t xml:space="preserve"> ont enregistré une forte performance organique des ventes de 5,2 %.</w:t>
      </w:r>
    </w:p>
    <w:p w14:paraId="5A227D67" w14:textId="77777777" w:rsidR="004A1D94" w:rsidRPr="008540E8" w:rsidRDefault="004A1D94" w:rsidP="00295715">
      <w:pPr>
        <w:rPr>
          <w:rFonts w:cs="Segoe UI"/>
          <w:szCs w:val="22"/>
        </w:rPr>
      </w:pPr>
    </w:p>
    <w:p w14:paraId="4CF76A8C" w14:textId="4B3EC872" w:rsidR="00937A98" w:rsidRPr="008540E8" w:rsidRDefault="00937A98" w:rsidP="00295715">
      <w:pPr>
        <w:rPr>
          <w:rFonts w:cs="Segoe UI"/>
          <w:szCs w:val="22"/>
        </w:rPr>
      </w:pPr>
      <w:r w:rsidRPr="008540E8">
        <w:lastRenderedPageBreak/>
        <w:t>Le</w:t>
      </w:r>
      <w:r w:rsidR="00A35469">
        <w:t xml:space="preserve"> </w:t>
      </w:r>
      <w:r w:rsidR="00A35469" w:rsidRPr="00A35469">
        <w:rPr>
          <w:b/>
          <w:bCs/>
        </w:rPr>
        <w:t>résultat</w:t>
      </w:r>
      <w:r w:rsidRPr="00A35469">
        <w:rPr>
          <w:b/>
          <w:bCs/>
        </w:rPr>
        <w:t xml:space="preserve"> d’exploitation</w:t>
      </w:r>
      <w:r w:rsidRPr="008540E8">
        <w:rPr>
          <w:b/>
        </w:rPr>
        <w:t xml:space="preserve"> ajusté (EBIT ajusté)</w:t>
      </w:r>
      <w:r w:rsidRPr="008540E8">
        <w:t xml:space="preserve"> a atteint 2 319 millions d’euros, contre 2 686 millions d’euros pour l’exercice 2021 (-13,7 %). L’impact de la hausse significative des prix des matières premières et de la logistique a pesé sur la rentabilité du Groupe et n’a pu être entièrement compensé par l’évolution positive des prix et la poursuite des mesures visant à réduire les coûts et à accroître l’efficacité de la production et de la chaîne d’approvisionnement.</w:t>
      </w:r>
    </w:p>
    <w:p w14:paraId="27FB1362" w14:textId="77777777" w:rsidR="00937A98" w:rsidRPr="008540E8" w:rsidRDefault="00937A98" w:rsidP="00295715">
      <w:pPr>
        <w:rPr>
          <w:rFonts w:cs="Segoe UI"/>
          <w:szCs w:val="22"/>
        </w:rPr>
      </w:pPr>
    </w:p>
    <w:p w14:paraId="006B44B6" w14:textId="5D983687" w:rsidR="00295715" w:rsidRPr="008540E8" w:rsidRDefault="00937A98" w:rsidP="00295715">
      <w:pPr>
        <w:rPr>
          <w:rFonts w:cs="Segoe UI"/>
          <w:szCs w:val="22"/>
        </w:rPr>
      </w:pPr>
      <w:r w:rsidRPr="008540E8">
        <w:t>Avec 10,4 %, le</w:t>
      </w:r>
      <w:r w:rsidRPr="008540E8">
        <w:rPr>
          <w:b/>
        </w:rPr>
        <w:t xml:space="preserve"> rendement ajusté </w:t>
      </w:r>
      <w:r w:rsidR="009A5367">
        <w:rPr>
          <w:b/>
        </w:rPr>
        <w:t>sur les</w:t>
      </w:r>
      <w:r w:rsidRPr="008540E8">
        <w:rPr>
          <w:b/>
        </w:rPr>
        <w:t xml:space="preserve"> ventes (marge EBIT </w:t>
      </w:r>
      <w:r w:rsidR="003D7725" w:rsidRPr="008540E8">
        <w:rPr>
          <w:b/>
        </w:rPr>
        <w:t>ajustée</w:t>
      </w:r>
      <w:r w:rsidR="003D7725" w:rsidRPr="008540E8">
        <w:t>) a</w:t>
      </w:r>
      <w:r w:rsidR="00DF2F5B">
        <w:t xml:space="preserve"> été </w:t>
      </w:r>
      <w:r w:rsidRPr="008540E8">
        <w:t>inférieur au niveau de l’année précédente (2021 : 13,4 %).</w:t>
      </w:r>
    </w:p>
    <w:p w14:paraId="2E37A487" w14:textId="77777777" w:rsidR="00295715" w:rsidRPr="008540E8" w:rsidRDefault="00295715" w:rsidP="00295715">
      <w:pPr>
        <w:rPr>
          <w:rFonts w:cs="Segoe UI"/>
          <w:szCs w:val="22"/>
        </w:rPr>
      </w:pPr>
      <w:r w:rsidRPr="008540E8">
        <w:t xml:space="preserve"> </w:t>
      </w:r>
    </w:p>
    <w:p w14:paraId="33E4A411" w14:textId="766F0039" w:rsidR="002946E7" w:rsidRPr="008540E8" w:rsidRDefault="002946E7" w:rsidP="00295715">
      <w:pPr>
        <w:rPr>
          <w:rFonts w:cs="Segoe UI"/>
          <w:szCs w:val="22"/>
        </w:rPr>
      </w:pPr>
      <w:r w:rsidRPr="008540E8">
        <w:t xml:space="preserve">Le </w:t>
      </w:r>
      <w:r w:rsidRPr="008540E8">
        <w:rPr>
          <w:b/>
        </w:rPr>
        <w:t>bénéfice ajusté par action pr</w:t>
      </w:r>
      <w:r w:rsidR="009A5367">
        <w:rPr>
          <w:b/>
        </w:rPr>
        <w:t>éférentielle</w:t>
      </w:r>
      <w:r w:rsidRPr="008540E8">
        <w:t xml:space="preserve"> a diminué de -14,5 % pour atteindre 3,90 euros (année précédente : 4,56 euros). À taux de change constant, cela correspond à une évolution de -17,8 %.</w:t>
      </w:r>
    </w:p>
    <w:p w14:paraId="203CDECF" w14:textId="77777777" w:rsidR="002946E7" w:rsidRPr="008540E8" w:rsidRDefault="002946E7" w:rsidP="00295715">
      <w:pPr>
        <w:rPr>
          <w:rFonts w:cs="Segoe UI"/>
          <w:szCs w:val="22"/>
        </w:rPr>
      </w:pPr>
    </w:p>
    <w:p w14:paraId="114660A1" w14:textId="5FC7D034" w:rsidR="00B15676" w:rsidRPr="008540E8" w:rsidRDefault="00B15676" w:rsidP="00B15676">
      <w:pPr>
        <w:rPr>
          <w:rFonts w:cs="Segoe UI"/>
          <w:szCs w:val="22"/>
        </w:rPr>
      </w:pPr>
      <w:r w:rsidRPr="008540E8">
        <w:t xml:space="preserve">Le </w:t>
      </w:r>
      <w:r w:rsidRPr="008540E8">
        <w:rPr>
          <w:b/>
        </w:rPr>
        <w:t>fonds de roulement net</w:t>
      </w:r>
      <w:r w:rsidRPr="008540E8">
        <w:t xml:space="preserve"> en pourcentage des ventes a augmenté </w:t>
      </w:r>
      <w:r w:rsidR="009A5367">
        <w:t>de</w:t>
      </w:r>
      <w:r w:rsidRPr="008540E8">
        <w:t xml:space="preserve"> 4,5 %, soit 2,3 points de pourcentage de plus que l’année précédente. Cette augmentation du fonds de roulement net s’explique avant tout par la hausse sensible des prix des matériaux directs. </w:t>
      </w:r>
    </w:p>
    <w:p w14:paraId="7ED3E25B" w14:textId="77777777" w:rsidR="00295715" w:rsidRPr="008540E8" w:rsidRDefault="00295715" w:rsidP="00295715">
      <w:pPr>
        <w:rPr>
          <w:rFonts w:cs="Segoe UI"/>
          <w:szCs w:val="22"/>
        </w:rPr>
      </w:pPr>
    </w:p>
    <w:p w14:paraId="12CE462D" w14:textId="1E2C4588" w:rsidR="00677F8A" w:rsidRPr="008540E8" w:rsidRDefault="00B15676" w:rsidP="00B15676">
      <w:pPr>
        <w:rPr>
          <w:rFonts w:cs="Segoe UI"/>
          <w:szCs w:val="22"/>
        </w:rPr>
      </w:pPr>
      <w:r w:rsidRPr="008540E8">
        <w:t xml:space="preserve">Le </w:t>
      </w:r>
      <w:r w:rsidRPr="008540E8">
        <w:rPr>
          <w:b/>
        </w:rPr>
        <w:t>flux de trésorerie disponible</w:t>
      </w:r>
      <w:r w:rsidRPr="008540E8">
        <w:t xml:space="preserve"> a atteint 653 millions d’euros, soit une baisse significative par rapport à l’année précédente (2021 : 1 478 millions d’euros). Cela est dû à l’augmentation du fonds de roulement net et à la diminution des flux de trésorerie provenant des activités d’exploitation en raison de la baisse du </w:t>
      </w:r>
      <w:r w:rsidR="009A5367">
        <w:t>résultat</w:t>
      </w:r>
      <w:r w:rsidRPr="008540E8">
        <w:t xml:space="preserve"> d’exploitation.</w:t>
      </w:r>
    </w:p>
    <w:p w14:paraId="483B3E68" w14:textId="77777777" w:rsidR="00677F8A" w:rsidRPr="008540E8" w:rsidRDefault="00677F8A" w:rsidP="00B15676">
      <w:pPr>
        <w:rPr>
          <w:rFonts w:cs="Segoe UI"/>
          <w:szCs w:val="22"/>
        </w:rPr>
      </w:pPr>
    </w:p>
    <w:p w14:paraId="2ED88060" w14:textId="66A27528" w:rsidR="00295715" w:rsidRPr="008540E8" w:rsidRDefault="00677F8A" w:rsidP="00961C72">
      <w:pPr>
        <w:rPr>
          <w:rFonts w:cs="Segoe UI"/>
        </w:rPr>
      </w:pPr>
      <w:r w:rsidRPr="008540E8">
        <w:t xml:space="preserve">La </w:t>
      </w:r>
      <w:r w:rsidRPr="008540E8">
        <w:rPr>
          <w:b/>
        </w:rPr>
        <w:t>position financière nette</w:t>
      </w:r>
      <w:r w:rsidRPr="008540E8">
        <w:t xml:space="preserve"> était de -1 267 millions d’euros (31 décembre 2021 : -292 millions d’euros). Cela reflète également les dépenses liées au programme de rachat d’actions lancé en février 2022, ainsi que le paiement d</w:t>
      </w:r>
      <w:r w:rsidR="009A5367">
        <w:t>e</w:t>
      </w:r>
      <w:r w:rsidRPr="008540E8">
        <w:t xml:space="preserve"> dividende</w:t>
      </w:r>
      <w:r w:rsidR="009A5367">
        <w:t>s</w:t>
      </w:r>
      <w:r w:rsidRPr="008540E8">
        <w:t xml:space="preserve"> </w:t>
      </w:r>
      <w:r w:rsidR="009A5367">
        <w:t>effectués au</w:t>
      </w:r>
      <w:r w:rsidRPr="008540E8">
        <w:t xml:space="preserve"> deuxième trimestre.</w:t>
      </w:r>
    </w:p>
    <w:p w14:paraId="42C1A317" w14:textId="77777777" w:rsidR="00295715" w:rsidRPr="008540E8" w:rsidRDefault="00295715" w:rsidP="00295715">
      <w:pPr>
        <w:rPr>
          <w:rFonts w:cs="Segoe UI"/>
        </w:rPr>
      </w:pPr>
    </w:p>
    <w:p w14:paraId="5EB92BD5" w14:textId="01641782" w:rsidR="00295B5D" w:rsidRDefault="00783912" w:rsidP="00783912">
      <w:r w:rsidRPr="008540E8">
        <w:t xml:space="preserve">Le </w:t>
      </w:r>
      <w:r w:rsidR="004747D8">
        <w:t>comité de Direction</w:t>
      </w:r>
      <w:r w:rsidRPr="008540E8">
        <w:t xml:space="preserve">, le conseil de surveillance et le comité des actionnaires proposeront à l’assemblée générale annuelle du 24 avril 2023 un dividende stable par rapport à l’année précédente de 1,85 euro par action privilégiée et de 1,83 euro par action ordinaire. Cela équivaut à un ratio de distribution de 46,6 %, ce qui est supérieur à la fourchette cible de 30 à 40 % et reflète la charge inhabituelle sur les bénéfices causée notamment par la hausse considérable des prix des matières premières et des coûts logistiques. Ce versement est </w:t>
      </w:r>
      <w:r w:rsidR="009A5367">
        <w:t xml:space="preserve">rendu </w:t>
      </w:r>
      <w:r w:rsidRPr="008540E8">
        <w:t xml:space="preserve">possible grâce à la solide base financière et à la faible dette nette du Groupe Henkel. Ainsi, Henkel peut maintenir la continuité des dividendes pour ses actionnaires. </w:t>
      </w:r>
    </w:p>
    <w:p w14:paraId="77E67CE3" w14:textId="6052062D" w:rsidR="009A5367" w:rsidRDefault="009A5367" w:rsidP="00783912"/>
    <w:p w14:paraId="45C3DF83" w14:textId="77777777" w:rsidR="009A5367" w:rsidRPr="008540E8" w:rsidRDefault="009A5367" w:rsidP="00783912">
      <w:pPr>
        <w:rPr>
          <w:rFonts w:cs="Segoe UI"/>
        </w:rPr>
      </w:pPr>
    </w:p>
    <w:p w14:paraId="4B6A6AFA" w14:textId="77777777" w:rsidR="00295B5D" w:rsidRPr="002919CE" w:rsidRDefault="00295B5D" w:rsidP="00783912">
      <w:pPr>
        <w:rPr>
          <w:rFonts w:cs="Segoe UI"/>
        </w:rPr>
      </w:pPr>
    </w:p>
    <w:p w14:paraId="3646BDD4" w14:textId="30F68703" w:rsidR="00295715" w:rsidRPr="008540E8" w:rsidRDefault="00295B5D" w:rsidP="00295715">
      <w:pPr>
        <w:spacing w:after="120"/>
        <w:rPr>
          <w:rFonts w:cs="Segoe UI"/>
          <w:b/>
          <w:bCs/>
          <w:szCs w:val="22"/>
        </w:rPr>
      </w:pPr>
      <w:r w:rsidRPr="008540E8">
        <w:rPr>
          <w:b/>
        </w:rPr>
        <w:lastRenderedPageBreak/>
        <w:t xml:space="preserve">Performance des </w:t>
      </w:r>
      <w:r w:rsidR="004747D8">
        <w:rPr>
          <w:b/>
        </w:rPr>
        <w:t>activités</w:t>
      </w:r>
      <w:r w:rsidRPr="008540E8">
        <w:rPr>
          <w:b/>
        </w:rPr>
        <w:t xml:space="preserve"> au cours de l’exercice 2022</w:t>
      </w:r>
    </w:p>
    <w:p w14:paraId="7ED02FDC" w14:textId="19B7D9F7" w:rsidR="001E3031" w:rsidRPr="008540E8" w:rsidRDefault="007A33FD" w:rsidP="001E3031">
      <w:pPr>
        <w:rPr>
          <w:rFonts w:cs="Segoe UI"/>
          <w:szCs w:val="22"/>
        </w:rPr>
      </w:pPr>
      <w:r w:rsidRPr="008540E8">
        <w:t xml:space="preserve">Au cours de l’exercice 2022, les </w:t>
      </w:r>
      <w:r w:rsidRPr="008540E8">
        <w:rPr>
          <w:b/>
        </w:rPr>
        <w:t>ventes</w:t>
      </w:r>
      <w:r w:rsidRPr="008540E8">
        <w:t xml:space="preserve"> de l’</w:t>
      </w:r>
      <w:r w:rsidR="004747D8">
        <w:t>activité</w:t>
      </w:r>
      <w:r w:rsidRPr="008540E8">
        <w:t xml:space="preserve"> </w:t>
      </w:r>
      <w:proofErr w:type="spellStart"/>
      <w:r w:rsidRPr="008540E8">
        <w:rPr>
          <w:b/>
        </w:rPr>
        <w:t>Adhesive</w:t>
      </w:r>
      <w:proofErr w:type="spellEnd"/>
      <w:r w:rsidRPr="008540E8">
        <w:rPr>
          <w:b/>
        </w:rPr>
        <w:t xml:space="preserve"> Technologies</w:t>
      </w:r>
      <w:r w:rsidRPr="008540E8">
        <w:t xml:space="preserve"> ont enregistré une hausse nominale de 16,6 % pour atteindre 11 242 millions d’euros. </w:t>
      </w:r>
      <w:r w:rsidR="009A5367" w:rsidRPr="009A5367">
        <w:rPr>
          <w:bCs/>
        </w:rPr>
        <w:t>L</w:t>
      </w:r>
      <w:r w:rsidRPr="009A5367">
        <w:rPr>
          <w:bCs/>
        </w:rPr>
        <w:t>e</w:t>
      </w:r>
      <w:r w:rsidRPr="008540E8">
        <w:t xml:space="preserve">s </w:t>
      </w:r>
      <w:r w:rsidRPr="009A5367">
        <w:rPr>
          <w:b/>
          <w:bCs/>
        </w:rPr>
        <w:t xml:space="preserve">ventes </w:t>
      </w:r>
      <w:r w:rsidR="009A5367" w:rsidRPr="009A5367">
        <w:rPr>
          <w:b/>
          <w:bCs/>
        </w:rPr>
        <w:t>organiques</w:t>
      </w:r>
      <w:r w:rsidR="009A5367">
        <w:t xml:space="preserve"> </w:t>
      </w:r>
      <w:r w:rsidRPr="008540E8">
        <w:t xml:space="preserve">ont augmenté de 13,2 %. Cette croissance des ventes est due à une évolution à deux chiffres des prix. Le </w:t>
      </w:r>
      <w:r w:rsidR="009A5367">
        <w:rPr>
          <w:b/>
        </w:rPr>
        <w:t>résultat</w:t>
      </w:r>
      <w:r w:rsidRPr="008540E8">
        <w:rPr>
          <w:b/>
        </w:rPr>
        <w:t xml:space="preserve"> d’exploitation ajusté</w:t>
      </w:r>
      <w:r w:rsidRPr="008540E8">
        <w:t xml:space="preserve"> était légèrement inférieur à celui de l’année précédente, à 1 530 millions d’euros (2021 : 1 561 millions d’euros). Le </w:t>
      </w:r>
      <w:r w:rsidRPr="008540E8">
        <w:rPr>
          <w:b/>
        </w:rPr>
        <w:t xml:space="preserve">rendement ajusté </w:t>
      </w:r>
      <w:r w:rsidR="009A5367">
        <w:rPr>
          <w:b/>
        </w:rPr>
        <w:t xml:space="preserve">sur les </w:t>
      </w:r>
      <w:r w:rsidRPr="008540E8">
        <w:rPr>
          <w:b/>
        </w:rPr>
        <w:t>ventes</w:t>
      </w:r>
      <w:r w:rsidRPr="008540E8">
        <w:t xml:space="preserve"> a atteint 13,6 %, contre 16,2 % l’année précédente. Cette situation s’explique principalement par une baisse de la marge brute, affectée par l’augmentation substantielle du prix des matériaux directs.</w:t>
      </w:r>
    </w:p>
    <w:p w14:paraId="7412AC6B" w14:textId="77777777" w:rsidR="00295715" w:rsidRPr="002919CE" w:rsidRDefault="00295715" w:rsidP="00295715">
      <w:pPr>
        <w:rPr>
          <w:rFonts w:cs="Segoe UI"/>
          <w:szCs w:val="22"/>
        </w:rPr>
      </w:pPr>
    </w:p>
    <w:p w14:paraId="33C731B0" w14:textId="071AE2C4" w:rsidR="006F099D" w:rsidRPr="008540E8" w:rsidRDefault="009A5367" w:rsidP="006F099D">
      <w:pPr>
        <w:rPr>
          <w:rFonts w:cs="Segoe UI"/>
          <w:szCs w:val="22"/>
        </w:rPr>
      </w:pPr>
      <w:r>
        <w:t xml:space="preserve">Concernant l’activité </w:t>
      </w:r>
      <w:r w:rsidR="00254F65" w:rsidRPr="008540E8">
        <w:rPr>
          <w:b/>
        </w:rPr>
        <w:t>Beauty Care</w:t>
      </w:r>
      <w:r w:rsidR="00254F65" w:rsidRPr="008540E8">
        <w:t xml:space="preserve">, les </w:t>
      </w:r>
      <w:r w:rsidR="00254F65" w:rsidRPr="00AE7752">
        <w:rPr>
          <w:b/>
        </w:rPr>
        <w:t xml:space="preserve">ventes </w:t>
      </w:r>
      <w:r w:rsidR="00AE7752" w:rsidRPr="00AE7752">
        <w:rPr>
          <w:b/>
        </w:rPr>
        <w:t>nominales</w:t>
      </w:r>
      <w:r w:rsidR="00AE7752">
        <w:t xml:space="preserve"> </w:t>
      </w:r>
      <w:r w:rsidR="00254F65" w:rsidRPr="008540E8">
        <w:t>ont enregistré une baisse</w:t>
      </w:r>
      <w:r w:rsidR="00633E30">
        <w:t xml:space="preserve"> </w:t>
      </w:r>
      <w:r w:rsidR="00254F65" w:rsidRPr="008540E8">
        <w:t xml:space="preserve"> de 2,6 % au cours de l’exercice 2022 pour atteindre 3 775 millions d’euros. </w:t>
      </w:r>
      <w:r w:rsidRPr="009A5367">
        <w:rPr>
          <w:bCs/>
        </w:rPr>
        <w:t>L</w:t>
      </w:r>
      <w:r w:rsidR="00254F65" w:rsidRPr="009A5367">
        <w:rPr>
          <w:bCs/>
        </w:rPr>
        <w:t>e</w:t>
      </w:r>
      <w:r w:rsidR="00254F65" w:rsidRPr="008540E8">
        <w:t xml:space="preserve">s </w:t>
      </w:r>
      <w:r w:rsidR="00254F65" w:rsidRPr="009A5367">
        <w:rPr>
          <w:b/>
          <w:bCs/>
        </w:rPr>
        <w:t xml:space="preserve">ventes </w:t>
      </w:r>
      <w:r w:rsidRPr="009A5367">
        <w:rPr>
          <w:b/>
          <w:bCs/>
        </w:rPr>
        <w:t>organiques</w:t>
      </w:r>
      <w:r>
        <w:t xml:space="preserve"> </w:t>
      </w:r>
      <w:r w:rsidR="00254F65" w:rsidRPr="008540E8">
        <w:t xml:space="preserve">ont légèrement diminué de 0,5 %. Cela est dû à différents développements. Alors que </w:t>
      </w:r>
      <w:r w:rsidR="00AE7752">
        <w:t xml:space="preserve">l’activité </w:t>
      </w:r>
      <w:proofErr w:type="spellStart"/>
      <w:r w:rsidR="00254F65" w:rsidRPr="008540E8">
        <w:t>Hair</w:t>
      </w:r>
      <w:proofErr w:type="spellEnd"/>
      <w:r w:rsidR="00254F65" w:rsidRPr="008540E8">
        <w:t xml:space="preserve"> Professional a enregistré une très forte croissance des ventes, l</w:t>
      </w:r>
      <w:r w:rsidR="00AE7752">
        <w:t>’activité</w:t>
      </w:r>
      <w:r w:rsidR="00254F65" w:rsidRPr="008540E8">
        <w:t xml:space="preserve"> grand public a été inférieur</w:t>
      </w:r>
      <w:r w:rsidR="00AE7752">
        <w:t>e</w:t>
      </w:r>
      <w:r w:rsidR="00254F65" w:rsidRPr="008540E8">
        <w:t xml:space="preserve"> </w:t>
      </w:r>
      <w:r w:rsidR="00AE7752">
        <w:t xml:space="preserve">sur le plan organique par rapport </w:t>
      </w:r>
      <w:r w:rsidR="00254F65" w:rsidRPr="008540E8">
        <w:t xml:space="preserve">au niveau de l’année précédente, notamment en raison de la mise en œuvre des mesures de portefeuille annoncées. Le </w:t>
      </w:r>
      <w:r w:rsidR="00AE7752">
        <w:rPr>
          <w:b/>
        </w:rPr>
        <w:t>résultat</w:t>
      </w:r>
      <w:r w:rsidR="00254F65" w:rsidRPr="008540E8">
        <w:rPr>
          <w:b/>
        </w:rPr>
        <w:t xml:space="preserve"> d’exploitation ajusté</w:t>
      </w:r>
      <w:r w:rsidR="00254F65" w:rsidRPr="008540E8">
        <w:t xml:space="preserve"> a atteint 269 millions d’euros (année précédente : 351 millions d’euros). Le </w:t>
      </w:r>
      <w:r w:rsidR="00254F65" w:rsidRPr="008540E8">
        <w:rPr>
          <w:b/>
        </w:rPr>
        <w:t xml:space="preserve">rendement ajusté </w:t>
      </w:r>
      <w:r w:rsidR="00AE7752">
        <w:rPr>
          <w:b/>
        </w:rPr>
        <w:t>sur les</w:t>
      </w:r>
      <w:r w:rsidR="00254F65" w:rsidRPr="008540E8">
        <w:rPr>
          <w:b/>
        </w:rPr>
        <w:t xml:space="preserve"> ventes</w:t>
      </w:r>
      <w:r w:rsidR="00254F65" w:rsidRPr="008540E8">
        <w:t xml:space="preserve"> a diminué à 7,8 % (année précédente : 9,5 %). Outre la baisse de la marge brute, cela s’explique en partie par une légère augmentation des investissements en marketing et en publicité.</w:t>
      </w:r>
    </w:p>
    <w:p w14:paraId="00A01DCC" w14:textId="77777777" w:rsidR="00295715" w:rsidRPr="002919CE" w:rsidRDefault="00295715" w:rsidP="00295715">
      <w:pPr>
        <w:rPr>
          <w:rFonts w:cs="Segoe UI"/>
          <w:szCs w:val="22"/>
        </w:rPr>
      </w:pPr>
    </w:p>
    <w:p w14:paraId="7357C9A4" w14:textId="7646468E" w:rsidR="006F099D" w:rsidRPr="008540E8" w:rsidRDefault="006F099D" w:rsidP="006F099D">
      <w:pPr>
        <w:rPr>
          <w:rFonts w:cs="Segoe UI"/>
          <w:szCs w:val="22"/>
        </w:rPr>
      </w:pPr>
      <w:r w:rsidRPr="008540E8">
        <w:t xml:space="preserve">Les </w:t>
      </w:r>
      <w:r w:rsidRPr="00AE7752">
        <w:rPr>
          <w:b/>
        </w:rPr>
        <w:t xml:space="preserve">ventes </w:t>
      </w:r>
      <w:r w:rsidR="00AE7752" w:rsidRPr="00AE7752">
        <w:rPr>
          <w:b/>
        </w:rPr>
        <w:t>nominales</w:t>
      </w:r>
      <w:r w:rsidR="00AE7752">
        <w:t xml:space="preserve"> </w:t>
      </w:r>
      <w:r w:rsidRPr="008540E8">
        <w:t>de l’</w:t>
      </w:r>
      <w:r w:rsidR="004747D8">
        <w:t>activité</w:t>
      </w:r>
      <w:r w:rsidRPr="008540E8">
        <w:t xml:space="preserve"> </w:t>
      </w:r>
      <w:r w:rsidRPr="008540E8">
        <w:rPr>
          <w:b/>
        </w:rPr>
        <w:t>Laundry &amp; Home Care</w:t>
      </w:r>
      <w:r w:rsidRPr="008540E8">
        <w:t xml:space="preserve"> ont augmenté de 8,3 % au cours de l’exercice 2022, pour atteindre 7 152 millions d’euros. </w:t>
      </w:r>
      <w:r w:rsidR="00AE7752">
        <w:t>L</w:t>
      </w:r>
      <w:r w:rsidRPr="008540E8">
        <w:t xml:space="preserve">es </w:t>
      </w:r>
      <w:r w:rsidRPr="00AE7752">
        <w:rPr>
          <w:b/>
          <w:bCs/>
        </w:rPr>
        <w:t xml:space="preserve">ventes </w:t>
      </w:r>
      <w:r w:rsidR="00AE7752" w:rsidRPr="00AE7752">
        <w:rPr>
          <w:b/>
          <w:bCs/>
        </w:rPr>
        <w:t>organiques</w:t>
      </w:r>
      <w:r w:rsidR="00AE7752">
        <w:t xml:space="preserve"> </w:t>
      </w:r>
      <w:r w:rsidRPr="008540E8">
        <w:t>ont augmenté de 6,3 %. L’augmentation du chiffre d’affaires a été déterminée par les prix, tandis que les volumes ont diminué. Avec 614 millions d’euros, le</w:t>
      </w:r>
      <w:r w:rsidRPr="008540E8">
        <w:rPr>
          <w:b/>
        </w:rPr>
        <w:t xml:space="preserve"> </w:t>
      </w:r>
      <w:r w:rsidR="00AE7752">
        <w:rPr>
          <w:b/>
        </w:rPr>
        <w:t>résultat</w:t>
      </w:r>
      <w:r w:rsidRPr="008540E8">
        <w:rPr>
          <w:b/>
        </w:rPr>
        <w:t xml:space="preserve"> d’exploitation ajusté</w:t>
      </w:r>
      <w:r w:rsidRPr="008540E8">
        <w:t xml:space="preserve"> est inférieur au niveau de l’année précédente (904 millions d’euros). Le </w:t>
      </w:r>
      <w:r w:rsidRPr="008540E8">
        <w:rPr>
          <w:b/>
        </w:rPr>
        <w:t xml:space="preserve">rendement ajusté </w:t>
      </w:r>
      <w:r w:rsidR="00AE7752">
        <w:rPr>
          <w:b/>
        </w:rPr>
        <w:t>sur les</w:t>
      </w:r>
      <w:r w:rsidRPr="008540E8">
        <w:rPr>
          <w:b/>
        </w:rPr>
        <w:t xml:space="preserve"> ventes</w:t>
      </w:r>
      <w:r w:rsidRPr="008540E8">
        <w:t xml:space="preserve"> a diminué à 8,6 %, principalement en raison de la baisse de la marge brute due à la hausse significative des prix des matières premières et de la logistique et à l’augmentation des dépenses de marketing et de publicité.</w:t>
      </w:r>
    </w:p>
    <w:p w14:paraId="39846155" w14:textId="77777777" w:rsidR="00295715" w:rsidRPr="002919CE" w:rsidRDefault="00295715" w:rsidP="00295715">
      <w:pPr>
        <w:rPr>
          <w:rFonts w:cs="Segoe UI"/>
          <w:szCs w:val="22"/>
        </w:rPr>
      </w:pPr>
    </w:p>
    <w:p w14:paraId="2696DA80" w14:textId="2389911F" w:rsidR="00295715" w:rsidRPr="008540E8" w:rsidRDefault="006F099D" w:rsidP="00295715">
      <w:pPr>
        <w:spacing w:after="120"/>
        <w:rPr>
          <w:rFonts w:cs="Segoe UI"/>
          <w:b/>
          <w:bCs/>
          <w:szCs w:val="22"/>
        </w:rPr>
      </w:pPr>
      <w:r w:rsidRPr="008540E8">
        <w:rPr>
          <w:b/>
        </w:rPr>
        <w:t>Perspectives 2023</w:t>
      </w:r>
    </w:p>
    <w:p w14:paraId="2CABFDAD" w14:textId="3F9ECE37" w:rsidR="005A0561" w:rsidRPr="008540E8" w:rsidRDefault="00E075D3" w:rsidP="006B50E6">
      <w:pPr>
        <w:rPr>
          <w:rFonts w:cs="Segoe UI"/>
          <w:szCs w:val="22"/>
        </w:rPr>
      </w:pPr>
      <w:r w:rsidRPr="008540E8">
        <w:t xml:space="preserve">La croissance économique mondiale devrait continuer à s’affaiblir en 2023. Selon les estimations actuelles, l’environnement économique mondial devrait rester inflationniste au cours de l’exercice 2023, en raison des augmentations prévues du coût de la main-d’œuvre et du maintien des coûts élevés de l’énergie et des matières premières. Dans ce contexte, les prix moyens des matériaux directs devraient augmenter d’un pourcentage à un chiffre, faible ou moyen, par rapport à la moyenne annuelle de 2022. En outre, les taux d’intérêt devraient rester </w:t>
      </w:r>
      <w:r w:rsidRPr="008540E8">
        <w:lastRenderedPageBreak/>
        <w:t>sensiblement plus élevés que les années précédentes. Il est donc supposé que la demande industrielle sera plus faible que l’année précédente et que la dynamique de croissance de la demande des consommateurs dans les domaines clés d</w:t>
      </w:r>
      <w:r w:rsidR="00AE7752">
        <w:t>u secteur des</w:t>
      </w:r>
      <w:r w:rsidRPr="008540E8">
        <w:t xml:space="preserve"> biens de </w:t>
      </w:r>
      <w:r w:rsidR="00AE7752">
        <w:t xml:space="preserve">grande </w:t>
      </w:r>
      <w:r w:rsidRPr="008540E8">
        <w:t xml:space="preserve">consommation de Henkel ralentira. En outre, les activités commerciales en Russie devraient être cédées d’ici la fin du premier trimestre 2023. </w:t>
      </w:r>
    </w:p>
    <w:p w14:paraId="061E0B06" w14:textId="77777777" w:rsidR="005A0561" w:rsidRPr="002919CE" w:rsidRDefault="005A0561" w:rsidP="006B50E6">
      <w:pPr>
        <w:rPr>
          <w:rFonts w:cs="Segoe UI"/>
          <w:szCs w:val="22"/>
          <w:highlight w:val="yellow"/>
        </w:rPr>
      </w:pPr>
    </w:p>
    <w:p w14:paraId="40864399" w14:textId="2D7A3C6A" w:rsidR="00295715" w:rsidRPr="008540E8" w:rsidRDefault="006B50E6" w:rsidP="006B50E6">
      <w:pPr>
        <w:rPr>
          <w:rFonts w:cs="Segoe UI"/>
          <w:szCs w:val="22"/>
        </w:rPr>
      </w:pPr>
      <w:r w:rsidRPr="008540E8">
        <w:t xml:space="preserve">En tenant compte de ces facteurs, Henkel prévoit de générer une </w:t>
      </w:r>
      <w:r w:rsidRPr="008540E8">
        <w:rPr>
          <w:b/>
        </w:rPr>
        <w:t>croissance des ventes</w:t>
      </w:r>
      <w:r w:rsidR="00AE7752">
        <w:rPr>
          <w:b/>
        </w:rPr>
        <w:t xml:space="preserve"> organiques</w:t>
      </w:r>
      <w:r w:rsidRPr="008540E8">
        <w:t xml:space="preserve"> comprise entre 1,0 et 3,0 % pour l’exercice 2023, les deux </w:t>
      </w:r>
      <w:r w:rsidR="00AE7752">
        <w:t xml:space="preserve">activités </w:t>
      </w:r>
      <w:r w:rsidRPr="008540E8">
        <w:t xml:space="preserve">devant se situer dans cette fourchette. Le </w:t>
      </w:r>
      <w:r w:rsidRPr="008540E8">
        <w:rPr>
          <w:b/>
        </w:rPr>
        <w:t>rendement ajusté des ventes (marge EBIT ajustée)</w:t>
      </w:r>
      <w:r w:rsidRPr="008540E8">
        <w:t xml:space="preserve"> devrait se situer entre 10,0 et 12,0 %. La rentabilité ajustée des ventes devrait se situer entre 13,0 et 15,0 % pour </w:t>
      </w:r>
      <w:proofErr w:type="spellStart"/>
      <w:r w:rsidRPr="008540E8">
        <w:t>Adhesive</w:t>
      </w:r>
      <w:proofErr w:type="spellEnd"/>
      <w:r w:rsidRPr="008540E8">
        <w:t xml:space="preserve"> Technologies et entre 7,5 et 9,5 % pour l</w:t>
      </w:r>
      <w:r w:rsidR="004747D8">
        <w:t>’activité</w:t>
      </w:r>
      <w:r w:rsidRPr="008540E8">
        <w:t xml:space="preserve"> Consumer Brands. Pour les </w:t>
      </w:r>
      <w:r w:rsidRPr="008540E8">
        <w:rPr>
          <w:b/>
          <w:bCs/>
        </w:rPr>
        <w:t>bénéfices ajustés par action préférentielle (EPS)</w:t>
      </w:r>
      <w:r w:rsidRPr="008540E8">
        <w:t xml:space="preserve"> à taux de change constant, Henkel s’attend à une </w:t>
      </w:r>
      <w:r w:rsidR="00633E30">
        <w:t>évolution</w:t>
      </w:r>
      <w:r w:rsidRPr="008540E8">
        <w:t xml:space="preserve"> de l’ordre de -10,0 à +10,0 %. </w:t>
      </w:r>
    </w:p>
    <w:p w14:paraId="79DC2AB5" w14:textId="77777777" w:rsidR="00295715" w:rsidRPr="002919CE" w:rsidRDefault="00295715" w:rsidP="00295715">
      <w:pPr>
        <w:rPr>
          <w:rFonts w:cs="Segoe UI"/>
          <w:szCs w:val="22"/>
        </w:rPr>
      </w:pPr>
    </w:p>
    <w:p w14:paraId="0E5F51B3" w14:textId="1A2ABB2C" w:rsidR="00295715" w:rsidRPr="008540E8" w:rsidRDefault="00EA47F0" w:rsidP="00295715">
      <w:pPr>
        <w:spacing w:after="120"/>
        <w:rPr>
          <w:rFonts w:cs="Segoe UI"/>
          <w:szCs w:val="22"/>
        </w:rPr>
      </w:pPr>
      <w:r w:rsidRPr="008540E8">
        <w:rPr>
          <w:b/>
        </w:rPr>
        <w:t>Mise en œuvre réussie du p</w:t>
      </w:r>
      <w:r w:rsidR="004747D8">
        <w:rPr>
          <w:b/>
        </w:rPr>
        <w:t>lan</w:t>
      </w:r>
      <w:r w:rsidRPr="008540E8">
        <w:rPr>
          <w:b/>
        </w:rPr>
        <w:t xml:space="preserve"> de croissance ciblée</w:t>
      </w:r>
    </w:p>
    <w:p w14:paraId="071D806D" w14:textId="507E559A" w:rsidR="00E01AF5" w:rsidRDefault="00E01AF5" w:rsidP="008F0292">
      <w:r w:rsidRPr="008540E8">
        <w:t>Malgré un environnement macroéconomique et géopolitique difficile, Henkel a continué à mettre en œuvre sa stratégie de manière cohérente en 2022. L’entreprise a continué à développer son portefeuille d’activités et de marques, a renforcé son avantage concurrentiel dans les domaines de l’innovation, d</w:t>
      </w:r>
      <w:r w:rsidR="004747D8">
        <w:t>u développement durable et du digital</w:t>
      </w:r>
      <w:r w:rsidRPr="008540E8">
        <w:t xml:space="preserve">, a optimisé ses modèles opérationnels et a favorisé sa culture d’entreprise. L’un des principaux axes stratégiques en 2022 a été la fusion des </w:t>
      </w:r>
      <w:r w:rsidR="00AE7752">
        <w:t>activités</w:t>
      </w:r>
      <w:r w:rsidRPr="008540E8">
        <w:t xml:space="preserve"> Laundry &amp; Home Care et Beauty Care au sein de l’</w:t>
      </w:r>
      <w:r w:rsidR="004747D8">
        <w:t xml:space="preserve">entité </w:t>
      </w:r>
      <w:r w:rsidRPr="008540E8">
        <w:t>Consumer Brands.</w:t>
      </w:r>
    </w:p>
    <w:p w14:paraId="6A8CF8E5" w14:textId="77777777" w:rsidR="004747D8" w:rsidRPr="008540E8" w:rsidRDefault="004747D8" w:rsidP="008F0292">
      <w:pPr>
        <w:rPr>
          <w:rFonts w:cs="Segoe UI"/>
          <w:bCs/>
          <w:szCs w:val="22"/>
        </w:rPr>
      </w:pPr>
    </w:p>
    <w:p w14:paraId="6C5D6550" w14:textId="6CF84843" w:rsidR="00295715" w:rsidRPr="008540E8" w:rsidRDefault="00E915DB" w:rsidP="00295715">
      <w:pPr>
        <w:spacing w:after="120"/>
        <w:rPr>
          <w:rFonts w:cs="Segoe UI"/>
          <w:b/>
          <w:bCs/>
          <w:szCs w:val="22"/>
        </w:rPr>
      </w:pPr>
      <w:r w:rsidRPr="008540E8">
        <w:rPr>
          <w:b/>
        </w:rPr>
        <w:t xml:space="preserve">Mise en place réussie de la nouvelle </w:t>
      </w:r>
      <w:r w:rsidR="004747D8">
        <w:rPr>
          <w:b/>
        </w:rPr>
        <w:t>entité</w:t>
      </w:r>
      <w:r w:rsidRPr="008540E8">
        <w:rPr>
          <w:b/>
        </w:rPr>
        <w:t xml:space="preserve"> Consumer Brands </w:t>
      </w:r>
    </w:p>
    <w:p w14:paraId="3279F1B9" w14:textId="5B45323B" w:rsidR="00B54A6C" w:rsidRPr="008540E8" w:rsidRDefault="00B54A6C" w:rsidP="00B54A6C">
      <w:pPr>
        <w:rPr>
          <w:rFonts w:cs="Segoe UI"/>
          <w:szCs w:val="22"/>
        </w:rPr>
      </w:pPr>
      <w:r w:rsidRPr="008540E8">
        <w:t xml:space="preserve">Fin janvier 2022, Henkel a annoncé l’une des plus grandes transformations </w:t>
      </w:r>
      <w:r w:rsidR="00AE7752">
        <w:t>que</w:t>
      </w:r>
      <w:r w:rsidRPr="008540E8">
        <w:t xml:space="preserve"> l’entreprise </w:t>
      </w:r>
      <w:r w:rsidR="00AE7752">
        <w:t xml:space="preserve">ait connu </w:t>
      </w:r>
      <w:r w:rsidRPr="008540E8">
        <w:t>au cours des dernières décennies : la fusion de ses deux activités grand public en une seule</w:t>
      </w:r>
      <w:r w:rsidR="004747D8">
        <w:t xml:space="preserve"> entité</w:t>
      </w:r>
      <w:r w:rsidRPr="008540E8">
        <w:t xml:space="preserve">, </w:t>
      </w:r>
      <w:r w:rsidR="00015EEF">
        <w:t xml:space="preserve">Henkel </w:t>
      </w:r>
      <w:r w:rsidRPr="008540E8">
        <w:t>Consumer Brands. La nouvelle</w:t>
      </w:r>
      <w:r w:rsidR="00015EEF">
        <w:t xml:space="preserve"> branche</w:t>
      </w:r>
      <w:r w:rsidRPr="008540E8">
        <w:t>, qui a été mise en place avec succès depuis le début de l’année 2023, regroupe sous un même toit toutes les marques grand public, toutes catégories confondues, y compris les marques emblématiques telles que Persil</w:t>
      </w:r>
      <w:r w:rsidR="00AE7752">
        <w:t xml:space="preserve"> (Le Chat en France)</w:t>
      </w:r>
      <w:r w:rsidRPr="008540E8">
        <w:t xml:space="preserve"> ou Schwarzkopf et l’activité </w:t>
      </w:r>
      <w:proofErr w:type="spellStart"/>
      <w:r w:rsidRPr="008540E8">
        <w:t>Hair</w:t>
      </w:r>
      <w:proofErr w:type="spellEnd"/>
      <w:r w:rsidRPr="008540E8">
        <w:t xml:space="preserve"> Professional. Ainsi, Henkel est en train de créer une plateforme multi-catégorie pour une croissance future</w:t>
      </w:r>
      <w:r w:rsidR="00AE7752">
        <w:t>,</w:t>
      </w:r>
      <w:r w:rsidRPr="008540E8">
        <w:t xml:space="preserve"> d’environ 11 milliards d’euros de ventes en 2022.</w:t>
      </w:r>
    </w:p>
    <w:p w14:paraId="0EDF21D3" w14:textId="77777777" w:rsidR="00B54A6C" w:rsidRPr="002919CE" w:rsidRDefault="00B54A6C" w:rsidP="00295715">
      <w:pPr>
        <w:rPr>
          <w:rFonts w:cs="Segoe UI"/>
          <w:szCs w:val="22"/>
          <w:lang w:eastAsia="de-DE"/>
        </w:rPr>
      </w:pPr>
    </w:p>
    <w:p w14:paraId="1DFDD408" w14:textId="6E2F7E2C" w:rsidR="005B1FD1" w:rsidRPr="008540E8" w:rsidRDefault="00F13DDF" w:rsidP="00327FEC">
      <w:pPr>
        <w:rPr>
          <w:rFonts w:cs="Segoe UI"/>
          <w:szCs w:val="22"/>
        </w:rPr>
      </w:pPr>
      <w:r w:rsidRPr="008540E8">
        <w:t xml:space="preserve">Avec cette fusion, Henkel entend augmenter </w:t>
      </w:r>
      <w:r w:rsidR="00015EEF">
        <w:t>sa</w:t>
      </w:r>
      <w:r w:rsidRPr="008540E8">
        <w:t xml:space="preserve"> rentabilité dans le secteur des biens de </w:t>
      </w:r>
      <w:r w:rsidR="00AE7752">
        <w:t xml:space="preserve">grande </w:t>
      </w:r>
      <w:r w:rsidRPr="008540E8">
        <w:t>consommatio</w:t>
      </w:r>
      <w:r w:rsidR="00015EEF">
        <w:t xml:space="preserve">n, et ainsi la rentabilité de l’ensemble </w:t>
      </w:r>
      <w:r w:rsidRPr="008540E8">
        <w:t xml:space="preserve">du Groupe, et générer une dynamique de croissance supplémentaire. À cette fin, le portefeuille autour des catégories mondiales Laundry &amp; Home Care et </w:t>
      </w:r>
      <w:proofErr w:type="spellStart"/>
      <w:r w:rsidRPr="008540E8">
        <w:t>Hair</w:t>
      </w:r>
      <w:proofErr w:type="spellEnd"/>
      <w:r w:rsidRPr="008540E8">
        <w:t xml:space="preserve"> </w:t>
      </w:r>
      <w:r w:rsidR="00015EEF">
        <w:t xml:space="preserve">Care </w:t>
      </w:r>
      <w:r w:rsidRPr="008540E8">
        <w:t xml:space="preserve">sera axé sur les </w:t>
      </w:r>
      <w:r w:rsidR="007C499E">
        <w:t xml:space="preserve">catégories </w:t>
      </w:r>
      <w:r w:rsidRPr="008540E8">
        <w:t xml:space="preserve">et les marques stratégiques présentant </w:t>
      </w:r>
      <w:r w:rsidRPr="008540E8">
        <w:lastRenderedPageBreak/>
        <w:t xml:space="preserve">un potentiel de croissance et de marge intéressant. Au cours de l’intégration, d’importantes synergies sont attendues, dont une partie sera utilisée pour </w:t>
      </w:r>
      <w:r w:rsidR="007C499E">
        <w:t xml:space="preserve">réaliser </w:t>
      </w:r>
      <w:r w:rsidRPr="008540E8">
        <w:t xml:space="preserve">des investissements ciblés dans des priorités stratégiques telles que l’innovation, </w:t>
      </w:r>
      <w:r w:rsidR="00015EEF">
        <w:t xml:space="preserve">le développement durable </w:t>
      </w:r>
      <w:r w:rsidRPr="008540E8">
        <w:t>et l</w:t>
      </w:r>
      <w:r w:rsidR="00015EEF">
        <w:t>e digital</w:t>
      </w:r>
      <w:r w:rsidRPr="008540E8">
        <w:t xml:space="preserve">, ainsi que pour renforcer la marge et le profil de croissance de </w:t>
      </w:r>
      <w:r w:rsidR="00015EEF">
        <w:t xml:space="preserve">l’entité. </w:t>
      </w:r>
    </w:p>
    <w:p w14:paraId="01D9CD26" w14:textId="77777777" w:rsidR="005B1FD1" w:rsidRPr="002919CE" w:rsidRDefault="005B1FD1" w:rsidP="00F13DDF">
      <w:pPr>
        <w:rPr>
          <w:rFonts w:cs="Segoe UI"/>
          <w:szCs w:val="22"/>
          <w:lang w:eastAsia="de-DE"/>
        </w:rPr>
      </w:pPr>
    </w:p>
    <w:p w14:paraId="40AA5F3D" w14:textId="6A216216" w:rsidR="00B14B85" w:rsidRPr="008540E8" w:rsidRDefault="00F13DDF" w:rsidP="00F13DDF">
      <w:pPr>
        <w:rPr>
          <w:rFonts w:cs="Segoe UI"/>
          <w:szCs w:val="22"/>
        </w:rPr>
      </w:pPr>
      <w:r w:rsidRPr="008540E8">
        <w:t xml:space="preserve">À moyen terme, Henkel vise à réaliser des économies brutes (avant réinvestissements) d’environ 500 millions d’euros. Le potentiel de synergie résulte de l’adaptation des structures commerciales et administratives, d’une publicité et d’un marketing plus ciblés et d’une chaîne d’approvisionnement optimisée. La mise en œuvre se fera en deux phases : </w:t>
      </w:r>
      <w:r w:rsidR="007C499E">
        <w:t>d</w:t>
      </w:r>
      <w:r w:rsidRPr="008540E8">
        <w:t xml:space="preserve">ans un premier temps, les mesures mises en œuvre d’ici la fin de l’année 2023 permettront de réaliser des économies nettes d’environ 250 millions d’euros sur une base annuelle - avec un impact complet sur les bénéfices à partir de 2024. De premières économies nettes d’environ 60 millions d’euros ont déjà été réalisées en 2022. </w:t>
      </w:r>
    </w:p>
    <w:p w14:paraId="21E84E3B" w14:textId="77777777" w:rsidR="00B14B85" w:rsidRPr="002919CE" w:rsidRDefault="00B14B85" w:rsidP="00F13DDF">
      <w:pPr>
        <w:rPr>
          <w:rFonts w:cs="Segoe UI"/>
          <w:szCs w:val="22"/>
          <w:lang w:eastAsia="de-DE"/>
        </w:rPr>
      </w:pPr>
    </w:p>
    <w:p w14:paraId="7B79B586" w14:textId="15BD7665" w:rsidR="00CC6C55" w:rsidRPr="008540E8" w:rsidRDefault="00BB6BB8" w:rsidP="00F13DDF">
      <w:pPr>
        <w:rPr>
          <w:rFonts w:cs="Segoe UI"/>
          <w:szCs w:val="22"/>
        </w:rPr>
      </w:pPr>
      <w:r w:rsidRPr="008540E8">
        <w:t xml:space="preserve">L’entreprise a également réalisé de solides progrès dans la transformation de son portefeuille </w:t>
      </w:r>
      <w:r w:rsidR="00015EEF">
        <w:t xml:space="preserve">à destination du </w:t>
      </w:r>
      <w:r w:rsidRPr="008540E8">
        <w:t xml:space="preserve">grand public : </w:t>
      </w:r>
      <w:r w:rsidR="007C499E" w:rsidRPr="006A6839">
        <w:t xml:space="preserve">sur ce point, </w:t>
      </w:r>
      <w:r w:rsidRPr="006A6839">
        <w:t xml:space="preserve">Henkel avait annoncé </w:t>
      </w:r>
      <w:r w:rsidR="00D96CBF" w:rsidRPr="006A6839">
        <w:t>faire une revue de portefeuille corre</w:t>
      </w:r>
      <w:r w:rsidR="00DF7D7B" w:rsidRPr="006A6839">
        <w:t>s</w:t>
      </w:r>
      <w:r w:rsidR="00D96CBF" w:rsidRPr="006A6839">
        <w:t>pondant</w:t>
      </w:r>
      <w:r w:rsidR="00DF7D7B" w:rsidRPr="006A6839">
        <w:t xml:space="preserve"> à des ventes d’un montant total allant</w:t>
      </w:r>
      <w:r w:rsidR="00D96CBF" w:rsidRPr="006A6839">
        <w:t xml:space="preserve"> </w:t>
      </w:r>
      <w:r w:rsidRPr="006A6839">
        <w:t>jusqu’à 1 milliard d’euros. En 2022, environ 400 millions ont déjà été exécutés</w:t>
      </w:r>
      <w:r w:rsidRPr="008540E8">
        <w:t xml:space="preserve"> avec succès - environ 200 millions d’euros concernent des mesures d’optimisation du portefeuille, les 200 millions restants sont attribuables à des cessions. Il en résulte une transformation fondamentale du portefeuille avec le retrait mondial </w:t>
      </w:r>
      <w:r w:rsidR="007C499E">
        <w:t xml:space="preserve">du Groupe </w:t>
      </w:r>
      <w:r w:rsidRPr="008540E8">
        <w:t>des catégories de soins bucco-dentaires et de soins de la peau, ainsi que de certains marchés de soins du corps. À l’avenir, Henkel continuera à revoir son portefeuille et à réduire la complexité.</w:t>
      </w:r>
    </w:p>
    <w:p w14:paraId="345AB976" w14:textId="77777777" w:rsidR="00F13DDF" w:rsidRPr="002919CE" w:rsidRDefault="00F13DDF" w:rsidP="00F13DDF">
      <w:pPr>
        <w:rPr>
          <w:rFonts w:cs="Segoe UI"/>
          <w:szCs w:val="22"/>
          <w:lang w:eastAsia="de-DE"/>
        </w:rPr>
      </w:pPr>
    </w:p>
    <w:p w14:paraId="7F01A1D9" w14:textId="01544FF8" w:rsidR="00295715" w:rsidRDefault="002E1100" w:rsidP="006D251E">
      <w:r w:rsidRPr="008540E8">
        <w:t xml:space="preserve">La deuxième phase de la mise en œuvre sera axée sur l’excellence de la chaîne d’approvisionnement. À cette fin, Henkel souhaite améliorer l’efficacité de sa propre structure de production et optimiser </w:t>
      </w:r>
      <w:r w:rsidR="007C499E">
        <w:t>son</w:t>
      </w:r>
      <w:r w:rsidRPr="008540E8">
        <w:t xml:space="preserve"> réseau de fabricants sous contrat et ses coûts d’approvisionnement. </w:t>
      </w:r>
      <w:r w:rsidR="00AF79E9">
        <w:t>En accord avec</w:t>
      </w:r>
      <w:r w:rsidRPr="008540E8">
        <w:t xml:space="preserve"> </w:t>
      </w:r>
      <w:r w:rsidR="00AF79E9">
        <w:t>le</w:t>
      </w:r>
      <w:r w:rsidRPr="008540E8">
        <w:t xml:space="preserve"> </w:t>
      </w:r>
      <w:r w:rsidR="003D7725" w:rsidRPr="008540E8">
        <w:t xml:space="preserve">principe </w:t>
      </w:r>
      <w:r w:rsidR="003D7725">
        <w:t>«</w:t>
      </w:r>
      <w:r w:rsidR="007C499E">
        <w:t xml:space="preserve"> One face to the </w:t>
      </w:r>
      <w:proofErr w:type="spellStart"/>
      <w:r w:rsidR="007C499E">
        <w:t>customer</w:t>
      </w:r>
      <w:proofErr w:type="spellEnd"/>
      <w:r w:rsidRPr="008540E8">
        <w:t> »</w:t>
      </w:r>
      <w:r w:rsidR="007C499E">
        <w:t xml:space="preserve"> </w:t>
      </w:r>
      <w:r w:rsidRPr="008540E8">
        <w:t>, l’entreprise souhaite également favoriser l’intégration commerciale grâce à des capacités logistiques optimisées. La deuxième phase de l’intégration est actuellement lancée, et les mesures devraient être en grande partie mises en œuvre d’ici fin 2025. Grâce à ces mesures, Henkel prévoit des économies nettes annuelles supplémentaires d’environ 150 millions d’euros, qui seront pleinement réalisées à partir de 2026. Dans le même temps, la deuxième phase est associée à des coûts non récurrents d’environ 250 millions d’euros et à des dépenses d’investissement. Les éléments correspondants pour 2023 sont inclus dans les perspectives de cet exercice.</w:t>
      </w:r>
    </w:p>
    <w:p w14:paraId="034264F7" w14:textId="77777777" w:rsidR="006A6839" w:rsidRPr="008540E8" w:rsidRDefault="006A6839" w:rsidP="006D251E">
      <w:pPr>
        <w:rPr>
          <w:rFonts w:cs="Segoe UI"/>
          <w:szCs w:val="22"/>
        </w:rPr>
      </w:pPr>
    </w:p>
    <w:p w14:paraId="7CAB0FE5" w14:textId="77777777" w:rsidR="00295715" w:rsidRPr="002919CE" w:rsidRDefault="00295715" w:rsidP="00295715">
      <w:pPr>
        <w:autoSpaceDE w:val="0"/>
        <w:autoSpaceDN w:val="0"/>
        <w:adjustRightInd w:val="0"/>
        <w:rPr>
          <w:rFonts w:cs="Segoe UI"/>
          <w:bCs/>
          <w:szCs w:val="22"/>
        </w:rPr>
      </w:pPr>
    </w:p>
    <w:p w14:paraId="498DAD04" w14:textId="46CDB764" w:rsidR="00295715" w:rsidRPr="008540E8" w:rsidRDefault="00F13DDF" w:rsidP="00295715">
      <w:pPr>
        <w:spacing w:after="120"/>
        <w:rPr>
          <w:rFonts w:cs="Segoe UI"/>
          <w:szCs w:val="22"/>
        </w:rPr>
      </w:pPr>
      <w:r w:rsidRPr="008540E8">
        <w:rPr>
          <w:b/>
        </w:rPr>
        <w:lastRenderedPageBreak/>
        <w:t>Progrès constants dans tous les piliers stratégiques du p</w:t>
      </w:r>
      <w:r w:rsidR="007C499E">
        <w:rPr>
          <w:b/>
        </w:rPr>
        <w:t>lan</w:t>
      </w:r>
      <w:r w:rsidRPr="008540E8">
        <w:rPr>
          <w:b/>
        </w:rPr>
        <w:t xml:space="preserve"> de croissance ciblée</w:t>
      </w:r>
    </w:p>
    <w:p w14:paraId="1AABAA80" w14:textId="2577A820" w:rsidR="002C1B2D" w:rsidRPr="008540E8" w:rsidRDefault="002C1B2D" w:rsidP="002C1B2D">
      <w:pPr>
        <w:autoSpaceDE w:val="0"/>
        <w:autoSpaceDN w:val="0"/>
        <w:adjustRightInd w:val="0"/>
        <w:rPr>
          <w:rFonts w:cs="Segoe UI"/>
          <w:bCs/>
          <w:szCs w:val="22"/>
        </w:rPr>
      </w:pPr>
      <w:r w:rsidRPr="008540E8">
        <w:t xml:space="preserve">Dans le cadre de </w:t>
      </w:r>
      <w:r w:rsidR="007C499E">
        <w:t>l</w:t>
      </w:r>
      <w:r w:rsidRPr="008540E8">
        <w:t xml:space="preserve">a </w:t>
      </w:r>
      <w:r w:rsidRPr="008540E8">
        <w:rPr>
          <w:b/>
        </w:rPr>
        <w:t>gestion active d</w:t>
      </w:r>
      <w:r w:rsidR="007C499E">
        <w:rPr>
          <w:b/>
        </w:rPr>
        <w:t xml:space="preserve">e son </w:t>
      </w:r>
      <w:r w:rsidRPr="008540E8">
        <w:rPr>
          <w:b/>
        </w:rPr>
        <w:t>portefeuille</w:t>
      </w:r>
      <w:r w:rsidRPr="008540E8">
        <w:t xml:space="preserve">, outre l’arrêt ou la cession d’activités, Henkel a continué à développer son portefeuille par le biais d’acquisitions. La société a acquis les activités de Shiseido dans le secteur des salons de coiffure dans la région Asie-Pacifique et a ainsi renforcé sa position sur ce marché attractif avec ses produits de soins, de coloration et de coiffure capillaires haut de gamme. Dans </w:t>
      </w:r>
      <w:r w:rsidR="00015EEF">
        <w:t xml:space="preserve">l’activité </w:t>
      </w:r>
      <w:proofErr w:type="spellStart"/>
      <w:r w:rsidRPr="008540E8">
        <w:t>Adhesive</w:t>
      </w:r>
      <w:proofErr w:type="spellEnd"/>
      <w:r w:rsidRPr="008540E8">
        <w:t xml:space="preserve"> Technologies, Henkel a étendu son expertise dans les technologies de surface innovantes et les solutions de gestion thermique grâce à deux acquisitions technologiques. </w:t>
      </w:r>
    </w:p>
    <w:p w14:paraId="38994FE7" w14:textId="77777777" w:rsidR="002C1B2D" w:rsidRPr="002919CE" w:rsidRDefault="002C1B2D" w:rsidP="002C1B2D">
      <w:pPr>
        <w:autoSpaceDE w:val="0"/>
        <w:autoSpaceDN w:val="0"/>
        <w:adjustRightInd w:val="0"/>
        <w:rPr>
          <w:rFonts w:cs="Segoe UI"/>
          <w:bCs/>
          <w:szCs w:val="22"/>
        </w:rPr>
      </w:pPr>
    </w:p>
    <w:p w14:paraId="5D7C1D3B" w14:textId="42D34C19" w:rsidR="00295715" w:rsidRPr="008540E8" w:rsidRDefault="00F937AE" w:rsidP="00F937AE">
      <w:pPr>
        <w:autoSpaceDE w:val="0"/>
        <w:autoSpaceDN w:val="0"/>
        <w:adjustRightInd w:val="0"/>
        <w:rPr>
          <w:rFonts w:cs="Segoe UI"/>
          <w:bCs/>
          <w:szCs w:val="22"/>
        </w:rPr>
      </w:pPr>
      <w:r w:rsidRPr="008540E8">
        <w:t xml:space="preserve">En 2022, Henkel a de nouveau lancé de nombreuses </w:t>
      </w:r>
      <w:r w:rsidRPr="008540E8">
        <w:rPr>
          <w:b/>
        </w:rPr>
        <w:t>innovations</w:t>
      </w:r>
      <w:r w:rsidRPr="008540E8">
        <w:t xml:space="preserve"> sur le marché, répondant à des tendances</w:t>
      </w:r>
      <w:r w:rsidR="007C499E">
        <w:t xml:space="preserve"> significatives </w:t>
      </w:r>
      <w:r w:rsidRPr="008540E8">
        <w:t xml:space="preserve">et créant de la valeur pour les clients et les consommateurs. </w:t>
      </w:r>
      <w:r w:rsidR="00015EEF">
        <w:t>Au sein de</w:t>
      </w:r>
      <w:r w:rsidRPr="008540E8">
        <w:t xml:space="preserve"> l'</w:t>
      </w:r>
      <w:r w:rsidR="00015EEF">
        <w:t>activité</w:t>
      </w:r>
      <w:r w:rsidRPr="008540E8">
        <w:t xml:space="preserve"> </w:t>
      </w:r>
      <w:proofErr w:type="spellStart"/>
      <w:r w:rsidRPr="008540E8">
        <w:t>Adhesive</w:t>
      </w:r>
      <w:proofErr w:type="spellEnd"/>
      <w:r w:rsidRPr="008540E8">
        <w:t xml:space="preserve"> Technologies, une nouvelle solution de revêtement conducteur destinée au marché en pleine expansion des batteries de véhicules électriques a été présentée. Cette technologie améliore les performances des batteries en augmentant la conductivité à l’intérieur de l’élément de la batterie jusqu’à 30 % et permet également de réduire de plus de 20 % la consommation d’énergie globale </w:t>
      </w:r>
      <w:r w:rsidR="00C9368F">
        <w:t>dans le</w:t>
      </w:r>
      <w:r w:rsidRPr="008540E8">
        <w:t xml:space="preserve"> processus de fabrication. </w:t>
      </w:r>
      <w:r w:rsidR="00015EEF">
        <w:t>Au sein de</w:t>
      </w:r>
      <w:r w:rsidRPr="008540E8">
        <w:t xml:space="preserve"> </w:t>
      </w:r>
      <w:r w:rsidR="00015EEF">
        <w:t xml:space="preserve">l’activité </w:t>
      </w:r>
      <w:r w:rsidRPr="008540E8">
        <w:t xml:space="preserve">Beauty Care, par exemple, Henkel a lancé </w:t>
      </w:r>
      <w:proofErr w:type="spellStart"/>
      <w:r w:rsidRPr="008540E8">
        <w:t>Colour</w:t>
      </w:r>
      <w:proofErr w:type="spellEnd"/>
      <w:r w:rsidRPr="008540E8">
        <w:t xml:space="preserve"> </w:t>
      </w:r>
      <w:proofErr w:type="spellStart"/>
      <w:r w:rsidRPr="008540E8">
        <w:t>Alchemy</w:t>
      </w:r>
      <w:proofErr w:type="spellEnd"/>
      <w:r w:rsidRPr="008540E8">
        <w:t xml:space="preserve">, une innovation en matière de coloration capillaire pour des effets de couleur uniques basés sur son expertise de pointe en matière de technologie capillaire. Et </w:t>
      </w:r>
      <w:r w:rsidR="00015EEF">
        <w:t>au sein de l’activité</w:t>
      </w:r>
      <w:r w:rsidRPr="008540E8">
        <w:t xml:space="preserve"> Laundry &amp; Home Care, des gels nettoyants innovants pour lave-vaisselle ont été lancés sous la marque </w:t>
      </w:r>
      <w:proofErr w:type="spellStart"/>
      <w:r w:rsidRPr="008540E8">
        <w:t>Somat</w:t>
      </w:r>
      <w:proofErr w:type="spellEnd"/>
      <w:r w:rsidRPr="008540E8">
        <w:t>.</w:t>
      </w:r>
    </w:p>
    <w:p w14:paraId="42294F99" w14:textId="77777777" w:rsidR="00F937AE" w:rsidRPr="002919CE" w:rsidRDefault="00F937AE" w:rsidP="00295715">
      <w:pPr>
        <w:rPr>
          <w:rFonts w:cs="Segoe UI"/>
          <w:bCs/>
          <w:szCs w:val="22"/>
        </w:rPr>
      </w:pPr>
    </w:p>
    <w:p w14:paraId="5E64151D" w14:textId="101480B5" w:rsidR="005B1FD1" w:rsidRPr="008540E8" w:rsidRDefault="005B1FD1" w:rsidP="005B1FD1">
      <w:pPr>
        <w:rPr>
          <w:rFonts w:cs="Segoe UI"/>
          <w:bCs/>
          <w:szCs w:val="22"/>
        </w:rPr>
      </w:pPr>
      <w:r w:rsidRPr="008540E8">
        <w:t xml:space="preserve">En outre, Henkel a ancré davantage le </w:t>
      </w:r>
      <w:r w:rsidRPr="008540E8">
        <w:rPr>
          <w:b/>
        </w:rPr>
        <w:t>développement durable</w:t>
      </w:r>
      <w:r w:rsidRPr="008540E8">
        <w:t xml:space="preserve"> dans </w:t>
      </w:r>
      <w:r w:rsidR="00015EEF">
        <w:t>sa stratégie d’entreprise</w:t>
      </w:r>
      <w:r w:rsidRPr="008540E8">
        <w:t>. L’année dernière, Henkel a présenté son « Cadre d’ambition</w:t>
      </w:r>
      <w:r w:rsidR="00C9368F">
        <w:t>s</w:t>
      </w:r>
      <w:r w:rsidRPr="008540E8">
        <w:t xml:space="preserve"> de développement durable 2030+ » avec de nouvelles ambitions et de nouveaux objectifs. En 2022, Henkel a augmenté la proportion d’électricité provenant de sources renouvelables à </w:t>
      </w:r>
      <w:r w:rsidR="00015EEF">
        <w:t xml:space="preserve">hauteur de </w:t>
      </w:r>
      <w:r w:rsidRPr="008540E8">
        <w:t xml:space="preserve">70 %, ce qui rapproche l’entreprise de son ambition de mener des activités </w:t>
      </w:r>
      <w:r w:rsidR="00015EEF">
        <w:t xml:space="preserve">ayant une contribution positive </w:t>
      </w:r>
      <w:r w:rsidR="00E37F4F">
        <w:t>pour</w:t>
      </w:r>
      <w:r w:rsidR="00015EEF">
        <w:t xml:space="preserve"> </w:t>
      </w:r>
      <w:r w:rsidRPr="008540E8">
        <w:t>le climat d’ici 2030. Henkel a également renforcé l</w:t>
      </w:r>
      <w:r w:rsidR="00015EEF">
        <w:t>a d</w:t>
      </w:r>
      <w:r w:rsidR="00C9368F">
        <w:t>imension durable</w:t>
      </w:r>
      <w:r w:rsidR="00015EEF">
        <w:t xml:space="preserve"> </w:t>
      </w:r>
      <w:r w:rsidRPr="008540E8">
        <w:t xml:space="preserve">de son portefeuille de produits, par exemple en utilisant davantage de matières premières renouvelables et recyclées. Grâce à un partenariat avec BASF, Henkel vise à remplacer jusqu’à 110 000 tonnes de matières premières chimiques pour les produits de </w:t>
      </w:r>
      <w:r w:rsidR="00C9368F">
        <w:t xml:space="preserve">grande </w:t>
      </w:r>
      <w:r w:rsidRPr="008540E8">
        <w:t>consommation fabriqués en Europe par des matières premières renouvelables</w:t>
      </w:r>
      <w:r w:rsidR="00200BDF">
        <w:t xml:space="preserve"> (biomasse)</w:t>
      </w:r>
      <w:r w:rsidR="000D0A86">
        <w:t>,</w:t>
      </w:r>
      <w:r w:rsidRPr="008540E8">
        <w:t xml:space="preserve"> dans le cadre d’un</w:t>
      </w:r>
      <w:r w:rsidR="00754E82">
        <w:t xml:space="preserve"> process</w:t>
      </w:r>
      <w:r w:rsidR="00E853D8">
        <w:t>us</w:t>
      </w:r>
      <w:r w:rsidR="00754E82">
        <w:t xml:space="preserve"> de</w:t>
      </w:r>
      <w:r w:rsidR="000D0A86">
        <w:t xml:space="preserve"> bilan massique</w:t>
      </w:r>
      <w:r w:rsidRPr="008540E8">
        <w:t xml:space="preserve">. En outre, Henkel a également émis une </w:t>
      </w:r>
      <w:r w:rsidR="00E853D8">
        <w:t>nouvelle</w:t>
      </w:r>
      <w:r w:rsidRPr="008540E8">
        <w:t xml:space="preserve"> obligation d’un </w:t>
      </w:r>
      <w:r w:rsidR="00AE6C57">
        <w:t>montant</w:t>
      </w:r>
      <w:r w:rsidRPr="008540E8">
        <w:t xml:space="preserve"> de 650 millions d’euros, qui est liée à la réalisation d’objectifs de d</w:t>
      </w:r>
      <w:r w:rsidR="00015EEF">
        <w:t>éveloppement durable</w:t>
      </w:r>
      <w:r w:rsidRPr="008540E8">
        <w:t xml:space="preserve"> spécifiques.</w:t>
      </w:r>
    </w:p>
    <w:p w14:paraId="2CBB8EEE" w14:textId="77777777" w:rsidR="005B1FD1" w:rsidRPr="002919CE" w:rsidRDefault="005B1FD1" w:rsidP="005B1FD1">
      <w:pPr>
        <w:rPr>
          <w:rFonts w:cs="Segoe UI"/>
          <w:bCs/>
          <w:szCs w:val="22"/>
        </w:rPr>
      </w:pPr>
    </w:p>
    <w:p w14:paraId="69E2DBAF" w14:textId="7E541C45" w:rsidR="00295715" w:rsidRPr="008540E8" w:rsidRDefault="00CA74E7" w:rsidP="00295715">
      <w:pPr>
        <w:rPr>
          <w:rFonts w:cs="Segoe UI"/>
          <w:szCs w:val="22"/>
        </w:rPr>
      </w:pPr>
      <w:r w:rsidRPr="008540E8">
        <w:t xml:space="preserve">Henkel a également progressé </w:t>
      </w:r>
      <w:r w:rsidR="00015EEF">
        <w:t xml:space="preserve">en matière de </w:t>
      </w:r>
      <w:r w:rsidR="00015EEF" w:rsidRPr="00015EEF">
        <w:rPr>
          <w:b/>
          <w:bCs/>
        </w:rPr>
        <w:t>digital</w:t>
      </w:r>
      <w:r w:rsidRPr="008540E8">
        <w:t xml:space="preserve"> et a augmenté la part des ventes </w:t>
      </w:r>
      <w:r w:rsidR="00015EEF">
        <w:t>digitales</w:t>
      </w:r>
      <w:r w:rsidRPr="008540E8">
        <w:t xml:space="preserve"> dans les ventes du Groupe à plus de 20 %. En outre, les structures ont été optimisées au sein de l’</w:t>
      </w:r>
      <w:r w:rsidR="00015EEF">
        <w:t>entité dédiée au digital</w:t>
      </w:r>
      <w:r w:rsidRPr="008540E8">
        <w:t xml:space="preserve"> de l’entreprise, Henkel dx, et de nouvelles opportunités </w:t>
      </w:r>
      <w:r w:rsidRPr="008540E8">
        <w:lastRenderedPageBreak/>
        <w:t xml:space="preserve">commerciales ont été créées, la plateforme commerciale </w:t>
      </w:r>
      <w:r w:rsidR="00C9368F">
        <w:t xml:space="preserve">digitale </w:t>
      </w:r>
      <w:r w:rsidRPr="008540E8">
        <w:t>RAQN y ayant largement contribué.</w:t>
      </w:r>
    </w:p>
    <w:p w14:paraId="77EE40EE" w14:textId="77777777" w:rsidR="008D1AA9" w:rsidRPr="002919CE" w:rsidRDefault="008D1AA9" w:rsidP="00295715">
      <w:pPr>
        <w:rPr>
          <w:rFonts w:cs="Segoe UI"/>
          <w:szCs w:val="22"/>
          <w:lang w:eastAsia="de-DE"/>
        </w:rPr>
      </w:pPr>
    </w:p>
    <w:p w14:paraId="5C6BAC30" w14:textId="4C6397B9" w:rsidR="00564B38" w:rsidRPr="008540E8" w:rsidRDefault="00564B38" w:rsidP="00295715">
      <w:pPr>
        <w:rPr>
          <w:rFonts w:cs="Segoe UI"/>
          <w:szCs w:val="22"/>
        </w:rPr>
      </w:pPr>
      <w:r w:rsidRPr="008540E8">
        <w:t xml:space="preserve">En ce qui concerne les </w:t>
      </w:r>
      <w:r w:rsidRPr="008540E8">
        <w:rPr>
          <w:b/>
        </w:rPr>
        <w:t xml:space="preserve">modèles </w:t>
      </w:r>
      <w:r w:rsidR="00C9368F">
        <w:rPr>
          <w:b/>
        </w:rPr>
        <w:t>opérationnels</w:t>
      </w:r>
      <w:r w:rsidRPr="008540E8">
        <w:rPr>
          <w:b/>
        </w:rPr>
        <w:t xml:space="preserve"> prêts pour l’avenir</w:t>
      </w:r>
      <w:r w:rsidRPr="008540E8">
        <w:t xml:space="preserve">, l’accent a été mis en 2022 sur la fusion des </w:t>
      </w:r>
      <w:r w:rsidR="00015EEF">
        <w:t xml:space="preserve">branches </w:t>
      </w:r>
      <w:r w:rsidRPr="008540E8">
        <w:t>Laundry &amp; Home Care et Beauty Care.</w:t>
      </w:r>
    </w:p>
    <w:p w14:paraId="4E61F6A3" w14:textId="77777777" w:rsidR="00564B38" w:rsidRPr="002919CE" w:rsidRDefault="00564B38" w:rsidP="00295715">
      <w:pPr>
        <w:rPr>
          <w:rFonts w:cs="Segoe UI"/>
          <w:szCs w:val="22"/>
          <w:lang w:eastAsia="de-DE"/>
        </w:rPr>
      </w:pPr>
    </w:p>
    <w:p w14:paraId="72BF994F" w14:textId="399536C8" w:rsidR="00295715" w:rsidRPr="008540E8" w:rsidRDefault="00564B38" w:rsidP="00295715">
      <w:pPr>
        <w:rPr>
          <w:rFonts w:cs="Segoe UI"/>
          <w:szCs w:val="22"/>
        </w:rPr>
      </w:pPr>
      <w:r w:rsidRPr="008540E8">
        <w:t xml:space="preserve">En outre, la </w:t>
      </w:r>
      <w:r w:rsidRPr="008540E8">
        <w:rPr>
          <w:b/>
        </w:rPr>
        <w:t>culture d’entreprise</w:t>
      </w:r>
      <w:r w:rsidRPr="008540E8">
        <w:t xml:space="preserve"> a été renforcée - sur la base de l</w:t>
      </w:r>
      <w:r w:rsidR="00C9368F">
        <w:t>a raison d’être</w:t>
      </w:r>
      <w:r w:rsidRPr="008540E8">
        <w:t xml:space="preserve"> d</w:t>
      </w:r>
      <w:r w:rsidR="00C9368F">
        <w:t xml:space="preserve">u groupe </w:t>
      </w:r>
      <w:r w:rsidRPr="008540E8">
        <w:t>« </w:t>
      </w:r>
      <w:proofErr w:type="spellStart"/>
      <w:r w:rsidR="00015EEF">
        <w:t>Pioneers</w:t>
      </w:r>
      <w:proofErr w:type="spellEnd"/>
      <w:r w:rsidR="00015EEF">
        <w:t xml:space="preserve"> at </w:t>
      </w:r>
      <w:proofErr w:type="spellStart"/>
      <w:r w:rsidR="00015EEF">
        <w:t>Heart</w:t>
      </w:r>
      <w:proofErr w:type="spellEnd"/>
      <w:r w:rsidR="00015EEF">
        <w:t xml:space="preserve"> for the Good of </w:t>
      </w:r>
      <w:proofErr w:type="spellStart"/>
      <w:r w:rsidR="00015EEF">
        <w:t>Generations</w:t>
      </w:r>
      <w:proofErr w:type="spellEnd"/>
      <w:r w:rsidR="00015EEF">
        <w:t xml:space="preserve"> </w:t>
      </w:r>
      <w:r w:rsidRPr="008540E8">
        <w:t>» et des « </w:t>
      </w:r>
      <w:r w:rsidR="00015EEF">
        <w:t xml:space="preserve">Leadership </w:t>
      </w:r>
      <w:proofErr w:type="spellStart"/>
      <w:r w:rsidR="00015EEF">
        <w:t>Commitments</w:t>
      </w:r>
      <w:proofErr w:type="spellEnd"/>
      <w:r w:rsidRPr="008540E8">
        <w:t xml:space="preserve"> » établis par Henkel. À cet égard, Henkel a continué à mettre en œuvre de nouveaux programmes de formation et de développement, ainsi que le concept holistique </w:t>
      </w:r>
      <w:r w:rsidR="00C9368F">
        <w:t xml:space="preserve">de </w:t>
      </w:r>
      <w:r w:rsidR="00015EEF">
        <w:t>« </w:t>
      </w:r>
      <w:r w:rsidRPr="008540E8">
        <w:t>Smart Work</w:t>
      </w:r>
      <w:r w:rsidR="00015EEF">
        <w:t> »</w:t>
      </w:r>
      <w:r w:rsidRPr="008540E8">
        <w:t>, qui fournit un cadre global pour le</w:t>
      </w:r>
      <w:r w:rsidR="00015EEF">
        <w:t>s différents modes de travail</w:t>
      </w:r>
      <w:r w:rsidRPr="008540E8">
        <w:t>, l</w:t>
      </w:r>
      <w:r w:rsidR="00C9368F">
        <w:t>e design</w:t>
      </w:r>
      <w:r w:rsidRPr="008540E8">
        <w:t xml:space="preserve"> de l’environnement de travail et les initiatives </w:t>
      </w:r>
      <w:r w:rsidR="00015EEF">
        <w:t>contribuant au bien-être</w:t>
      </w:r>
      <w:r w:rsidRPr="008540E8">
        <w:t xml:space="preserve"> </w:t>
      </w:r>
      <w:r w:rsidR="00015EEF">
        <w:t>des</w:t>
      </w:r>
      <w:r w:rsidRPr="008540E8">
        <w:t xml:space="preserve"> employés.</w:t>
      </w:r>
    </w:p>
    <w:p w14:paraId="771B71A5" w14:textId="107692D9" w:rsidR="00406592" w:rsidRPr="002919CE" w:rsidRDefault="00406592">
      <w:pPr>
        <w:spacing w:line="240" w:lineRule="auto"/>
        <w:jc w:val="left"/>
        <w:rPr>
          <w:rStyle w:val="AboutandContactHeadline"/>
        </w:rPr>
      </w:pPr>
    </w:p>
    <w:p w14:paraId="5CC0D43A" w14:textId="703A0B08" w:rsidR="00564B38" w:rsidRPr="008540E8" w:rsidRDefault="00564B38" w:rsidP="00564B38">
      <w:pPr>
        <w:rPr>
          <w:rFonts w:cs="Segoe UI"/>
          <w:szCs w:val="22"/>
        </w:rPr>
      </w:pPr>
      <w:r w:rsidRPr="008540E8">
        <w:t xml:space="preserve">« Nous sommes profondément convaincus qu’avec </w:t>
      </w:r>
      <w:r w:rsidR="00AE6C57">
        <w:t xml:space="preserve">l’entité </w:t>
      </w:r>
      <w:r w:rsidRPr="008540E8">
        <w:t xml:space="preserve">Consumer Brands nous avons </w:t>
      </w:r>
      <w:r w:rsidR="00015EEF">
        <w:t>établi</w:t>
      </w:r>
      <w:r w:rsidRPr="008540E8">
        <w:t xml:space="preserve"> les bases d’une nouvelle croissance rentable de notre activité grand public et de l’ensemble de notre entreprise. Au sein d’</w:t>
      </w:r>
      <w:proofErr w:type="spellStart"/>
      <w:r w:rsidRPr="008540E8">
        <w:t>Adhesive</w:t>
      </w:r>
      <w:proofErr w:type="spellEnd"/>
      <w:r w:rsidRPr="008540E8">
        <w:t xml:space="preserve"> Technologies, nous nous concentrons systématiquement sur les tendances </w:t>
      </w:r>
      <w:r w:rsidR="00015EEF">
        <w:t xml:space="preserve">clés </w:t>
      </w:r>
      <w:r w:rsidRPr="008540E8">
        <w:t>d</w:t>
      </w:r>
      <w:r w:rsidR="00015EEF">
        <w:t>u développement durable</w:t>
      </w:r>
      <w:r w:rsidRPr="008540E8">
        <w:t xml:space="preserve">, de la mobilité et de la connectivité et nous voulons tirer parti de la position </w:t>
      </w:r>
      <w:r w:rsidR="00B1171B">
        <w:t xml:space="preserve">globale </w:t>
      </w:r>
      <w:r w:rsidRPr="008540E8">
        <w:t xml:space="preserve">de leader de cette </w:t>
      </w:r>
      <w:r w:rsidR="00015EEF">
        <w:t xml:space="preserve">entité </w:t>
      </w:r>
      <w:r w:rsidRPr="008540E8">
        <w:t>pour accroître davantage sa croissance et sa rentabilité dans les années à venir. Nous sommes donc bien positionnés. Nous avons la bonne stratégie et une équipe solide. Je suis convaincu que nous atteindrons nos objectifs ambitieux et que nous mettrons en œuvre avec succès notre p</w:t>
      </w:r>
      <w:r w:rsidR="00015EEF">
        <w:t xml:space="preserve">lan </w:t>
      </w:r>
      <w:r w:rsidRPr="008540E8">
        <w:t xml:space="preserve">de croissance ciblée », a résumé Carsten </w:t>
      </w:r>
      <w:proofErr w:type="spellStart"/>
      <w:r w:rsidRPr="008540E8">
        <w:t>Knobel</w:t>
      </w:r>
      <w:proofErr w:type="spellEnd"/>
      <w:r w:rsidRPr="008540E8">
        <w:t>.</w:t>
      </w:r>
    </w:p>
    <w:p w14:paraId="037A0F04" w14:textId="77777777" w:rsidR="00564B38" w:rsidRPr="002919CE" w:rsidRDefault="00564B38" w:rsidP="00564B38">
      <w:pPr>
        <w:rPr>
          <w:rFonts w:cs="Segoe UI"/>
          <w:b/>
          <w:bCs/>
          <w:szCs w:val="22"/>
        </w:rPr>
      </w:pPr>
    </w:p>
    <w:p w14:paraId="1532ECD3" w14:textId="77777777" w:rsidR="00015EEF" w:rsidRPr="00015EEF" w:rsidRDefault="00015EEF" w:rsidP="00015EEF">
      <w:pPr>
        <w:rPr>
          <w:rFonts w:ascii="Calibri" w:hAnsi="Calibri"/>
          <w:b/>
          <w:bCs/>
          <w:sz w:val="18"/>
          <w:szCs w:val="18"/>
        </w:rPr>
      </w:pPr>
      <w:r w:rsidRPr="00015EEF">
        <w:rPr>
          <w:b/>
          <w:bCs/>
          <w:sz w:val="18"/>
          <w:szCs w:val="18"/>
        </w:rPr>
        <w:t>A propos de Henkel</w:t>
      </w:r>
    </w:p>
    <w:p w14:paraId="5DB42162" w14:textId="6C6E93CF" w:rsidR="00015EEF" w:rsidRDefault="00015EEF" w:rsidP="00015EEF">
      <w:pPr>
        <w:rPr>
          <w:szCs w:val="22"/>
        </w:rPr>
      </w:pPr>
      <w:r w:rsidRPr="00015EEF">
        <w:rPr>
          <w:sz w:val="18"/>
          <w:szCs w:val="18"/>
        </w:rPr>
        <w:t xml:space="preserve">Grâce à ses marques, ses innovations et ses technologies, Henkel détient des positions mondiales fortes auprès des industriels comme des consommateurs. L’activité </w:t>
      </w:r>
      <w:proofErr w:type="spellStart"/>
      <w:r w:rsidRPr="00015EEF">
        <w:rPr>
          <w:sz w:val="18"/>
          <w:szCs w:val="18"/>
        </w:rPr>
        <w:t>Adhesive</w:t>
      </w:r>
      <w:proofErr w:type="spellEnd"/>
      <w:r w:rsidRPr="00015EEF">
        <w:rPr>
          <w:sz w:val="18"/>
          <w:szCs w:val="18"/>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015EEF">
        <w:rPr>
          <w:sz w:val="18"/>
          <w:szCs w:val="18"/>
        </w:rPr>
        <w:t>Loctite</w:t>
      </w:r>
      <w:proofErr w:type="spellEnd"/>
      <w:r w:rsidRPr="00015EEF">
        <w:rPr>
          <w:sz w:val="18"/>
          <w:szCs w:val="18"/>
        </w:rPr>
        <w:t xml:space="preserve">, Persil (Le Chat en France) et Schwarzkopf. En 2022, Henkel a réalisé un chiffre d’affaires de plus de 22 milliards d’EUR et un bénéfice d’exploitation ajusté d’environ 2,3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50 000 personnes à travers le monde – unies par une culture forte, des valeurs d’entreprise et une raison d’être partagées : « </w:t>
      </w:r>
      <w:proofErr w:type="spellStart"/>
      <w:r w:rsidRPr="00015EEF">
        <w:rPr>
          <w:sz w:val="18"/>
          <w:szCs w:val="18"/>
        </w:rPr>
        <w:t>Pioneers</w:t>
      </w:r>
      <w:proofErr w:type="spellEnd"/>
      <w:r w:rsidRPr="00015EEF">
        <w:rPr>
          <w:sz w:val="18"/>
          <w:szCs w:val="18"/>
        </w:rPr>
        <w:t xml:space="preserve"> at </w:t>
      </w:r>
      <w:proofErr w:type="spellStart"/>
      <w:r w:rsidRPr="00015EEF">
        <w:rPr>
          <w:sz w:val="18"/>
          <w:szCs w:val="18"/>
        </w:rPr>
        <w:t>heart</w:t>
      </w:r>
      <w:proofErr w:type="spellEnd"/>
      <w:r w:rsidRPr="00015EEF">
        <w:rPr>
          <w:sz w:val="18"/>
          <w:szCs w:val="18"/>
        </w:rPr>
        <w:t xml:space="preserve"> for the good of </w:t>
      </w:r>
      <w:proofErr w:type="spellStart"/>
      <w:r w:rsidRPr="00015EEF">
        <w:rPr>
          <w:sz w:val="18"/>
          <w:szCs w:val="18"/>
        </w:rPr>
        <w:t>generations</w:t>
      </w:r>
      <w:proofErr w:type="spellEnd"/>
      <w:r w:rsidRPr="00015EEF">
        <w:rPr>
          <w:sz w:val="18"/>
          <w:szCs w:val="18"/>
        </w:rPr>
        <w:t xml:space="preserve"> ». Pour en savoir plus, rendez-vous su</w:t>
      </w:r>
      <w:r w:rsidR="00CB7274">
        <w:rPr>
          <w:sz w:val="18"/>
          <w:szCs w:val="18"/>
        </w:rPr>
        <w:t xml:space="preserve">r </w:t>
      </w:r>
      <w:hyperlink r:id="rId12" w:history="1">
        <w:r w:rsidR="00CB7274" w:rsidRPr="00CB7274">
          <w:rPr>
            <w:rStyle w:val="Hyperlink"/>
          </w:rPr>
          <w:t>www.henkel.com</w:t>
        </w:r>
      </w:hyperlink>
    </w:p>
    <w:p w14:paraId="6CEF5CF0" w14:textId="77777777" w:rsidR="00B1171B" w:rsidRDefault="00B1171B" w:rsidP="00B1171B">
      <w:pPr>
        <w:spacing w:line="240" w:lineRule="auto"/>
        <w:jc w:val="left"/>
      </w:pPr>
    </w:p>
    <w:p w14:paraId="6970F9EB" w14:textId="1CE5407B" w:rsidR="006A6839" w:rsidRDefault="006A6839" w:rsidP="00B1171B">
      <w:pPr>
        <w:spacing w:line="240" w:lineRule="auto"/>
        <w:jc w:val="left"/>
      </w:pPr>
    </w:p>
    <w:p w14:paraId="66206F59" w14:textId="77777777" w:rsidR="00305812" w:rsidRDefault="00305812" w:rsidP="00B1171B">
      <w:pPr>
        <w:spacing w:line="240" w:lineRule="auto"/>
        <w:jc w:val="left"/>
      </w:pPr>
    </w:p>
    <w:p w14:paraId="3B644F39" w14:textId="77777777" w:rsidR="00305812" w:rsidRDefault="00305812" w:rsidP="00B1171B">
      <w:pPr>
        <w:spacing w:line="240" w:lineRule="auto"/>
        <w:jc w:val="left"/>
      </w:pPr>
    </w:p>
    <w:p w14:paraId="6123DE86" w14:textId="0FA7E19A" w:rsidR="00B1171B" w:rsidRPr="00CB7274" w:rsidRDefault="00CB7274" w:rsidP="00CB7274">
      <w:pPr>
        <w:spacing w:line="240" w:lineRule="auto"/>
        <w:jc w:val="left"/>
        <w:rPr>
          <w:rStyle w:val="AboutandContactBody"/>
          <w:b/>
          <w:bCs/>
          <w:color w:val="000000" w:themeColor="text1"/>
          <w:szCs w:val="18"/>
          <w:u w:val="single"/>
        </w:rPr>
      </w:pPr>
      <w:hyperlink r:id="rId13" w:history="1">
        <w:r w:rsidR="00B1171B" w:rsidRPr="00B1171B">
          <w:rPr>
            <w:rStyle w:val="Hyperlink"/>
            <w:b/>
            <w:bCs/>
            <w:color w:val="000000" w:themeColor="text1"/>
          </w:rPr>
          <w:t>Ce communiqué est une traduction du communiqué original en anglais.</w:t>
        </w:r>
      </w:hyperlink>
    </w:p>
    <w:sectPr w:rsidR="00B1171B" w:rsidRPr="00CB7274"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0B50" w14:textId="77777777" w:rsidR="002B16E7" w:rsidRDefault="002B16E7">
      <w:r>
        <w:separator/>
      </w:r>
    </w:p>
  </w:endnote>
  <w:endnote w:type="continuationSeparator" w:id="0">
    <w:p w14:paraId="0856E75B" w14:textId="77777777" w:rsidR="002B16E7" w:rsidRDefault="002B16E7">
      <w:r>
        <w:continuationSeparator/>
      </w:r>
    </w:p>
  </w:endnote>
  <w:endnote w:type="continuationNotice" w:id="1">
    <w:p w14:paraId="69A77D2A" w14:textId="77777777" w:rsidR="002B16E7" w:rsidRDefault="002B16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843" w14:textId="33201BDD" w:rsidR="00CF6F33" w:rsidRPr="00BF6E82" w:rsidRDefault="00CF6F33" w:rsidP="004D7D58">
    <w:pPr>
      <w:pStyle w:val="Footer"/>
      <w:tabs>
        <w:tab w:val="clear" w:pos="7083"/>
        <w:tab w:val="clear" w:pos="8640"/>
        <w:tab w:val="right" w:pos="9071"/>
      </w:tabs>
      <w:jc w:val="left"/>
    </w:pPr>
    <w:r>
      <w:t xml:space="preserve">Henkel AG &amp; Co. KGaA Page </w:t>
    </w:r>
    <w:r w:rsidR="005B5CFE" w:rsidRPr="00992A11">
      <w:fldChar w:fldCharType="begin"/>
    </w:r>
    <w:r w:rsidR="005B5CFE" w:rsidRPr="00992A11">
      <w:instrText xml:space="preserve"> PAGE  \* Arabic  \* MERGEFORMAT </w:instrText>
    </w:r>
    <w:r w:rsidR="005B5CFE" w:rsidRPr="00992A11">
      <w:fldChar w:fldCharType="separate"/>
    </w:r>
    <w:r w:rsidR="002919CE">
      <w:t>9</w:t>
    </w:r>
    <w:r w:rsidR="005B5CFE" w:rsidRPr="00992A11">
      <w:fldChar w:fldCharType="end"/>
    </w:r>
    <w:r>
      <w:t>/</w:t>
    </w:r>
    <w:r w:rsidR="00CB7274">
      <w:fldChar w:fldCharType="begin"/>
    </w:r>
    <w:r w:rsidR="00CB7274">
      <w:instrText xml:space="preserve"> NUMPAGES  \* Arabic  \* MERGEFORMAT </w:instrText>
    </w:r>
    <w:r w:rsidR="00CB7274">
      <w:fldChar w:fldCharType="separate"/>
    </w:r>
    <w:r w:rsidR="002919CE">
      <w:t>9</w:t>
    </w:r>
    <w:r w:rsidR="00CB727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8A23" w14:textId="303E2E6E" w:rsidR="00CF6F33" w:rsidRPr="00992A11" w:rsidRDefault="0059722C" w:rsidP="00992A11">
    <w:pPr>
      <w:pStyle w:val="Footer"/>
    </w:pPr>
    <w:r>
      <w:t xml:space="preserve">Page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8540E8">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8540E8">
      <w:t>9</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AAFA" w14:textId="77777777" w:rsidR="002B16E7" w:rsidRDefault="002B16E7">
      <w:r>
        <w:separator/>
      </w:r>
    </w:p>
  </w:footnote>
  <w:footnote w:type="continuationSeparator" w:id="0">
    <w:p w14:paraId="4B9855FA" w14:textId="77777777" w:rsidR="002B16E7" w:rsidRDefault="002B16E7">
      <w:r>
        <w:continuationSeparator/>
      </w:r>
    </w:p>
  </w:footnote>
  <w:footnote w:type="continuationNotice" w:id="1">
    <w:p w14:paraId="3183683D" w14:textId="77777777" w:rsidR="002B16E7" w:rsidRDefault="002B16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0721" w14:textId="2780795B" w:rsidR="00CF6F33" w:rsidRPr="00EB46D9" w:rsidRDefault="0059722C" w:rsidP="006362AD">
    <w:pPr>
      <w:pStyle w:val="Header"/>
    </w:pPr>
    <w:r>
      <w:rPr>
        <w:lang w:val="en-US"/>
      </w:rPr>
      <w:drawing>
        <wp:anchor distT="0" distB="0" distL="114300" distR="114300" simplePos="0" relativeHeight="251658241" behindDoc="0" locked="1" layoutInCell="1" allowOverlap="1" wp14:anchorId="728660EA" wp14:editId="06BC616B">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lang w:val="en-US"/>
      </w:rPr>
      <mc:AlternateContent>
        <mc:Choice Requires="wpg">
          <w:drawing>
            <wp:anchor distT="0" distB="0" distL="114300" distR="114300" simplePos="0" relativeHeight="251658240"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3DB8FB0"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0425787">
    <w:abstractNumId w:val="1"/>
  </w:num>
  <w:num w:numId="2" w16cid:durableId="224879080">
    <w:abstractNumId w:val="0"/>
  </w:num>
  <w:num w:numId="3" w16cid:durableId="1858883058">
    <w:abstractNumId w:val="6"/>
  </w:num>
  <w:num w:numId="4" w16cid:durableId="1218932164">
    <w:abstractNumId w:val="4"/>
  </w:num>
  <w:num w:numId="5" w16cid:durableId="1940521950">
    <w:abstractNumId w:val="2"/>
  </w:num>
  <w:num w:numId="6" w16cid:durableId="858156160">
    <w:abstractNumId w:val="5"/>
  </w:num>
  <w:num w:numId="7" w16cid:durableId="1323777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F27FF1"/>
    <w:rsid w:val="00002AA4"/>
    <w:rsid w:val="00005267"/>
    <w:rsid w:val="00006346"/>
    <w:rsid w:val="00006BB1"/>
    <w:rsid w:val="00011C19"/>
    <w:rsid w:val="00015EEF"/>
    <w:rsid w:val="00021C67"/>
    <w:rsid w:val="00030557"/>
    <w:rsid w:val="00030F51"/>
    <w:rsid w:val="00040CC9"/>
    <w:rsid w:val="00044785"/>
    <w:rsid w:val="00051E86"/>
    <w:rsid w:val="00053230"/>
    <w:rsid w:val="000542D8"/>
    <w:rsid w:val="00055BAE"/>
    <w:rsid w:val="000575F9"/>
    <w:rsid w:val="00060254"/>
    <w:rsid w:val="000618FC"/>
    <w:rsid w:val="00065C4C"/>
    <w:rsid w:val="00067071"/>
    <w:rsid w:val="000772CF"/>
    <w:rsid w:val="00080D10"/>
    <w:rsid w:val="000811DE"/>
    <w:rsid w:val="00093FB6"/>
    <w:rsid w:val="00094112"/>
    <w:rsid w:val="000B695A"/>
    <w:rsid w:val="000C210A"/>
    <w:rsid w:val="000C56DD"/>
    <w:rsid w:val="000C67A1"/>
    <w:rsid w:val="000D0A86"/>
    <w:rsid w:val="000D1672"/>
    <w:rsid w:val="000D2740"/>
    <w:rsid w:val="000E1188"/>
    <w:rsid w:val="000E2F62"/>
    <w:rsid w:val="000E38ED"/>
    <w:rsid w:val="000E7F24"/>
    <w:rsid w:val="000F03BE"/>
    <w:rsid w:val="000F225B"/>
    <w:rsid w:val="000F4451"/>
    <w:rsid w:val="000F625B"/>
    <w:rsid w:val="000F7FAF"/>
    <w:rsid w:val="00105975"/>
    <w:rsid w:val="00110193"/>
    <w:rsid w:val="00111F4D"/>
    <w:rsid w:val="00115230"/>
    <w:rsid w:val="00115B5F"/>
    <w:rsid w:val="001162B4"/>
    <w:rsid w:val="00117DB0"/>
    <w:rsid w:val="00122CBC"/>
    <w:rsid w:val="00126D4A"/>
    <w:rsid w:val="00127A64"/>
    <w:rsid w:val="00132DA9"/>
    <w:rsid w:val="0013305B"/>
    <w:rsid w:val="00133B99"/>
    <w:rsid w:val="001443BD"/>
    <w:rsid w:val="00145680"/>
    <w:rsid w:val="00150BB0"/>
    <w:rsid w:val="0015214C"/>
    <w:rsid w:val="00161862"/>
    <w:rsid w:val="001731CE"/>
    <w:rsid w:val="001745B9"/>
    <w:rsid w:val="00185BD9"/>
    <w:rsid w:val="00187E4E"/>
    <w:rsid w:val="00190CEB"/>
    <w:rsid w:val="001A0989"/>
    <w:rsid w:val="001B12FA"/>
    <w:rsid w:val="001B3769"/>
    <w:rsid w:val="001C0B32"/>
    <w:rsid w:val="001C4BE1"/>
    <w:rsid w:val="001D3EAA"/>
    <w:rsid w:val="001E0F71"/>
    <w:rsid w:val="001E3031"/>
    <w:rsid w:val="001E6D05"/>
    <w:rsid w:val="001E7C28"/>
    <w:rsid w:val="001F1BDF"/>
    <w:rsid w:val="001F7110"/>
    <w:rsid w:val="001F740D"/>
    <w:rsid w:val="001F7E96"/>
    <w:rsid w:val="00200BDF"/>
    <w:rsid w:val="002014B0"/>
    <w:rsid w:val="00202284"/>
    <w:rsid w:val="00212439"/>
    <w:rsid w:val="00212488"/>
    <w:rsid w:val="0021752F"/>
    <w:rsid w:val="00220628"/>
    <w:rsid w:val="00223075"/>
    <w:rsid w:val="00223EAE"/>
    <w:rsid w:val="002249B3"/>
    <w:rsid w:val="002304D2"/>
    <w:rsid w:val="00230569"/>
    <w:rsid w:val="002333E5"/>
    <w:rsid w:val="00236E2A"/>
    <w:rsid w:val="00237F62"/>
    <w:rsid w:val="00240F8A"/>
    <w:rsid w:val="002436D4"/>
    <w:rsid w:val="0024398A"/>
    <w:rsid w:val="0024586A"/>
    <w:rsid w:val="00254F65"/>
    <w:rsid w:val="00256F0C"/>
    <w:rsid w:val="002601C3"/>
    <w:rsid w:val="00262757"/>
    <w:rsid w:val="00262C05"/>
    <w:rsid w:val="0027160A"/>
    <w:rsid w:val="00273DA7"/>
    <w:rsid w:val="00275981"/>
    <w:rsid w:val="00276F9F"/>
    <w:rsid w:val="0028035A"/>
    <w:rsid w:val="00281D14"/>
    <w:rsid w:val="00282C13"/>
    <w:rsid w:val="00290CD3"/>
    <w:rsid w:val="002919CE"/>
    <w:rsid w:val="002946E7"/>
    <w:rsid w:val="00294CC6"/>
    <w:rsid w:val="00295715"/>
    <w:rsid w:val="002958B1"/>
    <w:rsid w:val="00295B5D"/>
    <w:rsid w:val="00295BC1"/>
    <w:rsid w:val="002A0DF7"/>
    <w:rsid w:val="002A1528"/>
    <w:rsid w:val="002A32B0"/>
    <w:rsid w:val="002A5AD9"/>
    <w:rsid w:val="002A60E0"/>
    <w:rsid w:val="002B16E7"/>
    <w:rsid w:val="002B7C01"/>
    <w:rsid w:val="002B7C38"/>
    <w:rsid w:val="002C0335"/>
    <w:rsid w:val="002C1B2D"/>
    <w:rsid w:val="002C252E"/>
    <w:rsid w:val="002C6773"/>
    <w:rsid w:val="002C6B5E"/>
    <w:rsid w:val="002D2A3D"/>
    <w:rsid w:val="002D533B"/>
    <w:rsid w:val="002D657C"/>
    <w:rsid w:val="002D6841"/>
    <w:rsid w:val="002E0B17"/>
    <w:rsid w:val="002E1100"/>
    <w:rsid w:val="002E40D3"/>
    <w:rsid w:val="002E4FFB"/>
    <w:rsid w:val="002E7DED"/>
    <w:rsid w:val="002F4AFD"/>
    <w:rsid w:val="002F7E11"/>
    <w:rsid w:val="00304087"/>
    <w:rsid w:val="00305812"/>
    <w:rsid w:val="003064C3"/>
    <w:rsid w:val="00310ACD"/>
    <w:rsid w:val="0031379F"/>
    <w:rsid w:val="00314913"/>
    <w:rsid w:val="00320A26"/>
    <w:rsid w:val="00321344"/>
    <w:rsid w:val="00321450"/>
    <w:rsid w:val="00325341"/>
    <w:rsid w:val="00326912"/>
    <w:rsid w:val="00327FEC"/>
    <w:rsid w:val="00330AEF"/>
    <w:rsid w:val="0033739A"/>
    <w:rsid w:val="003400F9"/>
    <w:rsid w:val="0034015C"/>
    <w:rsid w:val="003415E9"/>
    <w:rsid w:val="003442F4"/>
    <w:rsid w:val="00350F04"/>
    <w:rsid w:val="00353705"/>
    <w:rsid w:val="003562E8"/>
    <w:rsid w:val="00362ACF"/>
    <w:rsid w:val="0036357D"/>
    <w:rsid w:val="003649BC"/>
    <w:rsid w:val="00365E44"/>
    <w:rsid w:val="00367AA1"/>
    <w:rsid w:val="00372E36"/>
    <w:rsid w:val="00376EE9"/>
    <w:rsid w:val="00377CBB"/>
    <w:rsid w:val="00382B01"/>
    <w:rsid w:val="00383810"/>
    <w:rsid w:val="003840D8"/>
    <w:rsid w:val="003850D3"/>
    <w:rsid w:val="003877B6"/>
    <w:rsid w:val="00393887"/>
    <w:rsid w:val="00394C6B"/>
    <w:rsid w:val="003977A6"/>
    <w:rsid w:val="003A4E62"/>
    <w:rsid w:val="003A7C4B"/>
    <w:rsid w:val="003B003E"/>
    <w:rsid w:val="003B1069"/>
    <w:rsid w:val="003B326A"/>
    <w:rsid w:val="003B390A"/>
    <w:rsid w:val="003B5697"/>
    <w:rsid w:val="003C0249"/>
    <w:rsid w:val="003C15DE"/>
    <w:rsid w:val="003C18AB"/>
    <w:rsid w:val="003C4EB2"/>
    <w:rsid w:val="003D5B33"/>
    <w:rsid w:val="003D7725"/>
    <w:rsid w:val="003E32CD"/>
    <w:rsid w:val="003E7458"/>
    <w:rsid w:val="003F1AF3"/>
    <w:rsid w:val="003F3A43"/>
    <w:rsid w:val="003F4D8D"/>
    <w:rsid w:val="003F653D"/>
    <w:rsid w:val="0040040A"/>
    <w:rsid w:val="00406592"/>
    <w:rsid w:val="0042101B"/>
    <w:rsid w:val="0042796C"/>
    <w:rsid w:val="004313E7"/>
    <w:rsid w:val="00431CEA"/>
    <w:rsid w:val="0044763B"/>
    <w:rsid w:val="00450243"/>
    <w:rsid w:val="00452BFE"/>
    <w:rsid w:val="00453E99"/>
    <w:rsid w:val="004540FE"/>
    <w:rsid w:val="00454AE9"/>
    <w:rsid w:val="004629B3"/>
    <w:rsid w:val="0046376E"/>
    <w:rsid w:val="0046690F"/>
    <w:rsid w:val="0047224B"/>
    <w:rsid w:val="00472FEC"/>
    <w:rsid w:val="004747D8"/>
    <w:rsid w:val="00477934"/>
    <w:rsid w:val="004823E4"/>
    <w:rsid w:val="00485334"/>
    <w:rsid w:val="004863FF"/>
    <w:rsid w:val="004874BA"/>
    <w:rsid w:val="00490A03"/>
    <w:rsid w:val="00490CFE"/>
    <w:rsid w:val="00493327"/>
    <w:rsid w:val="00494DBE"/>
    <w:rsid w:val="00495CE6"/>
    <w:rsid w:val="004A1D94"/>
    <w:rsid w:val="004A323C"/>
    <w:rsid w:val="004A4F37"/>
    <w:rsid w:val="004A6AD7"/>
    <w:rsid w:val="004A6F00"/>
    <w:rsid w:val="004B54E8"/>
    <w:rsid w:val="004C02B5"/>
    <w:rsid w:val="004C09EC"/>
    <w:rsid w:val="004C4FEB"/>
    <w:rsid w:val="004C6B79"/>
    <w:rsid w:val="004D059B"/>
    <w:rsid w:val="004D282D"/>
    <w:rsid w:val="004D3AA6"/>
    <w:rsid w:val="004D4CB6"/>
    <w:rsid w:val="004D7D58"/>
    <w:rsid w:val="004E18C1"/>
    <w:rsid w:val="004E18C9"/>
    <w:rsid w:val="004E3341"/>
    <w:rsid w:val="004E4FE6"/>
    <w:rsid w:val="004E5170"/>
    <w:rsid w:val="004F10C1"/>
    <w:rsid w:val="00502E62"/>
    <w:rsid w:val="00505522"/>
    <w:rsid w:val="0050762C"/>
    <w:rsid w:val="00513DB0"/>
    <w:rsid w:val="0052212B"/>
    <w:rsid w:val="00533F73"/>
    <w:rsid w:val="00534899"/>
    <w:rsid w:val="00534B46"/>
    <w:rsid w:val="00534DCB"/>
    <w:rsid w:val="00535284"/>
    <w:rsid w:val="00540358"/>
    <w:rsid w:val="0054573C"/>
    <w:rsid w:val="0055571E"/>
    <w:rsid w:val="00556F67"/>
    <w:rsid w:val="005576B0"/>
    <w:rsid w:val="00561313"/>
    <w:rsid w:val="00563834"/>
    <w:rsid w:val="00564B38"/>
    <w:rsid w:val="00573A36"/>
    <w:rsid w:val="00575823"/>
    <w:rsid w:val="00576654"/>
    <w:rsid w:val="00583051"/>
    <w:rsid w:val="005833F0"/>
    <w:rsid w:val="00583404"/>
    <w:rsid w:val="005856B9"/>
    <w:rsid w:val="00586CAF"/>
    <w:rsid w:val="00591180"/>
    <w:rsid w:val="00595C06"/>
    <w:rsid w:val="0059722C"/>
    <w:rsid w:val="00597B54"/>
    <w:rsid w:val="00597D07"/>
    <w:rsid w:val="005A0561"/>
    <w:rsid w:val="005A3846"/>
    <w:rsid w:val="005B17E1"/>
    <w:rsid w:val="005B1FD1"/>
    <w:rsid w:val="005B3AB0"/>
    <w:rsid w:val="005B5CFE"/>
    <w:rsid w:val="005B6A58"/>
    <w:rsid w:val="005C0425"/>
    <w:rsid w:val="005C7112"/>
    <w:rsid w:val="005D0561"/>
    <w:rsid w:val="005D0AD9"/>
    <w:rsid w:val="005D22F6"/>
    <w:rsid w:val="005E0C30"/>
    <w:rsid w:val="005E3772"/>
    <w:rsid w:val="005E69D9"/>
    <w:rsid w:val="005F27F4"/>
    <w:rsid w:val="005F3239"/>
    <w:rsid w:val="005F6567"/>
    <w:rsid w:val="006046D6"/>
    <w:rsid w:val="00606089"/>
    <w:rsid w:val="00607256"/>
    <w:rsid w:val="006144B1"/>
    <w:rsid w:val="00615ABA"/>
    <w:rsid w:val="0062593D"/>
    <w:rsid w:val="00630F44"/>
    <w:rsid w:val="006335F1"/>
    <w:rsid w:val="00633E30"/>
    <w:rsid w:val="00634135"/>
    <w:rsid w:val="006345B6"/>
    <w:rsid w:val="00635712"/>
    <w:rsid w:val="006362AD"/>
    <w:rsid w:val="00643D8A"/>
    <w:rsid w:val="006444AF"/>
    <w:rsid w:val="00650722"/>
    <w:rsid w:val="00652021"/>
    <w:rsid w:val="00652229"/>
    <w:rsid w:val="00652793"/>
    <w:rsid w:val="00657FB6"/>
    <w:rsid w:val="006626CA"/>
    <w:rsid w:val="00663487"/>
    <w:rsid w:val="00665FA0"/>
    <w:rsid w:val="00670D3C"/>
    <w:rsid w:val="00672382"/>
    <w:rsid w:val="00672E10"/>
    <w:rsid w:val="00677F8A"/>
    <w:rsid w:val="00682EB9"/>
    <w:rsid w:val="0068441A"/>
    <w:rsid w:val="0068728E"/>
    <w:rsid w:val="00690B19"/>
    <w:rsid w:val="00695F34"/>
    <w:rsid w:val="006972BC"/>
    <w:rsid w:val="006A0A3C"/>
    <w:rsid w:val="006A42A9"/>
    <w:rsid w:val="006A6839"/>
    <w:rsid w:val="006A79F0"/>
    <w:rsid w:val="006B1888"/>
    <w:rsid w:val="006B499F"/>
    <w:rsid w:val="006B50E6"/>
    <w:rsid w:val="006C1121"/>
    <w:rsid w:val="006C6AEB"/>
    <w:rsid w:val="006D251E"/>
    <w:rsid w:val="006D4996"/>
    <w:rsid w:val="006D54AB"/>
    <w:rsid w:val="006D6E15"/>
    <w:rsid w:val="006E0FDB"/>
    <w:rsid w:val="006E3006"/>
    <w:rsid w:val="006E5032"/>
    <w:rsid w:val="006E5BDA"/>
    <w:rsid w:val="006F099D"/>
    <w:rsid w:val="006F0FC7"/>
    <w:rsid w:val="006F670F"/>
    <w:rsid w:val="00703272"/>
    <w:rsid w:val="007034D7"/>
    <w:rsid w:val="007062CE"/>
    <w:rsid w:val="0070733C"/>
    <w:rsid w:val="00710C5D"/>
    <w:rsid w:val="00711653"/>
    <w:rsid w:val="0071348C"/>
    <w:rsid w:val="0071535E"/>
    <w:rsid w:val="00716A39"/>
    <w:rsid w:val="00717273"/>
    <w:rsid w:val="007177D2"/>
    <w:rsid w:val="00720FD4"/>
    <w:rsid w:val="00721643"/>
    <w:rsid w:val="00721A98"/>
    <w:rsid w:val="007241E7"/>
    <w:rsid w:val="00724AF2"/>
    <w:rsid w:val="0073096C"/>
    <w:rsid w:val="00732921"/>
    <w:rsid w:val="0073342D"/>
    <w:rsid w:val="007334EE"/>
    <w:rsid w:val="00735F7D"/>
    <w:rsid w:val="007365F6"/>
    <w:rsid w:val="00740131"/>
    <w:rsid w:val="00742398"/>
    <w:rsid w:val="00747C37"/>
    <w:rsid w:val="007507B5"/>
    <w:rsid w:val="00753A24"/>
    <w:rsid w:val="00754B91"/>
    <w:rsid w:val="00754D7A"/>
    <w:rsid w:val="00754E82"/>
    <w:rsid w:val="00760637"/>
    <w:rsid w:val="0076759B"/>
    <w:rsid w:val="00767C62"/>
    <w:rsid w:val="00772188"/>
    <w:rsid w:val="00772703"/>
    <w:rsid w:val="007813D0"/>
    <w:rsid w:val="00783912"/>
    <w:rsid w:val="007844D2"/>
    <w:rsid w:val="00785993"/>
    <w:rsid w:val="00786BA3"/>
    <w:rsid w:val="0079202F"/>
    <w:rsid w:val="00794E7D"/>
    <w:rsid w:val="00795AF2"/>
    <w:rsid w:val="007A0FF6"/>
    <w:rsid w:val="007A33FD"/>
    <w:rsid w:val="007A4432"/>
    <w:rsid w:val="007A531B"/>
    <w:rsid w:val="007A784E"/>
    <w:rsid w:val="007B499C"/>
    <w:rsid w:val="007B4D4B"/>
    <w:rsid w:val="007B6F8D"/>
    <w:rsid w:val="007C3520"/>
    <w:rsid w:val="007C489B"/>
    <w:rsid w:val="007C499E"/>
    <w:rsid w:val="007D2A02"/>
    <w:rsid w:val="007D384C"/>
    <w:rsid w:val="007D6168"/>
    <w:rsid w:val="007E6EA1"/>
    <w:rsid w:val="007F0F63"/>
    <w:rsid w:val="007F2B1E"/>
    <w:rsid w:val="007F62B4"/>
    <w:rsid w:val="0080044D"/>
    <w:rsid w:val="00801517"/>
    <w:rsid w:val="00802AFB"/>
    <w:rsid w:val="00817AE8"/>
    <w:rsid w:val="00817DE8"/>
    <w:rsid w:val="008229F5"/>
    <w:rsid w:val="00824D55"/>
    <w:rsid w:val="0082699A"/>
    <w:rsid w:val="00833CEB"/>
    <w:rsid w:val="00835CAB"/>
    <w:rsid w:val="00836F33"/>
    <w:rsid w:val="008372D2"/>
    <w:rsid w:val="008377BC"/>
    <w:rsid w:val="00840C3E"/>
    <w:rsid w:val="00844C17"/>
    <w:rsid w:val="00845D29"/>
    <w:rsid w:val="00847726"/>
    <w:rsid w:val="00847BFD"/>
    <w:rsid w:val="00852511"/>
    <w:rsid w:val="00853BD4"/>
    <w:rsid w:val="008540E8"/>
    <w:rsid w:val="00857390"/>
    <w:rsid w:val="00857FB7"/>
    <w:rsid w:val="008614F1"/>
    <w:rsid w:val="008639B3"/>
    <w:rsid w:val="00863C1A"/>
    <w:rsid w:val="0087142D"/>
    <w:rsid w:val="00873956"/>
    <w:rsid w:val="0087407D"/>
    <w:rsid w:val="00877110"/>
    <w:rsid w:val="00877602"/>
    <w:rsid w:val="00880611"/>
    <w:rsid w:val="00881A56"/>
    <w:rsid w:val="008825EE"/>
    <w:rsid w:val="0088596E"/>
    <w:rsid w:val="00890532"/>
    <w:rsid w:val="00892702"/>
    <w:rsid w:val="008962FA"/>
    <w:rsid w:val="0089796A"/>
    <w:rsid w:val="008A2375"/>
    <w:rsid w:val="008A24FC"/>
    <w:rsid w:val="008A3B2C"/>
    <w:rsid w:val="008A7219"/>
    <w:rsid w:val="008C02C0"/>
    <w:rsid w:val="008D1AA9"/>
    <w:rsid w:val="008D5BE8"/>
    <w:rsid w:val="008D76C5"/>
    <w:rsid w:val="008D7B87"/>
    <w:rsid w:val="008E0AFA"/>
    <w:rsid w:val="008E75D3"/>
    <w:rsid w:val="008F0292"/>
    <w:rsid w:val="008F125E"/>
    <w:rsid w:val="008F42BA"/>
    <w:rsid w:val="008F4D2F"/>
    <w:rsid w:val="008F677C"/>
    <w:rsid w:val="009036C9"/>
    <w:rsid w:val="009067AF"/>
    <w:rsid w:val="00917162"/>
    <w:rsid w:val="009221D8"/>
    <w:rsid w:val="00924EB8"/>
    <w:rsid w:val="009251CC"/>
    <w:rsid w:val="00926E17"/>
    <w:rsid w:val="0092714E"/>
    <w:rsid w:val="00937A98"/>
    <w:rsid w:val="00942002"/>
    <w:rsid w:val="00947885"/>
    <w:rsid w:val="00952168"/>
    <w:rsid w:val="009527FE"/>
    <w:rsid w:val="00961C72"/>
    <w:rsid w:val="00963F25"/>
    <w:rsid w:val="009707D9"/>
    <w:rsid w:val="009714F3"/>
    <w:rsid w:val="009739A0"/>
    <w:rsid w:val="00974F84"/>
    <w:rsid w:val="009767C7"/>
    <w:rsid w:val="0098147B"/>
    <w:rsid w:val="0098579A"/>
    <w:rsid w:val="00986EF8"/>
    <w:rsid w:val="0099195A"/>
    <w:rsid w:val="00992A11"/>
    <w:rsid w:val="00994681"/>
    <w:rsid w:val="0099486A"/>
    <w:rsid w:val="00997DC6"/>
    <w:rsid w:val="009A0E26"/>
    <w:rsid w:val="009A16EC"/>
    <w:rsid w:val="009A5367"/>
    <w:rsid w:val="009B061F"/>
    <w:rsid w:val="009B3B37"/>
    <w:rsid w:val="009B7D1F"/>
    <w:rsid w:val="009C088E"/>
    <w:rsid w:val="009C3E7B"/>
    <w:rsid w:val="009C4D35"/>
    <w:rsid w:val="009C6A37"/>
    <w:rsid w:val="009D1522"/>
    <w:rsid w:val="009E4279"/>
    <w:rsid w:val="009E5EB4"/>
    <w:rsid w:val="009F15E4"/>
    <w:rsid w:val="009F1F5D"/>
    <w:rsid w:val="00A01A7E"/>
    <w:rsid w:val="00A044D6"/>
    <w:rsid w:val="00A04ADB"/>
    <w:rsid w:val="00A11621"/>
    <w:rsid w:val="00A11E0F"/>
    <w:rsid w:val="00A233BC"/>
    <w:rsid w:val="00A24FBF"/>
    <w:rsid w:val="00A26CB6"/>
    <w:rsid w:val="00A31A1D"/>
    <w:rsid w:val="00A32F82"/>
    <w:rsid w:val="00A32F8B"/>
    <w:rsid w:val="00A34D35"/>
    <w:rsid w:val="00A35469"/>
    <w:rsid w:val="00A36154"/>
    <w:rsid w:val="00A3756F"/>
    <w:rsid w:val="00A42D6F"/>
    <w:rsid w:val="00A43ACC"/>
    <w:rsid w:val="00A45A62"/>
    <w:rsid w:val="00A54AC5"/>
    <w:rsid w:val="00A55DC3"/>
    <w:rsid w:val="00A56D41"/>
    <w:rsid w:val="00A61353"/>
    <w:rsid w:val="00A615A8"/>
    <w:rsid w:val="00A62AA2"/>
    <w:rsid w:val="00A63B18"/>
    <w:rsid w:val="00A654C0"/>
    <w:rsid w:val="00A658E7"/>
    <w:rsid w:val="00A66DB1"/>
    <w:rsid w:val="00A67A92"/>
    <w:rsid w:val="00A73DF0"/>
    <w:rsid w:val="00A75B01"/>
    <w:rsid w:val="00A8294B"/>
    <w:rsid w:val="00A87870"/>
    <w:rsid w:val="00A91A70"/>
    <w:rsid w:val="00A9535D"/>
    <w:rsid w:val="00A97390"/>
    <w:rsid w:val="00AA1854"/>
    <w:rsid w:val="00AA1B85"/>
    <w:rsid w:val="00AB1CB6"/>
    <w:rsid w:val="00AB1D9A"/>
    <w:rsid w:val="00AB26D7"/>
    <w:rsid w:val="00AB59CC"/>
    <w:rsid w:val="00AC3CAA"/>
    <w:rsid w:val="00AD44FE"/>
    <w:rsid w:val="00AE49F1"/>
    <w:rsid w:val="00AE6C57"/>
    <w:rsid w:val="00AE7752"/>
    <w:rsid w:val="00AF79E9"/>
    <w:rsid w:val="00B04609"/>
    <w:rsid w:val="00B053E3"/>
    <w:rsid w:val="00B05CCA"/>
    <w:rsid w:val="00B1171B"/>
    <w:rsid w:val="00B14271"/>
    <w:rsid w:val="00B14B85"/>
    <w:rsid w:val="00B15676"/>
    <w:rsid w:val="00B16270"/>
    <w:rsid w:val="00B17A51"/>
    <w:rsid w:val="00B26265"/>
    <w:rsid w:val="00B2685D"/>
    <w:rsid w:val="00B30351"/>
    <w:rsid w:val="00B33C2A"/>
    <w:rsid w:val="00B41F9C"/>
    <w:rsid w:val="00B422EC"/>
    <w:rsid w:val="00B43CE3"/>
    <w:rsid w:val="00B47C34"/>
    <w:rsid w:val="00B53CF2"/>
    <w:rsid w:val="00B54A6C"/>
    <w:rsid w:val="00B6283F"/>
    <w:rsid w:val="00B62D6C"/>
    <w:rsid w:val="00B7211F"/>
    <w:rsid w:val="00B72466"/>
    <w:rsid w:val="00B726D4"/>
    <w:rsid w:val="00B73BB6"/>
    <w:rsid w:val="00B80B7B"/>
    <w:rsid w:val="00B8214F"/>
    <w:rsid w:val="00B851DB"/>
    <w:rsid w:val="00B86A4F"/>
    <w:rsid w:val="00B928B7"/>
    <w:rsid w:val="00B93035"/>
    <w:rsid w:val="00B958E8"/>
    <w:rsid w:val="00BA09B2"/>
    <w:rsid w:val="00BA5521"/>
    <w:rsid w:val="00BA5B46"/>
    <w:rsid w:val="00BB11EA"/>
    <w:rsid w:val="00BB6BB8"/>
    <w:rsid w:val="00BC0995"/>
    <w:rsid w:val="00BC64ED"/>
    <w:rsid w:val="00BD3DF3"/>
    <w:rsid w:val="00BD78F0"/>
    <w:rsid w:val="00BE5D03"/>
    <w:rsid w:val="00BE793A"/>
    <w:rsid w:val="00BF2B82"/>
    <w:rsid w:val="00BF432A"/>
    <w:rsid w:val="00BF6E82"/>
    <w:rsid w:val="00C060C7"/>
    <w:rsid w:val="00C10DB0"/>
    <w:rsid w:val="00C21375"/>
    <w:rsid w:val="00C24C17"/>
    <w:rsid w:val="00C27EA9"/>
    <w:rsid w:val="00C321E1"/>
    <w:rsid w:val="00C40B88"/>
    <w:rsid w:val="00C42E72"/>
    <w:rsid w:val="00C47D87"/>
    <w:rsid w:val="00C5376E"/>
    <w:rsid w:val="00C54882"/>
    <w:rsid w:val="00C71109"/>
    <w:rsid w:val="00C726B9"/>
    <w:rsid w:val="00C816A8"/>
    <w:rsid w:val="00C8173A"/>
    <w:rsid w:val="00C9368F"/>
    <w:rsid w:val="00C97091"/>
    <w:rsid w:val="00C97260"/>
    <w:rsid w:val="00CA2001"/>
    <w:rsid w:val="00CA602B"/>
    <w:rsid w:val="00CA74E7"/>
    <w:rsid w:val="00CB5B6C"/>
    <w:rsid w:val="00CB7274"/>
    <w:rsid w:val="00CC0F98"/>
    <w:rsid w:val="00CC2094"/>
    <w:rsid w:val="00CC56CC"/>
    <w:rsid w:val="00CC6C55"/>
    <w:rsid w:val="00CC715B"/>
    <w:rsid w:val="00CD16BE"/>
    <w:rsid w:val="00CD4616"/>
    <w:rsid w:val="00CE0E81"/>
    <w:rsid w:val="00CE33D5"/>
    <w:rsid w:val="00CF445E"/>
    <w:rsid w:val="00CF5D37"/>
    <w:rsid w:val="00CF6F33"/>
    <w:rsid w:val="00D02248"/>
    <w:rsid w:val="00D02B40"/>
    <w:rsid w:val="00D05A37"/>
    <w:rsid w:val="00D063B8"/>
    <w:rsid w:val="00D06675"/>
    <w:rsid w:val="00D06825"/>
    <w:rsid w:val="00D15AA3"/>
    <w:rsid w:val="00D17E3B"/>
    <w:rsid w:val="00D23C09"/>
    <w:rsid w:val="00D23CED"/>
    <w:rsid w:val="00D24BD2"/>
    <w:rsid w:val="00D2573D"/>
    <w:rsid w:val="00D260A2"/>
    <w:rsid w:val="00D30CC6"/>
    <w:rsid w:val="00D3260C"/>
    <w:rsid w:val="00D35790"/>
    <w:rsid w:val="00D360F1"/>
    <w:rsid w:val="00D424E9"/>
    <w:rsid w:val="00D5653B"/>
    <w:rsid w:val="00D62EF1"/>
    <w:rsid w:val="00D6309D"/>
    <w:rsid w:val="00D644CA"/>
    <w:rsid w:val="00D66FC2"/>
    <w:rsid w:val="00D718B1"/>
    <w:rsid w:val="00D73897"/>
    <w:rsid w:val="00D748A7"/>
    <w:rsid w:val="00D76C7E"/>
    <w:rsid w:val="00D7776D"/>
    <w:rsid w:val="00D814CD"/>
    <w:rsid w:val="00D83A0C"/>
    <w:rsid w:val="00D9293F"/>
    <w:rsid w:val="00D93168"/>
    <w:rsid w:val="00D93598"/>
    <w:rsid w:val="00D96CBF"/>
    <w:rsid w:val="00D97EAD"/>
    <w:rsid w:val="00DA1E18"/>
    <w:rsid w:val="00DA2009"/>
    <w:rsid w:val="00DA4A28"/>
    <w:rsid w:val="00DB05B1"/>
    <w:rsid w:val="00DB5A79"/>
    <w:rsid w:val="00DB6420"/>
    <w:rsid w:val="00DD4874"/>
    <w:rsid w:val="00DD512E"/>
    <w:rsid w:val="00DE1177"/>
    <w:rsid w:val="00DE2CEA"/>
    <w:rsid w:val="00DE6A3C"/>
    <w:rsid w:val="00DE74F4"/>
    <w:rsid w:val="00DE7F97"/>
    <w:rsid w:val="00DF1010"/>
    <w:rsid w:val="00DF2F5B"/>
    <w:rsid w:val="00DF5AEA"/>
    <w:rsid w:val="00DF5CFC"/>
    <w:rsid w:val="00DF63F6"/>
    <w:rsid w:val="00DF7D7B"/>
    <w:rsid w:val="00E01AF5"/>
    <w:rsid w:val="00E060CB"/>
    <w:rsid w:val="00E075D3"/>
    <w:rsid w:val="00E13747"/>
    <w:rsid w:val="00E153FB"/>
    <w:rsid w:val="00E253A0"/>
    <w:rsid w:val="00E25AEA"/>
    <w:rsid w:val="00E30DEF"/>
    <w:rsid w:val="00E30ED2"/>
    <w:rsid w:val="00E31276"/>
    <w:rsid w:val="00E37F4F"/>
    <w:rsid w:val="00E37F70"/>
    <w:rsid w:val="00E43351"/>
    <w:rsid w:val="00E4411C"/>
    <w:rsid w:val="00E4417F"/>
    <w:rsid w:val="00E446C1"/>
    <w:rsid w:val="00E47A27"/>
    <w:rsid w:val="00E548CF"/>
    <w:rsid w:val="00E549ED"/>
    <w:rsid w:val="00E61244"/>
    <w:rsid w:val="00E7387A"/>
    <w:rsid w:val="00E758B9"/>
    <w:rsid w:val="00E75CFE"/>
    <w:rsid w:val="00E808B5"/>
    <w:rsid w:val="00E853D8"/>
    <w:rsid w:val="00E85569"/>
    <w:rsid w:val="00E856AF"/>
    <w:rsid w:val="00E86B83"/>
    <w:rsid w:val="00E87C64"/>
    <w:rsid w:val="00E906B4"/>
    <w:rsid w:val="00E906D7"/>
    <w:rsid w:val="00E915DB"/>
    <w:rsid w:val="00E91869"/>
    <w:rsid w:val="00E93A01"/>
    <w:rsid w:val="00E93FF8"/>
    <w:rsid w:val="00E969F8"/>
    <w:rsid w:val="00E96EAF"/>
    <w:rsid w:val="00EA1752"/>
    <w:rsid w:val="00EA25AE"/>
    <w:rsid w:val="00EA47F0"/>
    <w:rsid w:val="00EA5A89"/>
    <w:rsid w:val="00EA5BDB"/>
    <w:rsid w:val="00EA7C98"/>
    <w:rsid w:val="00EB1A62"/>
    <w:rsid w:val="00EB46D9"/>
    <w:rsid w:val="00EC0509"/>
    <w:rsid w:val="00EC0F98"/>
    <w:rsid w:val="00EC142D"/>
    <w:rsid w:val="00EC1E16"/>
    <w:rsid w:val="00ED0F85"/>
    <w:rsid w:val="00ED2B5C"/>
    <w:rsid w:val="00ED3269"/>
    <w:rsid w:val="00EE1A8C"/>
    <w:rsid w:val="00EF06C5"/>
    <w:rsid w:val="00EF15FF"/>
    <w:rsid w:val="00EF7111"/>
    <w:rsid w:val="00EF7D1A"/>
    <w:rsid w:val="00F016EC"/>
    <w:rsid w:val="00F0292F"/>
    <w:rsid w:val="00F035A7"/>
    <w:rsid w:val="00F0448F"/>
    <w:rsid w:val="00F13DDF"/>
    <w:rsid w:val="00F14509"/>
    <w:rsid w:val="00F152B7"/>
    <w:rsid w:val="00F16FB6"/>
    <w:rsid w:val="00F2646F"/>
    <w:rsid w:val="00F270E9"/>
    <w:rsid w:val="00F275C0"/>
    <w:rsid w:val="00F27FF1"/>
    <w:rsid w:val="00F346B6"/>
    <w:rsid w:val="00F36145"/>
    <w:rsid w:val="00F37BDD"/>
    <w:rsid w:val="00F41503"/>
    <w:rsid w:val="00F466C8"/>
    <w:rsid w:val="00F469A9"/>
    <w:rsid w:val="00F50B46"/>
    <w:rsid w:val="00F50D1F"/>
    <w:rsid w:val="00F635FC"/>
    <w:rsid w:val="00F63D03"/>
    <w:rsid w:val="00F65C29"/>
    <w:rsid w:val="00F65E2F"/>
    <w:rsid w:val="00F668D8"/>
    <w:rsid w:val="00F67DF1"/>
    <w:rsid w:val="00F73993"/>
    <w:rsid w:val="00F8309B"/>
    <w:rsid w:val="00F833C9"/>
    <w:rsid w:val="00F83CAB"/>
    <w:rsid w:val="00F90064"/>
    <w:rsid w:val="00F937AE"/>
    <w:rsid w:val="00F96AFD"/>
    <w:rsid w:val="00FA1398"/>
    <w:rsid w:val="00FA2E19"/>
    <w:rsid w:val="00FA3337"/>
    <w:rsid w:val="00FA375F"/>
    <w:rsid w:val="00FA697F"/>
    <w:rsid w:val="00FB5521"/>
    <w:rsid w:val="00FB610D"/>
    <w:rsid w:val="00FB7D4F"/>
    <w:rsid w:val="00FC4477"/>
    <w:rsid w:val="00FC46FB"/>
    <w:rsid w:val="00FC49E3"/>
    <w:rsid w:val="00FD2BD3"/>
    <w:rsid w:val="00FD3537"/>
    <w:rsid w:val="00FD453A"/>
    <w:rsid w:val="00FD49E2"/>
    <w:rsid w:val="00FD4CCA"/>
    <w:rsid w:val="00FE0AAD"/>
    <w:rsid w:val="00FE28A9"/>
    <w:rsid w:val="00FE2A9E"/>
    <w:rsid w:val="00FF416C"/>
    <w:rsid w:val="00FF69B6"/>
    <w:rsid w:val="00FF7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1D8"/>
    <w:pPr>
      <w:spacing w:line="276" w:lineRule="auto"/>
      <w:jc w:val="both"/>
    </w:pPr>
    <w:rPr>
      <w:rFonts w:ascii="Segoe UI" w:hAnsi="Segoe UI"/>
      <w:sz w:val="22"/>
      <w:szCs w:val="24"/>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fr-FR"/>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273DA7"/>
    <w:pPr>
      <w:spacing w:line="240" w:lineRule="auto"/>
    </w:pPr>
    <w:rPr>
      <w:sz w:val="18"/>
      <w:szCs w:val="18"/>
    </w:rPr>
  </w:style>
  <w:style w:type="character" w:customStyle="1" w:styleId="BalloonTextChar">
    <w:name w:val="Balloon Text Char"/>
    <w:link w:val="BalloonText"/>
    <w:rsid w:val="00273DA7"/>
    <w:rPr>
      <w:rFonts w:ascii="Segoe UI" w:hAnsi="Segoe UI"/>
      <w:sz w:val="18"/>
      <w:szCs w:val="18"/>
      <w:lang w:val="fr-FR"/>
    </w:rPr>
  </w:style>
  <w:style w:type="paragraph" w:customStyle="1" w:styleId="MittlereListe2-Akzent21">
    <w:name w:val="Mittlere Liste 2 - Akzent 21"/>
    <w:hidden/>
    <w:uiPriority w:val="99"/>
    <w:semiHidden/>
    <w:rsid w:val="002E0B17"/>
    <w:rPr>
      <w:rFonts w:ascii="Arial" w:hAnsi="Arial"/>
      <w:szCs w:val="24"/>
    </w:rPr>
  </w:style>
  <w:style w:type="character" w:customStyle="1" w:styleId="FooterChar">
    <w:name w:val="Footer Char"/>
    <w:link w:val="Footer"/>
    <w:uiPriority w:val="99"/>
    <w:rsid w:val="00992A11"/>
    <w:rPr>
      <w:rFonts w:ascii="Segoe UI" w:hAnsi="Segoe UI"/>
      <w:bCs/>
      <w:noProof/>
      <w:sz w:val="12"/>
      <w:szCs w:val="24"/>
      <w:lang w:val="fr-FR"/>
    </w:rPr>
  </w:style>
  <w:style w:type="character" w:customStyle="1" w:styleId="Mentionnonrsolue1">
    <w:name w:val="Mention non résolue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273DA7"/>
    <w:rPr>
      <w:rFonts w:ascii="Segoe UI" w:hAnsi="Segoe UI"/>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273DA7"/>
    <w:rPr>
      <w:rFonts w:ascii="Segoe UI" w:hAnsi="Segoe UI"/>
      <w:sz w:val="18"/>
    </w:rPr>
  </w:style>
  <w:style w:type="character" w:customStyle="1" w:styleId="AboutandContactHeadline">
    <w:name w:val="About and Contact Headline"/>
    <w:basedOn w:val="DefaultParagraphFont"/>
    <w:rsid w:val="00273DA7"/>
    <w:rPr>
      <w:rFonts w:ascii="Segoe UI" w:hAnsi="Segoe UI"/>
      <w:b/>
      <w:bCs/>
      <w:sz w:val="18"/>
    </w:rPr>
  </w:style>
  <w:style w:type="paragraph" w:styleId="Revision">
    <w:name w:val="Revision"/>
    <w:hidden/>
    <w:uiPriority w:val="62"/>
    <w:unhideWhenUsed/>
    <w:rsid w:val="00711653"/>
    <w:rPr>
      <w:rFonts w:ascii="Segoe UI" w:hAnsi="Segoe UI"/>
      <w:sz w:val="22"/>
      <w:szCs w:val="24"/>
    </w:rPr>
  </w:style>
  <w:style w:type="paragraph" w:customStyle="1" w:styleId="He01Flietext">
    <w:name w:val="_He_01_Fließtext"/>
    <w:qFormat/>
    <w:rsid w:val="003A7C4B"/>
    <w:pPr>
      <w:spacing w:after="160"/>
    </w:pPr>
    <w:rPr>
      <w:rFonts w:ascii="Segoe UI" w:eastAsiaTheme="minorHAnsi" w:hAnsi="Segoe UI" w:cstheme="minorBidi"/>
      <w:sz w:val="22"/>
      <w:szCs w:val="22"/>
    </w:rPr>
  </w:style>
  <w:style w:type="paragraph" w:customStyle="1" w:styleId="pf0">
    <w:name w:val="pf0"/>
    <w:basedOn w:val="Normal"/>
    <w:rsid w:val="003B5697"/>
    <w:pPr>
      <w:spacing w:before="100" w:beforeAutospacing="1" w:after="100" w:afterAutospacing="1" w:line="240" w:lineRule="auto"/>
      <w:jc w:val="left"/>
    </w:pPr>
    <w:rPr>
      <w:rFonts w:ascii="Times New Roman" w:hAnsi="Times New Roman"/>
      <w:sz w:val="24"/>
      <w:lang w:eastAsia="de-DE"/>
    </w:rPr>
  </w:style>
  <w:style w:type="character" w:customStyle="1" w:styleId="cf01">
    <w:name w:val="cf01"/>
    <w:basedOn w:val="DefaultParagraphFont"/>
    <w:rsid w:val="003B5697"/>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B4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B47C34"/>
    <w:rPr>
      <w:rFonts w:ascii="Courier New" w:hAnsi="Courier New" w:cs="Courier New"/>
      <w:lang w:val="fr-FR" w:eastAsia="de-DE"/>
    </w:rPr>
  </w:style>
  <w:style w:type="character" w:customStyle="1" w:styleId="y2iqfc">
    <w:name w:val="y2iqfc"/>
    <w:basedOn w:val="DefaultParagraphFont"/>
    <w:rsid w:val="00B47C34"/>
  </w:style>
  <w:style w:type="paragraph" w:customStyle="1" w:styleId="He04Funote">
    <w:name w:val="_He_04_Fußnote"/>
    <w:next w:val="Normal"/>
    <w:qFormat/>
    <w:rsid w:val="00295715"/>
    <w:pPr>
      <w:tabs>
        <w:tab w:val="left" w:pos="85"/>
      </w:tabs>
      <w:spacing w:line="256" w:lineRule="auto"/>
      <w:ind w:left="85" w:hanging="85"/>
    </w:pPr>
    <w:rPr>
      <w:rFonts w:ascii="Segoe UI" w:eastAsiaTheme="minorHAnsi" w:hAnsi="Segoe UI" w:cstheme="minorBidi"/>
      <w:sz w:val="15"/>
      <w:szCs w:val="22"/>
      <w14:numForm w14:val="lining"/>
    </w:rPr>
  </w:style>
  <w:style w:type="paragraph" w:styleId="ListParagraph">
    <w:name w:val="List Paragraph"/>
    <w:basedOn w:val="Normal"/>
    <w:uiPriority w:val="34"/>
    <w:qFormat/>
    <w:rsid w:val="00F16FB6"/>
    <w:pPr>
      <w:ind w:left="720"/>
      <w:contextualSpacing/>
    </w:pPr>
  </w:style>
  <w:style w:type="character" w:styleId="CommentReference">
    <w:name w:val="annotation reference"/>
    <w:basedOn w:val="DefaultParagraphFont"/>
    <w:rsid w:val="0015214C"/>
    <w:rPr>
      <w:sz w:val="16"/>
      <w:szCs w:val="16"/>
    </w:rPr>
  </w:style>
  <w:style w:type="paragraph" w:styleId="CommentText">
    <w:name w:val="annotation text"/>
    <w:basedOn w:val="Normal"/>
    <w:link w:val="CommentTextChar"/>
    <w:rsid w:val="0015214C"/>
    <w:pPr>
      <w:spacing w:line="240" w:lineRule="auto"/>
    </w:pPr>
    <w:rPr>
      <w:sz w:val="20"/>
      <w:szCs w:val="20"/>
    </w:rPr>
  </w:style>
  <w:style w:type="character" w:customStyle="1" w:styleId="CommentTextChar">
    <w:name w:val="Comment Text Char"/>
    <w:basedOn w:val="DefaultParagraphFont"/>
    <w:link w:val="CommentText"/>
    <w:rsid w:val="0015214C"/>
    <w:rPr>
      <w:rFonts w:ascii="Segoe UI" w:hAnsi="Segoe UI"/>
      <w:lang w:val="fr-FR"/>
    </w:rPr>
  </w:style>
  <w:style w:type="paragraph" w:styleId="CommentSubject">
    <w:name w:val="annotation subject"/>
    <w:basedOn w:val="CommentText"/>
    <w:next w:val="CommentText"/>
    <w:link w:val="CommentSubjectChar"/>
    <w:rsid w:val="0015214C"/>
    <w:rPr>
      <w:b/>
      <w:bCs/>
    </w:rPr>
  </w:style>
  <w:style w:type="character" w:customStyle="1" w:styleId="CommentSubjectChar">
    <w:name w:val="Comment Subject Char"/>
    <w:basedOn w:val="CommentTextChar"/>
    <w:link w:val="CommentSubject"/>
    <w:rsid w:val="0015214C"/>
    <w:rPr>
      <w:rFonts w:ascii="Segoe UI" w:hAnsi="Segoe UI"/>
      <w:b/>
      <w:bCs/>
      <w:lang w:val="fr-FR"/>
    </w:rPr>
  </w:style>
  <w:style w:type="character" w:styleId="UnresolvedMention">
    <w:name w:val="Unresolved Mention"/>
    <w:basedOn w:val="DefaultParagraphFont"/>
    <w:uiPriority w:val="99"/>
    <w:semiHidden/>
    <w:unhideWhenUsed/>
    <w:rsid w:val="00B11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97004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0499868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59576655">
      <w:bodyDiv w:val="1"/>
      <w:marLeft w:val="0"/>
      <w:marRight w:val="0"/>
      <w:marTop w:val="0"/>
      <w:marBottom w:val="0"/>
      <w:divBdr>
        <w:top w:val="none" w:sz="0" w:space="0" w:color="auto"/>
        <w:left w:val="none" w:sz="0" w:space="0" w:color="auto"/>
        <w:bottom w:val="none" w:sz="0" w:space="0" w:color="auto"/>
        <w:right w:val="none" w:sz="0" w:space="0" w:color="auto"/>
      </w:divBdr>
    </w:div>
    <w:div w:id="1747142110">
      <w:bodyDiv w:val="1"/>
      <w:marLeft w:val="0"/>
      <w:marRight w:val="0"/>
      <w:marTop w:val="0"/>
      <w:marBottom w:val="0"/>
      <w:divBdr>
        <w:top w:val="none" w:sz="0" w:space="0" w:color="auto"/>
        <w:left w:val="none" w:sz="0" w:space="0" w:color="auto"/>
        <w:bottom w:val="none" w:sz="0" w:space="0" w:color="auto"/>
        <w:right w:val="none" w:sz="0" w:space="0" w:color="auto"/>
      </w:divBdr>
    </w:div>
    <w:div w:id="19031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fr/presse-et-medias/communiques-et-actualites/2023-03-07-henkel-delivers-significant-sales-increase-in-2022-poised-for-further-growth-in-fiscal-2023-18071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A17D35FD-4AEA-4524-8E1E-44C97C7FF914}">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146117A7-D8F3-443A-8A2E-395190B79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C:\Users\frohng\AppData\Local\Temp\Temp1_Completed.zip\Completed\Henkel-press-release-template-2020-german.dotx</Template>
  <TotalTime>1</TotalTime>
  <Pages>8</Pages>
  <Words>3251</Words>
  <Characters>17674</Characters>
  <Application>Microsoft Office Word</Application>
  <DocSecurity>0</DocSecurity>
  <Lines>147</Lines>
  <Paragraphs>41</Paragraphs>
  <ScaleCrop>false</ScaleCrop>
  <HeadingPairs>
    <vt:vector size="8" baseType="variant">
      <vt:variant>
        <vt:lpstr>Titre</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4" baseType="lpstr">
      <vt:lpstr>Pressemitteilung</vt:lpstr>
      <vt:lpstr>Pressemitteilung</vt:lpstr>
      <vt:lpstr>Pressemitteilung</vt:lpstr>
      <vt:lpstr>Pressemitteilung</vt:lpstr>
    </vt:vector>
  </TitlesOfParts>
  <Company>Henkel AG &amp; Co. KGaA</Company>
  <LinksUpToDate>false</LinksUpToDate>
  <CharactersWithSpaces>20884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3</cp:revision>
  <cp:lastPrinted>2023-03-07T13:42:00Z</cp:lastPrinted>
  <dcterms:created xsi:type="dcterms:W3CDTF">2023-03-07T16:57:00Z</dcterms:created>
  <dcterms:modified xsi:type="dcterms:W3CDTF">2023-03-07T17:05:00Z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