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1619A545" w:rsidR="00B422EC" w:rsidRPr="00BF6F73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BF6F7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8E0EB4" w:rsidRPr="008E0EB4">
        <w:rPr>
          <w:rFonts w:ascii="Segoe UI" w:hAnsi="Segoe UI" w:cs="Segoe UI"/>
          <w:sz w:val="22"/>
          <w:szCs w:val="22"/>
          <w:lang w:val="hu-HU"/>
        </w:rPr>
        <w:t>2023. március 7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.</w:t>
      </w:r>
    </w:p>
    <w:p w14:paraId="11865A25" w14:textId="77777777" w:rsidR="008E0EB4" w:rsidRDefault="008E0EB4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p w14:paraId="6917ABAD" w14:textId="5EFFAC6A" w:rsidR="008E0EB4" w:rsidRPr="008E0EB4" w:rsidRDefault="008E0EB4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r w:rsidRPr="008E0EB4">
        <w:rPr>
          <w:rFonts w:ascii="Segoe UI" w:hAnsi="Segoe UI" w:cs="Segoe UI"/>
          <w:sz w:val="22"/>
          <w:szCs w:val="22"/>
          <w:lang w:val="hu-HU"/>
        </w:rPr>
        <w:t>Összességében stabil üzleti teljesítmény a kihívásokkal teli piaci környezetben</w:t>
      </w:r>
    </w:p>
    <w:bookmarkEnd w:id="0"/>
    <w:p w14:paraId="690ADDA5" w14:textId="17272E3B" w:rsidR="008E0EB4" w:rsidRPr="008E0EB4" w:rsidRDefault="008E0EB4" w:rsidP="008E0EB4">
      <w:pPr>
        <w:spacing w:after="80"/>
        <w:ind w:right="-108"/>
        <w:rPr>
          <w:rStyle w:val="Headline"/>
          <w:rFonts w:ascii="Segoe UI" w:hAnsi="Segoe UI" w:cs="Segoe UI"/>
          <w:color w:val="000000"/>
          <w:szCs w:val="20"/>
          <w:lang w:val="hu-HU"/>
        </w:rPr>
      </w:pPr>
      <w:r w:rsidRPr="008E0EB4">
        <w:rPr>
          <w:rStyle w:val="Headline"/>
          <w:rFonts w:ascii="Segoe UI" w:hAnsi="Segoe UI" w:cs="Segoe UI"/>
          <w:color w:val="000000"/>
          <w:szCs w:val="20"/>
          <w:lang w:val="hu-HU"/>
        </w:rPr>
        <w:t xml:space="preserve">A Henkel jelentős árbevétel-növekedést ért el 2022-ben – </w:t>
      </w:r>
    </w:p>
    <w:p w14:paraId="7F051431" w14:textId="111E16CB" w:rsidR="008E0EB4" w:rsidRPr="008E0EB4" w:rsidRDefault="008E0EB4" w:rsidP="008E0EB4">
      <w:pPr>
        <w:spacing w:after="80"/>
        <w:ind w:right="-108"/>
        <w:rPr>
          <w:rStyle w:val="Headline"/>
          <w:rFonts w:ascii="Segoe UI" w:hAnsi="Segoe UI" w:cs="Segoe UI"/>
          <w:color w:val="000000"/>
          <w:sz w:val="22"/>
          <w:szCs w:val="22"/>
          <w:lang w:val="hu-HU"/>
        </w:rPr>
      </w:pPr>
      <w:r w:rsidRPr="008E0EB4">
        <w:rPr>
          <w:rStyle w:val="Headline"/>
          <w:rFonts w:ascii="Segoe UI" w:hAnsi="Segoe UI" w:cs="Segoe UI"/>
          <w:color w:val="000000"/>
          <w:szCs w:val="20"/>
          <w:lang w:val="hu-HU"/>
        </w:rPr>
        <w:t>további növekedés várható a 2023-as pénzügyi évben</w:t>
      </w:r>
      <w:r w:rsidRPr="008E0EB4">
        <w:rPr>
          <w:rStyle w:val="Headline"/>
          <w:rFonts w:ascii="Segoe UI" w:hAnsi="Segoe UI" w:cs="Segoe UI"/>
          <w:color w:val="000000"/>
          <w:szCs w:val="20"/>
          <w:lang w:val="hu-HU"/>
        </w:rPr>
        <w:br/>
      </w:r>
    </w:p>
    <w:p w14:paraId="4ABA5342" w14:textId="77777777" w:rsidR="008E0EB4" w:rsidRPr="008E0EB4" w:rsidRDefault="008E0EB4" w:rsidP="008E0EB4">
      <w:pPr>
        <w:numPr>
          <w:ilvl w:val="0"/>
          <w:numId w:val="8"/>
        </w:numPr>
        <w:spacing w:after="80" w:line="276" w:lineRule="auto"/>
        <w:ind w:right="-108"/>
        <w:jc w:val="both"/>
        <w:rPr>
          <w:rFonts w:ascii="Segoe UI" w:hAnsi="Segoe UI" w:cs="Segoe UI"/>
          <w:b/>
          <w:sz w:val="22"/>
          <w:szCs w:val="22"/>
          <w:lang w:val="hu-HU"/>
        </w:rPr>
      </w:pPr>
      <w:bookmarkStart w:id="1" w:name="_Hlk64363173"/>
      <w:r w:rsidRPr="008E0EB4">
        <w:rPr>
          <w:rFonts w:ascii="Segoe UI" w:hAnsi="Segoe UI" w:cs="Segoe UI"/>
          <w:b/>
          <w:sz w:val="22"/>
          <w:szCs w:val="22"/>
          <w:lang w:val="hu-HU"/>
        </w:rPr>
        <w:t>2022-es éves eredmények:</w:t>
      </w:r>
    </w:p>
    <w:bookmarkEnd w:id="1"/>
    <w:p w14:paraId="6918D84D" w14:textId="21A62096" w:rsidR="008E0EB4" w:rsidRPr="008E0EB4" w:rsidRDefault="008E0EB4" w:rsidP="008E0EB4">
      <w:pPr>
        <w:numPr>
          <w:ilvl w:val="1"/>
          <w:numId w:val="8"/>
        </w:numPr>
        <w:spacing w:after="80" w:line="266" w:lineRule="auto"/>
        <w:ind w:left="709" w:right="-108" w:hanging="283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 xml:space="preserve">Csoport árbevétele: 22,4 milliárd </w:t>
      </w:r>
      <w:r w:rsidR="000E56EF">
        <w:rPr>
          <w:rFonts w:ascii="Segoe UI" w:hAnsi="Segoe UI" w:cs="Segoe UI"/>
          <w:b/>
          <w:sz w:val="22"/>
          <w:szCs w:val="22"/>
          <w:lang w:val="hu-HU"/>
        </w:rPr>
        <w:t>e</w:t>
      </w:r>
      <w:r w:rsidRPr="008E0EB4">
        <w:rPr>
          <w:rFonts w:ascii="Segoe UI" w:hAnsi="Segoe UI" w:cs="Segoe UI"/>
          <w:b/>
          <w:sz w:val="22"/>
          <w:szCs w:val="22"/>
          <w:lang w:val="hu-HU"/>
        </w:rPr>
        <w:t>uró, 8,8 százalékos szerves növekedés*</w:t>
      </w:r>
    </w:p>
    <w:p w14:paraId="792EED31" w14:textId="20FE5189" w:rsidR="008E0EB4" w:rsidRPr="008E0EB4" w:rsidRDefault="008E0EB4" w:rsidP="008E0EB4">
      <w:pPr>
        <w:numPr>
          <w:ilvl w:val="1"/>
          <w:numId w:val="8"/>
        </w:numPr>
        <w:spacing w:after="80" w:line="266" w:lineRule="auto"/>
        <w:ind w:left="709" w:right="-108" w:hanging="283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 xml:space="preserve">Üzemi eredmény (EBIT)**: 2,3 milliárd </w:t>
      </w:r>
      <w:r w:rsidR="000E56EF">
        <w:rPr>
          <w:rFonts w:ascii="Segoe UI" w:hAnsi="Segoe UI" w:cs="Segoe UI"/>
          <w:b/>
          <w:sz w:val="22"/>
          <w:szCs w:val="22"/>
          <w:lang w:val="hu-HU"/>
        </w:rPr>
        <w:t>e</w:t>
      </w:r>
      <w:r w:rsidRPr="008E0EB4">
        <w:rPr>
          <w:rFonts w:ascii="Segoe UI" w:hAnsi="Segoe UI" w:cs="Segoe UI"/>
          <w:b/>
          <w:sz w:val="22"/>
          <w:szCs w:val="22"/>
          <w:lang w:val="hu-HU"/>
        </w:rPr>
        <w:t>uró, -13,7 százalék</w:t>
      </w:r>
    </w:p>
    <w:p w14:paraId="184E6E3C" w14:textId="77777777" w:rsidR="008E0EB4" w:rsidRPr="008E0EB4" w:rsidRDefault="008E0EB4" w:rsidP="008E0EB4">
      <w:pPr>
        <w:numPr>
          <w:ilvl w:val="1"/>
          <w:numId w:val="8"/>
        </w:numPr>
        <w:spacing w:after="80" w:line="266" w:lineRule="auto"/>
        <w:ind w:left="709" w:right="-108" w:hanging="283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 xml:space="preserve">EBIT </w:t>
      </w:r>
      <w:proofErr w:type="spellStart"/>
      <w:r w:rsidRPr="008E0EB4">
        <w:rPr>
          <w:rFonts w:ascii="Segoe UI" w:hAnsi="Segoe UI" w:cs="Segoe UI"/>
          <w:b/>
          <w:sz w:val="22"/>
          <w:szCs w:val="22"/>
          <w:lang w:val="hu-HU"/>
        </w:rPr>
        <w:t>marzs</w:t>
      </w:r>
      <w:proofErr w:type="spellEnd"/>
      <w:r w:rsidRPr="008E0EB4">
        <w:rPr>
          <w:rFonts w:ascii="Segoe UI" w:hAnsi="Segoe UI" w:cs="Segoe UI"/>
          <w:b/>
          <w:sz w:val="22"/>
          <w:szCs w:val="22"/>
          <w:lang w:val="hu-HU"/>
        </w:rPr>
        <w:t>**: 10,4 százalék, -3,0 százalékpont</w:t>
      </w:r>
    </w:p>
    <w:p w14:paraId="13E7A9F9" w14:textId="7F25B661" w:rsidR="008E0EB4" w:rsidRPr="008E0EB4" w:rsidRDefault="008E0EB4" w:rsidP="008E0EB4">
      <w:pPr>
        <w:pStyle w:val="Listaszerbekezds"/>
        <w:numPr>
          <w:ilvl w:val="1"/>
          <w:numId w:val="8"/>
        </w:numPr>
        <w:spacing w:after="80" w:line="266" w:lineRule="auto"/>
        <w:ind w:left="709" w:right="-108" w:hanging="283"/>
        <w:contextualSpacing w:val="0"/>
        <w:rPr>
          <w:rFonts w:cs="Segoe UI"/>
          <w:b/>
          <w:szCs w:val="22"/>
          <w:lang w:val="hu-HU"/>
        </w:rPr>
      </w:pPr>
      <w:r w:rsidRPr="008E0EB4">
        <w:rPr>
          <w:rFonts w:cs="Segoe UI"/>
          <w:b/>
          <w:szCs w:val="22"/>
          <w:lang w:val="hu-HU"/>
        </w:rPr>
        <w:t xml:space="preserve">Elsőbbségi részvények korrigált hozama (EPS)**: 3,90 </w:t>
      </w:r>
      <w:r w:rsidR="000E56EF">
        <w:rPr>
          <w:rFonts w:cs="Segoe UI"/>
          <w:b/>
          <w:szCs w:val="22"/>
          <w:lang w:val="hu-HU"/>
        </w:rPr>
        <w:t>e</w:t>
      </w:r>
      <w:r w:rsidRPr="008E0EB4">
        <w:rPr>
          <w:rFonts w:cs="Segoe UI"/>
          <w:b/>
          <w:szCs w:val="22"/>
          <w:lang w:val="hu-HU"/>
        </w:rPr>
        <w:t xml:space="preserve">uró, -17,8 százalék változatlan árfolyamon számolva </w:t>
      </w:r>
    </w:p>
    <w:p w14:paraId="39707572" w14:textId="01C19C8B" w:rsidR="008E0EB4" w:rsidRPr="008E0EB4" w:rsidRDefault="008E0EB4" w:rsidP="008E0EB4">
      <w:pPr>
        <w:pStyle w:val="Listaszerbekezds"/>
        <w:numPr>
          <w:ilvl w:val="0"/>
          <w:numId w:val="8"/>
        </w:numPr>
        <w:spacing w:after="80"/>
        <w:ind w:right="-108"/>
        <w:contextualSpacing w:val="0"/>
        <w:rPr>
          <w:rFonts w:cs="Segoe UI"/>
          <w:b/>
          <w:szCs w:val="22"/>
          <w:lang w:val="hu-HU"/>
        </w:rPr>
      </w:pPr>
      <w:r w:rsidRPr="008E0EB4">
        <w:rPr>
          <w:rFonts w:cs="Segoe UI"/>
          <w:b/>
          <w:szCs w:val="22"/>
          <w:lang w:val="hu-HU"/>
        </w:rPr>
        <w:t xml:space="preserve">Javasolt osztalék az előző évi szinten: 1,85 </w:t>
      </w:r>
      <w:r w:rsidR="000E56EF">
        <w:rPr>
          <w:rFonts w:cs="Segoe UI"/>
          <w:b/>
          <w:szCs w:val="22"/>
          <w:lang w:val="hu-HU"/>
        </w:rPr>
        <w:t>e</w:t>
      </w:r>
      <w:r w:rsidRPr="008E0EB4">
        <w:rPr>
          <w:rFonts w:cs="Segoe UI"/>
          <w:b/>
          <w:szCs w:val="22"/>
          <w:lang w:val="hu-HU"/>
        </w:rPr>
        <w:t>uró elsőbbségi részvényenként</w:t>
      </w:r>
    </w:p>
    <w:p w14:paraId="2A5674E6" w14:textId="77777777" w:rsidR="008E0EB4" w:rsidRPr="008E0EB4" w:rsidRDefault="008E0EB4" w:rsidP="008E0EB4">
      <w:pPr>
        <w:numPr>
          <w:ilvl w:val="0"/>
          <w:numId w:val="8"/>
        </w:numPr>
        <w:spacing w:after="80" w:line="276" w:lineRule="auto"/>
        <w:ind w:right="-108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>Kiváló előrehaladás a Céltudatos Növekedési Program megvalósításában</w:t>
      </w:r>
    </w:p>
    <w:p w14:paraId="51CF7744" w14:textId="40CDEEF7" w:rsidR="008E0EB4" w:rsidRPr="008E0EB4" w:rsidRDefault="000E56EF" w:rsidP="008E0EB4">
      <w:pPr>
        <w:numPr>
          <w:ilvl w:val="0"/>
          <w:numId w:val="8"/>
        </w:numPr>
        <w:spacing w:after="80" w:line="276" w:lineRule="auto"/>
        <w:ind w:right="-108"/>
        <w:jc w:val="both"/>
        <w:rPr>
          <w:rFonts w:ascii="Segoe UI" w:hAnsi="Segoe UI" w:cs="Segoe UI"/>
          <w:b/>
          <w:sz w:val="22"/>
          <w:szCs w:val="22"/>
          <w:lang w:val="hu-HU"/>
        </w:rPr>
      </w:pPr>
      <w:r>
        <w:rPr>
          <w:rFonts w:ascii="Segoe UI" w:hAnsi="Segoe UI" w:cs="Segoe UI"/>
          <w:b/>
          <w:sz w:val="22"/>
          <w:szCs w:val="22"/>
          <w:lang w:val="hu-HU"/>
        </w:rPr>
        <w:t>M</w:t>
      </w:r>
      <w:r w:rsidRPr="008E0EB4">
        <w:rPr>
          <w:rFonts w:ascii="Segoe UI" w:hAnsi="Segoe UI" w:cs="Segoe UI"/>
          <w:b/>
          <w:sz w:val="22"/>
          <w:szCs w:val="22"/>
          <w:lang w:val="hu-HU"/>
        </w:rPr>
        <w:t>egalakult</w:t>
      </w:r>
      <w:r w:rsidRPr="008E0EB4">
        <w:rPr>
          <w:rFonts w:ascii="Segoe UI" w:hAnsi="Segoe UI" w:cs="Segoe UI"/>
          <w:b/>
          <w:sz w:val="22"/>
          <w:szCs w:val="22"/>
          <w:lang w:val="hu-HU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hu-HU"/>
        </w:rPr>
        <w:t>a</w:t>
      </w:r>
      <w:r w:rsidR="008E0EB4" w:rsidRPr="008E0EB4">
        <w:rPr>
          <w:rFonts w:ascii="Segoe UI" w:hAnsi="Segoe UI" w:cs="Segoe UI"/>
          <w:b/>
          <w:sz w:val="22"/>
          <w:szCs w:val="22"/>
          <w:lang w:val="hu-HU"/>
        </w:rPr>
        <w:t xml:space="preserve">z új Consumer </w:t>
      </w:r>
      <w:proofErr w:type="spellStart"/>
      <w:r w:rsidR="008E0EB4" w:rsidRPr="008E0EB4">
        <w:rPr>
          <w:rFonts w:ascii="Segoe UI" w:hAnsi="Segoe UI" w:cs="Segoe UI"/>
          <w:b/>
          <w:sz w:val="22"/>
          <w:szCs w:val="22"/>
          <w:lang w:val="hu-HU"/>
        </w:rPr>
        <w:t>Brands</w:t>
      </w:r>
      <w:proofErr w:type="spellEnd"/>
      <w:r w:rsidR="008E0EB4" w:rsidRPr="008E0EB4">
        <w:rPr>
          <w:rFonts w:ascii="Segoe UI" w:hAnsi="Segoe UI" w:cs="Segoe UI"/>
          <w:b/>
          <w:sz w:val="22"/>
          <w:szCs w:val="22"/>
          <w:lang w:val="hu-HU"/>
        </w:rPr>
        <w:t xml:space="preserve"> üzletág </w:t>
      </w:r>
    </w:p>
    <w:p w14:paraId="1F1F5222" w14:textId="77777777" w:rsidR="008E0EB4" w:rsidRPr="008E0EB4" w:rsidRDefault="008E0EB4" w:rsidP="008E0EB4">
      <w:pPr>
        <w:numPr>
          <w:ilvl w:val="0"/>
          <w:numId w:val="8"/>
        </w:numPr>
        <w:spacing w:after="80" w:line="276" w:lineRule="auto"/>
        <w:ind w:right="-108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>Fenntarthatóság fejlődése a kulcsfontosságú területeken</w:t>
      </w:r>
    </w:p>
    <w:p w14:paraId="0F9EA172" w14:textId="77777777" w:rsidR="008E0EB4" w:rsidRPr="008E0EB4" w:rsidRDefault="008E0EB4" w:rsidP="008E0EB4">
      <w:pPr>
        <w:numPr>
          <w:ilvl w:val="0"/>
          <w:numId w:val="8"/>
        </w:numPr>
        <w:spacing w:after="80" w:line="276" w:lineRule="auto"/>
        <w:ind w:right="-108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>Kilátások a 2023-as pénzügyi évre: további növekedés várható</w:t>
      </w:r>
    </w:p>
    <w:p w14:paraId="53A443A4" w14:textId="77777777" w:rsidR="008E0EB4" w:rsidRPr="008E0EB4" w:rsidRDefault="008E0EB4" w:rsidP="008E0EB4">
      <w:pPr>
        <w:numPr>
          <w:ilvl w:val="1"/>
          <w:numId w:val="8"/>
        </w:numPr>
        <w:spacing w:after="80" w:line="266" w:lineRule="auto"/>
        <w:ind w:left="709" w:right="-108" w:hanging="283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>Szerves árbevétel-növekedés: 1,0-3,0 százalék</w:t>
      </w:r>
    </w:p>
    <w:p w14:paraId="5FC3D161" w14:textId="77777777" w:rsidR="008E0EB4" w:rsidRPr="008E0EB4" w:rsidRDefault="008E0EB4" w:rsidP="008E0EB4">
      <w:pPr>
        <w:numPr>
          <w:ilvl w:val="1"/>
          <w:numId w:val="8"/>
        </w:numPr>
        <w:spacing w:after="80" w:line="266" w:lineRule="auto"/>
        <w:ind w:left="709" w:right="-108" w:hanging="283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 xml:space="preserve">EBIT </w:t>
      </w:r>
      <w:proofErr w:type="spellStart"/>
      <w:r w:rsidRPr="008E0EB4">
        <w:rPr>
          <w:rFonts w:ascii="Segoe UI" w:hAnsi="Segoe UI" w:cs="Segoe UI"/>
          <w:b/>
          <w:sz w:val="22"/>
          <w:szCs w:val="22"/>
          <w:lang w:val="hu-HU"/>
        </w:rPr>
        <w:t>marzs</w:t>
      </w:r>
      <w:proofErr w:type="spellEnd"/>
      <w:r w:rsidRPr="008E0EB4">
        <w:rPr>
          <w:rFonts w:ascii="Segoe UI" w:hAnsi="Segoe UI" w:cs="Segoe UI"/>
          <w:b/>
          <w:sz w:val="22"/>
          <w:szCs w:val="22"/>
          <w:lang w:val="hu-HU"/>
        </w:rPr>
        <w:t>**: 10,0-12,0 százalék</w:t>
      </w:r>
    </w:p>
    <w:p w14:paraId="7644582B" w14:textId="77777777" w:rsidR="008E0EB4" w:rsidRPr="008E0EB4" w:rsidRDefault="008E0EB4" w:rsidP="008E0EB4">
      <w:pPr>
        <w:numPr>
          <w:ilvl w:val="1"/>
          <w:numId w:val="8"/>
        </w:numPr>
        <w:spacing w:after="80" w:line="266" w:lineRule="auto"/>
        <w:ind w:left="709" w:right="-108" w:hanging="283"/>
        <w:jc w:val="both"/>
        <w:rPr>
          <w:rFonts w:ascii="Segoe UI" w:hAnsi="Segoe UI" w:cs="Segoe UI"/>
          <w:b/>
          <w:sz w:val="22"/>
          <w:szCs w:val="22"/>
          <w:lang w:val="hu-HU"/>
        </w:rPr>
      </w:pPr>
      <w:r w:rsidRPr="008E0EB4">
        <w:rPr>
          <w:rFonts w:ascii="Segoe UI" w:hAnsi="Segoe UI" w:cs="Segoe UI"/>
          <w:b/>
          <w:sz w:val="22"/>
          <w:szCs w:val="22"/>
          <w:lang w:val="hu-HU"/>
        </w:rPr>
        <w:t>Elsőbbségi részvények korrigált hozama</w:t>
      </w:r>
      <w:r w:rsidRPr="008E0EB4">
        <w:rPr>
          <w:rFonts w:ascii="Segoe UI" w:hAnsi="Segoe UI" w:cs="Segoe UI"/>
          <w:b/>
          <w:color w:val="FF0000"/>
          <w:sz w:val="22"/>
          <w:szCs w:val="22"/>
          <w:lang w:val="hu-HU"/>
        </w:rPr>
        <w:t xml:space="preserve"> </w:t>
      </w:r>
      <w:r w:rsidRPr="008E0EB4">
        <w:rPr>
          <w:rFonts w:ascii="Segoe UI" w:hAnsi="Segoe UI" w:cs="Segoe UI"/>
          <w:b/>
          <w:sz w:val="22"/>
          <w:szCs w:val="22"/>
          <w:lang w:val="hu-HU"/>
        </w:rPr>
        <w:t>(EPS)**: -10,0 és +10,0 százalék között (változatlan árfolyamon)</w:t>
      </w:r>
    </w:p>
    <w:p w14:paraId="5F2A4E20" w14:textId="045F55CC" w:rsidR="008E0EB4" w:rsidRDefault="008E0EB4" w:rsidP="008E0EB4">
      <w:pPr>
        <w:spacing w:after="80"/>
        <w:ind w:right="-108"/>
        <w:rPr>
          <w:rStyle w:val="Headline"/>
          <w:rFonts w:cs="Segoe UI"/>
          <w:color w:val="000000"/>
          <w:szCs w:val="20"/>
          <w:lang w:val="hu-HU"/>
        </w:rPr>
      </w:pPr>
    </w:p>
    <w:p w14:paraId="2EBA24F3" w14:textId="77777777" w:rsidR="008E0EB4" w:rsidRDefault="008E0EB4" w:rsidP="008E0EB4">
      <w:pPr>
        <w:spacing w:line="276" w:lineRule="auto"/>
        <w:ind w:right="-108"/>
        <w:rPr>
          <w:rFonts w:ascii="Segoe UI" w:hAnsi="Segoe UI"/>
          <w:b/>
          <w:sz w:val="22"/>
          <w:lang w:val="hu-HU"/>
        </w:rPr>
      </w:pPr>
    </w:p>
    <w:p w14:paraId="3DC07C8B" w14:textId="77777777" w:rsidR="008E0EB4" w:rsidRDefault="008E0EB4" w:rsidP="008E0EB4">
      <w:pPr>
        <w:pStyle w:val="He04Funote"/>
        <w:spacing w:after="60"/>
        <w:jc w:val="both"/>
        <w:rPr>
          <w:sz w:val="12"/>
          <w:szCs w:val="12"/>
          <w:lang w:val="hu-HU"/>
        </w:rPr>
      </w:pPr>
    </w:p>
    <w:p w14:paraId="1366D4F1" w14:textId="77777777" w:rsidR="008E0EB4" w:rsidRDefault="008E0EB4" w:rsidP="008E0EB4">
      <w:pPr>
        <w:pStyle w:val="He04Funote"/>
        <w:spacing w:after="60"/>
        <w:jc w:val="both"/>
        <w:rPr>
          <w:sz w:val="12"/>
          <w:szCs w:val="12"/>
          <w:lang w:val="hu-HU"/>
        </w:rPr>
      </w:pPr>
    </w:p>
    <w:p w14:paraId="0D639B78" w14:textId="77777777" w:rsidR="008E0EB4" w:rsidRDefault="008E0EB4" w:rsidP="008E0EB4">
      <w:pPr>
        <w:pStyle w:val="He04Funote"/>
        <w:spacing w:after="60"/>
        <w:jc w:val="both"/>
        <w:rPr>
          <w:sz w:val="12"/>
          <w:szCs w:val="12"/>
          <w:lang w:val="hu-HU"/>
        </w:rPr>
      </w:pPr>
    </w:p>
    <w:p w14:paraId="2204B75D" w14:textId="37554376" w:rsidR="008E0EB4" w:rsidRPr="008E0EB4" w:rsidRDefault="008E0EB4" w:rsidP="008E0EB4">
      <w:pPr>
        <w:pStyle w:val="He04Funote"/>
        <w:spacing w:after="60"/>
        <w:jc w:val="both"/>
        <w:rPr>
          <w:sz w:val="12"/>
          <w:szCs w:val="12"/>
          <w:lang w:val="hu-HU"/>
        </w:rPr>
      </w:pPr>
      <w:r w:rsidRPr="008E0EB4">
        <w:rPr>
          <w:sz w:val="12"/>
          <w:szCs w:val="12"/>
          <w:lang w:val="hu-HU"/>
        </w:rPr>
        <w:t>*  Az oroszországi szerves árbevétel alakulása nélkül 2022 második negyedévének eleje óta, az ottani üzleti tevékenységek bejelentett kivonulása miatt, valamint a 29-es IAS 29 törökországi alkalmazásából eredő hatások nélkül.</w:t>
      </w:r>
    </w:p>
    <w:p w14:paraId="29FB35CA" w14:textId="77777777" w:rsidR="008E0EB4" w:rsidRPr="008E0EB4" w:rsidRDefault="008E0EB4" w:rsidP="008E0EB4">
      <w:pPr>
        <w:autoSpaceDE w:val="0"/>
        <w:autoSpaceDN w:val="0"/>
        <w:adjustRightInd w:val="0"/>
        <w:spacing w:after="60" w:line="240" w:lineRule="auto"/>
        <w:rPr>
          <w:sz w:val="12"/>
          <w:szCs w:val="12"/>
          <w:lang w:val="hu-HU"/>
        </w:rPr>
      </w:pPr>
      <w:r w:rsidRPr="008E0EB4">
        <w:rPr>
          <w:sz w:val="12"/>
          <w:szCs w:val="12"/>
          <w:lang w:val="hu-HU"/>
        </w:rPr>
        <w:t>** Egyszeri kiadásokkal és bevételekkel, valamint szerkezetátalakítási költségekkel kiigazítva.</w:t>
      </w:r>
    </w:p>
    <w:p w14:paraId="426AC3DC" w14:textId="77777777" w:rsidR="008E0EB4" w:rsidRDefault="008E0EB4" w:rsidP="008E0EB4">
      <w:pPr>
        <w:spacing w:line="276" w:lineRule="auto"/>
        <w:ind w:right="-108"/>
        <w:rPr>
          <w:rFonts w:ascii="Segoe UI" w:hAnsi="Segoe UI"/>
          <w:b/>
          <w:sz w:val="22"/>
          <w:lang w:val="hu-HU"/>
        </w:rPr>
      </w:pPr>
    </w:p>
    <w:p w14:paraId="0DB90491" w14:textId="279A4B9E" w:rsidR="008E0EB4" w:rsidRPr="008E0EB4" w:rsidRDefault="008E0EB4" w:rsidP="008E0EB4">
      <w:pPr>
        <w:jc w:val="both"/>
        <w:rPr>
          <w:rFonts w:ascii="Segoe UI" w:hAnsi="Segoe UI"/>
          <w:b/>
          <w:sz w:val="22"/>
          <w:lang w:val="hu-HU"/>
        </w:rPr>
      </w:pPr>
      <w:r w:rsidRPr="008E0EB4">
        <w:rPr>
          <w:rFonts w:ascii="Segoe UI" w:hAnsi="Segoe UI"/>
          <w:b/>
          <w:sz w:val="22"/>
          <w:lang w:val="hu-HU"/>
        </w:rPr>
        <w:lastRenderedPageBreak/>
        <w:t xml:space="preserve">Düsseldorf – „2022-ben jelentős árbevétel-növekedést és erős eredményt értünk el egy nagy kihívásokkal teli évben – és fontos stratégiai intézkedéseket hajtottunk végre. A nyersanyag- és logisztikai költségek drámai emelkedését részben sikerült ellensúlyoznunk a magasabb árakkal és folyamatos hatékonyságjavításokkal. Ez tükröződik </w:t>
      </w:r>
      <w:proofErr w:type="spellStart"/>
      <w:r w:rsidRPr="008E0EB4">
        <w:rPr>
          <w:rFonts w:ascii="Segoe UI" w:hAnsi="Segoe UI"/>
          <w:b/>
          <w:sz w:val="22"/>
          <w:lang w:val="hu-HU"/>
        </w:rPr>
        <w:t>árbevételünkben</w:t>
      </w:r>
      <w:proofErr w:type="spellEnd"/>
      <w:r w:rsidRPr="008E0EB4">
        <w:rPr>
          <w:rFonts w:ascii="Segoe UI" w:hAnsi="Segoe UI"/>
          <w:b/>
          <w:sz w:val="22"/>
          <w:lang w:val="hu-HU"/>
        </w:rPr>
        <w:t xml:space="preserve">, amely új csúcsot ért el, mintegy 22,4 milliárd </w:t>
      </w:r>
      <w:r w:rsidR="000E56EF">
        <w:rPr>
          <w:rFonts w:ascii="Segoe UI" w:hAnsi="Segoe UI"/>
          <w:b/>
          <w:sz w:val="22"/>
          <w:lang w:val="hu-HU"/>
        </w:rPr>
        <w:t>e</w:t>
      </w:r>
      <w:r w:rsidRPr="008E0EB4">
        <w:rPr>
          <w:rFonts w:ascii="Segoe UI" w:hAnsi="Segoe UI"/>
          <w:b/>
          <w:sz w:val="22"/>
          <w:lang w:val="hu-HU"/>
        </w:rPr>
        <w:t>uró</w:t>
      </w:r>
      <w:r w:rsidR="000E56EF">
        <w:rPr>
          <w:rFonts w:ascii="Segoe UI" w:hAnsi="Segoe UI"/>
          <w:b/>
          <w:sz w:val="22"/>
          <w:lang w:val="hu-HU"/>
        </w:rPr>
        <w:t>val</w:t>
      </w:r>
      <w:r w:rsidRPr="008E0EB4">
        <w:rPr>
          <w:rFonts w:ascii="Segoe UI" w:hAnsi="Segoe UI"/>
          <w:b/>
          <w:sz w:val="22"/>
          <w:lang w:val="hu-HU"/>
        </w:rPr>
        <w:t xml:space="preserve">, üzemi eredményünk 2,3 milliárd </w:t>
      </w:r>
      <w:r w:rsidR="000E56EF">
        <w:rPr>
          <w:rFonts w:ascii="Segoe UI" w:hAnsi="Segoe UI"/>
          <w:b/>
          <w:sz w:val="22"/>
          <w:lang w:val="hu-HU"/>
        </w:rPr>
        <w:t>e</w:t>
      </w:r>
      <w:r w:rsidRPr="008E0EB4">
        <w:rPr>
          <w:rFonts w:ascii="Segoe UI" w:hAnsi="Segoe UI"/>
          <w:b/>
          <w:sz w:val="22"/>
          <w:lang w:val="hu-HU"/>
        </w:rPr>
        <w:t xml:space="preserve">uró lett. Mindezek alapján részvényeseinknek az előző évi szinten stabil osztalékot </w:t>
      </w:r>
      <w:r w:rsidR="000E56EF">
        <w:rPr>
          <w:rFonts w:ascii="Segoe UI" w:hAnsi="Segoe UI"/>
          <w:b/>
          <w:sz w:val="22"/>
          <w:lang w:val="hu-HU"/>
        </w:rPr>
        <w:t>aján</w:t>
      </w:r>
      <w:r w:rsidRPr="008E0EB4">
        <w:rPr>
          <w:rFonts w:ascii="Segoe UI" w:hAnsi="Segoe UI"/>
          <w:b/>
          <w:sz w:val="22"/>
          <w:lang w:val="hu-HU"/>
        </w:rPr>
        <w:t xml:space="preserve">lunk. </w:t>
      </w:r>
      <w:r w:rsidR="000E56EF">
        <w:rPr>
          <w:rFonts w:ascii="Segoe UI" w:hAnsi="Segoe UI"/>
          <w:b/>
          <w:sz w:val="22"/>
          <w:lang w:val="hu-HU"/>
        </w:rPr>
        <w:t xml:space="preserve">Az </w:t>
      </w:r>
      <w:r w:rsidR="000E56EF" w:rsidRPr="008E0EB4">
        <w:rPr>
          <w:rFonts w:ascii="Segoe UI" w:hAnsi="Segoe UI"/>
          <w:b/>
          <w:sz w:val="22"/>
          <w:lang w:val="hu-HU"/>
        </w:rPr>
        <w:t>elmúlt évtizedek egyik legnagyobb átalakítását is sikeresen elindítottuk vállalatunknál</w:t>
      </w:r>
      <w:r w:rsidR="000E56EF">
        <w:rPr>
          <w:rFonts w:ascii="Segoe UI" w:hAnsi="Segoe UI"/>
          <w:b/>
          <w:sz w:val="22"/>
          <w:lang w:val="hu-HU"/>
        </w:rPr>
        <w:t xml:space="preserve"> azáltal, hogy f</w:t>
      </w:r>
      <w:r w:rsidRPr="008E0EB4">
        <w:rPr>
          <w:rFonts w:ascii="Segoe UI" w:hAnsi="Segoe UI"/>
          <w:b/>
          <w:sz w:val="22"/>
          <w:lang w:val="hu-HU"/>
        </w:rPr>
        <w:t>ogyasztói üzletágaink</w:t>
      </w:r>
      <w:r w:rsidR="000E56EF">
        <w:rPr>
          <w:rFonts w:ascii="Segoe UI" w:hAnsi="Segoe UI"/>
          <w:b/>
          <w:sz w:val="22"/>
          <w:lang w:val="hu-HU"/>
        </w:rPr>
        <w:t>at a</w:t>
      </w:r>
      <w:r w:rsidRPr="008E0EB4">
        <w:rPr>
          <w:rFonts w:ascii="Segoe UI" w:hAnsi="Segoe UI"/>
          <w:b/>
          <w:sz w:val="22"/>
          <w:lang w:val="hu-HU"/>
        </w:rPr>
        <w:t xml:space="preserve"> Consumer </w:t>
      </w:r>
      <w:proofErr w:type="spellStart"/>
      <w:r w:rsidRPr="008E0EB4">
        <w:rPr>
          <w:rFonts w:ascii="Segoe UI" w:hAnsi="Segoe UI"/>
          <w:b/>
          <w:sz w:val="22"/>
          <w:lang w:val="hu-HU"/>
        </w:rPr>
        <w:t>Brands</w:t>
      </w:r>
      <w:proofErr w:type="spellEnd"/>
      <w:r w:rsidRPr="008E0EB4">
        <w:rPr>
          <w:lang w:val="hu-HU"/>
        </w:rPr>
        <w:t xml:space="preserve"> </w:t>
      </w:r>
      <w:r w:rsidRPr="008E0EB4">
        <w:rPr>
          <w:rFonts w:ascii="Segoe UI" w:hAnsi="Segoe UI"/>
          <w:b/>
          <w:sz w:val="22"/>
          <w:lang w:val="hu-HU"/>
        </w:rPr>
        <w:t>üzletágba egyesít</w:t>
      </w:r>
      <w:r w:rsidR="000E56EF">
        <w:rPr>
          <w:rFonts w:ascii="Segoe UI" w:hAnsi="Segoe UI"/>
          <w:b/>
          <w:sz w:val="22"/>
          <w:lang w:val="hu-HU"/>
        </w:rPr>
        <w:t>ettük</w:t>
      </w:r>
      <w:r w:rsidRPr="008E0EB4">
        <w:rPr>
          <w:rFonts w:ascii="Segoe UI" w:hAnsi="Segoe UI"/>
          <w:b/>
          <w:sz w:val="22"/>
          <w:lang w:val="hu-HU"/>
        </w:rPr>
        <w:t xml:space="preserve">" – mondta Carsten </w:t>
      </w:r>
      <w:proofErr w:type="spellStart"/>
      <w:r w:rsidRPr="008E0EB4">
        <w:rPr>
          <w:rFonts w:ascii="Segoe UI" w:hAnsi="Segoe UI"/>
          <w:b/>
          <w:sz w:val="22"/>
          <w:lang w:val="hu-HU"/>
        </w:rPr>
        <w:t>Knobel</w:t>
      </w:r>
      <w:proofErr w:type="spellEnd"/>
      <w:r w:rsidRPr="008E0EB4">
        <w:rPr>
          <w:rFonts w:ascii="Segoe UI" w:hAnsi="Segoe UI"/>
          <w:b/>
          <w:sz w:val="22"/>
          <w:lang w:val="hu-HU"/>
        </w:rPr>
        <w:t>, a Henkel igazgatóságának elnöke.</w:t>
      </w:r>
    </w:p>
    <w:p w14:paraId="586B3186" w14:textId="0DF0F377" w:rsidR="008E0EB4" w:rsidRPr="008E0EB4" w:rsidRDefault="008E0EB4" w:rsidP="008E0EB4">
      <w:pPr>
        <w:spacing w:line="276" w:lineRule="auto"/>
        <w:ind w:right="-108"/>
        <w:rPr>
          <w:rFonts w:ascii="Segoe UI" w:hAnsi="Segoe UI"/>
          <w:b/>
          <w:sz w:val="22"/>
          <w:lang w:val="hu-HU"/>
        </w:rPr>
      </w:pPr>
    </w:p>
    <w:p w14:paraId="7984FAAE" w14:textId="4FD64791" w:rsidR="008E0EB4" w:rsidRPr="000E56EF" w:rsidRDefault="008E0EB4" w:rsidP="008E0EB4">
      <w:pPr>
        <w:spacing w:line="276" w:lineRule="auto"/>
        <w:ind w:right="-108"/>
        <w:jc w:val="both"/>
        <w:rPr>
          <w:rFonts w:ascii="Segoe UI" w:hAnsi="Segoe UI"/>
          <w:b/>
          <w:sz w:val="22"/>
          <w:lang w:val="hu-HU"/>
        </w:rPr>
      </w:pPr>
      <w:r w:rsidRPr="008E0EB4">
        <w:rPr>
          <w:rFonts w:ascii="Segoe UI" w:hAnsi="Segoe UI"/>
          <w:b/>
          <w:sz w:val="22"/>
          <w:lang w:val="hu-HU"/>
        </w:rPr>
        <w:t xml:space="preserve">„Globális csapatunk </w:t>
      </w:r>
      <w:r w:rsidR="000E56EF">
        <w:rPr>
          <w:rFonts w:ascii="Segoe UI" w:hAnsi="Segoe UI"/>
          <w:b/>
          <w:sz w:val="22"/>
          <w:lang w:val="hu-HU"/>
        </w:rPr>
        <w:t>kiváló</w:t>
      </w:r>
      <w:r w:rsidRPr="008E0EB4">
        <w:rPr>
          <w:rFonts w:ascii="Segoe UI" w:hAnsi="Segoe UI"/>
          <w:b/>
          <w:sz w:val="22"/>
          <w:lang w:val="hu-HU"/>
        </w:rPr>
        <w:t xml:space="preserve"> elkötelezettségének, erős kultúránknak és világos, hosszú távú növekedési stratégiánknak köszönhetően összességében jól megbirkóztunk az elmúlt pénzügyi év kihívásaival. Úgy látom, hogy jól felkészültünk arra, hogy a Henkelt átvezessük ezen a nehéz időszakon, és elérjük ambiciózus céljainkat. Jó helyzetben vagyunk ahhoz, hogy a jelenlegi pénzügyi évben további növekedést érjünk el – két üzletágunk az Adhesive Technologies és Consumer </w:t>
      </w:r>
      <w:proofErr w:type="spellStart"/>
      <w:r w:rsidRPr="008E0EB4">
        <w:rPr>
          <w:rFonts w:ascii="Segoe UI" w:hAnsi="Segoe UI"/>
          <w:b/>
          <w:sz w:val="22"/>
          <w:lang w:val="hu-HU"/>
        </w:rPr>
        <w:t>Brands</w:t>
      </w:r>
      <w:proofErr w:type="spellEnd"/>
      <w:r w:rsidRPr="008E0EB4">
        <w:rPr>
          <w:rFonts w:ascii="Segoe UI" w:hAnsi="Segoe UI"/>
          <w:b/>
          <w:sz w:val="22"/>
          <w:lang w:val="hu-HU"/>
        </w:rPr>
        <w:t xml:space="preserve"> támogatásával.”</w:t>
      </w:r>
    </w:p>
    <w:p w14:paraId="61CFFD2E" w14:textId="502E6730" w:rsidR="008E0EB4" w:rsidRDefault="008E0EB4" w:rsidP="008E0EB4">
      <w:pPr>
        <w:spacing w:after="80"/>
        <w:ind w:right="-108"/>
        <w:rPr>
          <w:rStyle w:val="Headline"/>
          <w:rFonts w:cs="Segoe UI"/>
          <w:color w:val="000000"/>
          <w:szCs w:val="20"/>
          <w:lang w:val="hu-HU"/>
        </w:rPr>
      </w:pPr>
    </w:p>
    <w:p w14:paraId="751B1808" w14:textId="56C06255" w:rsidR="008D4F84" w:rsidRDefault="008D4F84" w:rsidP="00A97185">
      <w:pPr>
        <w:spacing w:after="240" w:line="240" w:lineRule="auto"/>
        <w:ind w:right="-108"/>
        <w:jc w:val="both"/>
        <w:rPr>
          <w:rFonts w:ascii="Segoe UI" w:hAnsi="Segoe UI"/>
          <w:b/>
          <w:sz w:val="22"/>
          <w:lang w:val="hu-HU"/>
        </w:rPr>
      </w:pPr>
      <w:r w:rsidRPr="008D4F84">
        <w:rPr>
          <w:rFonts w:ascii="Segoe UI" w:hAnsi="Segoe UI"/>
          <w:b/>
          <w:sz w:val="22"/>
          <w:lang w:val="hu-HU"/>
        </w:rPr>
        <w:t>A csoport árbevételének és eredményének alakulása a 2022-es pénzügyi évben</w:t>
      </w:r>
    </w:p>
    <w:p w14:paraId="1F397DC6" w14:textId="562A193F" w:rsidR="008D4F84" w:rsidRPr="008D4F84" w:rsidRDefault="008D4F84" w:rsidP="008D4F84">
      <w:pPr>
        <w:spacing w:line="276" w:lineRule="auto"/>
        <w:ind w:right="-108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Henkel-csoport </w:t>
      </w:r>
      <w:r w:rsidRPr="008D4F84">
        <w:rPr>
          <w:rFonts w:ascii="Segoe UI" w:hAnsi="Segoe UI"/>
          <w:b/>
          <w:sz w:val="22"/>
          <w:lang w:val="hu-HU"/>
        </w:rPr>
        <w:t>árbevétele</w:t>
      </w:r>
      <w:r w:rsidRPr="008D4F84">
        <w:rPr>
          <w:rFonts w:ascii="Segoe UI" w:hAnsi="Segoe UI"/>
          <w:bCs/>
          <w:sz w:val="22"/>
          <w:lang w:val="hu-HU"/>
        </w:rPr>
        <w:t xml:space="preserve"> a 2022-es pénzügyi évben elérte a 22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397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urót. Ez 11,6 százalékos nominális növekedésnek és jelentős, 8,8 százalékos </w:t>
      </w:r>
      <w:r w:rsidRPr="008D4F84">
        <w:rPr>
          <w:rFonts w:ascii="Segoe UI" w:hAnsi="Segoe UI"/>
          <w:b/>
          <w:sz w:val="22"/>
          <w:lang w:val="hu-HU"/>
        </w:rPr>
        <w:t>szerves árbevétel-növekedésnek</w:t>
      </w:r>
      <w:r w:rsidRPr="008D4F84">
        <w:rPr>
          <w:rFonts w:ascii="Segoe UI" w:hAnsi="Segoe UI"/>
          <w:bCs/>
          <w:sz w:val="22"/>
          <w:lang w:val="hu-HU"/>
        </w:rPr>
        <w:t xml:space="preserve"> felel meg, amelyet az összes üzletágban bekövetkezett áremelkedésnek köszönhetünk. Az akvizíciók és az elidegenítések hatása az értékesítésre enyhén negatív, -1,1 százalékos volt. Az árfolyamhatások 3,9 százalékos pozitív hatást gyakoroltak az árbevétel alakulására.</w:t>
      </w:r>
    </w:p>
    <w:p w14:paraId="344BC772" w14:textId="77777777" w:rsidR="008E0EB4" w:rsidRDefault="008E0EB4" w:rsidP="008D4F84">
      <w:pPr>
        <w:spacing w:line="276" w:lineRule="auto"/>
        <w:jc w:val="both"/>
        <w:rPr>
          <w:rStyle w:val="Lbjegyzet-hivatkozs"/>
          <w:rFonts w:ascii="Segoe UI" w:hAnsi="Segoe UI" w:cs="Segoe UI"/>
          <w:sz w:val="16"/>
          <w:szCs w:val="16"/>
          <w:lang w:val="hu-HU"/>
        </w:rPr>
      </w:pPr>
    </w:p>
    <w:p w14:paraId="6E25FAD6" w14:textId="255D03A4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Az </w:t>
      </w:r>
      <w:r w:rsidRPr="008D4F84">
        <w:rPr>
          <w:rFonts w:ascii="Segoe UI" w:hAnsi="Segoe UI"/>
          <w:b/>
          <w:sz w:val="22"/>
          <w:lang w:val="hu-HU"/>
        </w:rPr>
        <w:t>Adhesive Technologies</w:t>
      </w:r>
      <w:r w:rsidRPr="008D4F84">
        <w:rPr>
          <w:rFonts w:ascii="Segoe UI" w:hAnsi="Segoe UI"/>
          <w:bCs/>
          <w:sz w:val="22"/>
          <w:lang w:val="hu-HU"/>
        </w:rPr>
        <w:t xml:space="preserve"> üzletág kétszámjegyű, 13,2 százalékos szerves árbevétel-növekedést ért el, amelyhez minden üzleti terület hozzájárult. A </w:t>
      </w:r>
      <w:r w:rsidRPr="008D4F84">
        <w:rPr>
          <w:rFonts w:ascii="Segoe UI" w:hAnsi="Segoe UI"/>
          <w:b/>
          <w:sz w:val="22"/>
          <w:lang w:val="hu-HU"/>
        </w:rPr>
        <w:t>Beauty Care</w:t>
      </w:r>
      <w:r w:rsidRPr="008D4F84">
        <w:rPr>
          <w:rFonts w:ascii="Segoe UI" w:hAnsi="Segoe UI"/>
          <w:bCs/>
          <w:sz w:val="22"/>
          <w:lang w:val="hu-HU"/>
        </w:rPr>
        <w:t xml:space="preserve"> üzletág szerves árbevételének alakulása enyhén negatív, -0,5 százalék volt. Míg a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Hair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Professional</w:t>
      </w:r>
      <w:r w:rsidR="00A97185">
        <w:rPr>
          <w:rFonts w:ascii="Segoe UI" w:hAnsi="Segoe UI"/>
          <w:bCs/>
          <w:sz w:val="22"/>
          <w:lang w:val="hu-HU"/>
        </w:rPr>
        <w:t xml:space="preserve"> (fodrász)</w:t>
      </w:r>
      <w:r w:rsidRPr="008D4F84">
        <w:rPr>
          <w:rFonts w:ascii="Segoe UI" w:hAnsi="Segoe UI"/>
          <w:bCs/>
          <w:sz w:val="22"/>
          <w:lang w:val="hu-HU"/>
        </w:rPr>
        <w:t xml:space="preserve"> üzleti területen zajló fellendülés pozitívan hatott, a Beauty Care fogyasztói területét különösen a bejelentett portfólióintézkedések végrehajtása érintette. A </w:t>
      </w:r>
      <w:r w:rsidRPr="008D4F84">
        <w:rPr>
          <w:rFonts w:ascii="Segoe UI" w:hAnsi="Segoe UI"/>
          <w:b/>
          <w:sz w:val="22"/>
          <w:lang w:val="hu-HU"/>
        </w:rPr>
        <w:t>Laundry &amp; Home Care</w:t>
      </w:r>
      <w:r w:rsidRPr="008D4F84">
        <w:rPr>
          <w:rFonts w:ascii="Segoe UI" w:hAnsi="Segoe UI"/>
          <w:bCs/>
          <w:sz w:val="22"/>
          <w:lang w:val="hu-HU"/>
        </w:rPr>
        <w:t xml:space="preserve"> üzletág nagyon erős, 6,3 százalékos szerves árbevétel-növekedést ért el, különösen a Laundry Care üzleti terület jelentős növekedésének köszönhetően.</w:t>
      </w:r>
    </w:p>
    <w:p w14:paraId="4214D93B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34DE7F15" w14:textId="1EFA7CC8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>feltörekvő piacok</w:t>
      </w:r>
      <w:r w:rsidRPr="008D4F84">
        <w:rPr>
          <w:rFonts w:ascii="Segoe UI" w:hAnsi="Segoe UI"/>
          <w:bCs/>
          <w:sz w:val="22"/>
          <w:lang w:val="hu-HU"/>
        </w:rPr>
        <w:t xml:space="preserve"> kétszámjegyű, 13,3 százalékos szerves árbevétel-növekedést értek el. Az </w:t>
      </w:r>
      <w:r w:rsidRPr="008D4F84">
        <w:rPr>
          <w:rFonts w:ascii="Segoe UI" w:hAnsi="Segoe UI"/>
          <w:b/>
          <w:sz w:val="22"/>
          <w:lang w:val="hu-HU"/>
        </w:rPr>
        <w:t>érett piacok</w:t>
      </w:r>
      <w:r w:rsidRPr="008D4F84">
        <w:rPr>
          <w:rFonts w:ascii="Segoe UI" w:hAnsi="Segoe UI"/>
          <w:bCs/>
          <w:sz w:val="22"/>
          <w:lang w:val="hu-HU"/>
        </w:rPr>
        <w:t xml:space="preserve"> 5,2 százalékos erős szerves árbevétel teljesítményt értek el.</w:t>
      </w:r>
    </w:p>
    <w:p w14:paraId="0A91C8D8" w14:textId="15D2C530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51E37730" w14:textId="2ABF5C19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>korrigált üzemi eredmény (korrigált EBIT)</w:t>
      </w:r>
      <w:r w:rsidRPr="008D4F84">
        <w:rPr>
          <w:rFonts w:ascii="Segoe UI" w:hAnsi="Segoe UI"/>
          <w:bCs/>
          <w:sz w:val="22"/>
          <w:lang w:val="hu-HU"/>
        </w:rPr>
        <w:t xml:space="preserve"> elérte a 2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319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urót, a 2021-es pénzügyi évben elért 2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686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uróval szemben (-13,7 százalék). A jelentősen megemelkedett nyersanyag- és logisztikai árak hatása súlyosan érintette a csoport nyereségességét, és ezt nem </w:t>
      </w:r>
      <w:r w:rsidRPr="008D4F84">
        <w:rPr>
          <w:rFonts w:ascii="Segoe UI" w:hAnsi="Segoe UI"/>
          <w:bCs/>
          <w:sz w:val="22"/>
          <w:lang w:val="hu-HU"/>
        </w:rPr>
        <w:lastRenderedPageBreak/>
        <w:t>tudták teljes mértékben ellensúlyozni a kedvező áralakulás, valamint a termelés és az ellátási lánc költségcsökkentésére és hatékonyságának növelésére irányuló folyamatos intézkedések.</w:t>
      </w:r>
    </w:p>
    <w:p w14:paraId="0D1A0C4C" w14:textId="3B566B98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1CFBA690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 xml:space="preserve">korrigált árbevétel-arányos megtérülés (korrigált EBIT </w:t>
      </w:r>
      <w:proofErr w:type="spellStart"/>
      <w:r w:rsidRPr="008D4F84">
        <w:rPr>
          <w:rFonts w:ascii="Segoe UI" w:hAnsi="Segoe UI"/>
          <w:b/>
          <w:sz w:val="22"/>
          <w:lang w:val="hu-HU"/>
        </w:rPr>
        <w:t>marzs</w:t>
      </w:r>
      <w:proofErr w:type="spellEnd"/>
      <w:r w:rsidRPr="008D4F84">
        <w:rPr>
          <w:rFonts w:ascii="Segoe UI" w:hAnsi="Segoe UI"/>
          <w:b/>
          <w:sz w:val="22"/>
          <w:lang w:val="hu-HU"/>
        </w:rPr>
        <w:t>)</w:t>
      </w:r>
      <w:r w:rsidRPr="008D4F84">
        <w:rPr>
          <w:rFonts w:ascii="Segoe UI" w:hAnsi="Segoe UI"/>
          <w:bCs/>
          <w:sz w:val="22"/>
          <w:lang w:val="hu-HU"/>
        </w:rPr>
        <w:t xml:space="preserve"> a tárgyévben 10,4 százalékkal elmaradt az előző évi szinttől (2021: 13,4 százalék).</w:t>
      </w:r>
    </w:p>
    <w:p w14:paraId="7D319ABB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 </w:t>
      </w:r>
    </w:p>
    <w:p w14:paraId="7D6A7198" w14:textId="3596E324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Az </w:t>
      </w:r>
      <w:r w:rsidRPr="008D4F84">
        <w:rPr>
          <w:rFonts w:ascii="Segoe UI" w:hAnsi="Segoe UI"/>
          <w:b/>
          <w:sz w:val="22"/>
          <w:lang w:val="hu-HU"/>
        </w:rPr>
        <w:t>elsőbbségi részvények korrigált hozama</w:t>
      </w:r>
      <w:r w:rsidRPr="008D4F84">
        <w:rPr>
          <w:rFonts w:ascii="Segoe UI" w:hAnsi="Segoe UI"/>
          <w:bCs/>
          <w:sz w:val="22"/>
          <w:lang w:val="hu-HU"/>
        </w:rPr>
        <w:t xml:space="preserve"> -14,5 százalékkal 3,90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uróra csökkent (előző év: 4,56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uró). Ez változatlan árfolyamon számolva -17,8 százalékos teljesítménynek felel meg.</w:t>
      </w:r>
    </w:p>
    <w:p w14:paraId="1A2FEA07" w14:textId="3B31DFD7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304B413F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>nettó forgótőke</w:t>
      </w:r>
      <w:r w:rsidRPr="008D4F84">
        <w:rPr>
          <w:rFonts w:ascii="Segoe UI" w:hAnsi="Segoe UI"/>
          <w:bCs/>
          <w:sz w:val="22"/>
          <w:lang w:val="hu-HU"/>
        </w:rPr>
        <w:t xml:space="preserve"> az árbevétel százalékában 4,5 százalékra nőtt, ami 2,3 százalékpontos emelkedés az előző évhez képest. A nettó forgótőke növekedése elsősorban a direkt anyagok lényegesen magasabb árainak tudható be.</w:t>
      </w:r>
    </w:p>
    <w:p w14:paraId="5212DE82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38EF0C26" w14:textId="069E242A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>szabad cash flow</w:t>
      </w:r>
      <w:r w:rsidRPr="008D4F84">
        <w:rPr>
          <w:rFonts w:ascii="Segoe UI" w:hAnsi="Segoe UI"/>
          <w:bCs/>
          <w:sz w:val="22"/>
          <w:lang w:val="hu-HU"/>
        </w:rPr>
        <w:t xml:space="preserve"> 653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urót tett ki, amely jelentős csökkenést jelent az előző évhez képest (2021: 1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478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uró). Ennek oka a magasabb nettó forgótőke, valamint az alacsonyabb üzemi eredmény következtében alacsonyabb működési tevékenységből származó pénzforgalom volt.</w:t>
      </w:r>
    </w:p>
    <w:p w14:paraId="45B1EF5C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03651805" w14:textId="5B0B164A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>nettó pénzügyi helyzet</w:t>
      </w:r>
      <w:r w:rsidRPr="008D4F84">
        <w:rPr>
          <w:rFonts w:ascii="Segoe UI" w:hAnsi="Segoe UI"/>
          <w:bCs/>
          <w:sz w:val="22"/>
          <w:lang w:val="hu-HU"/>
        </w:rPr>
        <w:t xml:space="preserve"> -1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267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 volt (2021. december 31-én: -292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uró). Ez tükrözi a 2022 februárjában elindított részvény-visszavásárlási programmal kapcsolatos kiadásokat és a második negyedévi osztalékfizetés költségeit is.</w:t>
      </w:r>
    </w:p>
    <w:p w14:paraId="0F3A5760" w14:textId="4C36C030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6B77C1C2" w14:textId="53630559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>Az igazgatóság, a felügyelőbizottság és a részvényesi bizottság a 2023. április 24-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i éves rendes közgyűlésnek az előző évhez képest stabil, elsőbbségi részvényenként 1,85 euró, törzsrészvényenként 1,83 euró osztalék kifizetését javasolja. Ez 46,6 százalékos kifizetési aránynak felel meg, ami meghaladja a 30-40 százalékos célsávot, és tükrözi a szokatlan eredményterhelést, amelyet különösen a jelentősen magasabb nyersanyagárak és a logisztikai költségek okoztak. Ez a kifizetés a Henkel-csoport erős pénzügyi bázisának és alacsony nettó adósságának köszönhetően lehetséges. Így a Henkel fenn tudja tartani az osztalékfizetés folyamatosságát részvényesei számára.</w:t>
      </w:r>
    </w:p>
    <w:p w14:paraId="6C1E227D" w14:textId="5B1DF804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1CC71BB6" w14:textId="4E85040D" w:rsidR="008D4F84" w:rsidRPr="00A97185" w:rsidRDefault="008D4F84" w:rsidP="00A97185">
      <w:pPr>
        <w:spacing w:after="240" w:line="240" w:lineRule="auto"/>
        <w:ind w:right="-108"/>
        <w:jc w:val="both"/>
        <w:rPr>
          <w:rFonts w:ascii="Segoe UI" w:hAnsi="Segoe UI"/>
          <w:b/>
          <w:sz w:val="22"/>
          <w:lang w:val="hu-HU"/>
        </w:rPr>
      </w:pPr>
      <w:r w:rsidRPr="00A97185">
        <w:rPr>
          <w:rFonts w:ascii="Segoe UI" w:hAnsi="Segoe UI"/>
          <w:b/>
          <w:sz w:val="22"/>
          <w:lang w:val="hu-HU"/>
        </w:rPr>
        <w:t>Az üzletágak teljesítménye a 2022-es pénzügyi évben</w:t>
      </w:r>
    </w:p>
    <w:p w14:paraId="27C08CCB" w14:textId="3667D5A5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2022-es pénzügyi évben az </w:t>
      </w:r>
      <w:r w:rsidRPr="00A97185">
        <w:rPr>
          <w:rFonts w:ascii="Segoe UI" w:hAnsi="Segoe UI"/>
          <w:b/>
          <w:sz w:val="22"/>
          <w:lang w:val="hu-HU"/>
        </w:rPr>
        <w:t>Adhesive Technologies</w:t>
      </w:r>
      <w:r w:rsidRPr="008D4F84">
        <w:rPr>
          <w:rFonts w:ascii="Segoe UI" w:hAnsi="Segoe UI"/>
          <w:bCs/>
          <w:sz w:val="22"/>
          <w:lang w:val="hu-HU"/>
        </w:rPr>
        <w:t xml:space="preserve"> üzletág </w:t>
      </w:r>
      <w:r w:rsidRPr="00A97185">
        <w:rPr>
          <w:rFonts w:ascii="Segoe UI" w:hAnsi="Segoe UI"/>
          <w:b/>
          <w:sz w:val="22"/>
          <w:lang w:val="hu-HU"/>
        </w:rPr>
        <w:t>árbevétele</w:t>
      </w:r>
      <w:r w:rsidRPr="008D4F84">
        <w:rPr>
          <w:rFonts w:ascii="Segoe UI" w:hAnsi="Segoe UI"/>
          <w:bCs/>
          <w:sz w:val="22"/>
          <w:lang w:val="hu-HU"/>
        </w:rPr>
        <w:t xml:space="preserve"> nominálisan 16,6 százalékkal, 11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242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uróra nőtt. Az árbevétel </w:t>
      </w:r>
      <w:r w:rsidRPr="008D4F84">
        <w:rPr>
          <w:rFonts w:ascii="Segoe UI" w:hAnsi="Segoe UI"/>
          <w:b/>
          <w:sz w:val="22"/>
          <w:lang w:val="hu-HU"/>
        </w:rPr>
        <w:t>szervesen</w:t>
      </w:r>
      <w:r w:rsidRPr="008D4F84">
        <w:rPr>
          <w:rFonts w:ascii="Segoe UI" w:hAnsi="Segoe UI"/>
          <w:bCs/>
          <w:sz w:val="22"/>
          <w:lang w:val="hu-HU"/>
        </w:rPr>
        <w:t xml:space="preserve"> 13,2 százalékkal nőtt. Ezt az árbevétel-növekedést a kétszámjegyű áremelkedés okozta. A </w:t>
      </w:r>
      <w:r w:rsidRPr="008D4F84">
        <w:rPr>
          <w:rFonts w:ascii="Segoe UI" w:hAnsi="Segoe UI"/>
          <w:b/>
          <w:sz w:val="22"/>
          <w:lang w:val="hu-HU"/>
        </w:rPr>
        <w:t>korrigált üzemi eredmény</w:t>
      </w:r>
      <w:r w:rsidRPr="008D4F84">
        <w:rPr>
          <w:rFonts w:ascii="Segoe UI" w:hAnsi="Segoe UI"/>
          <w:bCs/>
          <w:sz w:val="22"/>
          <w:lang w:val="hu-HU"/>
        </w:rPr>
        <w:t xml:space="preserve"> az előző évhez képest kissé alacsonyabb, 1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530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 volt (2021: 1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561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uró). </w:t>
      </w:r>
      <w:r w:rsidRPr="008D4F84">
        <w:rPr>
          <w:rFonts w:ascii="Segoe UI" w:hAnsi="Segoe UI"/>
          <w:b/>
          <w:sz w:val="22"/>
          <w:lang w:val="hu-HU"/>
        </w:rPr>
        <w:t>A korrigált árbevétel-arányos megtérülés</w:t>
      </w:r>
      <w:r w:rsidRPr="008D4F84">
        <w:rPr>
          <w:rFonts w:ascii="Segoe UI" w:hAnsi="Segoe UI"/>
          <w:bCs/>
          <w:sz w:val="22"/>
          <w:lang w:val="hu-HU"/>
        </w:rPr>
        <w:t xml:space="preserve"> 13,6 százalékot ért el, szemben az előző évi 16,2 </w:t>
      </w:r>
      <w:r w:rsidR="006A1E9B">
        <w:rPr>
          <w:rFonts w:ascii="Segoe UI" w:hAnsi="Segoe UI"/>
          <w:bCs/>
          <w:sz w:val="22"/>
          <w:lang w:val="hu-HU"/>
        </w:rPr>
        <w:t>s</w:t>
      </w:r>
      <w:r w:rsidRPr="008D4F84">
        <w:rPr>
          <w:rFonts w:ascii="Segoe UI" w:hAnsi="Segoe UI"/>
          <w:bCs/>
          <w:sz w:val="22"/>
          <w:lang w:val="hu-HU"/>
        </w:rPr>
        <w:t xml:space="preserve">zázalékkal. Ez főként a csökkenő bruttó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árrésnek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tudható be, amelyet hátrányosan befolyásolt a direkt anyagok jelentős áremelkedése.</w:t>
      </w:r>
    </w:p>
    <w:p w14:paraId="140F0555" w14:textId="1F4C5643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2945D5BB" w14:textId="547EF2C6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>Beauty Care</w:t>
      </w:r>
      <w:r w:rsidRPr="008D4F84">
        <w:rPr>
          <w:rFonts w:ascii="Segoe UI" w:hAnsi="Segoe UI"/>
          <w:bCs/>
          <w:sz w:val="22"/>
          <w:lang w:val="hu-HU"/>
        </w:rPr>
        <w:t xml:space="preserve"> üzletágban az </w:t>
      </w:r>
      <w:r w:rsidRPr="008D4F84">
        <w:rPr>
          <w:rFonts w:ascii="Segoe UI" w:hAnsi="Segoe UI"/>
          <w:b/>
          <w:sz w:val="22"/>
          <w:lang w:val="hu-HU"/>
        </w:rPr>
        <w:t>árbevétel</w:t>
      </w:r>
      <w:r w:rsidRPr="008D4F84">
        <w:rPr>
          <w:rFonts w:ascii="Segoe UI" w:hAnsi="Segoe UI"/>
          <w:bCs/>
          <w:sz w:val="22"/>
          <w:lang w:val="hu-HU"/>
        </w:rPr>
        <w:t xml:space="preserve"> nominálisan -2,6 százalékkal, 3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775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uróra csökkent a 2022-es pénzügyi évben. Az árbevétel </w:t>
      </w:r>
      <w:r w:rsidRPr="008D4F84">
        <w:rPr>
          <w:rFonts w:ascii="Segoe UI" w:hAnsi="Segoe UI"/>
          <w:b/>
          <w:sz w:val="22"/>
          <w:lang w:val="hu-HU"/>
        </w:rPr>
        <w:t>szervesen</w:t>
      </w:r>
      <w:r w:rsidRPr="008D4F84">
        <w:rPr>
          <w:rFonts w:ascii="Segoe UI" w:hAnsi="Segoe UI"/>
          <w:bCs/>
          <w:sz w:val="22"/>
          <w:lang w:val="hu-HU"/>
        </w:rPr>
        <w:t xml:space="preserve"> enyhén, -0,5 százalékkal csökkent. Ez különböző fejleményeknek volt köszönhető. Míg a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Hair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Professional üzleti terület nagyon erős árbevétel-növekedést ért el, addig a fogyasztói üzleti terület szervesen elmaradt az előző évi szinttől, elsősorban a bejelentett portfólióintézkedések végrehajtása miatt. A </w:t>
      </w:r>
      <w:r w:rsidRPr="008D4F84">
        <w:rPr>
          <w:rFonts w:ascii="Segoe UI" w:hAnsi="Segoe UI"/>
          <w:b/>
          <w:sz w:val="22"/>
          <w:lang w:val="hu-HU"/>
        </w:rPr>
        <w:t>korrigált üzemi eredmény</w:t>
      </w:r>
      <w:r w:rsidRPr="008D4F84">
        <w:rPr>
          <w:rFonts w:ascii="Segoe UI" w:hAnsi="Segoe UI"/>
          <w:bCs/>
          <w:sz w:val="22"/>
          <w:lang w:val="hu-HU"/>
        </w:rPr>
        <w:t xml:space="preserve"> 269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urót ért el (előző év: 351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uró). A </w:t>
      </w:r>
      <w:r w:rsidRPr="008D4F84">
        <w:rPr>
          <w:rFonts w:ascii="Segoe UI" w:hAnsi="Segoe UI"/>
          <w:b/>
          <w:sz w:val="22"/>
          <w:lang w:val="hu-HU"/>
        </w:rPr>
        <w:t>korrigált árbevétel-arányos megtérülés</w:t>
      </w:r>
      <w:r w:rsidRPr="008D4F84">
        <w:rPr>
          <w:rFonts w:ascii="Segoe UI" w:hAnsi="Segoe UI"/>
          <w:bCs/>
          <w:sz w:val="22"/>
          <w:lang w:val="hu-HU"/>
        </w:rPr>
        <w:t xml:space="preserve"> 7,8 százalékra csökkent (előző év: 9,5 százalék). </w:t>
      </w:r>
      <w:r w:rsidR="00A97185">
        <w:rPr>
          <w:rFonts w:ascii="Segoe UI" w:hAnsi="Segoe UI"/>
          <w:bCs/>
          <w:sz w:val="22"/>
          <w:lang w:val="hu-HU"/>
        </w:rPr>
        <w:t xml:space="preserve"> </w:t>
      </w:r>
      <w:r w:rsidRPr="008D4F84">
        <w:rPr>
          <w:rFonts w:ascii="Segoe UI" w:hAnsi="Segoe UI"/>
          <w:bCs/>
          <w:sz w:val="22"/>
          <w:lang w:val="hu-HU"/>
        </w:rPr>
        <w:t>Ez a bruttó árrés csökkenő alakulása mellett többek között a marketing és reklám kiadások enyhe növekedéséből adódott.</w:t>
      </w:r>
    </w:p>
    <w:p w14:paraId="772526D8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4E960DA6" w14:textId="4A7AF2F9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</w:t>
      </w:r>
      <w:r w:rsidRPr="008D4F84">
        <w:rPr>
          <w:rFonts w:ascii="Segoe UI" w:hAnsi="Segoe UI"/>
          <w:b/>
          <w:sz w:val="22"/>
          <w:lang w:val="hu-HU"/>
        </w:rPr>
        <w:t>Laundry &amp; Home Care</w:t>
      </w:r>
      <w:r w:rsidRPr="008D4F84">
        <w:rPr>
          <w:rFonts w:ascii="Segoe UI" w:hAnsi="Segoe UI"/>
          <w:bCs/>
          <w:sz w:val="22"/>
          <w:lang w:val="hu-HU"/>
        </w:rPr>
        <w:t xml:space="preserve"> üzletág </w:t>
      </w:r>
      <w:r w:rsidRPr="008D4F84">
        <w:rPr>
          <w:rFonts w:ascii="Segoe UI" w:hAnsi="Segoe UI"/>
          <w:b/>
          <w:sz w:val="22"/>
          <w:lang w:val="hu-HU"/>
        </w:rPr>
        <w:t>árbevétele</w:t>
      </w:r>
      <w:r w:rsidRPr="008D4F84">
        <w:rPr>
          <w:rFonts w:ascii="Segoe UI" w:hAnsi="Segoe UI"/>
          <w:bCs/>
          <w:sz w:val="22"/>
          <w:lang w:val="hu-HU"/>
        </w:rPr>
        <w:t xml:space="preserve"> nominálisan 8,3 százalékkal nőtt a 2022-es pénzügyi évben, és elérte a 7</w:t>
      </w:r>
      <w:r w:rsidR="00A97185">
        <w:rPr>
          <w:rFonts w:ascii="Segoe UI" w:hAnsi="Segoe UI"/>
          <w:bCs/>
          <w:sz w:val="22"/>
          <w:lang w:val="hu-HU"/>
        </w:rPr>
        <w:t>.</w:t>
      </w:r>
      <w:r w:rsidRPr="008D4F84">
        <w:rPr>
          <w:rFonts w:ascii="Segoe UI" w:hAnsi="Segoe UI"/>
          <w:bCs/>
          <w:sz w:val="22"/>
          <w:lang w:val="hu-HU"/>
        </w:rPr>
        <w:t xml:space="preserve">152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urót. Az árbevétel </w:t>
      </w:r>
      <w:r w:rsidRPr="008D4F84">
        <w:rPr>
          <w:rFonts w:ascii="Segoe UI" w:hAnsi="Segoe UI"/>
          <w:b/>
          <w:sz w:val="22"/>
          <w:lang w:val="hu-HU"/>
        </w:rPr>
        <w:t>szervesen</w:t>
      </w:r>
      <w:r w:rsidRPr="008D4F84">
        <w:rPr>
          <w:rFonts w:ascii="Segoe UI" w:hAnsi="Segoe UI"/>
          <w:bCs/>
          <w:sz w:val="22"/>
          <w:lang w:val="hu-HU"/>
        </w:rPr>
        <w:t xml:space="preserve"> 6,3 százalékkal nőtt. Az értékesítés növekedése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árvezérelt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volt, miközben a volumenek csökkentek. A </w:t>
      </w:r>
      <w:r w:rsidRPr="008D4F84">
        <w:rPr>
          <w:rFonts w:ascii="Segoe UI" w:hAnsi="Segoe UI"/>
          <w:b/>
          <w:sz w:val="22"/>
          <w:lang w:val="hu-HU"/>
        </w:rPr>
        <w:t>korrigált üzemi eredmény</w:t>
      </w:r>
      <w:r w:rsidRPr="008D4F84">
        <w:rPr>
          <w:rFonts w:ascii="Segoe UI" w:hAnsi="Segoe UI"/>
          <w:bCs/>
          <w:sz w:val="22"/>
          <w:lang w:val="hu-HU"/>
        </w:rPr>
        <w:t xml:space="preserve"> 614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uróval elmaradt az előző évi (904 millió </w:t>
      </w:r>
      <w:r w:rsidR="00A97185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uró) szinttől. A </w:t>
      </w:r>
      <w:r w:rsidRPr="008D4F84">
        <w:rPr>
          <w:rFonts w:ascii="Segoe UI" w:hAnsi="Segoe UI"/>
          <w:b/>
          <w:sz w:val="22"/>
          <w:lang w:val="hu-HU"/>
        </w:rPr>
        <w:t>korrigált árbevétel-arányos megtérülés</w:t>
      </w:r>
      <w:r w:rsidRPr="008D4F84">
        <w:rPr>
          <w:rFonts w:ascii="Segoe UI" w:hAnsi="Segoe UI"/>
          <w:bCs/>
          <w:sz w:val="22"/>
          <w:lang w:val="hu-HU"/>
        </w:rPr>
        <w:t xml:space="preserve"> 8,6 százalékra csökkent, elsősorban a bruttó árrés csökkenése miatt, ami a jelentősen magasabb nyersanyag- és logisztikai áraknak, valamint a marketing- és reklámköltségek növekedésének köszönhető.</w:t>
      </w:r>
    </w:p>
    <w:p w14:paraId="33152A17" w14:textId="4DFC94DD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4989C204" w14:textId="77777777" w:rsidR="008D4F84" w:rsidRPr="008D4F84" w:rsidRDefault="008D4F84" w:rsidP="00A97185">
      <w:pPr>
        <w:spacing w:after="240" w:line="240" w:lineRule="auto"/>
        <w:ind w:right="-108"/>
        <w:jc w:val="both"/>
        <w:rPr>
          <w:rFonts w:ascii="Segoe UI" w:hAnsi="Segoe UI"/>
          <w:b/>
          <w:sz w:val="22"/>
          <w:lang w:val="hu-HU"/>
        </w:rPr>
      </w:pPr>
      <w:r w:rsidRPr="008D4F84">
        <w:rPr>
          <w:rFonts w:ascii="Segoe UI" w:hAnsi="Segoe UI"/>
          <w:b/>
          <w:sz w:val="22"/>
          <w:lang w:val="hu-HU"/>
        </w:rPr>
        <w:t>Kilátások 2023-ra</w:t>
      </w:r>
    </w:p>
    <w:p w14:paraId="44E4DDB5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>A globális gazdasági növekedés várhatóan 2023-ban tovább gyengül. A jelenlegi becslések szerint a világgazdasági környezet a 2023-as pénzügyi évben várhatóan továbbra is inflációs jellegű marad a várható munkaerőköltség-emelkedés, valamint a továbbra is magas energia- és nyersanyagköltségek miatt. Ebben az összefüggésben a direkt anyagok átlagárai várhatóan alacsony vagy közepes egyszámjegyű százalékkal emelkednek a 2022-es éves átlaghoz képest. Emellett a kamatlábak valószínűleg jelentősen magasabbak maradnak, mint a korábbi években. Ezért feltételezhető, hogy az ipari kereslet visszafogottabb lesz, mint az előző évben, és hogy a Henkel fogyasztási cikkek üzletágának kulcsfontosságú területein a fogyasztói kereslet növekedési lendülete lelassul. Emellett az oroszországi üzleti tevékenységeket várhatóan 2023 első negyedévének végéig értékesítik.</w:t>
      </w:r>
    </w:p>
    <w:p w14:paraId="1B1A42D2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6DE7BA53" w14:textId="517C3A4F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Ezeket a tényezőket figyelembe véve a Henkel arra számít, hogy a 2023-as pénzügyi évben 1,0 és 3,0 százalék közötti </w:t>
      </w:r>
      <w:r w:rsidRPr="008D4F84">
        <w:rPr>
          <w:rFonts w:ascii="Segoe UI" w:hAnsi="Segoe UI"/>
          <w:b/>
          <w:sz w:val="22"/>
          <w:lang w:val="hu-HU"/>
        </w:rPr>
        <w:t>szerves árbevétel-növekedést</w:t>
      </w:r>
      <w:r w:rsidRPr="008D4F84">
        <w:rPr>
          <w:rFonts w:ascii="Segoe UI" w:hAnsi="Segoe UI"/>
          <w:bCs/>
          <w:sz w:val="22"/>
          <w:lang w:val="hu-HU"/>
        </w:rPr>
        <w:t xml:space="preserve"> ér el, és mindkét üzletág e</w:t>
      </w:r>
      <w:r w:rsidR="001F25C3">
        <w:rPr>
          <w:rFonts w:ascii="Segoe UI" w:hAnsi="Segoe UI"/>
          <w:bCs/>
          <w:sz w:val="22"/>
          <w:lang w:val="hu-HU"/>
        </w:rPr>
        <w:t xml:space="preserve">zen </w:t>
      </w:r>
      <w:r w:rsidRPr="008D4F84">
        <w:rPr>
          <w:rFonts w:ascii="Segoe UI" w:hAnsi="Segoe UI"/>
          <w:bCs/>
          <w:sz w:val="22"/>
          <w:lang w:val="hu-HU"/>
        </w:rPr>
        <w:t>tartomány</w:t>
      </w:r>
      <w:r w:rsidR="001F25C3">
        <w:rPr>
          <w:rFonts w:ascii="Segoe UI" w:hAnsi="Segoe UI"/>
          <w:bCs/>
          <w:sz w:val="22"/>
          <w:lang w:val="hu-HU"/>
        </w:rPr>
        <w:t xml:space="preserve">on belül </w:t>
      </w:r>
      <w:r w:rsidR="001F25C3" w:rsidRPr="008D4F84">
        <w:rPr>
          <w:rFonts w:ascii="Segoe UI" w:hAnsi="Segoe UI"/>
          <w:bCs/>
          <w:sz w:val="22"/>
          <w:lang w:val="hu-HU"/>
        </w:rPr>
        <w:t>várható</w:t>
      </w:r>
      <w:r w:rsidRPr="008D4F84">
        <w:rPr>
          <w:rFonts w:ascii="Segoe UI" w:hAnsi="Segoe UI"/>
          <w:bCs/>
          <w:sz w:val="22"/>
          <w:lang w:val="hu-HU"/>
        </w:rPr>
        <w:t xml:space="preserve">. A </w:t>
      </w:r>
      <w:r w:rsidRPr="008D4F84">
        <w:rPr>
          <w:rFonts w:ascii="Segoe UI" w:hAnsi="Segoe UI"/>
          <w:b/>
          <w:sz w:val="22"/>
          <w:lang w:val="hu-HU"/>
        </w:rPr>
        <w:t xml:space="preserve">korrigált árbevétel-arányos megtérülés (korrigált EBIT </w:t>
      </w:r>
      <w:proofErr w:type="spellStart"/>
      <w:r w:rsidRPr="008D4F84">
        <w:rPr>
          <w:rFonts w:ascii="Segoe UI" w:hAnsi="Segoe UI"/>
          <w:b/>
          <w:sz w:val="22"/>
          <w:lang w:val="hu-HU"/>
        </w:rPr>
        <w:t>marzs</w:t>
      </w:r>
      <w:proofErr w:type="spellEnd"/>
      <w:r w:rsidRPr="008D4F84">
        <w:rPr>
          <w:rFonts w:ascii="Segoe UI" w:hAnsi="Segoe UI"/>
          <w:b/>
          <w:sz w:val="22"/>
          <w:lang w:val="hu-HU"/>
        </w:rPr>
        <w:t>)</w:t>
      </w:r>
      <w:r w:rsidRPr="008D4F84">
        <w:rPr>
          <w:rFonts w:ascii="Segoe UI" w:hAnsi="Segoe UI"/>
          <w:bCs/>
          <w:sz w:val="22"/>
          <w:lang w:val="hu-HU"/>
        </w:rPr>
        <w:t xml:space="preserve"> várhatóan 10,0 és 12,0 százalék közötti </w:t>
      </w:r>
      <w:r w:rsidR="001F25C3">
        <w:rPr>
          <w:rFonts w:ascii="Segoe UI" w:hAnsi="Segoe UI"/>
          <w:bCs/>
          <w:sz w:val="22"/>
          <w:lang w:val="hu-HU"/>
        </w:rPr>
        <w:t>skálában</w:t>
      </w:r>
      <w:r w:rsidRPr="008D4F84">
        <w:rPr>
          <w:rFonts w:ascii="Segoe UI" w:hAnsi="Segoe UI"/>
          <w:bCs/>
          <w:sz w:val="22"/>
          <w:lang w:val="hu-HU"/>
        </w:rPr>
        <w:t xml:space="preserve"> lesz. Az Adhesive Technologies esetében 13,0 és 15,0 százalék közötti, a Consumer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Brands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esetében pedig 7,5 és 9,5 százalék közötti korrigált árbevétel-arányos megtérülés várható. Az </w:t>
      </w:r>
      <w:r w:rsidRPr="008D4F84">
        <w:rPr>
          <w:rFonts w:ascii="Segoe UI" w:hAnsi="Segoe UI"/>
          <w:b/>
          <w:sz w:val="22"/>
          <w:lang w:val="hu-HU"/>
        </w:rPr>
        <w:t>elsőbbségi részvények korrigált hozama (EPS)</w:t>
      </w:r>
      <w:r w:rsidRPr="008D4F84">
        <w:rPr>
          <w:rFonts w:ascii="Segoe UI" w:hAnsi="Segoe UI"/>
          <w:bCs/>
          <w:sz w:val="22"/>
          <w:lang w:val="hu-HU"/>
        </w:rPr>
        <w:t xml:space="preserve"> tekintetében a Henkel -10,0 és +10,0 százalék közötti alakulást vár változatlan árfolyam mellett.</w:t>
      </w:r>
    </w:p>
    <w:p w14:paraId="7266B762" w14:textId="69962568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45B28B0A" w14:textId="77777777" w:rsidR="008D4F84" w:rsidRPr="008D4F84" w:rsidRDefault="008D4F84" w:rsidP="001F25C3">
      <w:pPr>
        <w:spacing w:after="240" w:line="240" w:lineRule="auto"/>
        <w:ind w:right="-108"/>
        <w:jc w:val="both"/>
        <w:rPr>
          <w:rFonts w:ascii="Segoe UI" w:hAnsi="Segoe UI"/>
          <w:b/>
          <w:sz w:val="22"/>
          <w:lang w:val="hu-HU"/>
        </w:rPr>
      </w:pPr>
      <w:r w:rsidRPr="008D4F84">
        <w:rPr>
          <w:rFonts w:ascii="Segoe UI" w:hAnsi="Segoe UI"/>
          <w:b/>
          <w:sz w:val="22"/>
          <w:lang w:val="hu-HU"/>
        </w:rPr>
        <w:t>A Céltudatos Növekedési Program sikeres végrehajtása</w:t>
      </w:r>
    </w:p>
    <w:p w14:paraId="4025FBE5" w14:textId="74A94E63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nehéz makrogazdasági és geopolitikai környezet ellenére a Henkel 2022-ben is következetesen folytatta stratégiájának végrehajtását. A vállalat továbbfejlesztette üzleti- és márkaportfólióját, megerősítette versenyelőnyét az innováció, a fenntarthatóság és a digitalizáció területén, optimalizálta működési modelljeit és népszerűsítette vállalati kultúráját. A 2022-es év egyik legfontosabb stratégiai fókusza a Laundry &amp; Home Care, valamint a Beauty Care üzletágak összevonása és integrálása a Consumer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Brands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üzletágba.</w:t>
      </w:r>
    </w:p>
    <w:p w14:paraId="1E312068" w14:textId="5DB4F3BF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47E09277" w14:textId="4E93981A" w:rsidR="008D4F84" w:rsidRPr="008D4F84" w:rsidRDefault="001F25C3" w:rsidP="001F25C3">
      <w:pPr>
        <w:spacing w:after="240" w:line="240" w:lineRule="auto"/>
        <w:ind w:right="-108"/>
        <w:jc w:val="both"/>
        <w:rPr>
          <w:rFonts w:ascii="Segoe UI" w:hAnsi="Segoe UI"/>
          <w:b/>
          <w:sz w:val="22"/>
          <w:lang w:val="hu-HU"/>
        </w:rPr>
      </w:pPr>
      <w:r>
        <w:rPr>
          <w:rFonts w:ascii="Segoe UI" w:hAnsi="Segoe UI"/>
          <w:b/>
          <w:sz w:val="22"/>
          <w:lang w:val="hu-HU"/>
        </w:rPr>
        <w:t>S</w:t>
      </w:r>
      <w:r w:rsidRPr="008D4F84">
        <w:rPr>
          <w:rFonts w:ascii="Segoe UI" w:hAnsi="Segoe UI"/>
          <w:b/>
          <w:sz w:val="22"/>
          <w:lang w:val="hu-HU"/>
        </w:rPr>
        <w:t>ikeres</w:t>
      </w:r>
      <w:r>
        <w:rPr>
          <w:rFonts w:ascii="Segoe UI" w:hAnsi="Segoe UI"/>
          <w:b/>
          <w:sz w:val="22"/>
          <w:lang w:val="hu-HU"/>
        </w:rPr>
        <w:t>en</w:t>
      </w:r>
      <w:r w:rsidRPr="008D4F84">
        <w:rPr>
          <w:rFonts w:ascii="Segoe UI" w:hAnsi="Segoe UI"/>
          <w:b/>
          <w:sz w:val="22"/>
          <w:lang w:val="hu-HU"/>
        </w:rPr>
        <w:t xml:space="preserve"> megalakul</w:t>
      </w:r>
      <w:r>
        <w:rPr>
          <w:rFonts w:ascii="Segoe UI" w:hAnsi="Segoe UI"/>
          <w:b/>
          <w:sz w:val="22"/>
          <w:lang w:val="hu-HU"/>
        </w:rPr>
        <w:t>t a</w:t>
      </w:r>
      <w:r w:rsidR="008D4F84" w:rsidRPr="008D4F84">
        <w:rPr>
          <w:rFonts w:ascii="Segoe UI" w:hAnsi="Segoe UI"/>
          <w:b/>
          <w:sz w:val="22"/>
          <w:lang w:val="hu-HU"/>
        </w:rPr>
        <w:t xml:space="preserve">z új Consumer </w:t>
      </w:r>
      <w:proofErr w:type="spellStart"/>
      <w:r w:rsidR="008D4F84" w:rsidRPr="008D4F84">
        <w:rPr>
          <w:rFonts w:ascii="Segoe UI" w:hAnsi="Segoe UI"/>
          <w:b/>
          <w:sz w:val="22"/>
          <w:lang w:val="hu-HU"/>
        </w:rPr>
        <w:t>Brands</w:t>
      </w:r>
      <w:proofErr w:type="spellEnd"/>
      <w:r w:rsidR="008D4F84" w:rsidRPr="008D4F84">
        <w:rPr>
          <w:rFonts w:ascii="Segoe UI" w:hAnsi="Segoe UI"/>
          <w:b/>
          <w:sz w:val="22"/>
          <w:lang w:val="hu-HU"/>
        </w:rPr>
        <w:t xml:space="preserve"> üzletág </w:t>
      </w:r>
    </w:p>
    <w:p w14:paraId="0D5FB999" w14:textId="00507E49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2022. január végén a Henkel bejelentette a vállalat elmúlt évtizedeinek egyik legnagyobb átalakítását: két fogyasztói üzletágának egyesítését egyetlen integrált üzletágba, Consumer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Brands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néven. A 2023 elejétől sikeresen létrehozott új üzletág egy fedél alatt egyesíti az összes fogyasztói márkát minden kategóriában, beleértve az olyan ikonikus márkákat, mint a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Persil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vagy a Schwarzkopf és a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Hair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Professional (fodrászati) üzleti terület. Ezzel a Henkel egy több kategóriára kiterjedő platformot hoz létre a jövőbeni növekedéshez, amely 2022-re mintegy 11 milliárd </w:t>
      </w:r>
      <w:r w:rsidR="001F25C3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urós árbevételt jelent.</w:t>
      </w:r>
    </w:p>
    <w:p w14:paraId="2C5FD84F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73FA0B3D" w14:textId="260E2DFB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Az egyesüléssel a Henkel növelni kívánja a jövedelmezőséget a fogyasztási cikkek üzletágban és ezáltal az egész csoportban, valamint további növekedési lendületet kíván generálni. Ennek érdekében a globális Laundry &amp; Home Care, valamint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Ha</w:t>
      </w:r>
      <w:r w:rsidR="001F25C3">
        <w:rPr>
          <w:rFonts w:ascii="Segoe UI" w:hAnsi="Segoe UI"/>
          <w:bCs/>
          <w:sz w:val="22"/>
          <w:lang w:val="hu-HU"/>
        </w:rPr>
        <w:t>ir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kategóriák körüli portfólió a vonzó növekedési és árrés-potenciállal rendelkező stratégiai üzletekre és márkákra összpontosít. Az integráció során várhatóan jelentős szinergiák keletkeznek, amelyek egy részét olyan stratégiai prioritásokba történő célzott beruházásokra fordítj</w:t>
      </w:r>
      <w:r w:rsidR="001F25C3">
        <w:rPr>
          <w:rFonts w:ascii="Segoe UI" w:hAnsi="Segoe UI"/>
          <w:bCs/>
          <w:sz w:val="22"/>
          <w:lang w:val="hu-HU"/>
        </w:rPr>
        <w:t>ák</w:t>
      </w:r>
      <w:r w:rsidRPr="008D4F84">
        <w:rPr>
          <w:rFonts w:ascii="Segoe UI" w:hAnsi="Segoe UI"/>
          <w:bCs/>
          <w:sz w:val="22"/>
          <w:lang w:val="hu-HU"/>
        </w:rPr>
        <w:t xml:space="preserve">, mint az innováció, a fenntarthatóság és a digitalizáció, valamint az üzletág árrés- és növekedési profiljának erősítésére. </w:t>
      </w:r>
    </w:p>
    <w:p w14:paraId="5A8E1A5F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01F7C88C" w14:textId="09B1CB9A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Henkel középtávon (az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újrabefektetések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előtt) mintegy 500 millió </w:t>
      </w:r>
      <w:r w:rsidR="001F25C3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 megtakarítást kíván realizálni. A szinergia</w:t>
      </w:r>
      <w:r w:rsidR="001F25C3">
        <w:rPr>
          <w:rFonts w:ascii="Segoe UI" w:hAnsi="Segoe UI"/>
          <w:bCs/>
          <w:sz w:val="22"/>
          <w:lang w:val="hu-HU"/>
        </w:rPr>
        <w:t xml:space="preserve"> lehetőségek</w:t>
      </w:r>
      <w:r w:rsidRPr="008D4F84">
        <w:rPr>
          <w:rFonts w:ascii="Segoe UI" w:hAnsi="Segoe UI"/>
          <w:bCs/>
          <w:sz w:val="22"/>
          <w:lang w:val="hu-HU"/>
        </w:rPr>
        <w:t xml:space="preserve"> a kiigazított értékesítési és adminisztratív struktúrákból, a célzottabb reklámokból és marketingből, valamint az optimalizált ellátási láncból ered. A megvalósítás két szakaszban történik majd: Az első fázisban a 2023 végéig végrehajtandó intézkedések éves szinten mintegy </w:t>
      </w:r>
      <w:r w:rsidR="00BA667B" w:rsidRPr="008D4F84">
        <w:rPr>
          <w:rFonts w:ascii="Segoe UI" w:hAnsi="Segoe UI"/>
          <w:bCs/>
          <w:sz w:val="22"/>
          <w:lang w:val="hu-HU"/>
        </w:rPr>
        <w:t xml:space="preserve">nettó </w:t>
      </w:r>
      <w:r w:rsidRPr="008D4F84">
        <w:rPr>
          <w:rFonts w:ascii="Segoe UI" w:hAnsi="Segoe UI"/>
          <w:bCs/>
          <w:sz w:val="22"/>
          <w:lang w:val="hu-HU"/>
        </w:rPr>
        <w:t xml:space="preserve">250 millió </w:t>
      </w:r>
      <w:r w:rsidR="00BA667B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 megtakarítást eredményeznek - a teljes eredményre gyakorolt hatás 2024-től kezdődően érvényesül. Az első, mintegy 60 millió </w:t>
      </w:r>
      <w:r w:rsidR="00BA667B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>urós nettó megtakarítás már 2022-ben megvalósult.</w:t>
      </w:r>
    </w:p>
    <w:p w14:paraId="62CE00F1" w14:textId="140704BB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64BF7123" w14:textId="5B3A2BCD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Nagy előrelépés történt a fogyasztói portfólió átalakításában is: a Henkel bejelentette, hogy akár 1 milliárd </w:t>
      </w:r>
      <w:r w:rsidR="00BA667B">
        <w:rPr>
          <w:rFonts w:ascii="Segoe UI" w:hAnsi="Segoe UI"/>
          <w:bCs/>
          <w:sz w:val="22"/>
          <w:lang w:val="hu-HU"/>
        </w:rPr>
        <w:t>e</w:t>
      </w:r>
      <w:r w:rsidRPr="008D4F84">
        <w:rPr>
          <w:rFonts w:ascii="Segoe UI" w:hAnsi="Segoe UI"/>
          <w:bCs/>
          <w:sz w:val="22"/>
          <w:lang w:val="hu-HU"/>
        </w:rPr>
        <w:t xml:space="preserve">urós forgalmat is felülvizsgálnak. 2022-ben összesen mintegy 400 millió euró értékű portfólióintézkedést hajtottak végre már sikeresen </w:t>
      </w:r>
      <w:r w:rsidR="00BA667B">
        <w:rPr>
          <w:rFonts w:ascii="Segoe UI" w:hAnsi="Segoe UI"/>
          <w:bCs/>
          <w:sz w:val="22"/>
          <w:lang w:val="hu-HU"/>
        </w:rPr>
        <w:t>–</w:t>
      </w:r>
      <w:r w:rsidRPr="008D4F84">
        <w:rPr>
          <w:rFonts w:ascii="Segoe UI" w:hAnsi="Segoe UI"/>
          <w:bCs/>
          <w:sz w:val="22"/>
          <w:lang w:val="hu-HU"/>
        </w:rPr>
        <w:t xml:space="preserve"> ebből mintegy 200 millió euró portfólióoptimalizálási intézkedésekhez kapcsolódik, további mintegy 200 millió euró pedig </w:t>
      </w:r>
      <w:r w:rsidRPr="008D4F84">
        <w:rPr>
          <w:rFonts w:ascii="Segoe UI" w:hAnsi="Segoe UI"/>
          <w:bCs/>
          <w:sz w:val="22"/>
          <w:lang w:val="hu-HU"/>
        </w:rPr>
        <w:lastRenderedPageBreak/>
        <w:t>értékesítésekhez köthető. Az eredmény egy alapvető portfólió-átalakítás, amelynek keretében globálisan kivonulnak a szájápolási és bőrápolási kategóriákból, valamint bizonyos testápolási piacokról. A Henkel a jövőben továbbra is felülvizsgálja portfólióját, és tovább csökkenti a komplexitást.</w:t>
      </w:r>
    </w:p>
    <w:p w14:paraId="1F643FA2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6C4D31FA" w14:textId="161948DE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>A végrehajtás második szakasza az ellátási lánc optimalizálására fog összpontosítani. Ennek érdekében a Henkel javítani kívánja saját gyártási struktúrájának hatékonyságát, valamint optimalizálni kívánja a szerződéses gyártók hálózatát és beszerzési költségeit. Az "egy arc az ügyfélhez" elvnek megfelelően a vállalat a kereskedelmi integrációt is optimalizált logisztikai folyamatokkal kívánja előmozdítani. Az integráció második fázisa jelenleg zajlik, és az intézkedések várhatóan 2025 végére nagyrészt megvalósulnak. Ezektől az intézkedésektől a Henkel évente mintegy 150 millió eurós további nettó megtakarítást vár, amely 2026-tól teljes mértékben megvalósul. A második ütem ugyanakkor mintegy 250 millió eurós egyszeri költséggel és beruházásokkal jár. A 2023-ra vonatkozó megfelelő részek szerepelnek az idei pénzügyi év kilátásaiban.</w:t>
      </w:r>
    </w:p>
    <w:p w14:paraId="630D255E" w14:textId="0A5F743F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1D1242C6" w14:textId="4D386310" w:rsidR="008D4F84" w:rsidRPr="004C0EBD" w:rsidRDefault="008D4F84" w:rsidP="00BA667B">
      <w:pPr>
        <w:spacing w:after="240" w:line="240" w:lineRule="auto"/>
        <w:ind w:right="-108"/>
        <w:jc w:val="both"/>
        <w:rPr>
          <w:rFonts w:ascii="Segoe UI" w:hAnsi="Segoe UI"/>
          <w:b/>
          <w:sz w:val="22"/>
          <w:lang w:val="hu-HU"/>
        </w:rPr>
      </w:pPr>
      <w:r w:rsidRPr="004C0EBD">
        <w:rPr>
          <w:rFonts w:ascii="Segoe UI" w:hAnsi="Segoe UI"/>
          <w:b/>
          <w:sz w:val="22"/>
          <w:lang w:val="hu-HU"/>
        </w:rPr>
        <w:t>Következetes előrehaladás a Céltudatos Növekedési Program valamennyi stratégiai pilléré</w:t>
      </w:r>
      <w:r w:rsidR="004C0EBD">
        <w:rPr>
          <w:rFonts w:ascii="Segoe UI" w:hAnsi="Segoe UI"/>
          <w:b/>
          <w:sz w:val="22"/>
          <w:lang w:val="hu-HU"/>
        </w:rPr>
        <w:t>n</w:t>
      </w:r>
    </w:p>
    <w:p w14:paraId="60986CF6" w14:textId="451017E0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4C0EBD">
        <w:rPr>
          <w:rFonts w:ascii="Segoe UI" w:hAnsi="Segoe UI"/>
          <w:b/>
          <w:sz w:val="22"/>
          <w:lang w:val="hu-HU"/>
        </w:rPr>
        <w:t>Aktív portfóliómenedzsment</w:t>
      </w:r>
      <w:r w:rsidRPr="004C0EBD">
        <w:rPr>
          <w:rFonts w:ascii="Segoe UI" w:hAnsi="Segoe UI"/>
          <w:bCs/>
          <w:sz w:val="22"/>
          <w:lang w:val="hu-HU"/>
        </w:rPr>
        <w:t>j</w:t>
      </w:r>
      <w:r w:rsidRPr="008D4F84">
        <w:rPr>
          <w:rFonts w:ascii="Segoe UI" w:hAnsi="Segoe UI"/>
          <w:bCs/>
          <w:sz w:val="22"/>
          <w:lang w:val="hu-HU"/>
        </w:rPr>
        <w:t xml:space="preserve">ének részeként a Henkel a tevékenységek megszüntetése vagy értékesítése mellett felvásárlások révén is továbbfejlesztette portfólióját. A vállalat megvásárolta a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Shiseido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fodrászszalon üzletágát az ázsiai-csendes-óceáni térségben, és ezzel megerősítette pozícióját </w:t>
      </w:r>
      <w:r w:rsidR="00BA667B" w:rsidRPr="008D4F84">
        <w:rPr>
          <w:rFonts w:ascii="Segoe UI" w:hAnsi="Segoe UI"/>
          <w:bCs/>
          <w:sz w:val="22"/>
          <w:lang w:val="hu-HU"/>
        </w:rPr>
        <w:t>a prémium kategóriás hajápoló, hajszínező és hajformázó terméke</w:t>
      </w:r>
      <w:r w:rsidR="00BA667B">
        <w:rPr>
          <w:rFonts w:ascii="Segoe UI" w:hAnsi="Segoe UI"/>
          <w:bCs/>
          <w:sz w:val="22"/>
          <w:lang w:val="hu-HU"/>
        </w:rPr>
        <w:t xml:space="preserve">k </w:t>
      </w:r>
      <w:r w:rsidRPr="008D4F84">
        <w:rPr>
          <w:rFonts w:ascii="Segoe UI" w:hAnsi="Segoe UI"/>
          <w:bCs/>
          <w:sz w:val="22"/>
          <w:lang w:val="hu-HU"/>
        </w:rPr>
        <w:t>vonzó piac</w:t>
      </w:r>
      <w:r w:rsidR="00BA667B">
        <w:rPr>
          <w:rFonts w:ascii="Segoe UI" w:hAnsi="Segoe UI"/>
          <w:bCs/>
          <w:sz w:val="22"/>
          <w:lang w:val="hu-HU"/>
        </w:rPr>
        <w:t>án.</w:t>
      </w:r>
      <w:r w:rsidRPr="008D4F84">
        <w:rPr>
          <w:rFonts w:ascii="Segoe UI" w:hAnsi="Segoe UI"/>
          <w:bCs/>
          <w:sz w:val="22"/>
          <w:lang w:val="hu-HU"/>
        </w:rPr>
        <w:t xml:space="preserve"> Az Adhesive Technologies üzletágban a Henkel két technológiai akvizícióval bővítette az innovatív felületi technológiák és hőkezelési megoldások terén szerzett szakértelmét. </w:t>
      </w:r>
    </w:p>
    <w:p w14:paraId="5298FAB3" w14:textId="77777777" w:rsidR="008D4F84" w:rsidRP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0AFB5A59" w14:textId="24941DFC" w:rsidR="008D4F84" w:rsidRDefault="008D4F84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8D4F84">
        <w:rPr>
          <w:rFonts w:ascii="Segoe UI" w:hAnsi="Segoe UI"/>
          <w:bCs/>
          <w:sz w:val="22"/>
          <w:lang w:val="hu-HU"/>
        </w:rPr>
        <w:t xml:space="preserve">A Henkel 2022-ben is számos </w:t>
      </w:r>
      <w:r w:rsidRPr="004C0EBD">
        <w:rPr>
          <w:rFonts w:ascii="Segoe UI" w:hAnsi="Segoe UI"/>
          <w:b/>
          <w:sz w:val="22"/>
          <w:lang w:val="hu-HU"/>
        </w:rPr>
        <w:t>innovációt</w:t>
      </w:r>
      <w:r w:rsidRPr="008D4F84">
        <w:rPr>
          <w:rFonts w:ascii="Segoe UI" w:hAnsi="Segoe UI"/>
          <w:bCs/>
          <w:sz w:val="22"/>
          <w:lang w:val="hu-HU"/>
        </w:rPr>
        <w:t xml:space="preserve"> dobott piacra, amelyek fontos trendeket érintettek, és értéket teremtettek az ügyfelek és a fogyasztók számára. Az Adhesive Technologies üzletágban ezek közé tartozik az akkumulátorok új vezetőképes bevonata a gyorsan növekvő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elektromobilitási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piacon. A technológia javítja az akkumulátor teljesítményét azáltal, hogy akár 30 százalékkal növeli a vezetőképességet az akkumulátorcellán belül, ráadásul a gyártási folyamat során a teljes energiafelhasználás több mint 20 százalékos csökken</w:t>
      </w:r>
      <w:r w:rsidR="00BA667B">
        <w:rPr>
          <w:rFonts w:ascii="Segoe UI" w:hAnsi="Segoe UI"/>
          <w:bCs/>
          <w:sz w:val="22"/>
          <w:lang w:val="hu-HU"/>
        </w:rPr>
        <w:t>é</w:t>
      </w:r>
      <w:r w:rsidRPr="008D4F84">
        <w:rPr>
          <w:rFonts w:ascii="Segoe UI" w:hAnsi="Segoe UI"/>
          <w:bCs/>
          <w:sz w:val="22"/>
          <w:lang w:val="hu-HU"/>
        </w:rPr>
        <w:t xml:space="preserve">sét is lehetővé teszi. A Beauty Care üzletágban például a Henkel bevezette a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Colour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Alchemy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-t, egy hajfesték-innovációt, amely a hajtechnológia terén szerzett vezető szakértelmére alapozva egyedülálló színhatásokat biztosít. A Laundry &amp; Home Care területén pedig a </w:t>
      </w:r>
      <w:proofErr w:type="spellStart"/>
      <w:r w:rsidRPr="008D4F84">
        <w:rPr>
          <w:rFonts w:ascii="Segoe UI" w:hAnsi="Segoe UI"/>
          <w:bCs/>
          <w:sz w:val="22"/>
          <w:lang w:val="hu-HU"/>
        </w:rPr>
        <w:t>Somat</w:t>
      </w:r>
      <w:proofErr w:type="spellEnd"/>
      <w:r w:rsidRPr="008D4F84">
        <w:rPr>
          <w:rFonts w:ascii="Segoe UI" w:hAnsi="Segoe UI"/>
          <w:bCs/>
          <w:sz w:val="22"/>
          <w:lang w:val="hu-HU"/>
        </w:rPr>
        <w:t xml:space="preserve"> márkanév alatt innovatív mosogatógép-tisztító zseléket vezettek be.</w:t>
      </w:r>
    </w:p>
    <w:p w14:paraId="782A4EB8" w14:textId="0A1AE022" w:rsidR="004C0EBD" w:rsidRDefault="004C0EBD" w:rsidP="008D4F84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7726170F" w14:textId="35D10C74" w:rsidR="004C0EBD" w:rsidRP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4C0EBD">
        <w:rPr>
          <w:rFonts w:ascii="Segoe UI" w:hAnsi="Segoe UI"/>
          <w:bCs/>
          <w:sz w:val="22"/>
          <w:lang w:val="hu-HU"/>
        </w:rPr>
        <w:t xml:space="preserve">Emellett a Henkel tovább erősítette a </w:t>
      </w:r>
      <w:r w:rsidRPr="004C0EBD">
        <w:rPr>
          <w:rFonts w:ascii="Segoe UI" w:hAnsi="Segoe UI"/>
          <w:b/>
          <w:sz w:val="22"/>
          <w:lang w:val="hu-HU"/>
        </w:rPr>
        <w:t>fenntarthatóságot</w:t>
      </w:r>
      <w:r w:rsidRPr="004C0EBD">
        <w:rPr>
          <w:rFonts w:ascii="Segoe UI" w:hAnsi="Segoe UI"/>
          <w:bCs/>
          <w:sz w:val="22"/>
          <w:lang w:val="hu-HU"/>
        </w:rPr>
        <w:t xml:space="preserve"> az üzletágaiban. A Henkel tavaly bevezette a "2030+ Fenntarthatósági Ambíciók Keretrendszerét" új ambíciókkal és célokkal. </w:t>
      </w:r>
      <w:r w:rsidRPr="004C0EBD">
        <w:rPr>
          <w:rFonts w:ascii="Segoe UI" w:hAnsi="Segoe UI"/>
          <w:bCs/>
          <w:sz w:val="22"/>
          <w:lang w:val="hu-HU"/>
        </w:rPr>
        <w:lastRenderedPageBreak/>
        <w:t>2022-ben a Henkel 70 százalékra emelte a megújuló forrásokból származó villamosenergia arányát, amivel a vállalat közelebb kerül</w:t>
      </w:r>
      <w:r w:rsidR="00A81450">
        <w:rPr>
          <w:rFonts w:ascii="Segoe UI" w:hAnsi="Segoe UI"/>
          <w:bCs/>
          <w:sz w:val="22"/>
          <w:lang w:val="hu-HU"/>
        </w:rPr>
        <w:t>t</w:t>
      </w:r>
      <w:r w:rsidRPr="004C0EBD">
        <w:rPr>
          <w:rFonts w:ascii="Segoe UI" w:hAnsi="Segoe UI"/>
          <w:bCs/>
          <w:sz w:val="22"/>
          <w:lang w:val="hu-HU"/>
        </w:rPr>
        <w:t xml:space="preserve"> a 2030-ra irányuló klímapozitív működési törekvéseihez. A Henkel megerősítette termékportfóliójának fenntarthatóságát is, például több megújuló és újrahasznosított nyersanyag felhasználásával. A BASF-fel kötött partnerség révén a Henkel célja, hogy az Európában gyártott fogyasztói termékekhez felhasznált vegyi nyersanyagokból akár 110.000 tonnát megújuló nyersanyagokkal helyettesítsen egy biomassza egyensúlyi folyamat részeként. A Henkel emellett egy másik kötvényt is kibocsátott 650 millió </w:t>
      </w:r>
      <w:r w:rsidR="00A81450">
        <w:rPr>
          <w:rFonts w:ascii="Segoe UI" w:hAnsi="Segoe UI"/>
          <w:bCs/>
          <w:sz w:val="22"/>
          <w:lang w:val="hu-HU"/>
        </w:rPr>
        <w:t>e</w:t>
      </w:r>
      <w:r w:rsidRPr="004C0EBD">
        <w:rPr>
          <w:rFonts w:ascii="Segoe UI" w:hAnsi="Segoe UI"/>
          <w:bCs/>
          <w:sz w:val="22"/>
          <w:lang w:val="hu-HU"/>
        </w:rPr>
        <w:t>uró értékben, amely meghatározott fenntarthatósági célok eléréséhez kapcsolódik.</w:t>
      </w:r>
    </w:p>
    <w:p w14:paraId="0B4F95B6" w14:textId="77777777" w:rsidR="004C0EBD" w:rsidRP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4415326C" w14:textId="5A30AF84" w:rsid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4C0EBD">
        <w:rPr>
          <w:rFonts w:ascii="Segoe UI" w:hAnsi="Segoe UI"/>
          <w:bCs/>
          <w:sz w:val="22"/>
          <w:lang w:val="hu-HU"/>
        </w:rPr>
        <w:t xml:space="preserve">A Henkel a </w:t>
      </w:r>
      <w:r w:rsidRPr="004C0EBD">
        <w:rPr>
          <w:rFonts w:ascii="Segoe UI" w:hAnsi="Segoe UI"/>
          <w:b/>
          <w:sz w:val="22"/>
          <w:lang w:val="hu-HU"/>
        </w:rPr>
        <w:t>digitalizáció</w:t>
      </w:r>
      <w:r w:rsidRPr="004C0EBD">
        <w:rPr>
          <w:rFonts w:ascii="Segoe UI" w:hAnsi="Segoe UI"/>
          <w:bCs/>
          <w:sz w:val="22"/>
          <w:lang w:val="hu-HU"/>
        </w:rPr>
        <w:t xml:space="preserve"> terén is előrelépést ért el, és a digitális értékesítés részesedését a csoport értékesítésében több mint 20 százalékra növelte. Emellett a vállalat digitális </w:t>
      </w:r>
      <w:r w:rsidR="00A81450">
        <w:rPr>
          <w:rFonts w:ascii="Segoe UI" w:hAnsi="Segoe UI"/>
          <w:bCs/>
          <w:sz w:val="22"/>
          <w:lang w:val="hu-HU"/>
        </w:rPr>
        <w:t>részlegében</w:t>
      </w:r>
      <w:r w:rsidRPr="004C0EBD">
        <w:rPr>
          <w:rFonts w:ascii="Segoe UI" w:hAnsi="Segoe UI"/>
          <w:bCs/>
          <w:sz w:val="22"/>
          <w:lang w:val="hu-HU"/>
        </w:rPr>
        <w:t>, a Henkel dx-ben tovább optimalizálták a struktúrákat, és új üzleti lehetőségeket teremtettek, amihez a RAQN digitális üzleti platform jelentős mértékben hozzájárult.</w:t>
      </w:r>
    </w:p>
    <w:p w14:paraId="3935D62A" w14:textId="6165EAD0" w:rsid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7065C0F3" w14:textId="77777777" w:rsidR="004C0EBD" w:rsidRP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4C0EBD">
        <w:rPr>
          <w:rFonts w:ascii="Segoe UI" w:hAnsi="Segoe UI"/>
          <w:bCs/>
          <w:sz w:val="22"/>
          <w:lang w:val="hu-HU"/>
        </w:rPr>
        <w:t xml:space="preserve">Ami a </w:t>
      </w:r>
      <w:r w:rsidRPr="004C0EBD">
        <w:rPr>
          <w:rFonts w:ascii="Segoe UI" w:hAnsi="Segoe UI"/>
          <w:b/>
          <w:sz w:val="22"/>
          <w:lang w:val="hu-HU"/>
        </w:rPr>
        <w:t>jövőre vonatkozó működési modelleket</w:t>
      </w:r>
      <w:r w:rsidRPr="004C0EBD">
        <w:rPr>
          <w:rFonts w:ascii="Segoe UI" w:hAnsi="Segoe UI"/>
          <w:bCs/>
          <w:sz w:val="22"/>
          <w:lang w:val="hu-HU"/>
        </w:rPr>
        <w:t xml:space="preserve"> illeti, 2022-ben a Laundry &amp; Home Care és a Beauty Care üzletágak összevonására összpontosítottak.</w:t>
      </w:r>
    </w:p>
    <w:p w14:paraId="0AA80B80" w14:textId="77777777" w:rsidR="004C0EBD" w:rsidRP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6BCDE7DE" w14:textId="3669BC66" w:rsidR="004C0EBD" w:rsidRP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4C0EBD">
        <w:rPr>
          <w:rFonts w:ascii="Segoe UI" w:hAnsi="Segoe UI"/>
          <w:bCs/>
          <w:sz w:val="22"/>
          <w:lang w:val="hu-HU"/>
        </w:rPr>
        <w:t xml:space="preserve">Emellett a </w:t>
      </w:r>
      <w:r w:rsidRPr="004C0EBD">
        <w:rPr>
          <w:rFonts w:ascii="Segoe UI" w:hAnsi="Segoe UI"/>
          <w:b/>
          <w:sz w:val="22"/>
          <w:lang w:val="hu-HU"/>
        </w:rPr>
        <w:t>vállalati kultúra</w:t>
      </w:r>
      <w:r w:rsidRPr="004C0EBD">
        <w:rPr>
          <w:rFonts w:ascii="Segoe UI" w:hAnsi="Segoe UI"/>
          <w:bCs/>
          <w:sz w:val="22"/>
          <w:lang w:val="hu-HU"/>
        </w:rPr>
        <w:t xml:space="preserve"> tovább erősödött a „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Pioneers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at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heart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for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the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good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of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generations</w:t>
      </w:r>
      <w:proofErr w:type="spellEnd"/>
      <w:r w:rsidRPr="004C0EBD">
        <w:rPr>
          <w:rFonts w:ascii="Segoe UI" w:hAnsi="Segoe UI"/>
          <w:bCs/>
          <w:sz w:val="22"/>
          <w:lang w:val="hu-HU"/>
        </w:rPr>
        <w:t>” vállalati cél és a Henkel „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Leadership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Commitments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” (vezetői kötelezettségvállalások) </w:t>
      </w:r>
      <w:r w:rsidR="00A81450" w:rsidRPr="004C0EBD">
        <w:rPr>
          <w:rFonts w:ascii="Segoe UI" w:hAnsi="Segoe UI"/>
          <w:bCs/>
          <w:sz w:val="22"/>
          <w:lang w:val="hu-HU"/>
        </w:rPr>
        <w:t>által</w:t>
      </w:r>
      <w:r w:rsidRPr="004C0EBD">
        <w:rPr>
          <w:rFonts w:ascii="Segoe UI" w:hAnsi="Segoe UI"/>
          <w:bCs/>
          <w:sz w:val="22"/>
          <w:lang w:val="hu-HU"/>
        </w:rPr>
        <w:t xml:space="preserve">. E tekintetben a Henkel folytatta az új képzési és fejlesztési programok, valamint a holisztikus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Smart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Work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koncepció megvalósítását, amely globális keretet </w:t>
      </w:r>
      <w:r w:rsidR="00A81450">
        <w:rPr>
          <w:rFonts w:ascii="Segoe UI" w:hAnsi="Segoe UI"/>
          <w:bCs/>
          <w:sz w:val="22"/>
          <w:lang w:val="hu-HU"/>
        </w:rPr>
        <w:t>nyújt</w:t>
      </w:r>
      <w:r w:rsidRPr="004C0EBD">
        <w:rPr>
          <w:rFonts w:ascii="Segoe UI" w:hAnsi="Segoe UI"/>
          <w:bCs/>
          <w:sz w:val="22"/>
          <w:lang w:val="hu-HU"/>
        </w:rPr>
        <w:t xml:space="preserve"> a mobil munkavégzéshez, a munkakörnyezet kialakításához és a munkavállalók</w:t>
      </w:r>
      <w:r w:rsidR="00A81450">
        <w:rPr>
          <w:rFonts w:ascii="Segoe UI" w:hAnsi="Segoe UI"/>
          <w:bCs/>
          <w:sz w:val="22"/>
          <w:lang w:val="hu-HU"/>
        </w:rPr>
        <w:t>nak szóló</w:t>
      </w:r>
      <w:r w:rsidRPr="004C0EBD">
        <w:rPr>
          <w:rFonts w:ascii="Segoe UI" w:hAnsi="Segoe UI"/>
          <w:bCs/>
          <w:sz w:val="22"/>
          <w:lang w:val="hu-HU"/>
        </w:rPr>
        <w:t xml:space="preserve"> egészségügyi kezdeményezése</w:t>
      </w:r>
      <w:r w:rsidR="00A81450">
        <w:rPr>
          <w:rFonts w:ascii="Segoe UI" w:hAnsi="Segoe UI"/>
          <w:bCs/>
          <w:sz w:val="22"/>
          <w:lang w:val="hu-HU"/>
        </w:rPr>
        <w:t>knek</w:t>
      </w:r>
      <w:r w:rsidRPr="004C0EBD">
        <w:rPr>
          <w:rFonts w:ascii="Segoe UI" w:hAnsi="Segoe UI"/>
          <w:bCs/>
          <w:sz w:val="22"/>
          <w:lang w:val="hu-HU"/>
        </w:rPr>
        <w:t>.</w:t>
      </w:r>
    </w:p>
    <w:p w14:paraId="55451C98" w14:textId="77777777" w:rsidR="004C0EBD" w:rsidRPr="004C0EBD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</w:p>
    <w:p w14:paraId="1DEE1A70" w14:textId="691B4CAF" w:rsidR="004C0EBD" w:rsidRPr="008D4F84" w:rsidRDefault="004C0EBD" w:rsidP="004C0EBD">
      <w:pPr>
        <w:spacing w:line="276" w:lineRule="auto"/>
        <w:jc w:val="both"/>
        <w:rPr>
          <w:rFonts w:ascii="Segoe UI" w:hAnsi="Segoe UI"/>
          <w:bCs/>
          <w:sz w:val="22"/>
          <w:lang w:val="hu-HU"/>
        </w:rPr>
      </w:pPr>
      <w:r w:rsidRPr="004C0EBD">
        <w:rPr>
          <w:rFonts w:ascii="Segoe UI" w:hAnsi="Segoe UI"/>
          <w:bCs/>
          <w:sz w:val="22"/>
          <w:lang w:val="hu-HU"/>
        </w:rPr>
        <w:t xml:space="preserve">„Határozott meggyőződésünk, hogy a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Consumber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Brands</w:t>
      </w:r>
      <w:proofErr w:type="spellEnd"/>
      <w:r w:rsidRPr="004C0EBD">
        <w:rPr>
          <w:rFonts w:ascii="Segoe UI" w:hAnsi="Segoe UI"/>
          <w:bCs/>
          <w:sz w:val="22"/>
          <w:lang w:val="hu-HU"/>
        </w:rPr>
        <w:t xml:space="preserve"> üzletággal megteremtettük fogyasztói üzletágunk és egész vállalatunk további nyereséges növekedésének alapjait. Az Adhesive Technologies üzletágban szisztematikusan a fenntarthatóság, a mobilitás és a kapcsol</w:t>
      </w:r>
      <w:r w:rsidR="00A81450">
        <w:rPr>
          <w:rFonts w:ascii="Segoe UI" w:hAnsi="Segoe UI"/>
          <w:bCs/>
          <w:sz w:val="22"/>
          <w:lang w:val="hu-HU"/>
        </w:rPr>
        <w:t>ódás</w:t>
      </w:r>
      <w:r w:rsidRPr="004C0EBD">
        <w:rPr>
          <w:rFonts w:ascii="Segoe UI" w:hAnsi="Segoe UI"/>
          <w:bCs/>
          <w:sz w:val="22"/>
          <w:lang w:val="hu-HU"/>
        </w:rPr>
        <w:t xml:space="preserve"> megatrendjeire összpontosítunk, és szeretnénk kihasználni ennek az üzletágnak a globálisan vezető piaci </w:t>
      </w:r>
      <w:r w:rsidR="00A81450">
        <w:rPr>
          <w:rFonts w:ascii="Segoe UI" w:hAnsi="Segoe UI"/>
          <w:bCs/>
          <w:sz w:val="22"/>
          <w:lang w:val="hu-HU"/>
        </w:rPr>
        <w:t>helyzetét</w:t>
      </w:r>
      <w:r w:rsidRPr="004C0EBD">
        <w:rPr>
          <w:rFonts w:ascii="Segoe UI" w:hAnsi="Segoe UI"/>
          <w:bCs/>
          <w:sz w:val="22"/>
          <w:lang w:val="hu-HU"/>
        </w:rPr>
        <w:t xml:space="preserve">, hogy az elkövetkező években tovább fokozzuk a növekedést és a nyereségességet. Jó helyzetben vagyunk, megfelelő stratégiával és erős csapattal rendelkezünk. Bizakodó vagyok abban, hogy el fogjuk érni ambiciózus céljainkat és sikeresen végrehajtjuk céltudatos növekedési programunkat" – összegezte Carsten </w:t>
      </w:r>
      <w:proofErr w:type="spellStart"/>
      <w:r w:rsidRPr="004C0EBD">
        <w:rPr>
          <w:rFonts w:ascii="Segoe UI" w:hAnsi="Segoe UI"/>
          <w:bCs/>
          <w:sz w:val="22"/>
          <w:lang w:val="hu-HU"/>
        </w:rPr>
        <w:t>Knobel</w:t>
      </w:r>
      <w:proofErr w:type="spellEnd"/>
      <w:r>
        <w:rPr>
          <w:rFonts w:ascii="Segoe UI" w:hAnsi="Segoe UI"/>
          <w:bCs/>
          <w:sz w:val="22"/>
          <w:lang w:val="hu-HU"/>
        </w:rPr>
        <w:t>.</w:t>
      </w:r>
    </w:p>
    <w:p w14:paraId="359E48DE" w14:textId="68A95A23" w:rsidR="004F539E" w:rsidRDefault="004F539E" w:rsidP="008D4F84">
      <w:pPr>
        <w:spacing w:line="276" w:lineRule="auto"/>
        <w:rPr>
          <w:rStyle w:val="AboutandContactHeadline"/>
          <w:lang w:val="hu-HU"/>
        </w:rPr>
      </w:pPr>
    </w:p>
    <w:p w14:paraId="43F3E2D5" w14:textId="7E51D15A" w:rsidR="008E0EB4" w:rsidRDefault="008E0EB4" w:rsidP="004F539E">
      <w:pPr>
        <w:rPr>
          <w:rStyle w:val="AboutandContactHeadline"/>
          <w:lang w:val="hu-HU"/>
        </w:rPr>
      </w:pPr>
    </w:p>
    <w:p w14:paraId="23D970F1" w14:textId="67CEA225" w:rsidR="008E0EB4" w:rsidRDefault="008E0EB4" w:rsidP="004F539E">
      <w:pPr>
        <w:rPr>
          <w:rStyle w:val="AboutandContactHeadline"/>
          <w:lang w:val="hu-HU"/>
        </w:rPr>
      </w:pPr>
    </w:p>
    <w:p w14:paraId="635DCF95" w14:textId="77777777" w:rsidR="004C0EBD" w:rsidRPr="004C0EBD" w:rsidRDefault="004C0EBD" w:rsidP="004C0EBD">
      <w:pPr>
        <w:jc w:val="both"/>
        <w:rPr>
          <w:rStyle w:val="AboutandContactHeadline"/>
          <w:lang w:val="hu-HU"/>
        </w:rPr>
      </w:pPr>
      <w:r w:rsidRPr="004C0EBD">
        <w:rPr>
          <w:rStyle w:val="AboutandContactHeadline"/>
          <w:lang w:val="hu-HU"/>
        </w:rPr>
        <w:t>A Henkelről</w:t>
      </w:r>
    </w:p>
    <w:p w14:paraId="20F1762D" w14:textId="6A4F572A" w:rsidR="004C0EBD" w:rsidRPr="004C0EBD" w:rsidRDefault="004C0EBD" w:rsidP="004C0EBD">
      <w:pPr>
        <w:jc w:val="both"/>
        <w:rPr>
          <w:rStyle w:val="AboutandContactHeadline"/>
          <w:b w:val="0"/>
          <w:bCs w:val="0"/>
          <w:lang w:val="hu-HU"/>
        </w:rPr>
      </w:pPr>
      <w:r w:rsidRPr="004C0EBD">
        <w:rPr>
          <w:rStyle w:val="AboutandContactHeadline"/>
          <w:b w:val="0"/>
          <w:bCs w:val="0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Brands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Persil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és a Schwarzkopf. A 2022-es pénzügyi évben a Henkel több, mint 22 milliárd euró árbevételt és mintegy 2,3 milliárd </w:t>
      </w:r>
      <w:r w:rsidRPr="004C0EBD">
        <w:rPr>
          <w:rStyle w:val="AboutandContactHeadline"/>
          <w:b w:val="0"/>
          <w:bCs w:val="0"/>
          <w:lang w:val="hu-HU"/>
        </w:rPr>
        <w:lastRenderedPageBreak/>
        <w:t>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több, mint 50 000 munkatársa sokszínű csapatot alkot, akiket az erős vállalati kultúra, a közös értékek és a „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Pioneers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at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heart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for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the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</w:t>
      </w:r>
      <w:proofErr w:type="spellStart"/>
      <w:r w:rsidRPr="004C0EBD">
        <w:rPr>
          <w:rStyle w:val="AboutandContactHeadline"/>
          <w:b w:val="0"/>
          <w:bCs w:val="0"/>
          <w:lang w:val="hu-HU"/>
        </w:rPr>
        <w:t>good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 xml:space="preserve"> of </w:t>
      </w:r>
      <w:proofErr w:type="spellStart"/>
      <w:proofErr w:type="gramStart"/>
      <w:r w:rsidRPr="004C0EBD">
        <w:rPr>
          <w:rStyle w:val="AboutandContactHeadline"/>
          <w:b w:val="0"/>
          <w:bCs w:val="0"/>
          <w:lang w:val="hu-HU"/>
        </w:rPr>
        <w:t>generations</w:t>
      </w:r>
      <w:proofErr w:type="spellEnd"/>
      <w:r w:rsidRPr="004C0EBD">
        <w:rPr>
          <w:rStyle w:val="AboutandContactHeadline"/>
          <w:b w:val="0"/>
          <w:bCs w:val="0"/>
          <w:lang w:val="hu-HU"/>
        </w:rPr>
        <w:t>“ vállalati</w:t>
      </w:r>
      <w:proofErr w:type="gramEnd"/>
      <w:r w:rsidRPr="004C0EBD">
        <w:rPr>
          <w:rStyle w:val="AboutandContactHeadline"/>
          <w:b w:val="0"/>
          <w:bCs w:val="0"/>
          <w:lang w:val="hu-HU"/>
        </w:rPr>
        <w:t xml:space="preserve"> cél köt össze. További információ: www.henkel.com; www.henkel.hu. </w:t>
      </w:r>
    </w:p>
    <w:p w14:paraId="7D2F420D" w14:textId="1905DA0C" w:rsidR="008E0EB4" w:rsidRDefault="008E0EB4" w:rsidP="004F539E">
      <w:pPr>
        <w:rPr>
          <w:rStyle w:val="AboutandContactHeadline"/>
          <w:lang w:val="hu-HU"/>
        </w:rPr>
      </w:pPr>
    </w:p>
    <w:p w14:paraId="108AB270" w14:textId="77777777" w:rsidR="008E0EB4" w:rsidRPr="00937F3E" w:rsidRDefault="008E0EB4" w:rsidP="004F539E">
      <w:pPr>
        <w:rPr>
          <w:rStyle w:val="AboutandContactHeadline"/>
          <w:lang w:val="hu-HU"/>
        </w:rPr>
      </w:pPr>
    </w:p>
    <w:p w14:paraId="0E1A6A17" w14:textId="12012F3C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lang w:val="hu-HU"/>
        </w:rPr>
      </w:pPr>
      <w:r w:rsidRPr="00C446AC">
        <w:rPr>
          <w:rFonts w:ascii="Segoe UI" w:hAnsi="Segoe UI" w:cs="Segoe UI"/>
          <w:sz w:val="14"/>
          <w:szCs w:val="14"/>
          <w:lang w:val="hu-HU"/>
        </w:rPr>
        <w:t>Ez a</w:t>
      </w:r>
      <w:r w:rsidR="004C0EBD">
        <w:rPr>
          <w:rFonts w:ascii="Segoe UI" w:hAnsi="Segoe UI" w:cs="Segoe UI"/>
          <w:sz w:val="14"/>
          <w:szCs w:val="14"/>
          <w:lang w:val="hu-HU"/>
        </w:rPr>
        <w:t xml:space="preserve"> </w:t>
      </w:r>
      <w:r w:rsidR="004C0EBD" w:rsidRPr="00C446AC">
        <w:rPr>
          <w:rFonts w:ascii="Segoe UI" w:hAnsi="Segoe UI" w:cs="Segoe UI"/>
          <w:sz w:val="14"/>
          <w:szCs w:val="14"/>
          <w:lang w:val="hu-HU"/>
        </w:rPr>
        <w:t xml:space="preserve">dokumentum </w:t>
      </w:r>
      <w:r w:rsidRPr="00C446AC">
        <w:rPr>
          <w:rFonts w:ascii="Segoe UI" w:hAnsi="Segoe UI" w:cs="Segoe UI"/>
          <w:sz w:val="14"/>
          <w:szCs w:val="14"/>
          <w:lang w:val="hu-HU"/>
        </w:rPr>
        <w:t xml:space="preserve">előretekintő megállapításokat tartalmaz, amelyek a Henkel AG &amp; Co. </w:t>
      </w:r>
      <w:proofErr w:type="spellStart"/>
      <w:r w:rsidRPr="00C446AC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C446AC">
        <w:rPr>
          <w:rFonts w:ascii="Segoe UI" w:hAnsi="Segoe UI" w:cs="Segoe UI"/>
          <w:sz w:val="14"/>
          <w:szCs w:val="14"/>
          <w:lang w:val="hu-HU"/>
        </w:rPr>
        <w:t xml:space="preserve"> vállalatvezetésének jelenlegi becslésein és feltételezésein alapulnak. A jövőre vonatkozó állításokat olyan szavak használata jellemzi, mint a „várnak”, „szándékoznak”, „terveznek”, „várakozás”, „hinni”, „becsülni”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 w:rsidRPr="00C446AC">
        <w:rPr>
          <w:rFonts w:ascii="Segoe UI" w:hAnsi="Segoe UI" w:cs="Segoe UI"/>
          <w:sz w:val="14"/>
          <w:szCs w:val="14"/>
          <w:lang w:val="hu-HU"/>
        </w:rPr>
        <w:t>KGaA</w:t>
      </w:r>
      <w:proofErr w:type="spellEnd"/>
      <w:r w:rsidRPr="00C446AC">
        <w:rPr>
          <w:rFonts w:ascii="Segoe UI" w:hAnsi="Segoe UI" w:cs="Segoe UI"/>
          <w:sz w:val="14"/>
          <w:szCs w:val="14"/>
          <w:lang w:val="hu-HU"/>
        </w:rPr>
        <w:t xml:space="preserve"> és leányvállalatainak jövőbeni teljesítménye és ténylegesen elért eredményei számos kockázattól és bizonytalanságtól </w:t>
      </w:r>
      <w:proofErr w:type="spellStart"/>
      <w:r w:rsidRPr="00C446AC">
        <w:rPr>
          <w:rFonts w:ascii="Segoe UI" w:hAnsi="Segoe UI" w:cs="Segoe UI"/>
          <w:sz w:val="14"/>
          <w:szCs w:val="14"/>
          <w:lang w:val="hu-HU"/>
        </w:rPr>
        <w:t>függnek</w:t>
      </w:r>
      <w:proofErr w:type="spellEnd"/>
      <w:r w:rsidRPr="00C446AC">
        <w:rPr>
          <w:rFonts w:ascii="Segoe UI" w:hAnsi="Segoe UI" w:cs="Segoe UI"/>
          <w:sz w:val="14"/>
          <w:szCs w:val="14"/>
          <w:lang w:val="hu-HU"/>
        </w:rPr>
        <w:t xml:space="preserve">, és ezért lényegesen eltérhetnek az előretekintő nyilatkozatoktól. Sok ilyen tényezőre nincs befolyása a Henkelnek, és ezek előre nem becsülhetők fel pontosan, mint például a későbbi gazdasági környezet, vagy a versenytársak és más piaci szereplők tevékenysége.  A Henkel nem tervezi és nem vállalja, hogy a jövőre vonatkozó állításait frissítse. </w:t>
      </w:r>
    </w:p>
    <w:p w14:paraId="2664AD61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</w:p>
    <w:p w14:paraId="7F5C1E7A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  <w:r w:rsidRPr="00C446AC">
        <w:rPr>
          <w:rFonts w:ascii="Segoe UI" w:hAnsi="Segoe UI" w:cs="Segoe UI"/>
          <w:sz w:val="14"/>
          <w:szCs w:val="14"/>
          <w:lang w:val="hu-HU"/>
        </w:rPr>
        <w:t>Ez a dokumentum tartalmazza - az alkalmazandó pénzügyi beszámolási keretben nem egyértelműen meghatározva - a kiegészítő pénzügyi intézkedéseket, amelyek alternatív teljesítménymutatók vagy azok lehetnek (nem GAAP-intézkedések). Ezeket a kiegészítő pénzügyi intézkedéseket nem szabad elszigetelten vagy a Henkel nettó eszközállományának és pénzügyi helyzetének, illetve a műveletek eredményei alternatívájaként tekinteni, ahogyan azt a konszolidált pénzügyi kimutatásokban a vonatkozó pénzügyi beszámoló kereteivel összhangban bemutatják. Más vállalatok, amelyek hasonló elnevezésű alternatív teljesítménymutatókról számolnak be vagy írnak le, számíthatják őket eltérően.</w:t>
      </w:r>
    </w:p>
    <w:p w14:paraId="0C0A3006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</w:p>
    <w:p w14:paraId="7DE119D6" w14:textId="77777777" w:rsidR="004F539E" w:rsidRPr="00C446AC" w:rsidRDefault="004F539E" w:rsidP="00C446AC">
      <w:pPr>
        <w:spacing w:line="276" w:lineRule="auto"/>
        <w:jc w:val="both"/>
        <w:rPr>
          <w:rFonts w:ascii="Segoe UI" w:hAnsi="Segoe UI" w:cs="Segoe UI"/>
          <w:bCs/>
          <w:sz w:val="14"/>
          <w:szCs w:val="14"/>
          <w:lang w:val="hu-HU"/>
        </w:rPr>
      </w:pPr>
      <w:r w:rsidRPr="00C446AC">
        <w:rPr>
          <w:rFonts w:ascii="Segoe UI" w:hAnsi="Segoe UI" w:cs="Segoe UI"/>
          <w:sz w:val="14"/>
          <w:szCs w:val="14"/>
          <w:lang w:val="hu-HU"/>
        </w:rPr>
        <w:t>Ezt a dokumentumot kizárólag tájékoztatás céljából állították ki, és nem célja befektetési tanácsadás vagy értékpapírok eladási ajánlatának, vagy vételi ajánlatának felkínálása.</w:t>
      </w:r>
    </w:p>
    <w:p w14:paraId="3FA927C5" w14:textId="77777777" w:rsidR="004F539E" w:rsidRPr="004F539E" w:rsidRDefault="004F539E" w:rsidP="004F539E">
      <w:pPr>
        <w:spacing w:line="240" w:lineRule="auto"/>
        <w:rPr>
          <w:rStyle w:val="AboutandContactBody"/>
          <w:rFonts w:cs="Cambria"/>
          <w:b/>
          <w:szCs w:val="18"/>
          <w:lang w:val="hu-HU"/>
        </w:rPr>
      </w:pPr>
    </w:p>
    <w:p w14:paraId="5C05E12A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43BE2366" w14:textId="77777777" w:rsidR="007B059C" w:rsidRPr="00C17D90" w:rsidRDefault="007B059C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Kapcsolatok</w:t>
      </w:r>
    </w:p>
    <w:p w14:paraId="4D4966BC" w14:textId="02DC912A" w:rsidR="007B059C" w:rsidRPr="00C17D90" w:rsidRDefault="007B059C" w:rsidP="007B059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Befektetők és e</w:t>
      </w:r>
      <w:r>
        <w:rPr>
          <w:rStyle w:val="AboutandContactBody"/>
          <w:rFonts w:cs="Segoe UI"/>
          <w:b/>
          <w:szCs w:val="18"/>
          <w:lang w:val="hu-HU"/>
        </w:rPr>
        <w:t>le</w:t>
      </w:r>
      <w:r w:rsidRPr="00C17D90">
        <w:rPr>
          <w:rStyle w:val="AboutandContactBody"/>
          <w:rFonts w:cs="Segoe UI"/>
          <w:b/>
          <w:szCs w:val="18"/>
          <w:lang w:val="hu-HU"/>
        </w:rPr>
        <w:t>mzők</w:t>
      </w:r>
      <w:r w:rsidRPr="00C17D90">
        <w:rPr>
          <w:rStyle w:val="AboutandContactBody"/>
          <w:rFonts w:cs="Segoe UI"/>
          <w:szCs w:val="18"/>
          <w:lang w:val="hu-HU"/>
        </w:rPr>
        <w:tab/>
      </w:r>
      <w:r w:rsidRPr="00C17D90">
        <w:rPr>
          <w:rStyle w:val="AboutandContactBody"/>
          <w:rFonts w:cs="Segoe UI"/>
          <w:b/>
          <w:szCs w:val="18"/>
          <w:lang w:val="hu-HU"/>
        </w:rPr>
        <w:t>Sajtó és Média</w:t>
      </w:r>
    </w:p>
    <w:p w14:paraId="13F72154" w14:textId="77777777" w:rsidR="007B059C" w:rsidRPr="007B059C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  <w:lang w:val="hu-HU"/>
        </w:rPr>
      </w:pPr>
    </w:p>
    <w:p w14:paraId="3819719C" w14:textId="77777777" w:rsidR="004C0EBD" w:rsidRPr="000E56EF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hu-HU"/>
        </w:rPr>
      </w:pPr>
    </w:p>
    <w:p w14:paraId="43284C3B" w14:textId="5219BEDA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Leslie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Iltgen</w:t>
      </w:r>
      <w:proofErr w:type="spellEnd"/>
      <w:r w:rsidRPr="004C0EBD">
        <w:rPr>
          <w:rStyle w:val="AboutandContactBody"/>
          <w:rFonts w:cs="Segoe UI"/>
          <w:szCs w:val="18"/>
          <w:lang w:val="en-US"/>
        </w:rPr>
        <w:tab/>
      </w: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Lars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Witteck</w:t>
      </w:r>
      <w:proofErr w:type="spellEnd"/>
    </w:p>
    <w:p w14:paraId="7C01561C" w14:textId="2AA6DC40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+49 211 797 - 1631</w:t>
      </w:r>
      <w:r w:rsidRPr="004C0EBD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+49 211 797 - 2606</w:t>
      </w:r>
    </w:p>
    <w:p w14:paraId="5A5178D7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leslie.iltgen@henkel.com</w:t>
      </w:r>
      <w:r w:rsidRPr="004C0EBD">
        <w:rPr>
          <w:rStyle w:val="AboutandContactBody"/>
          <w:rFonts w:cs="Segoe UI"/>
          <w:szCs w:val="18"/>
          <w:lang w:val="en-US"/>
        </w:rPr>
        <w:tab/>
        <w:t>Email:</w:t>
      </w:r>
      <w:r w:rsidRPr="004C0EBD">
        <w:rPr>
          <w:rStyle w:val="AboutandContactBody"/>
          <w:rFonts w:cs="Segoe UI"/>
          <w:szCs w:val="18"/>
          <w:lang w:val="en-US"/>
        </w:rPr>
        <w:tab/>
        <w:t>lars.witteck@henkel.com</w:t>
      </w:r>
    </w:p>
    <w:p w14:paraId="0295B5F0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447165E5" w14:textId="5A88EDDB" w:rsidR="004C0EBD" w:rsidRPr="000E56EF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0E56EF">
        <w:rPr>
          <w:rStyle w:val="AboutandContactBody"/>
          <w:rFonts w:cs="Segoe UI"/>
          <w:b/>
          <w:bCs/>
          <w:szCs w:val="18"/>
        </w:rPr>
        <w:t>Jennifer Ott</w:t>
      </w:r>
      <w:r w:rsidRPr="000E56EF">
        <w:rPr>
          <w:rStyle w:val="AboutandContactBody"/>
          <w:rFonts w:cs="Segoe UI"/>
          <w:szCs w:val="18"/>
        </w:rPr>
        <w:tab/>
      </w:r>
      <w:r w:rsidRPr="000E56EF">
        <w:rPr>
          <w:rStyle w:val="AboutandContactBody"/>
          <w:rFonts w:cs="Segoe UI"/>
          <w:b/>
          <w:bCs/>
          <w:szCs w:val="18"/>
        </w:rPr>
        <w:t xml:space="preserve">Wulf </w:t>
      </w:r>
      <w:proofErr w:type="spellStart"/>
      <w:r w:rsidRPr="000E56EF">
        <w:rPr>
          <w:rStyle w:val="AboutandContactBody"/>
          <w:rFonts w:cs="Segoe UI"/>
          <w:b/>
          <w:bCs/>
          <w:szCs w:val="18"/>
        </w:rPr>
        <w:t>Klüppelholz</w:t>
      </w:r>
      <w:proofErr w:type="spellEnd"/>
    </w:p>
    <w:p w14:paraId="4D5ED464" w14:textId="151EF30D" w:rsidR="004C0EBD" w:rsidRPr="000E56EF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0E56EF">
        <w:rPr>
          <w:rStyle w:val="AboutandContactBody"/>
          <w:rFonts w:cs="Segoe UI"/>
          <w:szCs w:val="18"/>
        </w:rPr>
        <w:t>Tel:</w:t>
      </w:r>
      <w:r w:rsidRPr="000E56EF">
        <w:rPr>
          <w:rStyle w:val="AboutandContactBody"/>
          <w:rFonts w:cs="Segoe UI"/>
          <w:szCs w:val="18"/>
        </w:rPr>
        <w:tab/>
        <w:t>+49 211 797 - 2756</w:t>
      </w:r>
      <w:r w:rsidRPr="000E56EF">
        <w:rPr>
          <w:rStyle w:val="AboutandContactBody"/>
          <w:rFonts w:cs="Segoe UI"/>
          <w:szCs w:val="18"/>
        </w:rPr>
        <w:tab/>
        <w:t>Tel:</w:t>
      </w:r>
      <w:r w:rsidRPr="000E56EF">
        <w:rPr>
          <w:rStyle w:val="AboutandContactBody"/>
          <w:rFonts w:cs="Segoe UI"/>
          <w:szCs w:val="18"/>
        </w:rPr>
        <w:tab/>
        <w:t>+49 211 797 - 1875</w:t>
      </w:r>
    </w:p>
    <w:p w14:paraId="4A06D4C6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jennifer.ott@henkel.com</w:t>
      </w:r>
      <w:r w:rsidRPr="004C0EBD">
        <w:rPr>
          <w:rStyle w:val="AboutandContactBody"/>
          <w:rFonts w:cs="Segoe UI"/>
          <w:szCs w:val="18"/>
          <w:lang w:val="en-US"/>
        </w:rPr>
        <w:tab/>
        <w:t>Email:</w:t>
      </w:r>
      <w:r w:rsidRPr="004C0EBD">
        <w:rPr>
          <w:rStyle w:val="AboutandContactBody"/>
          <w:rFonts w:cs="Segoe UI"/>
          <w:szCs w:val="18"/>
          <w:lang w:val="en-US"/>
        </w:rPr>
        <w:tab/>
        <w:t>wulf.klueppelholz@henkel.com</w:t>
      </w:r>
    </w:p>
    <w:p w14:paraId="031D7E9C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1D8ECF83" w14:textId="11468C81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>Dr. Dennis Starke</w:t>
      </w:r>
      <w:r w:rsidRPr="004C0EBD">
        <w:rPr>
          <w:rStyle w:val="AboutandContactBody"/>
          <w:rFonts w:cs="Segoe UI"/>
          <w:szCs w:val="18"/>
          <w:lang w:val="en-US"/>
        </w:rPr>
        <w:t xml:space="preserve"> </w:t>
      </w:r>
      <w:r w:rsidRPr="004C0EBD">
        <w:rPr>
          <w:rStyle w:val="AboutandContactBody"/>
          <w:rFonts w:cs="Segoe UI"/>
          <w:szCs w:val="18"/>
          <w:lang w:val="en-US"/>
        </w:rPr>
        <w:tab/>
      </w:r>
      <w:r w:rsidRPr="004C0EBD">
        <w:rPr>
          <w:rStyle w:val="AboutandContactBody"/>
          <w:rFonts w:cs="Segoe UI"/>
          <w:b/>
          <w:bCs/>
          <w:szCs w:val="18"/>
          <w:lang w:val="en-US"/>
        </w:rPr>
        <w:t>Hanna Philipps</w:t>
      </w:r>
    </w:p>
    <w:p w14:paraId="0ABB87D9" w14:textId="5B05E96F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 xml:space="preserve">: 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– 5601</w:t>
      </w:r>
      <w:r w:rsidRPr="004C0EBD">
        <w:rPr>
          <w:rStyle w:val="AboutandContactBody"/>
          <w:rFonts w:cs="Segoe UI"/>
          <w:szCs w:val="18"/>
          <w:lang w:val="en-US"/>
        </w:rPr>
        <w:tab/>
      </w: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>: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+49 211 797 - 3626</w:t>
      </w:r>
    </w:p>
    <w:p w14:paraId="57573D3D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dennis.starke@henkel.com</w:t>
      </w:r>
      <w:r w:rsidRPr="004C0EBD">
        <w:rPr>
          <w:rStyle w:val="AboutandContactBody"/>
          <w:rFonts w:cs="Segoe UI"/>
          <w:szCs w:val="18"/>
          <w:lang w:val="en-US"/>
        </w:rPr>
        <w:tab/>
        <w:t>Email:</w:t>
      </w:r>
      <w:r w:rsidRPr="004C0EBD">
        <w:rPr>
          <w:rStyle w:val="AboutandContactBody"/>
          <w:rFonts w:cs="Segoe UI"/>
          <w:szCs w:val="18"/>
          <w:lang w:val="en-US"/>
        </w:rPr>
        <w:tab/>
        <w:t>hanna.philipps@henkel.com</w:t>
      </w:r>
    </w:p>
    <w:p w14:paraId="48D529D9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34B337C2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/>
          <w:bCs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Thomas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Rosenke</w:t>
      </w:r>
      <w:proofErr w:type="spellEnd"/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 </w:t>
      </w:r>
    </w:p>
    <w:p w14:paraId="5A6EE3B8" w14:textId="046C30CF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>
        <w:rPr>
          <w:rStyle w:val="AboutandContactBody"/>
          <w:rFonts w:cs="Segoe UI"/>
          <w:szCs w:val="18"/>
          <w:lang w:val="en-US"/>
        </w:rPr>
        <w:t>Tel</w:t>
      </w:r>
      <w:r w:rsidRPr="004C0EBD">
        <w:rPr>
          <w:rStyle w:val="AboutandContactBody"/>
          <w:rFonts w:cs="Segoe UI"/>
          <w:szCs w:val="18"/>
          <w:lang w:val="en-US"/>
        </w:rPr>
        <w:t xml:space="preserve">: </w:t>
      </w:r>
      <w:r w:rsidRPr="004C0EBD">
        <w:rPr>
          <w:rStyle w:val="AboutandContactBody"/>
          <w:rFonts w:cs="Segoe UI"/>
          <w:szCs w:val="18"/>
          <w:lang w:val="en-US"/>
        </w:rPr>
        <w:tab/>
        <w:t>+49 211 797 – 3563</w:t>
      </w:r>
    </w:p>
    <w:p w14:paraId="6B22E64E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thomas.rosenke@henkel.com</w:t>
      </w:r>
    </w:p>
    <w:p w14:paraId="34EA1DB8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2D0F7560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p w14:paraId="4516B7F2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/>
          <w:bCs/>
          <w:szCs w:val="18"/>
          <w:lang w:val="en-US"/>
        </w:rPr>
      </w:pPr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Henkel </w:t>
      </w:r>
      <w:proofErr w:type="spellStart"/>
      <w:r w:rsidRPr="004C0EBD">
        <w:rPr>
          <w:rStyle w:val="AboutandContactBody"/>
          <w:rFonts w:cs="Segoe UI"/>
          <w:b/>
          <w:bCs/>
          <w:szCs w:val="18"/>
          <w:lang w:val="en-US"/>
        </w:rPr>
        <w:t>Magyarország</w:t>
      </w:r>
      <w:proofErr w:type="spellEnd"/>
      <w:r w:rsidRPr="004C0EBD">
        <w:rPr>
          <w:rStyle w:val="AboutandContactBody"/>
          <w:rFonts w:cs="Segoe UI"/>
          <w:b/>
          <w:bCs/>
          <w:szCs w:val="18"/>
          <w:lang w:val="en-US"/>
        </w:rPr>
        <w:t xml:space="preserve"> Kft.</w:t>
      </w:r>
    </w:p>
    <w:p w14:paraId="139B9C9D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proofErr w:type="spellStart"/>
      <w:r w:rsidRPr="004C0EBD">
        <w:rPr>
          <w:rStyle w:val="AboutandContactBody"/>
          <w:rFonts w:cs="Segoe UI"/>
          <w:szCs w:val="18"/>
          <w:lang w:val="en-US"/>
        </w:rPr>
        <w:t>Vállalati</w:t>
      </w:r>
      <w:proofErr w:type="spellEnd"/>
      <w:r w:rsidRPr="004C0EBD">
        <w:rPr>
          <w:rStyle w:val="AboutandContactBody"/>
          <w:rFonts w:cs="Segoe UI"/>
          <w:szCs w:val="18"/>
          <w:lang w:val="en-US"/>
        </w:rPr>
        <w:t xml:space="preserve"> kommunikáció</w:t>
      </w:r>
    </w:p>
    <w:p w14:paraId="53D3FF29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>Lambert Petra</w:t>
      </w:r>
    </w:p>
    <w:p w14:paraId="06F0B6B8" w14:textId="77777777" w:rsidR="004C0EBD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>Tel.</w:t>
      </w:r>
      <w:r w:rsidRPr="004C0EBD">
        <w:rPr>
          <w:rStyle w:val="AboutandContactBody"/>
          <w:rFonts w:cs="Segoe UI"/>
          <w:szCs w:val="18"/>
          <w:lang w:val="en-US"/>
        </w:rPr>
        <w:tab/>
        <w:t>(1) 372-5555</w:t>
      </w:r>
    </w:p>
    <w:p w14:paraId="430C1BF9" w14:textId="5B9E56C2" w:rsidR="007B059C" w:rsidRPr="004C0EBD" w:rsidRDefault="004C0EBD" w:rsidP="004C0EB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  <w:lang w:val="en-US"/>
        </w:rPr>
      </w:pPr>
      <w:r w:rsidRPr="004C0EBD">
        <w:rPr>
          <w:rStyle w:val="AboutandContactBody"/>
          <w:rFonts w:cs="Segoe UI"/>
          <w:szCs w:val="18"/>
          <w:lang w:val="en-US"/>
        </w:rPr>
        <w:t xml:space="preserve">Email: </w:t>
      </w:r>
      <w:r w:rsidRPr="004C0EBD">
        <w:rPr>
          <w:rStyle w:val="AboutandContactBody"/>
          <w:rFonts w:cs="Segoe UI"/>
          <w:szCs w:val="18"/>
          <w:lang w:val="en-US"/>
        </w:rPr>
        <w:tab/>
        <w:t>vallalati.kommunikacio@henkel.com</w:t>
      </w:r>
    </w:p>
    <w:p w14:paraId="4299E537" w14:textId="77777777" w:rsidR="007B059C" w:rsidRPr="004C0EBD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en-US"/>
        </w:rPr>
      </w:pPr>
    </w:p>
    <w:sectPr w:rsidR="007B059C" w:rsidRPr="004C0EBD" w:rsidSect="00780C9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4A91" w14:textId="77777777" w:rsidR="0082656F" w:rsidRDefault="0082656F">
      <w:r>
        <w:separator/>
      </w:r>
    </w:p>
  </w:endnote>
  <w:endnote w:type="continuationSeparator" w:id="0">
    <w:p w14:paraId="5E790DDE" w14:textId="77777777" w:rsidR="0082656F" w:rsidRDefault="0082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?????????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3377DD20" w:rsidR="00CF6F33" w:rsidRPr="00B80304" w:rsidRDefault="00525A9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525A94">
      <w:rPr>
        <w:b w:val="0"/>
        <w:bCs/>
        <w:color w:val="auto"/>
      </w:rPr>
      <w:t>Henkel AG &amp; Co. KGaA</w:t>
    </w:r>
    <w:r>
      <w:rPr>
        <w:b w:val="0"/>
        <w:color w:val="auto"/>
      </w:rPr>
      <w:t xml:space="preserve"> 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4B97" w14:textId="77777777" w:rsidR="0082656F" w:rsidRDefault="0082656F">
      <w:r>
        <w:separator/>
      </w:r>
    </w:p>
  </w:footnote>
  <w:footnote w:type="continuationSeparator" w:id="0">
    <w:p w14:paraId="7ACEF169" w14:textId="77777777" w:rsidR="0082656F" w:rsidRDefault="0082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5895">
    <w:abstractNumId w:val="2"/>
  </w:num>
  <w:num w:numId="2" w16cid:durableId="1339042801">
    <w:abstractNumId w:val="0"/>
  </w:num>
  <w:num w:numId="3" w16cid:durableId="1391003666">
    <w:abstractNumId w:val="8"/>
  </w:num>
  <w:num w:numId="4" w16cid:durableId="1063023158">
    <w:abstractNumId w:val="7"/>
  </w:num>
  <w:num w:numId="5" w16cid:durableId="1345281675">
    <w:abstractNumId w:val="4"/>
  </w:num>
  <w:num w:numId="6" w16cid:durableId="1549876239">
    <w:abstractNumId w:val="5"/>
  </w:num>
  <w:num w:numId="7" w16cid:durableId="1603338803">
    <w:abstractNumId w:val="1"/>
  </w:num>
  <w:num w:numId="8" w16cid:durableId="1089086585">
    <w:abstractNumId w:val="6"/>
  </w:num>
  <w:num w:numId="9" w16cid:durableId="658733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440C0"/>
    <w:rsid w:val="00050E7F"/>
    <w:rsid w:val="00053CE9"/>
    <w:rsid w:val="000575F9"/>
    <w:rsid w:val="000618FC"/>
    <w:rsid w:val="000763E0"/>
    <w:rsid w:val="00080A02"/>
    <w:rsid w:val="00080D10"/>
    <w:rsid w:val="00084003"/>
    <w:rsid w:val="00093F26"/>
    <w:rsid w:val="000969F6"/>
    <w:rsid w:val="000B1D64"/>
    <w:rsid w:val="000C56DD"/>
    <w:rsid w:val="000D1672"/>
    <w:rsid w:val="000D3354"/>
    <w:rsid w:val="000D56B0"/>
    <w:rsid w:val="000E56EF"/>
    <w:rsid w:val="000E7F24"/>
    <w:rsid w:val="000F03BE"/>
    <w:rsid w:val="000F225B"/>
    <w:rsid w:val="000F7FAF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412EC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25C3"/>
    <w:rsid w:val="001F695F"/>
    <w:rsid w:val="001F7110"/>
    <w:rsid w:val="001F7E96"/>
    <w:rsid w:val="00212488"/>
    <w:rsid w:val="00220628"/>
    <w:rsid w:val="00237F62"/>
    <w:rsid w:val="0024586A"/>
    <w:rsid w:val="00262C05"/>
    <w:rsid w:val="002A0DF7"/>
    <w:rsid w:val="002A2BAF"/>
    <w:rsid w:val="002A60E0"/>
    <w:rsid w:val="002A6ABE"/>
    <w:rsid w:val="002C2212"/>
    <w:rsid w:val="002C252E"/>
    <w:rsid w:val="002C6773"/>
    <w:rsid w:val="002E0B17"/>
    <w:rsid w:val="002E7DED"/>
    <w:rsid w:val="002F3C00"/>
    <w:rsid w:val="002F7E11"/>
    <w:rsid w:val="00304087"/>
    <w:rsid w:val="0030463D"/>
    <w:rsid w:val="00310ACD"/>
    <w:rsid w:val="0031379F"/>
    <w:rsid w:val="00316D10"/>
    <w:rsid w:val="00320A26"/>
    <w:rsid w:val="00321344"/>
    <w:rsid w:val="00331BC7"/>
    <w:rsid w:val="0034015C"/>
    <w:rsid w:val="00344356"/>
    <w:rsid w:val="00353705"/>
    <w:rsid w:val="003562E8"/>
    <w:rsid w:val="0036357D"/>
    <w:rsid w:val="00367AA1"/>
    <w:rsid w:val="00372E36"/>
    <w:rsid w:val="00377CBB"/>
    <w:rsid w:val="00381142"/>
    <w:rsid w:val="003877B6"/>
    <w:rsid w:val="00392D1F"/>
    <w:rsid w:val="00393887"/>
    <w:rsid w:val="00394C6B"/>
    <w:rsid w:val="003B0D96"/>
    <w:rsid w:val="003B1069"/>
    <w:rsid w:val="003B390A"/>
    <w:rsid w:val="003C15DE"/>
    <w:rsid w:val="003C38EC"/>
    <w:rsid w:val="003C4EB2"/>
    <w:rsid w:val="003D3815"/>
    <w:rsid w:val="003E14C8"/>
    <w:rsid w:val="003E2F48"/>
    <w:rsid w:val="003F1AF3"/>
    <w:rsid w:val="003F4D8D"/>
    <w:rsid w:val="00414BAB"/>
    <w:rsid w:val="004163A1"/>
    <w:rsid w:val="00425043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0EBD"/>
    <w:rsid w:val="004C4FEB"/>
    <w:rsid w:val="004D059B"/>
    <w:rsid w:val="004D4CB6"/>
    <w:rsid w:val="004E27B2"/>
    <w:rsid w:val="004F10C1"/>
    <w:rsid w:val="004F539E"/>
    <w:rsid w:val="00502E62"/>
    <w:rsid w:val="005100A8"/>
    <w:rsid w:val="0051436E"/>
    <w:rsid w:val="00514DFC"/>
    <w:rsid w:val="0052161A"/>
    <w:rsid w:val="0052212B"/>
    <w:rsid w:val="00525A94"/>
    <w:rsid w:val="00534B46"/>
    <w:rsid w:val="00540358"/>
    <w:rsid w:val="0055386A"/>
    <w:rsid w:val="00555A2F"/>
    <w:rsid w:val="00556F67"/>
    <w:rsid w:val="00574C44"/>
    <w:rsid w:val="005751AA"/>
    <w:rsid w:val="0058229E"/>
    <w:rsid w:val="0058488E"/>
    <w:rsid w:val="00586CAF"/>
    <w:rsid w:val="00591180"/>
    <w:rsid w:val="00592524"/>
    <w:rsid w:val="00592CEA"/>
    <w:rsid w:val="00597D07"/>
    <w:rsid w:val="005A0AA0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5B6"/>
    <w:rsid w:val="00635712"/>
    <w:rsid w:val="00640DF5"/>
    <w:rsid w:val="00644141"/>
    <w:rsid w:val="00652229"/>
    <w:rsid w:val="00652793"/>
    <w:rsid w:val="00653303"/>
    <w:rsid w:val="006610A4"/>
    <w:rsid w:val="006626CA"/>
    <w:rsid w:val="00663487"/>
    <w:rsid w:val="00672382"/>
    <w:rsid w:val="00690B19"/>
    <w:rsid w:val="006957AA"/>
    <w:rsid w:val="006979C6"/>
    <w:rsid w:val="006A1E9B"/>
    <w:rsid w:val="006A460B"/>
    <w:rsid w:val="006B2C16"/>
    <w:rsid w:val="006B499F"/>
    <w:rsid w:val="006D343E"/>
    <w:rsid w:val="006D4996"/>
    <w:rsid w:val="006D4B22"/>
    <w:rsid w:val="006D54AB"/>
    <w:rsid w:val="006E5032"/>
    <w:rsid w:val="006F670F"/>
    <w:rsid w:val="00703272"/>
    <w:rsid w:val="0070733C"/>
    <w:rsid w:val="00710C5D"/>
    <w:rsid w:val="0071348C"/>
    <w:rsid w:val="00717273"/>
    <w:rsid w:val="00717754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80C94"/>
    <w:rsid w:val="00786BA3"/>
    <w:rsid w:val="007A059A"/>
    <w:rsid w:val="007A1667"/>
    <w:rsid w:val="007A2812"/>
    <w:rsid w:val="007A4432"/>
    <w:rsid w:val="007B059C"/>
    <w:rsid w:val="007B499C"/>
    <w:rsid w:val="007B4D4B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24F05"/>
    <w:rsid w:val="0082656F"/>
    <w:rsid w:val="00833090"/>
    <w:rsid w:val="00833CEB"/>
    <w:rsid w:val="008372D2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4560"/>
    <w:rsid w:val="008667B3"/>
    <w:rsid w:val="0087142D"/>
    <w:rsid w:val="00873956"/>
    <w:rsid w:val="008825EE"/>
    <w:rsid w:val="0088596E"/>
    <w:rsid w:val="00886A7A"/>
    <w:rsid w:val="0089226C"/>
    <w:rsid w:val="008A2375"/>
    <w:rsid w:val="008D4F84"/>
    <w:rsid w:val="008D76C5"/>
    <w:rsid w:val="008E0AFA"/>
    <w:rsid w:val="008E0EB4"/>
    <w:rsid w:val="008E2C66"/>
    <w:rsid w:val="008E75D3"/>
    <w:rsid w:val="008F01B1"/>
    <w:rsid w:val="008F125E"/>
    <w:rsid w:val="008F4D2F"/>
    <w:rsid w:val="009026EC"/>
    <w:rsid w:val="00910572"/>
    <w:rsid w:val="00917162"/>
    <w:rsid w:val="009244A4"/>
    <w:rsid w:val="009251CC"/>
    <w:rsid w:val="0092714E"/>
    <w:rsid w:val="00937ACF"/>
    <w:rsid w:val="00942002"/>
    <w:rsid w:val="00943E5B"/>
    <w:rsid w:val="00947885"/>
    <w:rsid w:val="00952168"/>
    <w:rsid w:val="009527FE"/>
    <w:rsid w:val="00973327"/>
    <w:rsid w:val="009739A0"/>
    <w:rsid w:val="009767C7"/>
    <w:rsid w:val="0098579A"/>
    <w:rsid w:val="00987874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44D6"/>
    <w:rsid w:val="00A04ADB"/>
    <w:rsid w:val="00A10DAC"/>
    <w:rsid w:val="00A11E0F"/>
    <w:rsid w:val="00A17416"/>
    <w:rsid w:val="00A244C2"/>
    <w:rsid w:val="00A2529C"/>
    <w:rsid w:val="00A26CB6"/>
    <w:rsid w:val="00A32F82"/>
    <w:rsid w:val="00A32F8B"/>
    <w:rsid w:val="00A45A62"/>
    <w:rsid w:val="00A54AC5"/>
    <w:rsid w:val="00A54CD9"/>
    <w:rsid w:val="00A56D41"/>
    <w:rsid w:val="00A60DB5"/>
    <w:rsid w:val="00A61353"/>
    <w:rsid w:val="00A66DB1"/>
    <w:rsid w:val="00A67A92"/>
    <w:rsid w:val="00A77E80"/>
    <w:rsid w:val="00A81450"/>
    <w:rsid w:val="00A848B2"/>
    <w:rsid w:val="00A91A70"/>
    <w:rsid w:val="00A94564"/>
    <w:rsid w:val="00A97185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0D5E"/>
    <w:rsid w:val="00AE49F1"/>
    <w:rsid w:val="00AE76BB"/>
    <w:rsid w:val="00AF6CBB"/>
    <w:rsid w:val="00B02FC0"/>
    <w:rsid w:val="00B053AF"/>
    <w:rsid w:val="00B05CCA"/>
    <w:rsid w:val="00B06EF6"/>
    <w:rsid w:val="00B14271"/>
    <w:rsid w:val="00B2685D"/>
    <w:rsid w:val="00B30351"/>
    <w:rsid w:val="00B33C2A"/>
    <w:rsid w:val="00B35822"/>
    <w:rsid w:val="00B422EC"/>
    <w:rsid w:val="00B45AD6"/>
    <w:rsid w:val="00B65225"/>
    <w:rsid w:val="00B80304"/>
    <w:rsid w:val="00B820D7"/>
    <w:rsid w:val="00B86A4F"/>
    <w:rsid w:val="00B87094"/>
    <w:rsid w:val="00B958E8"/>
    <w:rsid w:val="00BA09B2"/>
    <w:rsid w:val="00BA667B"/>
    <w:rsid w:val="00BB0223"/>
    <w:rsid w:val="00BB512A"/>
    <w:rsid w:val="00BC0995"/>
    <w:rsid w:val="00BC48D6"/>
    <w:rsid w:val="00BD32CA"/>
    <w:rsid w:val="00BD56B7"/>
    <w:rsid w:val="00BD7208"/>
    <w:rsid w:val="00BE7091"/>
    <w:rsid w:val="00BE793A"/>
    <w:rsid w:val="00BF1C48"/>
    <w:rsid w:val="00BF432A"/>
    <w:rsid w:val="00BF4B5C"/>
    <w:rsid w:val="00BF6E82"/>
    <w:rsid w:val="00BF6F73"/>
    <w:rsid w:val="00C144DF"/>
    <w:rsid w:val="00C22049"/>
    <w:rsid w:val="00C24C17"/>
    <w:rsid w:val="00C26894"/>
    <w:rsid w:val="00C40B88"/>
    <w:rsid w:val="00C446AC"/>
    <w:rsid w:val="00C47D87"/>
    <w:rsid w:val="00C5376E"/>
    <w:rsid w:val="00C548B1"/>
    <w:rsid w:val="00C63E66"/>
    <w:rsid w:val="00C76F73"/>
    <w:rsid w:val="00C912A6"/>
    <w:rsid w:val="00C95613"/>
    <w:rsid w:val="00C96D73"/>
    <w:rsid w:val="00C97091"/>
    <w:rsid w:val="00CA2001"/>
    <w:rsid w:val="00CB5B6C"/>
    <w:rsid w:val="00CD3B0B"/>
    <w:rsid w:val="00CD4616"/>
    <w:rsid w:val="00CE33D5"/>
    <w:rsid w:val="00CF5D37"/>
    <w:rsid w:val="00CF6F33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04F0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13161"/>
    <w:rsid w:val="00E13747"/>
    <w:rsid w:val="00E25AEA"/>
    <w:rsid w:val="00E260A1"/>
    <w:rsid w:val="00E30DEF"/>
    <w:rsid w:val="00E30ED2"/>
    <w:rsid w:val="00E37F70"/>
    <w:rsid w:val="00E41AF5"/>
    <w:rsid w:val="00E446C1"/>
    <w:rsid w:val="00E61CB9"/>
    <w:rsid w:val="00E758B9"/>
    <w:rsid w:val="00E834C6"/>
    <w:rsid w:val="00E85569"/>
    <w:rsid w:val="00E856AF"/>
    <w:rsid w:val="00E86055"/>
    <w:rsid w:val="00E90E08"/>
    <w:rsid w:val="00E93A01"/>
    <w:rsid w:val="00E93FF8"/>
    <w:rsid w:val="00E96EAF"/>
    <w:rsid w:val="00EA1752"/>
    <w:rsid w:val="00EA326E"/>
    <w:rsid w:val="00EA5BDB"/>
    <w:rsid w:val="00EB7398"/>
    <w:rsid w:val="00EC00AC"/>
    <w:rsid w:val="00EC0368"/>
    <w:rsid w:val="00EC142D"/>
    <w:rsid w:val="00ED2B5C"/>
    <w:rsid w:val="00EE1460"/>
    <w:rsid w:val="00EE31A6"/>
    <w:rsid w:val="00EF15FF"/>
    <w:rsid w:val="00EF7111"/>
    <w:rsid w:val="00EF7AD1"/>
    <w:rsid w:val="00EF7D1A"/>
    <w:rsid w:val="00F0448F"/>
    <w:rsid w:val="00F275C0"/>
    <w:rsid w:val="00F36145"/>
    <w:rsid w:val="00F37BDD"/>
    <w:rsid w:val="00F41503"/>
    <w:rsid w:val="00F466C8"/>
    <w:rsid w:val="00F50B46"/>
    <w:rsid w:val="00F52372"/>
    <w:rsid w:val="00F62746"/>
    <w:rsid w:val="00F629FF"/>
    <w:rsid w:val="00F63D03"/>
    <w:rsid w:val="00F64049"/>
    <w:rsid w:val="00F65E2F"/>
    <w:rsid w:val="00F67DF1"/>
    <w:rsid w:val="00F8309B"/>
    <w:rsid w:val="00F833C9"/>
    <w:rsid w:val="00F90064"/>
    <w:rsid w:val="00F96AFD"/>
    <w:rsid w:val="00FA2E19"/>
    <w:rsid w:val="00FA2FAF"/>
    <w:rsid w:val="00FA4A44"/>
    <w:rsid w:val="00FB398B"/>
    <w:rsid w:val="00FB610D"/>
    <w:rsid w:val="00FD0475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paragraph" w:customStyle="1" w:styleId="He04Funote">
    <w:name w:val="_He_04_Fußnote"/>
    <w:next w:val="Norml"/>
    <w:qFormat/>
    <w:rsid w:val="008E0EB4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8</Pages>
  <Words>2686</Words>
  <Characters>18540</Characters>
  <Application>Microsoft Office Word</Application>
  <DocSecurity>0</DocSecurity>
  <Lines>154</Lines>
  <Paragraphs>42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21184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</cp:revision>
  <cp:lastPrinted>2016-11-16T08:11:00Z</cp:lastPrinted>
  <dcterms:created xsi:type="dcterms:W3CDTF">2023-03-08T12:29:00Z</dcterms:created>
  <dcterms:modified xsi:type="dcterms:W3CDTF">2023-03-08T16:04:00Z</dcterms:modified>
</cp:coreProperties>
</file>