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AF4" w14:textId="77777777" w:rsidR="000D57B9" w:rsidRPr="00761376" w:rsidRDefault="000D57B9" w:rsidP="000D57B9">
      <w:pPr>
        <w:pStyle w:val="MonthDayYear"/>
        <w:rPr>
          <w:lang w:val="sk-SK"/>
        </w:rPr>
      </w:pPr>
      <w:r>
        <w:rPr>
          <w:lang w:val="sk-SK"/>
        </w:rPr>
        <w:t>7. marec</w:t>
      </w:r>
      <w:r w:rsidRPr="00761376">
        <w:rPr>
          <w:lang w:val="sk-SK"/>
        </w:rPr>
        <w:t xml:space="preserve"> 2023</w:t>
      </w:r>
    </w:p>
    <w:p w14:paraId="55D5E39A" w14:textId="225EFBA0" w:rsidR="00B422EC" w:rsidRPr="00B71239" w:rsidRDefault="00B422EC" w:rsidP="00643D8A">
      <w:pPr>
        <w:pStyle w:val="MonthDayYear"/>
        <w:rPr>
          <w:lang w:val="sk-SK"/>
        </w:rPr>
      </w:pPr>
    </w:p>
    <w:p w14:paraId="09896324" w14:textId="00D5D386" w:rsidR="007F0F63" w:rsidRDefault="00767E45" w:rsidP="00767E45">
      <w:pPr>
        <w:rPr>
          <w:rFonts w:cs="Segoe UI"/>
          <w:szCs w:val="22"/>
          <w:lang w:val="sk-SK" w:bidi="bo-CN"/>
        </w:rPr>
      </w:pPr>
      <w:r w:rsidRPr="00C461E7">
        <w:rPr>
          <w:rFonts w:cs="Segoe UI"/>
          <w:szCs w:val="22"/>
          <w:lang w:val="sk-SK" w:bidi="bo-CN"/>
        </w:rPr>
        <w:t>Spoločnosť Henkel zverejnila správu o trvalej udržateľnosti za rok 2022</w:t>
      </w:r>
    </w:p>
    <w:p w14:paraId="4335DBA6" w14:textId="77777777" w:rsidR="00767E45" w:rsidRPr="00767E45" w:rsidRDefault="00767E45" w:rsidP="00767E45">
      <w:pPr>
        <w:rPr>
          <w:rFonts w:cs="Segoe UI"/>
          <w:szCs w:val="22"/>
          <w:lang w:val="sk-SK"/>
        </w:rPr>
      </w:pPr>
    </w:p>
    <w:p w14:paraId="7B9F9CCE" w14:textId="77777777" w:rsidR="007621DC" w:rsidRPr="00C461E7" w:rsidRDefault="007621DC" w:rsidP="007621DC">
      <w:pPr>
        <w:rPr>
          <w:rStyle w:val="Headline"/>
          <w:lang w:val="sk-SK"/>
        </w:rPr>
      </w:pPr>
      <w:r w:rsidRPr="00C461E7">
        <w:rPr>
          <w:rStyle w:val="Headline"/>
          <w:lang w:val="sk-SK" w:bidi="bo-CN"/>
        </w:rPr>
        <w:t>Henkel posilňuje ochranu klímy a sociálnu angažovanosť na ceste k</w:t>
      </w:r>
      <w:r>
        <w:rPr>
          <w:rStyle w:val="Headline"/>
          <w:lang w:val="sk-SK" w:bidi="bo-CN"/>
        </w:rPr>
        <w:t> lepšej trvalej</w:t>
      </w:r>
      <w:r w:rsidRPr="00C461E7">
        <w:rPr>
          <w:rStyle w:val="Headline"/>
          <w:lang w:val="sk-SK" w:bidi="bo-CN"/>
        </w:rPr>
        <w:t xml:space="preserve"> udržateľnosti</w:t>
      </w:r>
    </w:p>
    <w:p w14:paraId="76AD0789" w14:textId="1CC5B867" w:rsidR="007F0F63" w:rsidRPr="00B71239" w:rsidRDefault="007F0F63" w:rsidP="00A3756F">
      <w:pPr>
        <w:rPr>
          <w:rStyle w:val="Headline"/>
          <w:lang w:val="sk-SK"/>
        </w:rPr>
      </w:pPr>
    </w:p>
    <w:p w14:paraId="42B69A1F" w14:textId="77777777" w:rsidR="005B2AE4" w:rsidRPr="00C461E7" w:rsidRDefault="005B2AE4" w:rsidP="005B2AE4">
      <w:pPr>
        <w:pStyle w:val="ListParagraph"/>
        <w:numPr>
          <w:ilvl w:val="0"/>
          <w:numId w:val="17"/>
        </w:numPr>
        <w:ind w:left="567" w:hanging="284"/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>Ochrana klímy: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Podiel elektriny z obnoviteľných zdrojov vo výrobných prevádzkach sa celosvetovo zvýšil na 70 percent, emisie CO</w:t>
      </w:r>
      <w:r w:rsidRPr="00C461E7">
        <w:rPr>
          <w:rFonts w:cs="Segoe UI"/>
          <w:szCs w:val="22"/>
          <w:vertAlign w:val="subscript"/>
          <w:lang w:val="sk-SK" w:bidi="bo-CN"/>
        </w:rPr>
        <w:t>2</w:t>
      </w:r>
      <w:r w:rsidRPr="00C461E7">
        <w:rPr>
          <w:rFonts w:cs="Segoe UI"/>
          <w:szCs w:val="22"/>
          <w:lang w:val="sk-SK" w:bidi="bo-CN"/>
        </w:rPr>
        <w:t xml:space="preserve"> klesli o 55 percent (na tonu výroby)</w:t>
      </w:r>
    </w:p>
    <w:p w14:paraId="724376DE" w14:textId="77777777" w:rsidR="005B2AE4" w:rsidRPr="00A74742" w:rsidRDefault="005B2AE4" w:rsidP="005B2AE4">
      <w:pPr>
        <w:pStyle w:val="ListParagraph"/>
        <w:numPr>
          <w:ilvl w:val="0"/>
          <w:numId w:val="17"/>
        </w:numPr>
        <w:ind w:left="567" w:hanging="284"/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>Obehové hospodárstvo: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Ďalší pokrok k </w:t>
      </w:r>
      <w:r>
        <w:rPr>
          <w:rFonts w:cs="Segoe UI"/>
          <w:szCs w:val="22"/>
          <w:lang w:val="sk-SK" w:bidi="bo-CN"/>
        </w:rPr>
        <w:t>na</w:t>
      </w:r>
      <w:r w:rsidRPr="00C461E7">
        <w:rPr>
          <w:rFonts w:cs="Segoe UI"/>
          <w:szCs w:val="22"/>
          <w:lang w:val="sk-SK" w:bidi="bo-CN"/>
        </w:rPr>
        <w:t>plneniu cieľa v podobe 100 % recyklovateľných a opätovne použiteľných obalov</w:t>
      </w:r>
      <w:r w:rsidRPr="00C461E7">
        <w:rPr>
          <w:rFonts w:cs="Segoe UI"/>
          <w:szCs w:val="22"/>
          <w:lang w:val="sk-SK"/>
        </w:rPr>
        <w:t xml:space="preserve"> </w:t>
      </w:r>
    </w:p>
    <w:p w14:paraId="21341A29" w14:textId="7135C061" w:rsidR="005B2AE4" w:rsidRPr="00A74742" w:rsidRDefault="005B2AE4" w:rsidP="005B2AE4">
      <w:pPr>
        <w:pStyle w:val="ListParagraph"/>
        <w:numPr>
          <w:ilvl w:val="0"/>
          <w:numId w:val="17"/>
        </w:numPr>
        <w:ind w:left="567" w:hanging="284"/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>Spoločenská angažovanosť:</w:t>
      </w:r>
      <w:r w:rsidRPr="00A74742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Program solidarity pre obete vojny na Ukrajine vo výške 6 miliónov eur</w:t>
      </w:r>
      <w:r w:rsidRPr="00C461E7">
        <w:rPr>
          <w:rFonts w:cs="Segoe UI"/>
          <w:szCs w:val="22"/>
          <w:lang w:val="sk-SK"/>
        </w:rPr>
        <w:t xml:space="preserve"> </w:t>
      </w:r>
    </w:p>
    <w:p w14:paraId="66DC65F1" w14:textId="77777777" w:rsidR="005B2AE4" w:rsidRPr="00C461E7" w:rsidRDefault="005B2AE4" w:rsidP="005B2AE4">
      <w:pPr>
        <w:pStyle w:val="ListParagraph"/>
        <w:numPr>
          <w:ilvl w:val="0"/>
          <w:numId w:val="17"/>
        </w:numPr>
        <w:ind w:left="567" w:hanging="284"/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>Rodová rovnosť: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Ďalšie zvýšenie podielu žien na riadiacich pozíciách</w:t>
      </w:r>
    </w:p>
    <w:p w14:paraId="303FC098" w14:textId="77777777" w:rsidR="005B2AE4" w:rsidRPr="00C461E7" w:rsidRDefault="005B2AE4" w:rsidP="005B2AE4">
      <w:pPr>
        <w:pStyle w:val="ListParagraph"/>
        <w:numPr>
          <w:ilvl w:val="0"/>
          <w:numId w:val="17"/>
        </w:numPr>
        <w:ind w:left="567" w:hanging="284"/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>„</w:t>
      </w:r>
      <w:proofErr w:type="spellStart"/>
      <w:r w:rsidRPr="00C461E7">
        <w:rPr>
          <w:rFonts w:cs="Segoe UI"/>
          <w:szCs w:val="22"/>
          <w:lang w:val="sk-SK" w:bidi="bo-CN"/>
        </w:rPr>
        <w:t>Sustainability</w:t>
      </w:r>
      <w:proofErr w:type="spellEnd"/>
      <w:r w:rsidRPr="00C461E7">
        <w:rPr>
          <w:rFonts w:cs="Segoe UI"/>
          <w:szCs w:val="22"/>
          <w:lang w:val="sk-SK" w:bidi="bo-CN"/>
        </w:rPr>
        <w:t xml:space="preserve"> </w:t>
      </w:r>
      <w:proofErr w:type="spellStart"/>
      <w:r w:rsidRPr="00C461E7">
        <w:rPr>
          <w:rFonts w:cs="Segoe UI"/>
          <w:szCs w:val="22"/>
          <w:lang w:val="sk-SK" w:bidi="bo-CN"/>
        </w:rPr>
        <w:t>Pioneers</w:t>
      </w:r>
      <w:proofErr w:type="spellEnd"/>
      <w:r w:rsidRPr="00C461E7">
        <w:rPr>
          <w:rFonts w:cs="Segoe UI"/>
          <w:szCs w:val="22"/>
          <w:lang w:val="sk-SK" w:bidi="bo-CN"/>
        </w:rPr>
        <w:t>“: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Úspešné spustenie globálneho programu angažovanosti zamestnancov</w:t>
      </w:r>
    </w:p>
    <w:p w14:paraId="18CC4C3B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70953212" w14:textId="2C4EB67E" w:rsidR="005B2AE4" w:rsidRPr="00C461E7" w:rsidRDefault="005B2AE4" w:rsidP="005B2AE4">
      <w:pPr>
        <w:rPr>
          <w:rFonts w:cs="Segoe UI"/>
          <w:szCs w:val="22"/>
          <w:lang w:val="sk-SK"/>
        </w:rPr>
      </w:pPr>
      <w:proofErr w:type="spellStart"/>
      <w:r w:rsidRPr="00761376">
        <w:rPr>
          <w:rFonts w:cs="Segoe UI"/>
          <w:szCs w:val="22"/>
          <w:lang w:val="sk-SK"/>
        </w:rPr>
        <w:t>Düsseldorf</w:t>
      </w:r>
      <w:proofErr w:type="spellEnd"/>
      <w:r w:rsidRPr="00761376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Spoločnosť Henkel dnes zverejnila svoju 3</w:t>
      </w:r>
      <w:r w:rsidR="00A61EC5">
        <w:rPr>
          <w:rFonts w:cs="Segoe UI"/>
          <w:szCs w:val="22"/>
          <w:lang w:val="sk-SK" w:bidi="bo-CN"/>
        </w:rPr>
        <w:t>2</w:t>
      </w:r>
      <w:r w:rsidRPr="00C461E7">
        <w:rPr>
          <w:rFonts w:cs="Segoe UI"/>
          <w:szCs w:val="22"/>
          <w:lang w:val="sk-SK" w:bidi="bo-CN"/>
        </w:rPr>
        <w:t>. výročnú správu o trvalej udržateľnosti, v ktorej približuje výsledky dosiahnuté pri implementácii stratégie trvalej udržateľnosti a jej cieľov</w:t>
      </w:r>
      <w:r>
        <w:rPr>
          <w:rFonts w:cs="Segoe UI"/>
          <w:szCs w:val="22"/>
          <w:lang w:val="sk-SK" w:bidi="bo-CN"/>
        </w:rPr>
        <w:t xml:space="preserve"> v minulom roku</w:t>
      </w:r>
      <w:r w:rsidRPr="00C461E7">
        <w:rPr>
          <w:rFonts w:cs="Segoe UI"/>
          <w:szCs w:val="22"/>
          <w:lang w:val="sk-SK" w:bidi="bo-CN"/>
        </w:rPr>
        <w:t>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 xml:space="preserve">Aj v náročnom trhovom prostredí sa spoločnosti darilo presadzovať opatrenia trvalej udržateľnosti v mnohých kľúčových oblastiach vrátane </w:t>
      </w:r>
      <w:r>
        <w:rPr>
          <w:rFonts w:cs="Segoe UI"/>
          <w:szCs w:val="22"/>
          <w:lang w:val="sk-SK" w:bidi="bo-CN"/>
        </w:rPr>
        <w:t>pokračujúceho znižovania</w:t>
      </w:r>
      <w:r w:rsidRPr="00C461E7">
        <w:rPr>
          <w:rFonts w:cs="Segoe UI"/>
          <w:szCs w:val="22"/>
          <w:lang w:val="sk-SK" w:bidi="bo-CN"/>
        </w:rPr>
        <w:t xml:space="preserve"> emisií CO</w:t>
      </w:r>
      <w:r w:rsidRPr="00C461E7">
        <w:rPr>
          <w:rFonts w:cs="Segoe UI"/>
          <w:szCs w:val="22"/>
          <w:vertAlign w:val="subscript"/>
          <w:lang w:val="sk-SK" w:bidi="bo-CN"/>
        </w:rPr>
        <w:t>2</w:t>
      </w:r>
      <w:r w:rsidRPr="00C461E7">
        <w:rPr>
          <w:rFonts w:cs="Segoe UI"/>
          <w:szCs w:val="22"/>
          <w:lang w:val="sk-SK" w:bidi="bo-CN"/>
        </w:rPr>
        <w:t xml:space="preserve"> a posilňovania spoločenskej angažovanosti.</w:t>
      </w:r>
    </w:p>
    <w:p w14:paraId="26AED70C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1C7CC09A" w14:textId="77777777" w:rsidR="005B2AE4" w:rsidRPr="00C461E7" w:rsidRDefault="005B2AE4" w:rsidP="005B2AE4">
      <w:pPr>
        <w:rPr>
          <w:rFonts w:cs="Segoe UI"/>
          <w:szCs w:val="22"/>
          <w:lang w:val="sk-SK"/>
        </w:rPr>
      </w:pPr>
      <w:r w:rsidRPr="00A048D1">
        <w:rPr>
          <w:rFonts w:cs="Segoe UI"/>
          <w:i/>
          <w:iCs/>
          <w:szCs w:val="22"/>
          <w:lang w:val="sk-SK" w:bidi="bo-CN"/>
        </w:rPr>
        <w:t xml:space="preserve"> „Nespomínam si na žiadny iný rok v nedávnej minulosti, v ktorom by sa naša spoločnosť musela vyrovnávať s takým náročným trhovým prostredím.</w:t>
      </w:r>
      <w:r w:rsidRPr="00A048D1">
        <w:rPr>
          <w:rFonts w:cs="Segoe UI"/>
          <w:i/>
          <w:iCs/>
          <w:szCs w:val="22"/>
          <w:lang w:val="sk-SK"/>
        </w:rPr>
        <w:t xml:space="preserve"> </w:t>
      </w:r>
      <w:r w:rsidRPr="00A048D1">
        <w:rPr>
          <w:rFonts w:cs="Segoe UI"/>
          <w:i/>
          <w:iCs/>
          <w:szCs w:val="22"/>
          <w:lang w:val="sk-SK" w:bidi="bo-CN"/>
        </w:rPr>
        <w:t>Vojna na Ukrajine a jej ďalekosiahle dôsledky nami hlboko otriasli.</w:t>
      </w:r>
      <w:r w:rsidRPr="00A048D1">
        <w:rPr>
          <w:rFonts w:cs="Segoe UI"/>
          <w:i/>
          <w:iCs/>
          <w:szCs w:val="22"/>
          <w:lang w:val="sk-SK"/>
        </w:rPr>
        <w:t xml:space="preserve"> </w:t>
      </w:r>
      <w:r w:rsidRPr="00A048D1">
        <w:rPr>
          <w:rFonts w:cs="Segoe UI"/>
          <w:i/>
          <w:iCs/>
          <w:szCs w:val="22"/>
          <w:lang w:val="sk-SK" w:bidi="bo-CN"/>
        </w:rPr>
        <w:t>Vojna má vplyv na celkové hospodárske prostredie, predovšetkým v podobe energetickej krízy a zvýšených cien surovín. Ale práve v týchto ťažkých časoch je nevyhnutné, aby sme sa ešte viac zamerali na udržateľnosť a zodpovedne pristupovali k životnému prostrediu aj celej spoločnosti. Napriek všetkým ťažkostiam sme dokázali pokročiť v plnení drvivej väčšiny našich ambicióznych cieľov v oblasti trvalej udržateľnosti, za čo sa chcem poďakovať našim viac než 50 000 kolegom v spoločnosti Henkel na celom svete, ktorí preukázali obrovské nasadenie a odhodlanie,”</w:t>
      </w:r>
      <w:r w:rsidRPr="00C461E7">
        <w:rPr>
          <w:rFonts w:cs="Segoe UI"/>
          <w:szCs w:val="22"/>
          <w:lang w:val="sk-SK" w:bidi="bo-CN"/>
        </w:rPr>
        <w:t xml:space="preserve"> povedal predseda predstavenstva spoločnosti Henkel </w:t>
      </w:r>
      <w:proofErr w:type="spellStart"/>
      <w:r w:rsidRPr="00C461E7">
        <w:rPr>
          <w:rFonts w:cs="Segoe UI"/>
          <w:szCs w:val="22"/>
          <w:lang w:val="sk-SK" w:bidi="bo-CN"/>
        </w:rPr>
        <w:t>Carsten</w:t>
      </w:r>
      <w:proofErr w:type="spellEnd"/>
      <w:r w:rsidRPr="00C461E7">
        <w:rPr>
          <w:rFonts w:cs="Segoe UI"/>
          <w:szCs w:val="22"/>
          <w:lang w:val="sk-SK" w:bidi="bo-CN"/>
        </w:rPr>
        <w:t xml:space="preserve"> </w:t>
      </w:r>
      <w:proofErr w:type="spellStart"/>
      <w:r w:rsidRPr="00C461E7">
        <w:rPr>
          <w:rFonts w:cs="Segoe UI"/>
          <w:szCs w:val="22"/>
          <w:lang w:val="sk-SK" w:bidi="bo-CN"/>
        </w:rPr>
        <w:t>Knobel</w:t>
      </w:r>
      <w:proofErr w:type="spellEnd"/>
      <w:r w:rsidRPr="00C461E7">
        <w:rPr>
          <w:rFonts w:cs="Segoe UI"/>
          <w:szCs w:val="22"/>
          <w:lang w:val="sk-SK" w:bidi="bo-CN"/>
        </w:rPr>
        <w:t>.</w:t>
      </w:r>
    </w:p>
    <w:p w14:paraId="78F5943B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004495CC" w14:textId="77777777" w:rsidR="005B2AE4" w:rsidRPr="00A048D1" w:rsidRDefault="005B2AE4" w:rsidP="005B2AE4">
      <w:pPr>
        <w:rPr>
          <w:rFonts w:cs="Segoe UI"/>
          <w:i/>
          <w:iCs/>
          <w:szCs w:val="22"/>
          <w:lang w:val="sk-SK"/>
        </w:rPr>
      </w:pPr>
      <w:r w:rsidRPr="00A048D1">
        <w:rPr>
          <w:rFonts w:cs="Segoe UI"/>
          <w:i/>
          <w:iCs/>
          <w:szCs w:val="22"/>
          <w:lang w:val="sk-SK" w:bidi="bo-CN"/>
        </w:rPr>
        <w:t xml:space="preserve"> „Ďalším zvýšením využívania obnoviteľných zdrojov energie sme v roku 2022 urobili významný krok k nášmu cieľu v podobe dosiahnutia klimaticky pozitívnej výroby do roku 2030,“ dodala Sylvie </w:t>
      </w:r>
      <w:proofErr w:type="spellStart"/>
      <w:r w:rsidRPr="00A048D1">
        <w:rPr>
          <w:rFonts w:cs="Segoe UI"/>
          <w:i/>
          <w:iCs/>
          <w:szCs w:val="22"/>
          <w:lang w:val="sk-SK" w:bidi="bo-CN"/>
        </w:rPr>
        <w:t>Nicol</w:t>
      </w:r>
      <w:proofErr w:type="spellEnd"/>
      <w:r w:rsidRPr="00A048D1">
        <w:rPr>
          <w:rFonts w:cs="Segoe UI"/>
          <w:i/>
          <w:iCs/>
          <w:szCs w:val="22"/>
          <w:lang w:val="sk-SK" w:bidi="bo-CN"/>
        </w:rPr>
        <w:t>, členka predstavenstva spoločnosti Henkel zodpovedná za ľudské zdroje a udržateľnosť.</w:t>
      </w:r>
      <w:r w:rsidRPr="00A048D1">
        <w:rPr>
          <w:rFonts w:cs="Segoe UI"/>
          <w:i/>
          <w:iCs/>
          <w:szCs w:val="22"/>
          <w:lang w:val="sk-SK"/>
        </w:rPr>
        <w:t xml:space="preserve"> </w:t>
      </w:r>
      <w:r w:rsidRPr="00A048D1">
        <w:rPr>
          <w:rFonts w:cs="Segoe UI"/>
          <w:i/>
          <w:iCs/>
          <w:szCs w:val="22"/>
          <w:lang w:val="sk-SK" w:bidi="bo-CN"/>
        </w:rPr>
        <w:t>„Zlepšenie sme dosiahli aj v oblasti rodovej rovnosti.</w:t>
      </w:r>
      <w:r w:rsidRPr="00A048D1">
        <w:rPr>
          <w:rFonts w:cs="Segoe UI"/>
          <w:i/>
          <w:iCs/>
          <w:szCs w:val="22"/>
          <w:lang w:val="sk-SK"/>
        </w:rPr>
        <w:t xml:space="preserve"> </w:t>
      </w:r>
      <w:r w:rsidRPr="00A048D1">
        <w:rPr>
          <w:rFonts w:cs="Segoe UI"/>
          <w:i/>
          <w:iCs/>
          <w:szCs w:val="22"/>
          <w:lang w:val="sk-SK" w:bidi="bo-CN"/>
        </w:rPr>
        <w:t>Podiel žien v riadiacich pozíciách sa v roku 2022 zvýšil na 38,7 percenta.</w:t>
      </w:r>
      <w:r w:rsidRPr="00A048D1">
        <w:rPr>
          <w:rFonts w:cs="Segoe UI"/>
          <w:i/>
          <w:iCs/>
          <w:szCs w:val="22"/>
          <w:lang w:val="sk-SK"/>
        </w:rPr>
        <w:t xml:space="preserve"> </w:t>
      </w:r>
      <w:r w:rsidRPr="00A048D1">
        <w:rPr>
          <w:rFonts w:cs="Segoe UI"/>
          <w:i/>
          <w:iCs/>
          <w:szCs w:val="22"/>
          <w:lang w:val="sk-SK" w:bidi="bo-CN"/>
        </w:rPr>
        <w:t>Sme odhodlaní ďalej zrýchľovať a posilňovať naše úsilie v tejto oblasti prostredníctvom konkrétnych programov a opatrení, ktoré umožnia v plnom rozsahu zužitkovať potenciál našej rozmanitosti.“</w:t>
      </w:r>
      <w:r w:rsidRPr="00A048D1">
        <w:rPr>
          <w:rFonts w:cs="Segoe UI"/>
          <w:i/>
          <w:iCs/>
          <w:szCs w:val="22"/>
          <w:lang w:val="sk-SK"/>
        </w:rPr>
        <w:t xml:space="preserve"> </w:t>
      </w:r>
    </w:p>
    <w:p w14:paraId="6233580C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66C5B341" w14:textId="77777777" w:rsidR="005B2AE4" w:rsidRPr="00C461E7" w:rsidRDefault="005B2AE4" w:rsidP="005B2AE4">
      <w:pPr>
        <w:spacing w:after="120"/>
        <w:rPr>
          <w:rFonts w:cs="Segoe UI"/>
          <w:b/>
          <w:bCs/>
          <w:szCs w:val="22"/>
          <w:lang w:val="sk-SK"/>
        </w:rPr>
      </w:pPr>
      <w:r w:rsidRPr="00C461E7">
        <w:rPr>
          <w:rFonts w:cs="Segoe UI"/>
          <w:b/>
          <w:bCs/>
          <w:szCs w:val="22"/>
          <w:lang w:val="sk-SK" w:bidi="bo-CN"/>
        </w:rPr>
        <w:t xml:space="preserve">Posilnenie udržateľnosti v kľúčových oblastiach </w:t>
      </w:r>
    </w:p>
    <w:p w14:paraId="497AA63F" w14:textId="77777777" w:rsidR="005B2AE4" w:rsidRPr="00761376" w:rsidRDefault="005B2AE4" w:rsidP="005B2AE4">
      <w:pPr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 xml:space="preserve">Spoločnosť Henkel minulý rok zverejnila stratégiu trvalej udržateľnosti pod názvom „2030+ </w:t>
      </w:r>
      <w:proofErr w:type="spellStart"/>
      <w:r w:rsidRPr="00C461E7">
        <w:rPr>
          <w:rFonts w:cs="Segoe UI"/>
          <w:szCs w:val="22"/>
          <w:lang w:val="sk-SK" w:bidi="bo-CN"/>
        </w:rPr>
        <w:t>Sustainability</w:t>
      </w:r>
      <w:proofErr w:type="spellEnd"/>
      <w:r w:rsidRPr="00C461E7">
        <w:rPr>
          <w:rFonts w:cs="Segoe UI"/>
          <w:szCs w:val="22"/>
          <w:lang w:val="sk-SK" w:bidi="bo-CN"/>
        </w:rPr>
        <w:t xml:space="preserve"> </w:t>
      </w:r>
      <w:proofErr w:type="spellStart"/>
      <w:r w:rsidRPr="00C461E7">
        <w:rPr>
          <w:rFonts w:cs="Segoe UI"/>
          <w:szCs w:val="22"/>
          <w:lang w:val="sk-SK" w:bidi="bo-CN"/>
        </w:rPr>
        <w:t>Ambition</w:t>
      </w:r>
      <w:proofErr w:type="spellEnd"/>
      <w:r w:rsidRPr="00C461E7">
        <w:rPr>
          <w:rFonts w:cs="Segoe UI"/>
          <w:szCs w:val="22"/>
          <w:lang w:val="sk-SK" w:bidi="bo-CN"/>
        </w:rPr>
        <w:t xml:space="preserve"> </w:t>
      </w:r>
      <w:proofErr w:type="spellStart"/>
      <w:r w:rsidRPr="00C461E7">
        <w:rPr>
          <w:rFonts w:cs="Segoe UI"/>
          <w:szCs w:val="22"/>
          <w:lang w:val="sk-SK" w:bidi="bo-CN"/>
        </w:rPr>
        <w:t>Framework</w:t>
      </w:r>
      <w:proofErr w:type="spellEnd"/>
      <w:r w:rsidRPr="00C461E7">
        <w:rPr>
          <w:rFonts w:cs="Segoe UI"/>
          <w:szCs w:val="22"/>
          <w:lang w:val="sk-SK" w:bidi="bo-CN"/>
        </w:rPr>
        <w:t>“, v ktorej s ohľadom na globálny vývoj definovala svoje nové a doplňujúce ciele v tejto oblasti.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 xml:space="preserve">V súvislosti s ochranou klímy sa jej v roku 2022 konkrétne podarilo </w:t>
      </w:r>
      <w:r w:rsidRPr="00C461E7">
        <w:rPr>
          <w:rFonts w:cs="Segoe UI"/>
          <w:b/>
          <w:bCs/>
          <w:szCs w:val="22"/>
          <w:lang w:val="sk-SK" w:bidi="bo-CN"/>
        </w:rPr>
        <w:t>znížiť emisie CO</w:t>
      </w:r>
      <w:r w:rsidRPr="00C461E7">
        <w:rPr>
          <w:rFonts w:cs="Segoe UI"/>
          <w:b/>
          <w:bCs/>
          <w:szCs w:val="22"/>
          <w:vertAlign w:val="subscript"/>
          <w:lang w:val="sk-SK" w:bidi="bo-CN"/>
        </w:rPr>
        <w:t>2</w:t>
      </w:r>
      <w:r w:rsidRPr="00C461E7">
        <w:rPr>
          <w:rFonts w:cs="Segoe UI"/>
          <w:b/>
          <w:bCs/>
          <w:szCs w:val="22"/>
          <w:lang w:val="sk-SK" w:bidi="bo-CN"/>
        </w:rPr>
        <w:t xml:space="preserve"> z výroby o 55 percent</w:t>
      </w:r>
      <w:r w:rsidRPr="00C461E7">
        <w:rPr>
          <w:rFonts w:cs="Segoe UI"/>
          <w:szCs w:val="22"/>
          <w:lang w:val="sk-SK" w:bidi="bo-CN"/>
        </w:rPr>
        <w:t xml:space="preserve"> na metrickú tonu výroby (v porovnaní s východiskovým rokom 2010) a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b/>
          <w:bCs/>
          <w:szCs w:val="22"/>
          <w:lang w:val="sk-SK" w:bidi="bo-CN"/>
        </w:rPr>
        <w:t>zvýšiť podiel elektrickej energie z obnoviteľných zdrojov na 70 percent.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Cieľom spoločnosti je dosiahnuť do roku 2030 klimaticky pozitívnu uhlíkovú stopu svojej celosvetovej výroby a vo výrobných prevádzkach využívať 100 % elektrickej energie pochádzajúcej z obnoviteľných zdrojov.</w:t>
      </w:r>
      <w:r w:rsidRPr="00C461E7">
        <w:rPr>
          <w:rFonts w:cs="Segoe UI"/>
          <w:szCs w:val="22"/>
          <w:lang w:val="sk-SK"/>
        </w:rPr>
        <w:t xml:space="preserve"> </w:t>
      </w:r>
    </w:p>
    <w:p w14:paraId="01488C5E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573D9E94" w14:textId="77777777" w:rsidR="005B2AE4" w:rsidRPr="00C461E7" w:rsidRDefault="005B2AE4" w:rsidP="005B2AE4">
      <w:pPr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 xml:space="preserve">Príkladom pozitívnej spolupráce s energetickými spoločnosťami </w:t>
      </w:r>
      <w:r w:rsidRPr="00C461E7">
        <w:rPr>
          <w:rFonts w:cs="Segoe UI"/>
          <w:b/>
          <w:bCs/>
          <w:szCs w:val="22"/>
          <w:lang w:val="sk-SK" w:bidi="bo-CN"/>
        </w:rPr>
        <w:t>je 10</w:t>
      </w:r>
      <w:r>
        <w:rPr>
          <w:rFonts w:cs="Segoe UI"/>
          <w:b/>
          <w:bCs/>
          <w:szCs w:val="22"/>
          <w:lang w:val="sk-SK" w:bidi="bo-CN"/>
        </w:rPr>
        <w:t>-</w:t>
      </w:r>
      <w:r w:rsidRPr="00C461E7">
        <w:rPr>
          <w:rFonts w:cs="Segoe UI"/>
          <w:b/>
          <w:bCs/>
          <w:szCs w:val="22"/>
          <w:lang w:val="sk-SK" w:bidi="bo-CN"/>
        </w:rPr>
        <w:t xml:space="preserve">ročná virtuálna zmluva na dodávku obnoviteľnej energie, ktorú spoločnosť Henkel podpísala so spoločnosťou IGNIS v decembri 2022. </w:t>
      </w:r>
      <w:r w:rsidRPr="00C461E7">
        <w:rPr>
          <w:rFonts w:cs="Segoe UI"/>
          <w:szCs w:val="22"/>
          <w:lang w:val="sk-SK" w:bidi="bo-CN"/>
        </w:rPr>
        <w:t xml:space="preserve">Spoločnosť zároveň pracuje na výstavbe dvoch nových </w:t>
      </w:r>
      <w:proofErr w:type="spellStart"/>
      <w:r w:rsidRPr="00C461E7">
        <w:rPr>
          <w:rFonts w:cs="Segoe UI"/>
          <w:szCs w:val="22"/>
          <w:lang w:val="sk-SK" w:bidi="bo-CN"/>
        </w:rPr>
        <w:t>fotovoltických</w:t>
      </w:r>
      <w:proofErr w:type="spellEnd"/>
      <w:r w:rsidRPr="00C461E7">
        <w:rPr>
          <w:rFonts w:cs="Segoe UI"/>
          <w:szCs w:val="22"/>
          <w:lang w:val="sk-SK" w:bidi="bo-CN"/>
        </w:rPr>
        <w:t xml:space="preserve"> elektrární v Španielsku. Tým budú zabezpečené dodávky elektrickej energie z obnoviteľných zdrojov pre európske prevádzky spoločnosti Henkel v objeme približne 200 GWh ročne.</w:t>
      </w:r>
    </w:p>
    <w:p w14:paraId="71F988F4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0D07E13E" w14:textId="77777777" w:rsidR="005B2AE4" w:rsidRPr="00761376" w:rsidRDefault="005B2AE4" w:rsidP="005B2AE4">
      <w:pPr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 xml:space="preserve">S cieľom minimalizovať odpad a jeho negatívny vplyv na životné prostredie spoločnosť Henkel dlhodobo znižuje objem používaných obalových materiálov, predovšetkým v prípade spotrebného tovaru, a usiluje sa o ich čo najdlhšie opätovné </w:t>
      </w:r>
      <w:r>
        <w:rPr>
          <w:rFonts w:cs="Segoe UI"/>
          <w:szCs w:val="22"/>
          <w:lang w:val="sk-SK" w:bidi="bo-CN"/>
        </w:rPr>
        <w:t>používanie</w:t>
      </w:r>
      <w:r w:rsidRPr="00C461E7">
        <w:rPr>
          <w:rFonts w:cs="Segoe UI"/>
          <w:szCs w:val="22"/>
          <w:lang w:val="sk-SK" w:bidi="bo-CN"/>
        </w:rPr>
        <w:t>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b/>
          <w:bCs/>
          <w:szCs w:val="22"/>
          <w:lang w:val="sk-SK" w:bidi="bo-CN"/>
        </w:rPr>
        <w:t>Do roku 2025 by malo byť 100 percent obalov recyklovateľných a opätovne použiteľných</w:t>
      </w:r>
      <w:r w:rsidRPr="00C461E7">
        <w:rPr>
          <w:rFonts w:cs="Segoe UI"/>
          <w:szCs w:val="22"/>
          <w:lang w:val="sk-SK" w:bidi="bo-CN"/>
        </w:rPr>
        <w:t>*.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 xml:space="preserve">V roku 2022 sa ich podiel zvýšil na približne </w:t>
      </w:r>
      <w:r w:rsidRPr="00C461E7">
        <w:rPr>
          <w:rFonts w:cs="Segoe UI"/>
          <w:b/>
          <w:bCs/>
          <w:szCs w:val="22"/>
          <w:lang w:val="sk-SK" w:bidi="bo-CN"/>
        </w:rPr>
        <w:t>87 percent</w:t>
      </w:r>
      <w:r w:rsidRPr="00C461E7">
        <w:rPr>
          <w:rFonts w:cs="Segoe UI"/>
          <w:szCs w:val="22"/>
          <w:lang w:val="sk-SK" w:bidi="bo-CN"/>
        </w:rPr>
        <w:t>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Henkel sa tiež usiluje o zvýšenie podielu recyklovaných plastov v obaloch svojich spotrebných výrobkov, ktorý v roku 2022 dosahoval asi 16 percent.</w:t>
      </w:r>
      <w:r w:rsidRPr="00C461E7">
        <w:rPr>
          <w:rFonts w:cs="Segoe UI"/>
          <w:szCs w:val="22"/>
          <w:lang w:val="sk-SK"/>
        </w:rPr>
        <w:t xml:space="preserve"> </w:t>
      </w:r>
    </w:p>
    <w:p w14:paraId="0258D0E2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24521AE9" w14:textId="77777777" w:rsidR="005B2AE4" w:rsidRPr="00761376" w:rsidRDefault="005B2AE4" w:rsidP="005B2AE4">
      <w:pPr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 xml:space="preserve">Do roku 2025 chce Henkel zároveň znížiť </w:t>
      </w:r>
      <w:r w:rsidRPr="00C461E7">
        <w:rPr>
          <w:rFonts w:cs="Segoe UI"/>
          <w:b/>
          <w:bCs/>
          <w:szCs w:val="22"/>
          <w:lang w:val="sk-SK" w:bidi="bo-CN"/>
        </w:rPr>
        <w:t>objem vyprodukovaného odpadu</w:t>
      </w:r>
      <w:r w:rsidRPr="00C461E7">
        <w:rPr>
          <w:rFonts w:cs="Segoe UI"/>
          <w:szCs w:val="22"/>
          <w:lang w:val="sk-SK" w:bidi="bo-CN"/>
        </w:rPr>
        <w:t xml:space="preserve"> o 50 percent na tonu výroby v porovnaní s východiskovým rokom 2010.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 xml:space="preserve">V roku 2022 spoločnosť vykázala </w:t>
      </w:r>
      <w:r w:rsidRPr="00C461E7">
        <w:rPr>
          <w:rFonts w:cs="Segoe UI"/>
          <w:b/>
          <w:bCs/>
          <w:szCs w:val="22"/>
          <w:lang w:val="sk-SK" w:bidi="bo-CN"/>
        </w:rPr>
        <w:t>zníženie už o 43 percent</w:t>
      </w:r>
      <w:r w:rsidRPr="00C461E7">
        <w:rPr>
          <w:rFonts w:cs="Segoe UI"/>
          <w:szCs w:val="22"/>
          <w:lang w:val="sk-SK" w:bidi="bo-CN"/>
        </w:rPr>
        <w:t>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Do roku 2030 chce dosiahnuť obehové využívanie odpadových materiálov zo svojej výroby.</w:t>
      </w:r>
      <w:r w:rsidRPr="00C461E7">
        <w:rPr>
          <w:rFonts w:cs="Segoe UI"/>
          <w:szCs w:val="22"/>
          <w:lang w:val="sk-SK"/>
        </w:rPr>
        <w:t xml:space="preserve"> </w:t>
      </w:r>
    </w:p>
    <w:p w14:paraId="7CDF27F2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180C74D0" w14:textId="77777777" w:rsidR="005B2AE4" w:rsidRPr="00C461E7" w:rsidRDefault="005B2AE4" w:rsidP="005B2AE4">
      <w:pPr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>V minulom roku sa spoločnosti Henkel podarilo dosiahnuť pokrok aj v oblasti ochrany prírodných zdrojov.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Spoločnosť spolupracuje s vybranými strategickými dodávateľmi s cieľom zabezpečiť obstarávanie udržateľných surovín.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V roku 2022 sa je</w:t>
      </w:r>
      <w:r>
        <w:rPr>
          <w:rFonts w:cs="Segoe UI"/>
          <w:szCs w:val="22"/>
          <w:lang w:val="sk-SK" w:bidi="bo-CN"/>
        </w:rPr>
        <w:t>j</w:t>
      </w:r>
      <w:r w:rsidRPr="00C461E7">
        <w:rPr>
          <w:rFonts w:cs="Segoe UI"/>
          <w:szCs w:val="22"/>
          <w:lang w:val="sk-SK" w:bidi="bo-CN"/>
        </w:rPr>
        <w:t xml:space="preserve"> napríklad podarilo zvýšiť </w:t>
      </w:r>
      <w:proofErr w:type="spellStart"/>
      <w:r w:rsidRPr="00C461E7">
        <w:rPr>
          <w:rFonts w:cs="Segoe UI"/>
          <w:b/>
          <w:bCs/>
          <w:szCs w:val="22"/>
          <w:lang w:val="sk-SK" w:bidi="bo-CN"/>
        </w:rPr>
        <w:t>vysledovateľnosť</w:t>
      </w:r>
      <w:proofErr w:type="spellEnd"/>
      <w:r w:rsidRPr="00C461E7">
        <w:rPr>
          <w:rFonts w:cs="Segoe UI"/>
          <w:b/>
          <w:bCs/>
          <w:szCs w:val="22"/>
          <w:lang w:val="sk-SK" w:bidi="bo-CN"/>
        </w:rPr>
        <w:t xml:space="preserve"> pôvodu surovín z palmového oleja späť k výrobcom na 89 percent </w:t>
      </w:r>
      <w:r w:rsidRPr="00C461E7">
        <w:rPr>
          <w:rFonts w:cs="Segoe UI"/>
          <w:szCs w:val="22"/>
          <w:lang w:val="sk-SK" w:bidi="bo-CN"/>
        </w:rPr>
        <w:t>v porovnaní s </w:t>
      </w:r>
      <w:r w:rsidRPr="00C461E7">
        <w:rPr>
          <w:rFonts w:cs="Segoe UI"/>
          <w:b/>
          <w:bCs/>
          <w:szCs w:val="22"/>
          <w:lang w:val="sk-SK" w:bidi="bo-CN"/>
        </w:rPr>
        <w:t>84</w:t>
      </w:r>
      <w:r w:rsidRPr="00C461E7">
        <w:rPr>
          <w:rFonts w:cs="Segoe UI"/>
          <w:szCs w:val="22"/>
          <w:lang w:val="sk-SK" w:bidi="bo-CN"/>
        </w:rPr>
        <w:t xml:space="preserve"> </w:t>
      </w:r>
      <w:r w:rsidRPr="00C461E7">
        <w:rPr>
          <w:rFonts w:cs="Segoe UI"/>
          <w:b/>
          <w:bCs/>
          <w:szCs w:val="22"/>
          <w:lang w:val="sk-SK" w:bidi="bo-CN"/>
        </w:rPr>
        <w:t>percentami</w:t>
      </w:r>
      <w:r w:rsidRPr="00C461E7">
        <w:rPr>
          <w:rFonts w:cs="Segoe UI"/>
          <w:szCs w:val="22"/>
          <w:lang w:val="sk-SK" w:bidi="bo-CN"/>
        </w:rPr>
        <w:t xml:space="preserve"> v predchádzajúcom roku.</w:t>
      </w:r>
    </w:p>
    <w:p w14:paraId="30EA19D1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1FED40FE" w14:textId="77777777" w:rsidR="005B2AE4" w:rsidRPr="00C461E7" w:rsidRDefault="005B2AE4" w:rsidP="005B2AE4">
      <w:pPr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>S osobitným dôrazom na minuloročné geopolitické udalosti spoločnosť Henkel pokračovala v posilňovaní svojej spoločenskej angažovanosti.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Spoločnosť mala za cieľ zlepšiť do roku 2030 životy 30 miliónov ľudí na celom svete prostredníctvom svojich sociálnych projektov a darov, pričom tento cieľ sa jej podarilo prekročiť už minulý rok.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b/>
          <w:bCs/>
          <w:szCs w:val="22"/>
          <w:lang w:val="sk-SK" w:bidi="bo-CN"/>
        </w:rPr>
        <w:t>Od roku 2010 do konca roka 2022 spoločnosť Henkel dokázala pomôcť už viac než 30 miliónom ľudí,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a to najmä svojim príspevkom k boju proti globálnej pandémii ochorenia COVID-1</w:t>
      </w:r>
      <w:r>
        <w:rPr>
          <w:rFonts w:cs="Segoe UI"/>
          <w:szCs w:val="22"/>
          <w:lang w:val="sk-SK" w:bidi="bo-CN"/>
        </w:rPr>
        <w:t>9</w:t>
      </w:r>
      <w:r w:rsidRPr="00C461E7">
        <w:rPr>
          <w:rFonts w:cs="Segoe UI"/>
          <w:szCs w:val="22"/>
          <w:lang w:val="sk-SK" w:bidi="bo-CN"/>
        </w:rPr>
        <w:t>, ako aj podpor</w:t>
      </w:r>
      <w:r>
        <w:rPr>
          <w:rFonts w:cs="Segoe UI"/>
          <w:szCs w:val="22"/>
          <w:lang w:val="sk-SK" w:bidi="bo-CN"/>
        </w:rPr>
        <w:t>o</w:t>
      </w:r>
      <w:r w:rsidRPr="00C461E7">
        <w:rPr>
          <w:rFonts w:cs="Segoe UI"/>
          <w:szCs w:val="22"/>
          <w:lang w:val="sk-SK" w:bidi="bo-CN"/>
        </w:rPr>
        <w:t>u obetí vojny na Ukrajine.</w:t>
      </w:r>
    </w:p>
    <w:p w14:paraId="6BE3107C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00FC5871" w14:textId="77777777" w:rsidR="005B2AE4" w:rsidRPr="00C461E7" w:rsidRDefault="005B2AE4" w:rsidP="005B2AE4">
      <w:pPr>
        <w:rPr>
          <w:rFonts w:cs="Segoe UI"/>
          <w:b/>
          <w:bCs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>V rámci podpory rovnosti príležitostí je cieľom spoločnosti Henkel kontinuálne zvyšovať podiel žien v riadiacich pozíciách a do roku 2025 dosiahnuť rodovú rovnosť na všetkých úrovniach manažmentu.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b/>
          <w:bCs/>
          <w:szCs w:val="22"/>
          <w:lang w:val="sk-SK" w:bidi="bo-CN"/>
        </w:rPr>
        <w:t>V roku 2022 sa podiel žien v riadiacich pozíciách oproti pre</w:t>
      </w:r>
      <w:r>
        <w:rPr>
          <w:rFonts w:cs="Segoe UI"/>
          <w:b/>
          <w:bCs/>
          <w:szCs w:val="22"/>
          <w:lang w:val="sk-SK" w:bidi="bo-CN"/>
        </w:rPr>
        <w:t>d</w:t>
      </w:r>
      <w:r w:rsidRPr="00C461E7">
        <w:rPr>
          <w:rFonts w:cs="Segoe UI"/>
          <w:b/>
          <w:bCs/>
          <w:szCs w:val="22"/>
          <w:lang w:val="sk-SK" w:bidi="bo-CN"/>
        </w:rPr>
        <w:t>chádzajúcemu roku opäť zvýšil a dosiahol 38,7 percent</w:t>
      </w:r>
      <w:r>
        <w:rPr>
          <w:rFonts w:cs="Segoe UI"/>
          <w:b/>
          <w:bCs/>
          <w:szCs w:val="22"/>
          <w:lang w:val="sk-SK" w:bidi="bo-CN"/>
        </w:rPr>
        <w:t>a</w:t>
      </w:r>
      <w:r w:rsidRPr="00C461E7">
        <w:rPr>
          <w:rFonts w:cs="Segoe UI"/>
          <w:b/>
          <w:bCs/>
          <w:szCs w:val="22"/>
          <w:lang w:val="sk-SK" w:bidi="bo-CN"/>
        </w:rPr>
        <w:t>.</w:t>
      </w:r>
    </w:p>
    <w:p w14:paraId="6BD99009" w14:textId="77777777" w:rsidR="005B2AE4" w:rsidRPr="00761376" w:rsidRDefault="005B2AE4" w:rsidP="005B2AE4">
      <w:pPr>
        <w:spacing w:line="240" w:lineRule="auto"/>
        <w:jc w:val="left"/>
        <w:rPr>
          <w:rFonts w:cs="Segoe UI"/>
          <w:b/>
          <w:bCs/>
          <w:szCs w:val="22"/>
          <w:lang w:val="sk-SK"/>
        </w:rPr>
      </w:pPr>
    </w:p>
    <w:p w14:paraId="147790D3" w14:textId="77777777" w:rsidR="005B2AE4" w:rsidRPr="00761376" w:rsidRDefault="005B2AE4" w:rsidP="005B2AE4">
      <w:pPr>
        <w:spacing w:after="120"/>
        <w:rPr>
          <w:rFonts w:cs="Segoe UI"/>
          <w:b/>
          <w:bCs/>
          <w:szCs w:val="22"/>
          <w:lang w:val="sk-SK"/>
        </w:rPr>
      </w:pPr>
      <w:r w:rsidRPr="00C461E7">
        <w:rPr>
          <w:rFonts w:cs="Segoe UI"/>
          <w:b/>
          <w:bCs/>
          <w:szCs w:val="22"/>
          <w:lang w:val="sk-SK" w:bidi="bo-CN"/>
        </w:rPr>
        <w:t>Podpora udržateľnej transformácie produktového portfólia</w:t>
      </w:r>
      <w:r w:rsidRPr="00C461E7">
        <w:rPr>
          <w:rFonts w:cs="Segoe UI"/>
          <w:b/>
          <w:bCs/>
          <w:szCs w:val="22"/>
          <w:lang w:val="sk-SK"/>
        </w:rPr>
        <w:t xml:space="preserve"> </w:t>
      </w:r>
    </w:p>
    <w:p w14:paraId="49FBAEB7" w14:textId="77777777" w:rsidR="005B2AE4" w:rsidRPr="00C461E7" w:rsidRDefault="005B2AE4" w:rsidP="005B2AE4">
      <w:pPr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>Trvalá udržateľnosť je ústredným pilierom inovatívnych stratégií spoločnosti Henkel tak v segmente spotrebného tovaru, ako aj na trhu priemyselných výrobkov.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Pri spotrebnom tovare sa okrem iného zameriavame aj na optimalizáciu zloženia výrobkov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a na tento účel spolupracujeme s rôznymi partnermi.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 xml:space="preserve">V minulom roku spoločnosť Henkel napríklad uzavrela </w:t>
      </w:r>
      <w:r w:rsidRPr="00C461E7">
        <w:rPr>
          <w:rFonts w:cs="Segoe UI"/>
          <w:b/>
          <w:bCs/>
          <w:szCs w:val="22"/>
          <w:lang w:val="sk-SK" w:bidi="bo-CN"/>
        </w:rPr>
        <w:t>viacročnú zmluvu o spolupráci so spoločnosťou BASF,</w:t>
      </w:r>
      <w:r w:rsidRPr="00C461E7">
        <w:rPr>
          <w:rFonts w:cs="Segoe UI"/>
          <w:b/>
          <w:bCs/>
          <w:szCs w:val="22"/>
          <w:lang w:val="sk-SK"/>
        </w:rPr>
        <w:t xml:space="preserve"> </w:t>
      </w:r>
      <w:r w:rsidRPr="00C461E7">
        <w:rPr>
          <w:rFonts w:cs="Segoe UI"/>
          <w:b/>
          <w:bCs/>
          <w:szCs w:val="22"/>
          <w:lang w:val="sk-SK" w:bidi="bo-CN"/>
        </w:rPr>
        <w:t xml:space="preserve">v rámci ktorej plánuje ročne nahradiť </w:t>
      </w:r>
      <w:r w:rsidRPr="00C461E7">
        <w:rPr>
          <w:rFonts w:cs="Segoe UI"/>
          <w:szCs w:val="22"/>
          <w:lang w:val="sk-SK" w:bidi="bo-CN"/>
        </w:rPr>
        <w:t>až 110 000 metrických ton</w:t>
      </w:r>
      <w:r w:rsidRPr="00C461E7">
        <w:rPr>
          <w:rFonts w:cs="Segoe UI"/>
          <w:b/>
          <w:bCs/>
          <w:szCs w:val="22"/>
          <w:lang w:val="sk-SK" w:bidi="bo-CN"/>
        </w:rPr>
        <w:t xml:space="preserve"> fosílnych vstupných surovín materiálmi, ktoré pochádzajú z obnoviteľných zdrojov, vďaka využitiu tzv. metódy rovnováhy biomasy</w:t>
      </w:r>
      <w:r w:rsidRPr="00C461E7">
        <w:rPr>
          <w:rFonts w:cs="Segoe UI"/>
          <w:szCs w:val="22"/>
          <w:lang w:val="sk-SK" w:bidi="bo-CN"/>
        </w:rPr>
        <w:t>.</w:t>
      </w:r>
    </w:p>
    <w:p w14:paraId="576A87EF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2CEDB36B" w14:textId="77777777" w:rsidR="005B2AE4" w:rsidRPr="00C461E7" w:rsidRDefault="005B2AE4" w:rsidP="005B2AE4">
      <w:pPr>
        <w:rPr>
          <w:rFonts w:cs="Segoe UI"/>
          <w:szCs w:val="22"/>
          <w:lang w:val="sk-SK"/>
        </w:rPr>
      </w:pPr>
      <w:r w:rsidRPr="00C461E7">
        <w:rPr>
          <w:rFonts w:cs="Segoe UI"/>
          <w:szCs w:val="22"/>
          <w:lang w:val="sk-SK" w:bidi="bo-CN"/>
        </w:rPr>
        <w:t xml:space="preserve">Priemyselné výrobky divízie </w:t>
      </w:r>
      <w:proofErr w:type="spellStart"/>
      <w:r w:rsidRPr="00C461E7">
        <w:rPr>
          <w:rFonts w:cs="Segoe UI"/>
          <w:szCs w:val="22"/>
          <w:lang w:val="sk-SK" w:bidi="bo-CN"/>
        </w:rPr>
        <w:t>Adhesive</w:t>
      </w:r>
      <w:proofErr w:type="spellEnd"/>
      <w:r w:rsidRPr="00C461E7">
        <w:rPr>
          <w:rFonts w:cs="Segoe UI"/>
          <w:szCs w:val="22"/>
          <w:lang w:val="sk-SK" w:bidi="bo-CN"/>
        </w:rPr>
        <w:t xml:space="preserve"> Technologies využívajú inovatívne riešenia, ktoré pomáhajú znižovať emisie, zvyšovať energetickú a materiálovú účinnosť a recyklovať cenné surovinové zdroje.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Príkladom sú lepiace prostriedky optimalizované na recykláciu, ktoré prispievajú k vývoju opätovne použiteľných a flexibilných obalových materiálov.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Pri ich vývoji spoločnosť Henkel spolupracuje s výrobcami obalov a odborníkmi na recykláciu.</w:t>
      </w:r>
      <w:r w:rsidRPr="00C461E7">
        <w:rPr>
          <w:rFonts w:cs="Segoe UI"/>
          <w:szCs w:val="22"/>
          <w:lang w:val="sk-SK"/>
        </w:rPr>
        <w:t xml:space="preserve"> </w:t>
      </w:r>
      <w:proofErr w:type="spellStart"/>
      <w:r w:rsidRPr="00C461E7">
        <w:rPr>
          <w:rFonts w:cs="Segoe UI"/>
          <w:szCs w:val="22"/>
          <w:lang w:val="sk-SK" w:bidi="bo-CN"/>
        </w:rPr>
        <w:t>Recyklovateľnosť</w:t>
      </w:r>
      <w:proofErr w:type="spellEnd"/>
      <w:r w:rsidRPr="00C461E7">
        <w:rPr>
          <w:rFonts w:cs="Segoe UI"/>
          <w:szCs w:val="22"/>
          <w:lang w:val="sk-SK" w:bidi="bo-CN"/>
        </w:rPr>
        <w:t xml:space="preserve"> lepiacich prípravkov bola potvrdená aj nezávislými vedeckými </w:t>
      </w:r>
      <w:r>
        <w:rPr>
          <w:rFonts w:cs="Segoe UI"/>
          <w:szCs w:val="22"/>
          <w:lang w:val="sk-SK" w:bidi="bo-CN"/>
        </w:rPr>
        <w:t>inštitúciami</w:t>
      </w:r>
      <w:r w:rsidRPr="00C461E7">
        <w:rPr>
          <w:rFonts w:cs="Segoe UI"/>
          <w:szCs w:val="22"/>
          <w:lang w:val="sk-SK" w:bidi="bo-CN"/>
        </w:rPr>
        <w:t>.</w:t>
      </w:r>
    </w:p>
    <w:p w14:paraId="3608D04F" w14:textId="77777777" w:rsidR="005B2AE4" w:rsidRPr="00761376" w:rsidRDefault="005B2AE4" w:rsidP="005B2AE4">
      <w:pPr>
        <w:rPr>
          <w:rFonts w:cs="Segoe UI"/>
          <w:szCs w:val="22"/>
          <w:lang w:val="sk-SK"/>
        </w:rPr>
      </w:pPr>
    </w:p>
    <w:p w14:paraId="0B2C48A2" w14:textId="77777777" w:rsidR="005B2AE4" w:rsidRPr="00C461E7" w:rsidRDefault="005B2AE4" w:rsidP="005B2AE4">
      <w:pPr>
        <w:spacing w:after="120"/>
        <w:rPr>
          <w:rFonts w:cs="Segoe UI"/>
          <w:b/>
          <w:bCs/>
          <w:szCs w:val="22"/>
          <w:lang w:val="sk-SK"/>
        </w:rPr>
      </w:pPr>
      <w:r w:rsidRPr="00C461E7">
        <w:rPr>
          <w:rFonts w:cs="Segoe UI"/>
          <w:b/>
          <w:bCs/>
          <w:szCs w:val="22"/>
          <w:lang w:val="sk-SK" w:bidi="bo-CN"/>
        </w:rPr>
        <w:t>Spustenie globálneho programu angažovanosti zamestnancov</w:t>
      </w:r>
    </w:p>
    <w:p w14:paraId="3CEB31D7" w14:textId="77777777" w:rsidR="005B2AE4" w:rsidRPr="00C461E7" w:rsidRDefault="005B2AE4" w:rsidP="005B2AE4">
      <w:pPr>
        <w:spacing w:after="120"/>
        <w:rPr>
          <w:rFonts w:cs="Segoe UI"/>
          <w:color w:val="3B3B3B"/>
          <w:sz w:val="18"/>
          <w:szCs w:val="18"/>
          <w:shd w:val="clear" w:color="auto" w:fill="FFFFFF"/>
          <w:lang w:val="sk-SK"/>
        </w:rPr>
      </w:pPr>
      <w:r w:rsidRPr="00C461E7">
        <w:rPr>
          <w:rFonts w:cs="Segoe UI"/>
          <w:szCs w:val="22"/>
          <w:lang w:val="sk-SK" w:bidi="bo-CN"/>
        </w:rPr>
        <w:t xml:space="preserve">Na zvýšenie angažovanosti a aktívneho prístupu zamestnancov k trvalej udržateľnosti </w:t>
      </w:r>
      <w:r w:rsidRPr="00C461E7">
        <w:rPr>
          <w:rFonts w:cs="Segoe UI"/>
          <w:b/>
          <w:bCs/>
          <w:szCs w:val="22"/>
          <w:lang w:val="sk-SK" w:bidi="bo-CN"/>
        </w:rPr>
        <w:t>spoločnosť Henkel rozšírila ponuku svojich vzdelávacích iniciatív o holistický program zamestnaneckej angažovanosti, ktorý spustila v marci 2022.</w:t>
      </w:r>
      <w:r w:rsidRPr="00C461E7">
        <w:rPr>
          <w:rFonts w:cs="Segoe UI"/>
          <w:b/>
          <w:bCs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Cieľom globálneho programu „</w:t>
      </w:r>
      <w:proofErr w:type="spellStart"/>
      <w:r w:rsidRPr="00C461E7">
        <w:rPr>
          <w:rFonts w:cs="Segoe UI"/>
          <w:szCs w:val="22"/>
          <w:lang w:val="sk-SK" w:bidi="bo-CN"/>
        </w:rPr>
        <w:t>Sustainability</w:t>
      </w:r>
      <w:proofErr w:type="spellEnd"/>
      <w:r w:rsidRPr="00C461E7">
        <w:rPr>
          <w:rFonts w:cs="Segoe UI"/>
          <w:szCs w:val="22"/>
          <w:lang w:val="sk-SK" w:bidi="bo-CN"/>
        </w:rPr>
        <w:t xml:space="preserve"> at </w:t>
      </w:r>
      <w:proofErr w:type="spellStart"/>
      <w:r w:rsidRPr="00C461E7">
        <w:rPr>
          <w:rFonts w:cs="Segoe UI"/>
          <w:szCs w:val="22"/>
          <w:lang w:val="sk-SK" w:bidi="bo-CN"/>
        </w:rPr>
        <w:t>Heart</w:t>
      </w:r>
      <w:proofErr w:type="spellEnd"/>
      <w:r w:rsidRPr="00C461E7">
        <w:rPr>
          <w:rFonts w:cs="Segoe UI"/>
          <w:szCs w:val="22"/>
          <w:lang w:val="sk-SK" w:bidi="bo-CN"/>
        </w:rPr>
        <w:t>“ (</w:t>
      </w:r>
      <w:r w:rsidRPr="00C461E7">
        <w:rPr>
          <w:rFonts w:cs="Segoe UI"/>
          <w:i/>
          <w:iCs/>
          <w:szCs w:val="22"/>
          <w:lang w:val="sk-SK" w:bidi="bo-CN"/>
        </w:rPr>
        <w:t>Udržateľnosť v srdci</w:t>
      </w:r>
      <w:r w:rsidRPr="00C461E7">
        <w:rPr>
          <w:rFonts w:cs="Segoe UI"/>
          <w:szCs w:val="22"/>
          <w:lang w:val="sk-SK" w:bidi="bo-CN"/>
        </w:rPr>
        <w:t>) je poskytnúť zamestnancom ešte komplexnejšie informácie a vzdelávanie v oblasti trvalej udržateľnosti.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 xml:space="preserve">Napríklad vzdelávací </w:t>
      </w:r>
      <w:r>
        <w:rPr>
          <w:rFonts w:cs="Segoe UI"/>
          <w:szCs w:val="22"/>
          <w:lang w:val="sk-SK" w:bidi="bo-CN"/>
        </w:rPr>
        <w:t>program</w:t>
      </w:r>
      <w:r w:rsidRPr="00C461E7">
        <w:rPr>
          <w:rFonts w:cs="Segoe UI"/>
          <w:szCs w:val="22"/>
          <w:lang w:val="sk-SK" w:bidi="bo-CN"/>
        </w:rPr>
        <w:t xml:space="preserve"> „</w:t>
      </w:r>
      <w:proofErr w:type="spellStart"/>
      <w:r w:rsidRPr="00C461E7">
        <w:rPr>
          <w:rFonts w:cs="Segoe UI"/>
          <w:szCs w:val="22"/>
          <w:lang w:val="sk-SK" w:bidi="bo-CN"/>
        </w:rPr>
        <w:t>Sustainability</w:t>
      </w:r>
      <w:proofErr w:type="spellEnd"/>
      <w:r w:rsidRPr="00C461E7">
        <w:rPr>
          <w:rFonts w:cs="Segoe UI"/>
          <w:szCs w:val="22"/>
          <w:lang w:val="sk-SK" w:bidi="bo-CN"/>
        </w:rPr>
        <w:t xml:space="preserve"> </w:t>
      </w:r>
      <w:proofErr w:type="spellStart"/>
      <w:r w:rsidRPr="00C461E7">
        <w:rPr>
          <w:rFonts w:cs="Segoe UI"/>
          <w:szCs w:val="22"/>
          <w:lang w:val="sk-SK" w:bidi="bo-CN"/>
        </w:rPr>
        <w:t>Pioneer</w:t>
      </w:r>
      <w:proofErr w:type="spellEnd"/>
      <w:r w:rsidRPr="00C461E7">
        <w:rPr>
          <w:rFonts w:cs="Segoe UI"/>
          <w:szCs w:val="22"/>
          <w:lang w:val="sk-SK" w:bidi="bo-CN"/>
        </w:rPr>
        <w:t xml:space="preserve">“, ktorý spoločnosť vypracovala v spolupráci s ISES Business </w:t>
      </w:r>
      <w:proofErr w:type="spellStart"/>
      <w:r w:rsidRPr="00C461E7">
        <w:rPr>
          <w:rFonts w:cs="Segoe UI"/>
          <w:szCs w:val="22"/>
          <w:lang w:val="sk-SK" w:bidi="bo-CN"/>
        </w:rPr>
        <w:t>School</w:t>
      </w:r>
      <w:proofErr w:type="spellEnd"/>
      <w:r w:rsidRPr="00C461E7">
        <w:rPr>
          <w:rFonts w:cs="Segoe UI"/>
          <w:szCs w:val="22"/>
          <w:lang w:val="sk-SK" w:bidi="bo-CN"/>
        </w:rPr>
        <w:t>, je v súčasnosti dostupný vo viacerých jazykoch.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b/>
          <w:bCs/>
          <w:szCs w:val="22"/>
          <w:lang w:val="sk-SK" w:bidi="bo-CN"/>
        </w:rPr>
        <w:t>Len v priebehu rok</w:t>
      </w:r>
      <w:r>
        <w:rPr>
          <w:rFonts w:cs="Segoe UI"/>
          <w:b/>
          <w:bCs/>
          <w:szCs w:val="22"/>
          <w:lang w:val="sk-SK" w:bidi="bo-CN"/>
        </w:rPr>
        <w:t>a</w:t>
      </w:r>
      <w:r w:rsidRPr="00C461E7">
        <w:rPr>
          <w:rFonts w:cs="Segoe UI"/>
          <w:b/>
          <w:bCs/>
          <w:szCs w:val="22"/>
          <w:lang w:val="sk-SK" w:bidi="bo-CN"/>
        </w:rPr>
        <w:t xml:space="preserve"> 2022 sa ho zúčastnilo viac než 5 800 zamestnancov.</w:t>
      </w:r>
      <w:r w:rsidRPr="00C461E7">
        <w:rPr>
          <w:rFonts w:cs="Segoe UI"/>
          <w:szCs w:val="22"/>
          <w:lang w:val="sk-SK"/>
        </w:rPr>
        <w:t xml:space="preserve"> </w:t>
      </w:r>
      <w:r w:rsidRPr="00C461E7">
        <w:rPr>
          <w:rFonts w:cs="Segoe UI"/>
          <w:szCs w:val="22"/>
          <w:lang w:val="sk-SK" w:bidi="bo-CN"/>
        </w:rPr>
        <w:t>Jedným z cieľov je motivovať a podporiť zamestnancov v aktívnom presadzovaní trvalej udržateľnosti na pracovisku aj v </w:t>
      </w:r>
      <w:r>
        <w:rPr>
          <w:rFonts w:cs="Segoe UI"/>
          <w:szCs w:val="22"/>
          <w:lang w:val="sk-SK" w:bidi="bo-CN"/>
        </w:rPr>
        <w:t>súkromí</w:t>
      </w:r>
      <w:r w:rsidRPr="00C461E7">
        <w:rPr>
          <w:rFonts w:cs="Segoe UI"/>
          <w:szCs w:val="22"/>
          <w:lang w:val="sk-SK" w:bidi="bo-CN"/>
        </w:rPr>
        <w:t xml:space="preserve">. </w:t>
      </w:r>
    </w:p>
    <w:p w14:paraId="25E3C76B" w14:textId="77777777" w:rsidR="005B2AE4" w:rsidRPr="00761376" w:rsidRDefault="005B2AE4" w:rsidP="005B2AE4">
      <w:pPr>
        <w:rPr>
          <w:rFonts w:cs="Segoe UI"/>
          <w:color w:val="3B3B3B"/>
          <w:shd w:val="clear" w:color="auto" w:fill="FFFFFF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hyperlink r:id="rId11" w:history="1">
        <w:r w:rsidR="005D1B3A" w:rsidRPr="00B05873">
          <w:rPr>
            <w:rStyle w:val="Hyperlink"/>
            <w:szCs w:val="24"/>
            <w:lang w:val="sk-SK" w:bidi="bo-CN"/>
          </w:rPr>
          <w:t>www.henkel.com</w:t>
        </w:r>
      </w:hyperlink>
      <w:r w:rsidR="005D1B3A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link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="00B71239" w:rsidRPr="00B71239">
          <w:rPr>
            <w:rStyle w:val="Hyperlink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5F0F" w14:textId="77777777" w:rsidR="00F9570D" w:rsidRDefault="00F9570D">
      <w:r>
        <w:separator/>
      </w:r>
    </w:p>
  </w:endnote>
  <w:endnote w:type="continuationSeparator" w:id="0">
    <w:p w14:paraId="04496E1C" w14:textId="77777777" w:rsidR="00F9570D" w:rsidRDefault="00F9570D">
      <w:r>
        <w:continuationSeparator/>
      </w:r>
    </w:p>
  </w:endnote>
  <w:endnote w:type="continuationNotice" w:id="1">
    <w:p w14:paraId="16F0AED1" w14:textId="77777777" w:rsidR="00F9570D" w:rsidRDefault="00F957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Footer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34EE" w14:textId="77777777" w:rsidR="00F9570D" w:rsidRDefault="00F9570D">
      <w:r>
        <w:separator/>
      </w:r>
    </w:p>
  </w:footnote>
  <w:footnote w:type="continuationSeparator" w:id="0">
    <w:p w14:paraId="52E58E61" w14:textId="77777777" w:rsidR="00F9570D" w:rsidRDefault="00F9570D">
      <w:r>
        <w:continuationSeparator/>
      </w:r>
    </w:p>
  </w:footnote>
  <w:footnote w:type="continuationNotice" w:id="1">
    <w:p w14:paraId="063A6C47" w14:textId="77777777" w:rsidR="00F9570D" w:rsidRDefault="00F957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eader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61D26"/>
    <w:multiLevelType w:val="hybridMultilevel"/>
    <w:tmpl w:val="FFFFFFFF"/>
    <w:lvl w:ilvl="0" w:tplc="F2DC9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8306376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57B9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3E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167CC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0858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2AE4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621DC"/>
    <w:rsid w:val="00767E45"/>
    <w:rsid w:val="00770591"/>
    <w:rsid w:val="00770C42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5D26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342E"/>
    <w:rsid w:val="00A044D6"/>
    <w:rsid w:val="00A048D1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1EC5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34C4"/>
    <w:rsid w:val="00C060C7"/>
    <w:rsid w:val="00C162C4"/>
    <w:rsid w:val="00C24C17"/>
    <w:rsid w:val="00C3758F"/>
    <w:rsid w:val="00C40B88"/>
    <w:rsid w:val="00C42C93"/>
    <w:rsid w:val="00C47D87"/>
    <w:rsid w:val="00C5376E"/>
    <w:rsid w:val="00C713C8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1638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570D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D3B4A75-7756-4512-9452-E2FC6426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HTMLAddress">
    <w:name w:val="HTML Address"/>
    <w:basedOn w:val="Normal"/>
    <w:link w:val="HTMLAddressChar"/>
    <w:rsid w:val="004002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02DD"/>
    <w:rPr>
      <w:i/>
      <w:iCs/>
      <w:sz w:val="22"/>
    </w:rPr>
  </w:style>
  <w:style w:type="paragraph" w:styleId="EnvelopeAddress">
    <w:name w:val="envelope address"/>
    <w:basedOn w:val="Normal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NoSpacing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phy">
    <w:name w:val="Bibliography"/>
    <w:basedOn w:val="Normal"/>
    <w:next w:val="Normal"/>
    <w:uiPriority w:val="61"/>
    <w:semiHidden/>
    <w:unhideWhenUsed/>
    <w:rsid w:val="004002DD"/>
  </w:style>
  <w:style w:type="paragraph" w:styleId="Quote">
    <w:name w:val="Quote"/>
    <w:basedOn w:val="Normal"/>
    <w:next w:val="Normal"/>
    <w:link w:val="Quote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64"/>
    <w:rsid w:val="004002DD"/>
    <w:rPr>
      <w:i/>
      <w:iCs/>
      <w:color w:val="404040" w:themeColor="text1" w:themeTint="BF"/>
      <w:sz w:val="22"/>
    </w:rPr>
  </w:style>
  <w:style w:type="paragraph" w:styleId="ListNumber">
    <w:name w:val="List Number"/>
    <w:basedOn w:val="Normal"/>
    <w:rsid w:val="004002DD"/>
    <w:pPr>
      <w:numPr>
        <w:numId w:val="7"/>
      </w:numPr>
      <w:contextualSpacing/>
    </w:pPr>
  </w:style>
  <w:style w:type="paragraph" w:styleId="ListNumber2">
    <w:name w:val="List Number 2"/>
    <w:basedOn w:val="Normal"/>
    <w:rsid w:val="004002DD"/>
    <w:pPr>
      <w:numPr>
        <w:numId w:val="8"/>
      </w:numPr>
      <w:contextualSpacing/>
    </w:pPr>
  </w:style>
  <w:style w:type="paragraph" w:styleId="ListNumber3">
    <w:name w:val="List Number 3"/>
    <w:basedOn w:val="Normal"/>
    <w:rsid w:val="004002DD"/>
    <w:pPr>
      <w:numPr>
        <w:numId w:val="9"/>
      </w:numPr>
      <w:contextualSpacing/>
    </w:pPr>
  </w:style>
  <w:style w:type="paragraph" w:styleId="ListNumber4">
    <w:name w:val="List Number 4"/>
    <w:basedOn w:val="Normal"/>
    <w:rsid w:val="004002DD"/>
    <w:pPr>
      <w:numPr>
        <w:numId w:val="10"/>
      </w:numPr>
      <w:contextualSpacing/>
    </w:pPr>
  </w:style>
  <w:style w:type="paragraph" w:styleId="ListNumber5">
    <w:name w:val="List Number 5"/>
    <w:basedOn w:val="Normal"/>
    <w:rsid w:val="004002DD"/>
    <w:pPr>
      <w:numPr>
        <w:numId w:val="11"/>
      </w:numPr>
      <w:contextualSpacing/>
    </w:pPr>
  </w:style>
  <w:style w:type="paragraph" w:styleId="Date">
    <w:name w:val="Date"/>
    <w:basedOn w:val="Normal"/>
    <w:next w:val="Normal"/>
    <w:link w:val="DateChar"/>
    <w:rsid w:val="004002DD"/>
  </w:style>
  <w:style w:type="character" w:customStyle="1" w:styleId="DateChar">
    <w:name w:val="Date Char"/>
    <w:basedOn w:val="DefaultParagraphFont"/>
    <w:link w:val="Date"/>
    <w:rsid w:val="004002DD"/>
    <w:rPr>
      <w:sz w:val="22"/>
    </w:rPr>
  </w:style>
  <w:style w:type="paragraph" w:styleId="TOCHeading">
    <w:name w:val="TOC Heading"/>
    <w:basedOn w:val="Heading1"/>
    <w:next w:val="Normal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MessageHeader">
    <w:name w:val="Message Header"/>
    <w:basedOn w:val="Normal"/>
    <w:link w:val="MessageHeader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TOAHeading">
    <w:name w:val="toa heading"/>
    <w:basedOn w:val="Normal"/>
    <w:next w:val="Normal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Heading">
    <w:name w:val="Note Heading"/>
    <w:basedOn w:val="Normal"/>
    <w:next w:val="Normal"/>
    <w:link w:val="NoteHeadingChar"/>
    <w:rsid w:val="004002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4002DD"/>
    <w:rPr>
      <w:sz w:val="22"/>
    </w:rPr>
  </w:style>
  <w:style w:type="paragraph" w:styleId="Index1">
    <w:name w:val="index 1"/>
    <w:basedOn w:val="Normal"/>
    <w:next w:val="Normal"/>
    <w:rsid w:val="004002DD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rsid w:val="004002DD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rsid w:val="004002DD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002DD"/>
    <w:pPr>
      <w:ind w:left="708"/>
    </w:pPr>
  </w:style>
  <w:style w:type="paragraph" w:styleId="TOC1">
    <w:name w:val="toc 1"/>
    <w:basedOn w:val="Normal"/>
    <w:next w:val="Normal"/>
    <w:rsid w:val="004002DD"/>
    <w:pPr>
      <w:spacing w:after="100"/>
    </w:pPr>
  </w:style>
  <w:style w:type="paragraph" w:styleId="TOC2">
    <w:name w:val="toc 2"/>
    <w:basedOn w:val="Normal"/>
    <w:next w:val="Normal"/>
    <w:rsid w:val="004002DD"/>
    <w:pPr>
      <w:spacing w:after="100"/>
      <w:ind w:left="220"/>
    </w:pPr>
  </w:style>
  <w:style w:type="paragraph" w:styleId="TOC3">
    <w:name w:val="toc 3"/>
    <w:basedOn w:val="Normal"/>
    <w:next w:val="Normal"/>
    <w:rsid w:val="004002DD"/>
    <w:pPr>
      <w:spacing w:after="100"/>
      <w:ind w:left="440"/>
    </w:pPr>
  </w:style>
  <w:style w:type="paragraph" w:styleId="TOC4">
    <w:name w:val="toc 4"/>
    <w:basedOn w:val="Normal"/>
    <w:next w:val="Normal"/>
    <w:rsid w:val="004002DD"/>
    <w:pPr>
      <w:spacing w:after="100"/>
      <w:ind w:left="660"/>
    </w:pPr>
  </w:style>
  <w:style w:type="paragraph" w:styleId="TOC5">
    <w:name w:val="toc 5"/>
    <w:basedOn w:val="Normal"/>
    <w:next w:val="Normal"/>
    <w:rsid w:val="004002DD"/>
    <w:pPr>
      <w:spacing w:after="100"/>
      <w:ind w:left="880"/>
    </w:pPr>
  </w:style>
  <w:style w:type="paragraph" w:styleId="TOC6">
    <w:name w:val="toc 6"/>
    <w:basedOn w:val="Normal"/>
    <w:next w:val="Normal"/>
    <w:rsid w:val="004002DD"/>
    <w:pPr>
      <w:spacing w:after="100"/>
      <w:ind w:left="1100"/>
    </w:pPr>
  </w:style>
  <w:style w:type="paragraph" w:styleId="TOC7">
    <w:name w:val="toc 7"/>
    <w:basedOn w:val="Normal"/>
    <w:next w:val="Normal"/>
    <w:rsid w:val="004002DD"/>
    <w:pPr>
      <w:spacing w:after="100"/>
      <w:ind w:left="1320"/>
    </w:pPr>
  </w:style>
  <w:style w:type="paragraph" w:styleId="TOC8">
    <w:name w:val="toc 8"/>
    <w:basedOn w:val="Normal"/>
    <w:next w:val="Normal"/>
    <w:rsid w:val="004002DD"/>
    <w:pPr>
      <w:spacing w:after="100"/>
      <w:ind w:left="1540"/>
    </w:pPr>
  </w:style>
  <w:style w:type="paragraph" w:styleId="TOC9">
    <w:name w:val="toc 9"/>
    <w:basedOn w:val="Normal"/>
    <w:next w:val="Normal"/>
    <w:rsid w:val="004002DD"/>
    <w:pPr>
      <w:spacing w:after="100"/>
      <w:ind w:left="1760"/>
    </w:pPr>
  </w:style>
  <w:style w:type="paragraph" w:styleId="PlainText">
    <w:name w:val="Plain Text"/>
    <w:basedOn w:val="Normal"/>
    <w:link w:val="Plai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002D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63"/>
    <w:qFormat/>
    <w:rsid w:val="004002DD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4002DD"/>
  </w:style>
  <w:style w:type="character" w:customStyle="1" w:styleId="SalutationChar">
    <w:name w:val="Salutation Char"/>
    <w:basedOn w:val="DefaultParagraphFont"/>
    <w:link w:val="Salutation"/>
    <w:rsid w:val="004002DD"/>
    <w:rPr>
      <w:sz w:val="22"/>
    </w:rPr>
  </w:style>
  <w:style w:type="paragraph" w:styleId="BlockText">
    <w:name w:val="Block Text"/>
    <w:basedOn w:val="Normal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Signature">
    <w:name w:val="Signature"/>
    <w:basedOn w:val="Normal"/>
    <w:link w:val="SignatureChar"/>
    <w:rsid w:val="004002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4002DD"/>
    <w:rPr>
      <w:sz w:val="22"/>
    </w:rPr>
  </w:style>
  <w:style w:type="paragraph" w:styleId="E-mailSignature">
    <w:name w:val="E-mail Signature"/>
    <w:basedOn w:val="Normal"/>
    <w:link w:val="E-mailSignatureChar"/>
    <w:rsid w:val="004002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4002DD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Continue">
    <w:name w:val="List Continue"/>
    <w:basedOn w:val="Normal"/>
    <w:rsid w:val="004002D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002D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002D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002D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002DD"/>
    <w:pPr>
      <w:spacing w:after="120"/>
      <w:ind w:left="1415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002DD"/>
    <w:rPr>
      <w:rFonts w:ascii="Consolas" w:hAnsi="Consolas"/>
      <w:sz w:val="20"/>
      <w:szCs w:val="20"/>
    </w:rPr>
  </w:style>
  <w:style w:type="paragraph" w:styleId="CommentText">
    <w:name w:val="annotation text"/>
    <w:basedOn w:val="Normal"/>
    <w:link w:val="CommentTextChar"/>
    <w:rsid w:val="00400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00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2D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002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2DD"/>
    <w:rPr>
      <w:sz w:val="22"/>
    </w:rPr>
  </w:style>
  <w:style w:type="paragraph" w:styleId="BodyTextFirstIndent">
    <w:name w:val="Body Text First Indent"/>
    <w:basedOn w:val="BodyText"/>
    <w:link w:val="BodyTextFirstIndentChar"/>
    <w:rsid w:val="004002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002DD"/>
    <w:rPr>
      <w:sz w:val="22"/>
    </w:rPr>
  </w:style>
  <w:style w:type="paragraph" w:styleId="BodyTextIndent">
    <w:name w:val="Body Text Indent"/>
    <w:basedOn w:val="Normal"/>
    <w:link w:val="BodyTextIndentChar"/>
    <w:rsid w:val="004002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02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02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002DD"/>
    <w:rPr>
      <w:sz w:val="22"/>
    </w:rPr>
  </w:style>
  <w:style w:type="paragraph" w:styleId="Index2">
    <w:name w:val="index 2"/>
    <w:basedOn w:val="Normal"/>
    <w:next w:val="Normal"/>
    <w:rsid w:val="004002D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rsid w:val="004002D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rsid w:val="004002D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rsid w:val="004002D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rsid w:val="004002D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rsid w:val="004002D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rsid w:val="004002D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rsid w:val="004002DD"/>
    <w:pPr>
      <w:spacing w:line="240" w:lineRule="auto"/>
      <w:ind w:left="1980" w:hanging="220"/>
    </w:pPr>
  </w:style>
  <w:style w:type="paragraph" w:styleId="EnvelopeReturn">
    <w:name w:val="envelope return"/>
    <w:basedOn w:val="Normal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ocumentMap">
    <w:name w:val="Document Map"/>
    <w:basedOn w:val="Normal"/>
    <w:link w:val="DocumentMap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002DD"/>
    <w:rPr>
      <w:rFonts w:cs="Segoe UI"/>
      <w:sz w:val="16"/>
      <w:szCs w:val="16"/>
    </w:rPr>
  </w:style>
  <w:style w:type="paragraph" w:styleId="MacroText">
    <w:name w:val="macro"/>
    <w:link w:val="MacroText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4002DD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rsid w:val="004002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02DD"/>
    <w:rPr>
      <w:sz w:val="20"/>
      <w:szCs w:val="20"/>
    </w:rPr>
  </w:style>
  <w:style w:type="paragraph" w:styleId="EndnoteText">
    <w:name w:val="endnote text"/>
    <w:basedOn w:val="Normal"/>
    <w:link w:val="EndnoteTextChar"/>
    <w:rsid w:val="004002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02DD"/>
    <w:rPr>
      <w:sz w:val="20"/>
      <w:szCs w:val="20"/>
    </w:rPr>
  </w:style>
  <w:style w:type="paragraph" w:styleId="BodyText2">
    <w:name w:val="Body Text 2"/>
    <w:basedOn w:val="Normal"/>
    <w:link w:val="BodyText2Char"/>
    <w:rsid w:val="004002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02DD"/>
    <w:rPr>
      <w:sz w:val="22"/>
    </w:rPr>
  </w:style>
  <w:style w:type="paragraph" w:styleId="BodyText3">
    <w:name w:val="Body Text 3"/>
    <w:basedOn w:val="Normal"/>
    <w:link w:val="BodyText3Char"/>
    <w:rsid w:val="004002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02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02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02DD"/>
    <w:rPr>
      <w:sz w:val="22"/>
    </w:rPr>
  </w:style>
  <w:style w:type="paragraph" w:styleId="BodyTextIndent3">
    <w:name w:val="Body Text Indent 3"/>
    <w:basedOn w:val="Normal"/>
    <w:link w:val="BodyTextIndent3Char"/>
    <w:rsid w:val="004002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02DD"/>
    <w:rPr>
      <w:sz w:val="16"/>
      <w:szCs w:val="16"/>
    </w:rPr>
  </w:style>
  <w:style w:type="paragraph" w:styleId="Closing">
    <w:name w:val="Closing"/>
    <w:basedOn w:val="Normal"/>
    <w:link w:val="ClosingChar"/>
    <w:rsid w:val="004002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4002DD"/>
    <w:rPr>
      <w:sz w:val="22"/>
    </w:rPr>
  </w:style>
  <w:style w:type="paragraph" w:styleId="List">
    <w:name w:val="List"/>
    <w:basedOn w:val="Normal"/>
    <w:rsid w:val="004002DD"/>
    <w:pPr>
      <w:ind w:left="283" w:hanging="283"/>
      <w:contextualSpacing/>
    </w:pPr>
  </w:style>
  <w:style w:type="paragraph" w:styleId="List2">
    <w:name w:val="List 2"/>
    <w:basedOn w:val="Normal"/>
    <w:rsid w:val="004002DD"/>
    <w:pPr>
      <w:ind w:left="566" w:hanging="283"/>
      <w:contextualSpacing/>
    </w:pPr>
  </w:style>
  <w:style w:type="paragraph" w:styleId="List3">
    <w:name w:val="List 3"/>
    <w:basedOn w:val="Normal"/>
    <w:rsid w:val="004002DD"/>
    <w:pPr>
      <w:ind w:left="849" w:hanging="283"/>
      <w:contextualSpacing/>
    </w:pPr>
  </w:style>
  <w:style w:type="paragraph" w:styleId="List4">
    <w:name w:val="List 4"/>
    <w:basedOn w:val="Normal"/>
    <w:rsid w:val="004002DD"/>
    <w:pPr>
      <w:ind w:left="1132" w:hanging="283"/>
      <w:contextualSpacing/>
    </w:pPr>
  </w:style>
  <w:style w:type="paragraph" w:styleId="List5">
    <w:name w:val="List 5"/>
    <w:basedOn w:val="Normal"/>
    <w:rsid w:val="004002DD"/>
    <w:pPr>
      <w:ind w:left="1415" w:hanging="283"/>
      <w:contextualSpacing/>
    </w:pPr>
  </w:style>
  <w:style w:type="paragraph" w:styleId="TableofAuthorities">
    <w:name w:val="table of authorities"/>
    <w:basedOn w:val="Normal"/>
    <w:next w:val="Normal"/>
    <w:rsid w:val="004002DD"/>
    <w:pPr>
      <w:ind w:left="220" w:hanging="220"/>
    </w:pPr>
  </w:style>
  <w:style w:type="paragraph" w:styleId="TableofFigures">
    <w:name w:val="table of figures"/>
    <w:basedOn w:val="Normal"/>
    <w:next w:val="Normal"/>
    <w:rsid w:val="004002DD"/>
  </w:style>
  <w:style w:type="paragraph" w:styleId="ListBullet">
    <w:name w:val="List Bullet"/>
    <w:basedOn w:val="Normal"/>
    <w:rsid w:val="004002DD"/>
    <w:pPr>
      <w:numPr>
        <w:numId w:val="12"/>
      </w:numPr>
      <w:contextualSpacing/>
    </w:pPr>
  </w:style>
  <w:style w:type="paragraph" w:styleId="ListBullet2">
    <w:name w:val="List Bullet 2"/>
    <w:basedOn w:val="Normal"/>
    <w:rsid w:val="004002DD"/>
    <w:pPr>
      <w:numPr>
        <w:numId w:val="13"/>
      </w:numPr>
      <w:contextualSpacing/>
    </w:pPr>
  </w:style>
  <w:style w:type="paragraph" w:styleId="ListBullet3">
    <w:name w:val="List Bullet 3"/>
    <w:basedOn w:val="Normal"/>
    <w:rsid w:val="004002DD"/>
    <w:pPr>
      <w:numPr>
        <w:numId w:val="14"/>
      </w:numPr>
      <w:contextualSpacing/>
    </w:pPr>
  </w:style>
  <w:style w:type="paragraph" w:styleId="ListBullet4">
    <w:name w:val="List Bullet 4"/>
    <w:basedOn w:val="Normal"/>
    <w:rsid w:val="004002DD"/>
    <w:pPr>
      <w:numPr>
        <w:numId w:val="15"/>
      </w:numPr>
      <w:contextualSpacing/>
    </w:pPr>
  </w:style>
  <w:style w:type="paragraph" w:styleId="ListBullet5">
    <w:name w:val="List Bullet 5"/>
    <w:basedOn w:val="Normal"/>
    <w:rsid w:val="004002DD"/>
    <w:pPr>
      <w:numPr>
        <w:numId w:val="16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12</TotalTime>
  <Pages>1</Pages>
  <Words>1505</Words>
  <Characters>8582</Characters>
  <Application>Microsoft Office Word</Application>
  <DocSecurity>4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10067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24</cp:revision>
  <cp:lastPrinted>2016-11-16T10:11:00Z</cp:lastPrinted>
  <dcterms:created xsi:type="dcterms:W3CDTF">2023-01-10T16:22:00Z</dcterms:created>
  <dcterms:modified xsi:type="dcterms:W3CDTF">2023-03-17T21:17:00Z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