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E41E8" w14:textId="3D436512" w:rsidR="00B422EC" w:rsidRPr="00A24FBF" w:rsidRDefault="00295715" w:rsidP="0021752F">
      <w:pPr>
        <w:pStyle w:val="MonthDayYear"/>
        <w:rPr>
          <w:iCs/>
        </w:rPr>
      </w:pPr>
      <w:r>
        <w:tab/>
      </w:r>
      <w:r>
        <w:tab/>
      </w:r>
      <w:r>
        <w:tab/>
      </w:r>
      <w:r>
        <w:tab/>
      </w:r>
      <w:r>
        <w:tab/>
      </w:r>
      <w:r>
        <w:tab/>
      </w:r>
      <w:r w:rsidR="00747DB5">
        <w:t>28</w:t>
      </w:r>
      <w:r>
        <w:t xml:space="preserve"> Mart 2023</w:t>
      </w:r>
    </w:p>
    <w:p w14:paraId="4E04281E" w14:textId="7680DB82" w:rsidR="00295715" w:rsidRPr="00295715" w:rsidRDefault="00EC0509" w:rsidP="00295715">
      <w:pPr>
        <w:spacing w:before="560" w:after="240"/>
        <w:rPr>
          <w:rFonts w:asciiTheme="majorHAnsi" w:hAnsiTheme="majorHAnsi" w:cstheme="majorHAnsi"/>
          <w:szCs w:val="22"/>
        </w:rPr>
      </w:pPr>
      <w:bookmarkStart w:id="0" w:name="_Hlk67574464"/>
      <w:r>
        <w:rPr>
          <w:rFonts w:asciiTheme="majorHAnsi" w:hAnsiTheme="majorHAnsi"/>
          <w:szCs w:val="22"/>
        </w:rPr>
        <w:t>Zorlu piyasa ortamında genel anlamda güçlü iş performansı</w:t>
      </w:r>
    </w:p>
    <w:p w14:paraId="42DB22B7" w14:textId="479A68FD" w:rsidR="00A8294B" w:rsidRPr="00295715" w:rsidRDefault="00295715" w:rsidP="00295715">
      <w:pPr>
        <w:jc w:val="left"/>
        <w:rPr>
          <w:rFonts w:asciiTheme="majorHAnsi" w:hAnsiTheme="majorHAnsi" w:cstheme="majorHAnsi"/>
          <w:b/>
          <w:bCs/>
          <w:sz w:val="32"/>
        </w:rPr>
      </w:pPr>
      <w:r>
        <w:rPr>
          <w:rFonts w:asciiTheme="majorHAnsi" w:hAnsiTheme="majorHAnsi"/>
          <w:b/>
          <w:bCs/>
          <w:sz w:val="32"/>
        </w:rPr>
        <w:t>Henkel, 2022</w:t>
      </w:r>
      <w:r w:rsidR="00CF519D">
        <w:rPr>
          <w:rFonts w:asciiTheme="majorHAnsi" w:hAnsiTheme="majorHAnsi"/>
          <w:b/>
          <w:bCs/>
          <w:sz w:val="32"/>
        </w:rPr>
        <w:t>’de</w:t>
      </w:r>
      <w:r>
        <w:rPr>
          <w:rFonts w:asciiTheme="majorHAnsi" w:hAnsiTheme="majorHAnsi"/>
          <w:b/>
          <w:bCs/>
          <w:sz w:val="32"/>
        </w:rPr>
        <w:t xml:space="preserve"> önemli bir </w:t>
      </w:r>
      <w:r w:rsidR="00CF519D">
        <w:rPr>
          <w:rFonts w:asciiTheme="majorHAnsi" w:hAnsiTheme="majorHAnsi"/>
          <w:b/>
          <w:bCs/>
          <w:sz w:val="32"/>
        </w:rPr>
        <w:t xml:space="preserve">satış </w:t>
      </w:r>
      <w:r>
        <w:rPr>
          <w:rFonts w:asciiTheme="majorHAnsi" w:hAnsiTheme="majorHAnsi"/>
          <w:b/>
          <w:bCs/>
          <w:sz w:val="32"/>
        </w:rPr>
        <w:t>artış</w:t>
      </w:r>
      <w:r w:rsidR="00CF519D">
        <w:rPr>
          <w:rFonts w:asciiTheme="majorHAnsi" w:hAnsiTheme="majorHAnsi"/>
          <w:b/>
          <w:bCs/>
          <w:sz w:val="32"/>
        </w:rPr>
        <w:t>ı</w:t>
      </w:r>
      <w:r>
        <w:rPr>
          <w:rFonts w:asciiTheme="majorHAnsi" w:hAnsiTheme="majorHAnsi"/>
          <w:b/>
          <w:bCs/>
          <w:sz w:val="32"/>
        </w:rPr>
        <w:t xml:space="preserve"> kaydetti ve 2023 mali yılında daha </w:t>
      </w:r>
      <w:r w:rsidR="00084E75">
        <w:rPr>
          <w:rFonts w:asciiTheme="majorHAnsi" w:hAnsiTheme="majorHAnsi"/>
          <w:b/>
          <w:bCs/>
          <w:sz w:val="32"/>
        </w:rPr>
        <w:t xml:space="preserve">da </w:t>
      </w:r>
      <w:r>
        <w:rPr>
          <w:rFonts w:asciiTheme="majorHAnsi" w:hAnsiTheme="majorHAnsi"/>
          <w:b/>
          <w:bCs/>
          <w:sz w:val="32"/>
        </w:rPr>
        <w:t>fazla büyümeye hazır</w:t>
      </w:r>
      <w:r w:rsidR="00CF519D">
        <w:rPr>
          <w:rFonts w:asciiTheme="majorHAnsi" w:hAnsiTheme="majorHAnsi"/>
          <w:b/>
          <w:bCs/>
          <w:sz w:val="32"/>
        </w:rPr>
        <w:t>lanıyor</w:t>
      </w:r>
    </w:p>
    <w:p w14:paraId="2FCFD322" w14:textId="77777777" w:rsidR="00295715" w:rsidRPr="00295715" w:rsidRDefault="00295715" w:rsidP="00295715">
      <w:pPr>
        <w:jc w:val="left"/>
        <w:rPr>
          <w:lang w:val="en-US"/>
        </w:rPr>
      </w:pPr>
    </w:p>
    <w:p w14:paraId="52E38DBA" w14:textId="18AF160B" w:rsidR="00295715" w:rsidRPr="00295715" w:rsidRDefault="004863FF" w:rsidP="00295715">
      <w:pPr>
        <w:numPr>
          <w:ilvl w:val="0"/>
          <w:numId w:val="7"/>
        </w:numPr>
        <w:spacing w:after="80"/>
        <w:ind w:left="357" w:right="-108" w:hanging="357"/>
        <w:jc w:val="left"/>
        <w:rPr>
          <w:rFonts w:asciiTheme="majorHAnsi" w:hAnsiTheme="majorHAnsi" w:cstheme="majorHAnsi"/>
          <w:b/>
          <w:szCs w:val="22"/>
        </w:rPr>
      </w:pPr>
      <w:bookmarkStart w:id="1" w:name="_Hlk43712519"/>
      <w:r>
        <w:rPr>
          <w:rFonts w:asciiTheme="majorHAnsi" w:hAnsiTheme="majorHAnsi"/>
          <w:b/>
          <w:szCs w:val="22"/>
        </w:rPr>
        <w:t>202</w:t>
      </w:r>
      <w:bookmarkStart w:id="2" w:name="_Hlk64363173"/>
      <w:r>
        <w:rPr>
          <w:rFonts w:asciiTheme="majorHAnsi" w:hAnsiTheme="majorHAnsi"/>
          <w:b/>
          <w:szCs w:val="22"/>
        </w:rPr>
        <w:t>2 yılı sonuçları:</w:t>
      </w:r>
    </w:p>
    <w:bookmarkEnd w:id="2"/>
    <w:p w14:paraId="7EC0F242" w14:textId="767083EA" w:rsidR="00295715" w:rsidRPr="00295715" w:rsidRDefault="00F16FB6" w:rsidP="00295715">
      <w:pPr>
        <w:numPr>
          <w:ilvl w:val="1"/>
          <w:numId w:val="7"/>
        </w:numPr>
        <w:spacing w:after="80" w:line="266" w:lineRule="auto"/>
        <w:ind w:left="709" w:right="-108" w:hanging="283"/>
        <w:jc w:val="left"/>
        <w:rPr>
          <w:rFonts w:asciiTheme="majorHAnsi" w:hAnsiTheme="majorHAnsi" w:cstheme="majorHAnsi"/>
          <w:b/>
          <w:szCs w:val="22"/>
        </w:rPr>
      </w:pPr>
      <w:r>
        <w:rPr>
          <w:rFonts w:asciiTheme="majorHAnsi" w:hAnsiTheme="majorHAnsi"/>
          <w:b/>
          <w:szCs w:val="22"/>
        </w:rPr>
        <w:t xml:space="preserve">Grup satışları: 22,4 milyar </w:t>
      </w:r>
      <w:r w:rsidR="00705608">
        <w:rPr>
          <w:rFonts w:asciiTheme="majorHAnsi" w:hAnsiTheme="majorHAnsi"/>
          <w:b/>
          <w:szCs w:val="22"/>
        </w:rPr>
        <w:t>Euro</w:t>
      </w:r>
      <w:r>
        <w:rPr>
          <w:rFonts w:asciiTheme="majorHAnsi" w:hAnsiTheme="majorHAnsi"/>
          <w:b/>
          <w:szCs w:val="22"/>
        </w:rPr>
        <w:t xml:space="preserve">, </w:t>
      </w:r>
      <w:bookmarkEnd w:id="1"/>
      <w:r>
        <w:rPr>
          <w:rFonts w:asciiTheme="majorHAnsi" w:hAnsiTheme="majorHAnsi"/>
          <w:b/>
          <w:szCs w:val="22"/>
        </w:rPr>
        <w:t>yüzde 8,8</w:t>
      </w:r>
      <w:r w:rsidR="00705608">
        <w:rPr>
          <w:rFonts w:asciiTheme="majorHAnsi" w:hAnsiTheme="majorHAnsi"/>
          <w:b/>
          <w:szCs w:val="22"/>
        </w:rPr>
        <w:t xml:space="preserve"> oranında</w:t>
      </w:r>
      <w:r w:rsidR="00730547">
        <w:rPr>
          <w:rFonts w:asciiTheme="majorHAnsi" w:hAnsiTheme="majorHAnsi"/>
          <w:b/>
          <w:szCs w:val="22"/>
        </w:rPr>
        <w:t xml:space="preserve"> </w:t>
      </w:r>
      <w:r>
        <w:rPr>
          <w:rFonts w:asciiTheme="majorHAnsi" w:hAnsiTheme="majorHAnsi"/>
          <w:b/>
          <w:szCs w:val="22"/>
        </w:rPr>
        <w:t>organik büyüme*</w:t>
      </w:r>
    </w:p>
    <w:p w14:paraId="4B1AB813" w14:textId="5381A18D" w:rsidR="00295715" w:rsidRPr="00740131" w:rsidRDefault="00F16FB6" w:rsidP="00295715">
      <w:pPr>
        <w:numPr>
          <w:ilvl w:val="1"/>
          <w:numId w:val="7"/>
        </w:numPr>
        <w:spacing w:after="80" w:line="266" w:lineRule="auto"/>
        <w:ind w:left="709" w:right="-108" w:hanging="283"/>
        <w:jc w:val="left"/>
        <w:rPr>
          <w:rFonts w:asciiTheme="majorHAnsi" w:hAnsiTheme="majorHAnsi" w:cstheme="majorHAnsi"/>
          <w:b/>
          <w:szCs w:val="22"/>
        </w:rPr>
      </w:pPr>
      <w:r>
        <w:rPr>
          <w:rFonts w:asciiTheme="majorHAnsi" w:hAnsiTheme="majorHAnsi"/>
          <w:b/>
          <w:szCs w:val="22"/>
        </w:rPr>
        <w:t xml:space="preserve">Faaliyet kârı (VFÖK)**: 2,3 milyar </w:t>
      </w:r>
      <w:r w:rsidR="00705608">
        <w:rPr>
          <w:rFonts w:asciiTheme="majorHAnsi" w:hAnsiTheme="majorHAnsi"/>
          <w:b/>
          <w:szCs w:val="22"/>
        </w:rPr>
        <w:t>Euro</w:t>
      </w:r>
      <w:r>
        <w:rPr>
          <w:rFonts w:asciiTheme="majorHAnsi" w:hAnsiTheme="majorHAnsi"/>
          <w:b/>
          <w:szCs w:val="22"/>
        </w:rPr>
        <w:t>, yüzde -13,7</w:t>
      </w:r>
    </w:p>
    <w:p w14:paraId="12AA1C33" w14:textId="0921C8D1" w:rsidR="00730547" w:rsidRPr="00AA0C6A" w:rsidRDefault="00F16FB6" w:rsidP="00730547">
      <w:pPr>
        <w:numPr>
          <w:ilvl w:val="1"/>
          <w:numId w:val="7"/>
        </w:numPr>
        <w:spacing w:after="80" w:line="266" w:lineRule="auto"/>
        <w:ind w:left="709" w:right="-108" w:hanging="283"/>
        <w:jc w:val="left"/>
        <w:rPr>
          <w:rFonts w:asciiTheme="majorHAnsi" w:hAnsiTheme="majorHAnsi" w:cstheme="majorHAnsi"/>
          <w:b/>
          <w:szCs w:val="22"/>
        </w:rPr>
      </w:pPr>
      <w:r w:rsidRPr="00AA0C6A">
        <w:rPr>
          <w:rFonts w:asciiTheme="majorHAnsi" w:hAnsiTheme="majorHAnsi"/>
          <w:b/>
          <w:szCs w:val="22"/>
        </w:rPr>
        <w:t xml:space="preserve">VFÖK marjı**: </w:t>
      </w:r>
      <w:r w:rsidR="00125779" w:rsidRPr="00AA0C6A">
        <w:rPr>
          <w:rFonts w:asciiTheme="majorHAnsi" w:hAnsiTheme="majorHAnsi"/>
          <w:b/>
          <w:szCs w:val="22"/>
        </w:rPr>
        <w:t xml:space="preserve">yüzde </w:t>
      </w:r>
      <w:r w:rsidRPr="00AA0C6A">
        <w:rPr>
          <w:rFonts w:asciiTheme="majorHAnsi" w:hAnsiTheme="majorHAnsi"/>
          <w:b/>
          <w:szCs w:val="22"/>
        </w:rPr>
        <w:t>-3,0</w:t>
      </w:r>
      <w:r w:rsidR="00705608" w:rsidRPr="00AA0C6A">
        <w:rPr>
          <w:rFonts w:asciiTheme="majorHAnsi" w:hAnsiTheme="majorHAnsi"/>
          <w:b/>
          <w:szCs w:val="22"/>
        </w:rPr>
        <w:t xml:space="preserve"> oranında düşerek, yüzde 10,4 seviyesi</w:t>
      </w:r>
    </w:p>
    <w:p w14:paraId="3F465F3F" w14:textId="5EC3A552" w:rsidR="00295715" w:rsidRPr="00730547" w:rsidRDefault="00F16FB6" w:rsidP="00730547">
      <w:pPr>
        <w:numPr>
          <w:ilvl w:val="1"/>
          <w:numId w:val="7"/>
        </w:numPr>
        <w:spacing w:after="80" w:line="266" w:lineRule="auto"/>
        <w:ind w:left="709" w:right="-108" w:hanging="283"/>
        <w:jc w:val="left"/>
        <w:rPr>
          <w:rFonts w:asciiTheme="majorHAnsi" w:hAnsiTheme="majorHAnsi" w:cstheme="majorHAnsi"/>
          <w:b/>
          <w:szCs w:val="22"/>
        </w:rPr>
      </w:pPr>
      <w:r w:rsidRPr="00730547">
        <w:rPr>
          <w:rFonts w:asciiTheme="majorHAnsi" w:hAnsiTheme="majorHAnsi"/>
          <w:b/>
          <w:szCs w:val="22"/>
        </w:rPr>
        <w:t xml:space="preserve">İmtiyazlı hisse senedi başına </w:t>
      </w:r>
      <w:r w:rsidR="00705608" w:rsidRPr="00730547">
        <w:rPr>
          <w:rFonts w:asciiTheme="majorHAnsi" w:hAnsiTheme="majorHAnsi"/>
          <w:b/>
          <w:szCs w:val="22"/>
        </w:rPr>
        <w:t>kârlılık</w:t>
      </w:r>
      <w:r w:rsidRPr="00730547">
        <w:rPr>
          <w:rFonts w:asciiTheme="majorHAnsi" w:hAnsiTheme="majorHAnsi"/>
          <w:b/>
          <w:szCs w:val="22"/>
        </w:rPr>
        <w:t xml:space="preserve"> (EPS)**: 3,90 </w:t>
      </w:r>
      <w:r w:rsidR="00705608" w:rsidRPr="00730547">
        <w:rPr>
          <w:rFonts w:asciiTheme="majorHAnsi" w:hAnsiTheme="majorHAnsi"/>
          <w:b/>
          <w:szCs w:val="22"/>
        </w:rPr>
        <w:t>Euro</w:t>
      </w:r>
      <w:r w:rsidRPr="00730547">
        <w:rPr>
          <w:rFonts w:asciiTheme="majorHAnsi" w:hAnsiTheme="majorHAnsi"/>
          <w:b/>
          <w:szCs w:val="22"/>
        </w:rPr>
        <w:t>, sabit kur</w:t>
      </w:r>
      <w:r w:rsidR="00705608" w:rsidRPr="00730547">
        <w:rPr>
          <w:rFonts w:asciiTheme="majorHAnsi" w:hAnsiTheme="majorHAnsi"/>
          <w:b/>
          <w:szCs w:val="22"/>
        </w:rPr>
        <w:t xml:space="preserve"> ile</w:t>
      </w:r>
      <w:r w:rsidRPr="00730547">
        <w:rPr>
          <w:rFonts w:asciiTheme="majorHAnsi" w:hAnsiTheme="majorHAnsi"/>
          <w:b/>
          <w:szCs w:val="22"/>
        </w:rPr>
        <w:t xml:space="preserve"> yüzde -17,8 </w:t>
      </w:r>
    </w:p>
    <w:p w14:paraId="1C769CD9" w14:textId="3830D4BF" w:rsidR="00F16FB6" w:rsidRPr="00F16FB6" w:rsidRDefault="00F16FB6" w:rsidP="00F16FB6">
      <w:pPr>
        <w:pStyle w:val="ListParagraph"/>
        <w:numPr>
          <w:ilvl w:val="0"/>
          <w:numId w:val="7"/>
        </w:numPr>
        <w:spacing w:after="80"/>
        <w:ind w:left="357" w:right="-108" w:hanging="357"/>
        <w:contextualSpacing w:val="0"/>
        <w:jc w:val="left"/>
        <w:rPr>
          <w:rFonts w:asciiTheme="majorHAnsi" w:hAnsiTheme="majorHAnsi" w:cstheme="majorHAnsi"/>
          <w:b/>
          <w:szCs w:val="22"/>
        </w:rPr>
      </w:pPr>
      <w:r>
        <w:rPr>
          <w:rFonts w:asciiTheme="majorHAnsi" w:hAnsiTheme="majorHAnsi"/>
          <w:b/>
          <w:szCs w:val="22"/>
        </w:rPr>
        <w:t xml:space="preserve">Önceki yıl </w:t>
      </w:r>
      <w:r w:rsidR="00705608">
        <w:rPr>
          <w:rFonts w:asciiTheme="majorHAnsi" w:hAnsiTheme="majorHAnsi"/>
          <w:b/>
          <w:szCs w:val="22"/>
        </w:rPr>
        <w:t xml:space="preserve">seviyesinde </w:t>
      </w:r>
      <w:r>
        <w:rPr>
          <w:rFonts w:asciiTheme="majorHAnsi" w:hAnsiTheme="majorHAnsi"/>
          <w:b/>
          <w:szCs w:val="22"/>
        </w:rPr>
        <w:t xml:space="preserve">önerilen temettü: imtiyazlı hisse senedi başına 1,85 </w:t>
      </w:r>
      <w:r w:rsidR="00705608">
        <w:rPr>
          <w:rFonts w:asciiTheme="majorHAnsi" w:hAnsiTheme="majorHAnsi"/>
          <w:b/>
          <w:szCs w:val="22"/>
        </w:rPr>
        <w:t>Euro</w:t>
      </w:r>
    </w:p>
    <w:p w14:paraId="4392F666" w14:textId="2B515FF1" w:rsidR="00295715" w:rsidRPr="00295715" w:rsidRDefault="00F16FB6" w:rsidP="00295715">
      <w:pPr>
        <w:numPr>
          <w:ilvl w:val="0"/>
          <w:numId w:val="7"/>
        </w:numPr>
        <w:spacing w:after="80"/>
        <w:ind w:left="357" w:right="-108" w:hanging="357"/>
        <w:jc w:val="left"/>
        <w:rPr>
          <w:rFonts w:asciiTheme="majorHAnsi" w:hAnsiTheme="majorHAnsi" w:cstheme="majorHAnsi"/>
          <w:b/>
          <w:szCs w:val="22"/>
        </w:rPr>
      </w:pPr>
      <w:r>
        <w:rPr>
          <w:rFonts w:asciiTheme="majorHAnsi" w:hAnsiTheme="majorHAnsi"/>
          <w:b/>
          <w:szCs w:val="22"/>
        </w:rPr>
        <w:t>Amaca Yönelik Büyüme Gündemi</w:t>
      </w:r>
      <w:r w:rsidR="00705608">
        <w:rPr>
          <w:rFonts w:asciiTheme="majorHAnsi" w:hAnsiTheme="majorHAnsi"/>
          <w:b/>
          <w:szCs w:val="22"/>
        </w:rPr>
        <w:t>’</w:t>
      </w:r>
      <w:r>
        <w:rPr>
          <w:rFonts w:asciiTheme="majorHAnsi" w:hAnsiTheme="majorHAnsi"/>
          <w:b/>
          <w:szCs w:val="22"/>
        </w:rPr>
        <w:t>nin uygulanmasındaki başarılı ilerleme devam ediyor</w:t>
      </w:r>
    </w:p>
    <w:p w14:paraId="39F31D2C" w14:textId="6E8B6F32" w:rsidR="00295715" w:rsidRPr="00450243" w:rsidRDefault="00F16FB6" w:rsidP="00450243">
      <w:pPr>
        <w:numPr>
          <w:ilvl w:val="0"/>
          <w:numId w:val="7"/>
        </w:numPr>
        <w:spacing w:after="80"/>
        <w:ind w:left="357" w:right="-108" w:hanging="357"/>
        <w:jc w:val="left"/>
        <w:rPr>
          <w:rFonts w:asciiTheme="majorHAnsi" w:hAnsiTheme="majorHAnsi" w:cstheme="majorHAnsi"/>
          <w:b/>
          <w:szCs w:val="22"/>
        </w:rPr>
      </w:pPr>
      <w:r>
        <w:rPr>
          <w:rFonts w:asciiTheme="majorHAnsi" w:hAnsiTheme="majorHAnsi"/>
          <w:b/>
          <w:szCs w:val="22"/>
        </w:rPr>
        <w:t xml:space="preserve">Yeni iş birimimiz Tüketici Markaları hayata geçirildi </w:t>
      </w:r>
    </w:p>
    <w:p w14:paraId="3EB30504" w14:textId="5C2B2462" w:rsidR="00295715" w:rsidRPr="00C71109" w:rsidRDefault="00835CAB" w:rsidP="00295715">
      <w:pPr>
        <w:numPr>
          <w:ilvl w:val="0"/>
          <w:numId w:val="7"/>
        </w:numPr>
        <w:spacing w:after="80"/>
        <w:ind w:left="357" w:right="-108" w:hanging="357"/>
        <w:jc w:val="left"/>
        <w:rPr>
          <w:rFonts w:asciiTheme="majorHAnsi" w:hAnsiTheme="majorHAnsi" w:cstheme="majorHAnsi"/>
          <w:b/>
          <w:szCs w:val="22"/>
        </w:rPr>
      </w:pPr>
      <w:r>
        <w:rPr>
          <w:rFonts w:asciiTheme="majorHAnsi" w:hAnsiTheme="majorHAnsi"/>
          <w:b/>
          <w:szCs w:val="22"/>
        </w:rPr>
        <w:t>Kritik öneme sahip alanlardaki sürdürülebilirlik ivme kazandı</w:t>
      </w:r>
    </w:p>
    <w:p w14:paraId="74D430BC" w14:textId="3E3EE5D8" w:rsidR="00295715" w:rsidRPr="00295715" w:rsidRDefault="00FD49E2" w:rsidP="00295715">
      <w:pPr>
        <w:numPr>
          <w:ilvl w:val="0"/>
          <w:numId w:val="7"/>
        </w:numPr>
        <w:spacing w:after="80"/>
        <w:ind w:left="357" w:right="-108" w:hanging="357"/>
        <w:jc w:val="left"/>
        <w:rPr>
          <w:rFonts w:asciiTheme="majorHAnsi" w:hAnsiTheme="majorHAnsi" w:cstheme="majorHAnsi"/>
          <w:b/>
          <w:szCs w:val="22"/>
        </w:rPr>
      </w:pPr>
      <w:r>
        <w:rPr>
          <w:rFonts w:asciiTheme="majorHAnsi" w:hAnsiTheme="majorHAnsi"/>
          <w:b/>
          <w:szCs w:val="22"/>
        </w:rPr>
        <w:t>2023 mali yılına yönelik öngörü: daha fazla büyüme bekleniyor</w:t>
      </w:r>
    </w:p>
    <w:p w14:paraId="0B5E84AD" w14:textId="3377C222" w:rsidR="00295715" w:rsidRPr="00295715" w:rsidRDefault="00295715" w:rsidP="00295715">
      <w:pPr>
        <w:numPr>
          <w:ilvl w:val="1"/>
          <w:numId w:val="7"/>
        </w:numPr>
        <w:spacing w:after="80" w:line="266" w:lineRule="auto"/>
        <w:ind w:left="1077" w:right="-108" w:hanging="357"/>
        <w:jc w:val="left"/>
        <w:rPr>
          <w:rFonts w:asciiTheme="majorHAnsi" w:hAnsiTheme="majorHAnsi" w:cstheme="majorHAnsi"/>
          <w:b/>
          <w:szCs w:val="22"/>
        </w:rPr>
      </w:pPr>
      <w:r>
        <w:rPr>
          <w:rFonts w:asciiTheme="majorHAnsi" w:hAnsiTheme="majorHAnsi"/>
          <w:b/>
          <w:szCs w:val="22"/>
        </w:rPr>
        <w:t>Organik satış büyüme</w:t>
      </w:r>
      <w:r w:rsidR="00705608">
        <w:rPr>
          <w:rFonts w:asciiTheme="majorHAnsi" w:hAnsiTheme="majorHAnsi"/>
          <w:b/>
          <w:szCs w:val="22"/>
        </w:rPr>
        <w:t>si</w:t>
      </w:r>
      <w:r>
        <w:rPr>
          <w:rFonts w:asciiTheme="majorHAnsi" w:hAnsiTheme="majorHAnsi"/>
          <w:b/>
          <w:szCs w:val="22"/>
        </w:rPr>
        <w:t>: yüzde 1,0 il</w:t>
      </w:r>
      <w:r w:rsidR="00705608">
        <w:rPr>
          <w:rFonts w:asciiTheme="majorHAnsi" w:hAnsiTheme="majorHAnsi"/>
          <w:b/>
          <w:szCs w:val="22"/>
        </w:rPr>
        <w:t>e</w:t>
      </w:r>
      <w:r>
        <w:rPr>
          <w:rFonts w:asciiTheme="majorHAnsi" w:hAnsiTheme="majorHAnsi"/>
          <w:b/>
          <w:szCs w:val="22"/>
        </w:rPr>
        <w:t xml:space="preserve"> 3,0</w:t>
      </w:r>
      <w:r w:rsidR="00705608">
        <w:rPr>
          <w:rFonts w:asciiTheme="majorHAnsi" w:hAnsiTheme="majorHAnsi"/>
          <w:b/>
          <w:szCs w:val="22"/>
        </w:rPr>
        <w:t xml:space="preserve"> arasında</w:t>
      </w:r>
    </w:p>
    <w:p w14:paraId="4414955F" w14:textId="145F6959" w:rsidR="00295715" w:rsidRPr="00295715" w:rsidRDefault="00295715" w:rsidP="00295715">
      <w:pPr>
        <w:numPr>
          <w:ilvl w:val="1"/>
          <w:numId w:val="7"/>
        </w:numPr>
        <w:spacing w:after="80" w:line="266" w:lineRule="auto"/>
        <w:ind w:left="1077" w:right="-108" w:hanging="357"/>
        <w:jc w:val="left"/>
        <w:rPr>
          <w:rFonts w:asciiTheme="majorHAnsi" w:hAnsiTheme="majorHAnsi" w:cstheme="majorHAnsi"/>
          <w:b/>
          <w:szCs w:val="22"/>
        </w:rPr>
      </w:pPr>
      <w:r>
        <w:rPr>
          <w:rFonts w:asciiTheme="majorHAnsi" w:hAnsiTheme="majorHAnsi"/>
          <w:b/>
          <w:szCs w:val="22"/>
        </w:rPr>
        <w:t>VFÖK marjı**: yüzde 10,0 il</w:t>
      </w:r>
      <w:r w:rsidR="00705608">
        <w:rPr>
          <w:rFonts w:asciiTheme="majorHAnsi" w:hAnsiTheme="majorHAnsi"/>
          <w:b/>
          <w:szCs w:val="22"/>
        </w:rPr>
        <w:t>e</w:t>
      </w:r>
      <w:r>
        <w:rPr>
          <w:rFonts w:asciiTheme="majorHAnsi" w:hAnsiTheme="majorHAnsi"/>
          <w:b/>
          <w:szCs w:val="22"/>
        </w:rPr>
        <w:t xml:space="preserve"> 12,0</w:t>
      </w:r>
      <w:r w:rsidR="00705608">
        <w:rPr>
          <w:rFonts w:asciiTheme="majorHAnsi" w:hAnsiTheme="majorHAnsi"/>
          <w:b/>
          <w:szCs w:val="22"/>
        </w:rPr>
        <w:t xml:space="preserve"> arasında</w:t>
      </w:r>
    </w:p>
    <w:p w14:paraId="64B34403" w14:textId="618361AE" w:rsidR="00295715" w:rsidRPr="00835CAB" w:rsidRDefault="00295715" w:rsidP="00705608">
      <w:pPr>
        <w:pStyle w:val="ListParagraph"/>
        <w:numPr>
          <w:ilvl w:val="1"/>
          <w:numId w:val="7"/>
        </w:numPr>
        <w:spacing w:after="80" w:line="266" w:lineRule="auto"/>
        <w:ind w:right="-108"/>
        <w:contextualSpacing w:val="0"/>
        <w:jc w:val="left"/>
        <w:rPr>
          <w:rFonts w:asciiTheme="majorHAnsi" w:hAnsiTheme="majorHAnsi" w:cstheme="majorHAnsi"/>
          <w:b/>
          <w:szCs w:val="22"/>
        </w:rPr>
      </w:pPr>
      <w:r>
        <w:rPr>
          <w:rFonts w:asciiTheme="majorHAnsi" w:hAnsiTheme="majorHAnsi"/>
          <w:b/>
          <w:szCs w:val="22"/>
        </w:rPr>
        <w:t xml:space="preserve">İmtiyazlı hisse senedi başına </w:t>
      </w:r>
      <w:r w:rsidR="00705608" w:rsidRPr="00705608">
        <w:rPr>
          <w:rFonts w:asciiTheme="majorHAnsi" w:hAnsiTheme="majorHAnsi"/>
          <w:b/>
          <w:szCs w:val="22"/>
        </w:rPr>
        <w:t>kârlılık</w:t>
      </w:r>
      <w:r>
        <w:rPr>
          <w:rFonts w:asciiTheme="majorHAnsi" w:hAnsiTheme="majorHAnsi"/>
          <w:b/>
          <w:szCs w:val="22"/>
        </w:rPr>
        <w:t xml:space="preserve"> (EPS)**: yüzde -10,0 </w:t>
      </w:r>
      <w:r w:rsidR="00705608">
        <w:rPr>
          <w:rFonts w:asciiTheme="majorHAnsi" w:hAnsiTheme="majorHAnsi"/>
          <w:b/>
          <w:szCs w:val="22"/>
        </w:rPr>
        <w:t>ile</w:t>
      </w:r>
      <w:r>
        <w:rPr>
          <w:rFonts w:asciiTheme="majorHAnsi" w:hAnsiTheme="majorHAnsi"/>
          <w:b/>
          <w:szCs w:val="22"/>
        </w:rPr>
        <w:t xml:space="preserve"> yüzde +10,0 (sabit kur</w:t>
      </w:r>
      <w:r w:rsidR="00705608">
        <w:rPr>
          <w:rFonts w:asciiTheme="majorHAnsi" w:hAnsiTheme="majorHAnsi"/>
          <w:b/>
          <w:szCs w:val="22"/>
        </w:rPr>
        <w:t xml:space="preserve"> ile</w:t>
      </w:r>
      <w:r>
        <w:rPr>
          <w:rFonts w:asciiTheme="majorHAnsi" w:hAnsiTheme="majorHAnsi"/>
          <w:b/>
          <w:szCs w:val="22"/>
        </w:rPr>
        <w:t>)</w:t>
      </w:r>
      <w:r w:rsidR="00705608">
        <w:rPr>
          <w:rFonts w:asciiTheme="majorHAnsi" w:hAnsiTheme="majorHAnsi"/>
          <w:b/>
          <w:szCs w:val="22"/>
        </w:rPr>
        <w:t xml:space="preserve"> arasında</w:t>
      </w:r>
    </w:p>
    <w:p w14:paraId="4C451383" w14:textId="77777777" w:rsidR="00295715" w:rsidRPr="00295715" w:rsidRDefault="00295715" w:rsidP="00295715">
      <w:pPr>
        <w:rPr>
          <w:rFonts w:cs="Segoe UI"/>
          <w:szCs w:val="22"/>
          <w:lang w:val="en-US"/>
        </w:rPr>
      </w:pPr>
    </w:p>
    <w:p w14:paraId="37944360" w14:textId="2E64E2EB" w:rsidR="004540FE" w:rsidRPr="002056A1" w:rsidRDefault="00295715" w:rsidP="004540FE">
      <w:pPr>
        <w:rPr>
          <w:b/>
          <w:bCs/>
          <w:szCs w:val="22"/>
        </w:rPr>
      </w:pPr>
      <w:r w:rsidRPr="00B41F9C">
        <w:rPr>
          <w:rFonts w:cs="Segoe UI"/>
          <w:b/>
          <w:bCs/>
          <w:noProof/>
          <w:szCs w:val="22"/>
          <w:lang w:eastAsia="tr-TR"/>
        </w:rPr>
        <mc:AlternateContent>
          <mc:Choice Requires="wps">
            <w:drawing>
              <wp:anchor distT="45720" distB="45720" distL="114300" distR="114300" simplePos="0" relativeHeight="251658240" behindDoc="0" locked="0" layoutInCell="1" allowOverlap="1" wp14:anchorId="557A92A0" wp14:editId="6E8C0743">
                <wp:simplePos x="0" y="0"/>
                <wp:positionH relativeFrom="margin">
                  <wp:posOffset>-66675</wp:posOffset>
                </wp:positionH>
                <wp:positionV relativeFrom="paragraph">
                  <wp:posOffset>1929765</wp:posOffset>
                </wp:positionV>
                <wp:extent cx="5413973" cy="497941"/>
                <wp:effectExtent l="0" t="0" r="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973" cy="4979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E8AD53" w14:textId="421B2D71" w:rsidR="0080513B" w:rsidRPr="00754D7A" w:rsidRDefault="0080513B" w:rsidP="00754D7A">
                            <w:pPr>
                              <w:pStyle w:val="He04Funote"/>
                              <w:spacing w:after="60"/>
                              <w:rPr>
                                <w:sz w:val="12"/>
                                <w:szCs w:val="12"/>
                              </w:rPr>
                            </w:pPr>
                            <w:r>
                              <w:rPr>
                                <w:sz w:val="12"/>
                                <w:szCs w:val="12"/>
                              </w:rPr>
                              <w:t xml:space="preserve">* </w:t>
                            </w:r>
                            <w:r w:rsidR="00A51D58" w:rsidRPr="00A51D58">
                              <w:rPr>
                                <w:sz w:val="12"/>
                                <w:szCs w:val="12"/>
                              </w:rPr>
                              <w:t>Rusya'daki faaliyetlere son verildiğinin açıklanmasının ardından, 2022'nin ikinci çeyreğinin başından itibaren Rusya'daki organik satış değişimi ve Türkiye'ye yönelik UMS 29 (Yüksek Enflasyonlu Ekonomilerde Finansal Raporlama)  uygulamasından kaynaklanan etkiler hariç tutulmuştur.</w:t>
                            </w:r>
                          </w:p>
                          <w:p w14:paraId="57BFDF17" w14:textId="5C8CFCEC" w:rsidR="00A51D58" w:rsidRDefault="0080513B" w:rsidP="00A51D58">
                            <w:pPr>
                              <w:spacing w:line="240" w:lineRule="auto"/>
                              <w:jc w:val="left"/>
                              <w:rPr>
                                <w:rFonts w:eastAsiaTheme="minorHAnsi" w:cstheme="minorBidi"/>
                                <w:sz w:val="12"/>
                                <w:szCs w:val="12"/>
                              </w:rPr>
                            </w:pPr>
                            <w:r>
                              <w:rPr>
                                <w:sz w:val="12"/>
                                <w:szCs w:val="12"/>
                              </w:rPr>
                              <w:t xml:space="preserve">** </w:t>
                            </w:r>
                            <w:r w:rsidR="00A51D58" w:rsidRPr="00260B4C">
                              <w:rPr>
                                <w:rFonts w:eastAsiaTheme="minorHAnsi" w:cstheme="minorBidi"/>
                                <w:sz w:val="12"/>
                                <w:szCs w:val="12"/>
                              </w:rPr>
                              <w:t>Tek seferlik masraflar ve gelirler ile yeniden yapılandırma masrafları için ayarlanmıştır.</w:t>
                            </w:r>
                          </w:p>
                          <w:p w14:paraId="544DF6DC" w14:textId="76DE68D1" w:rsidR="0080513B" w:rsidRPr="00B41F9C" w:rsidRDefault="0080513B" w:rsidP="00295715">
                            <w:pPr>
                              <w:autoSpaceDE w:val="0"/>
                              <w:autoSpaceDN w:val="0"/>
                              <w:adjustRightInd w:val="0"/>
                              <w:spacing w:after="60" w:line="240" w:lineRule="auto"/>
                              <w:rPr>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7A92A0" id="_x0000_t202" coordsize="21600,21600" o:spt="202" path="m,l,21600r21600,l21600,xe">
                <v:stroke joinstyle="miter"/>
                <v:path gradientshapeok="t" o:connecttype="rect"/>
              </v:shapetype>
              <v:shape id="Textfeld 10" o:spid="_x0000_s1026" type="#_x0000_t202" style="position:absolute;left:0;text-align:left;margin-left:-5.25pt;margin-top:151.95pt;width:426.3pt;height:39.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" stroked="f">
                <v:textbox>
                  <w:txbxContent>
                    <w:p w14:paraId="17E8AD53" w14:textId="421B2D71" w:rsidR="0080513B" w:rsidRPr="00754D7A" w:rsidRDefault="0080513B" w:rsidP="00754D7A">
                      <w:pPr>
                        <w:pStyle w:val="He04Funote"/>
                        <w:spacing w:after="60"/>
                        <w:rPr>
                          <w:sz w:val="12"/>
                          <w:szCs w:val="12"/>
                        </w:rPr>
                      </w:pPr>
                      <w:r>
                        <w:rPr>
                          <w:sz w:val="12"/>
                          <w:szCs w:val="12"/>
                        </w:rPr>
                        <w:t xml:space="preserve">* </w:t>
                      </w:r>
                      <w:r w:rsidR="00A51D58" w:rsidRPr="00A51D58">
                        <w:rPr>
                          <w:sz w:val="12"/>
                          <w:szCs w:val="12"/>
                        </w:rPr>
                        <w:t>Rusya'daki faaliyetlere son verildiğinin açıklanmasının ardından, 2022'nin ikinci çeyreğinin başından itibaren Rusya'daki organik satış değişimi ve Türkiye'ye yönelik UMS 29 (Yüksek Enflasyonlu Ekonomilerde Finansal Raporlama)  uygulamasından kaynaklanan etkiler hariç tutulmuştur.</w:t>
                      </w:r>
                    </w:p>
                    <w:p w14:paraId="57BFDF17" w14:textId="5C8CFCEC" w:rsidR="00A51D58" w:rsidRDefault="0080513B" w:rsidP="00A51D58">
                      <w:pPr>
                        <w:spacing w:line="240" w:lineRule="auto"/>
                        <w:jc w:val="left"/>
                        <w:rPr>
                          <w:rFonts w:eastAsiaTheme="minorHAnsi" w:cstheme="minorBidi"/>
                          <w:sz w:val="12"/>
                          <w:szCs w:val="12"/>
                        </w:rPr>
                      </w:pPr>
                      <w:r>
                        <w:rPr>
                          <w:sz w:val="12"/>
                          <w:szCs w:val="12"/>
                        </w:rPr>
                        <w:t xml:space="preserve">** </w:t>
                      </w:r>
                      <w:r w:rsidR="00A51D58" w:rsidRPr="00260B4C">
                        <w:rPr>
                          <w:rFonts w:eastAsiaTheme="minorHAnsi" w:cstheme="minorBidi"/>
                          <w:sz w:val="12"/>
                          <w:szCs w:val="12"/>
                        </w:rPr>
                        <w:t>Tek seferlik masraflar ve gelirler ile yeniden yapılandırma masrafları için ayarlanmıştır.</w:t>
                      </w:r>
                    </w:p>
                    <w:p w14:paraId="544DF6DC" w14:textId="76DE68D1" w:rsidR="0080513B" w:rsidRPr="00B41F9C" w:rsidRDefault="0080513B" w:rsidP="00295715">
                      <w:pPr>
                        <w:autoSpaceDE w:val="0"/>
                        <w:autoSpaceDN w:val="0"/>
                        <w:adjustRightInd w:val="0"/>
                        <w:spacing w:after="60" w:line="240" w:lineRule="auto"/>
                        <w:rPr>
                          <w:sz w:val="12"/>
                          <w:szCs w:val="12"/>
                        </w:rPr>
                      </w:pPr>
                    </w:p>
                  </w:txbxContent>
                </v:textbox>
                <w10:wrap anchorx="margin"/>
              </v:shape>
            </w:pict>
          </mc:Fallback>
        </mc:AlternateContent>
      </w:r>
      <w:r>
        <w:rPr>
          <w:b/>
          <w:bCs/>
          <w:szCs w:val="22"/>
        </w:rPr>
        <w:t>Düsseldorf – “</w:t>
      </w:r>
      <w:r w:rsidR="00CC6949">
        <w:rPr>
          <w:b/>
          <w:bCs/>
          <w:szCs w:val="22"/>
        </w:rPr>
        <w:t xml:space="preserve">Çok zorlu geçen </w:t>
      </w:r>
      <w:r>
        <w:rPr>
          <w:b/>
          <w:bCs/>
          <w:szCs w:val="22"/>
        </w:rPr>
        <w:t>2022</w:t>
      </w:r>
      <w:r w:rsidR="00CC6949">
        <w:rPr>
          <w:b/>
          <w:bCs/>
          <w:szCs w:val="22"/>
        </w:rPr>
        <w:t xml:space="preserve"> yılında, </w:t>
      </w:r>
      <w:r w:rsidR="00E81608">
        <w:rPr>
          <w:b/>
          <w:bCs/>
          <w:szCs w:val="22"/>
        </w:rPr>
        <w:t xml:space="preserve">kayda değer </w:t>
      </w:r>
      <w:r>
        <w:rPr>
          <w:b/>
          <w:bCs/>
          <w:szCs w:val="22"/>
        </w:rPr>
        <w:t xml:space="preserve">bir satış büyümesi ve güçlü bir </w:t>
      </w:r>
      <w:r w:rsidR="00705608" w:rsidRPr="00705608">
        <w:rPr>
          <w:b/>
          <w:bCs/>
          <w:szCs w:val="22"/>
        </w:rPr>
        <w:t>kâr</w:t>
      </w:r>
      <w:r w:rsidR="00705608">
        <w:rPr>
          <w:b/>
          <w:bCs/>
          <w:szCs w:val="22"/>
        </w:rPr>
        <w:t xml:space="preserve"> </w:t>
      </w:r>
      <w:r>
        <w:rPr>
          <w:b/>
          <w:bCs/>
          <w:szCs w:val="22"/>
        </w:rPr>
        <w:t>performansı elde ettik ve aynı zamanda önemli stratejik önlemleri hayata geçirdik. Ham</w:t>
      </w:r>
      <w:r w:rsidR="00B25AA6">
        <w:rPr>
          <w:b/>
          <w:bCs/>
          <w:szCs w:val="22"/>
        </w:rPr>
        <w:t xml:space="preserve"> </w:t>
      </w:r>
      <w:r>
        <w:rPr>
          <w:b/>
          <w:bCs/>
          <w:szCs w:val="22"/>
        </w:rPr>
        <w:t xml:space="preserve">madde ve lojistik maliyetlerindeki ciddi artışı, daha yüksek fiyatlar ve devam eden verimlilik iyileştirmeleriyle kısmen telafi etmeyi başardık. Bu durum, yaklaşık 22,4 milyar </w:t>
      </w:r>
      <w:r w:rsidR="00705608">
        <w:rPr>
          <w:b/>
          <w:bCs/>
          <w:szCs w:val="22"/>
        </w:rPr>
        <w:t>Euro’</w:t>
      </w:r>
      <w:r>
        <w:rPr>
          <w:b/>
          <w:bCs/>
          <w:szCs w:val="22"/>
        </w:rPr>
        <w:t xml:space="preserve">luk yeni zirvesine ulaşan satışlarımıza ve 2,3 milyar </w:t>
      </w:r>
      <w:r w:rsidR="00705608">
        <w:rPr>
          <w:b/>
          <w:bCs/>
          <w:szCs w:val="22"/>
        </w:rPr>
        <w:t>Euro’</w:t>
      </w:r>
      <w:r>
        <w:rPr>
          <w:b/>
          <w:bCs/>
          <w:szCs w:val="22"/>
        </w:rPr>
        <w:t xml:space="preserve">luk faaliyet kârımıza da yansıdı. Buna bağlı olarak, hissedarlarımıza önceki yıl düzeyinde sabit bir temettü öneriyoruz. </w:t>
      </w:r>
      <w:bookmarkEnd w:id="0"/>
      <w:r>
        <w:rPr>
          <w:b/>
          <w:bCs/>
          <w:szCs w:val="22"/>
        </w:rPr>
        <w:t>Tüketici iş birimlerimizi</w:t>
      </w:r>
      <w:r w:rsidR="002056A1">
        <w:rPr>
          <w:b/>
          <w:bCs/>
          <w:szCs w:val="22"/>
        </w:rPr>
        <w:t>,</w:t>
      </w:r>
      <w:r>
        <w:rPr>
          <w:b/>
          <w:bCs/>
          <w:szCs w:val="22"/>
        </w:rPr>
        <w:t xml:space="preserve"> </w:t>
      </w:r>
      <w:r w:rsidR="00A6473C">
        <w:rPr>
          <w:b/>
          <w:bCs/>
          <w:szCs w:val="22"/>
        </w:rPr>
        <w:t>‘</w:t>
      </w:r>
      <w:r>
        <w:rPr>
          <w:b/>
          <w:bCs/>
          <w:szCs w:val="22"/>
        </w:rPr>
        <w:t>Tüketici Markaları</w:t>
      </w:r>
      <w:r w:rsidR="00A6473C">
        <w:rPr>
          <w:b/>
          <w:bCs/>
          <w:szCs w:val="22"/>
        </w:rPr>
        <w:t>’</w:t>
      </w:r>
      <w:r>
        <w:rPr>
          <w:b/>
          <w:bCs/>
          <w:szCs w:val="22"/>
        </w:rPr>
        <w:t xml:space="preserve"> </w:t>
      </w:r>
      <w:r w:rsidR="00A6473C">
        <w:rPr>
          <w:b/>
          <w:bCs/>
          <w:szCs w:val="22"/>
        </w:rPr>
        <w:t xml:space="preserve">altında </w:t>
      </w:r>
      <w:r>
        <w:rPr>
          <w:b/>
          <w:bCs/>
          <w:szCs w:val="22"/>
        </w:rPr>
        <w:t>birleştirerek</w:t>
      </w:r>
      <w:r w:rsidR="00B75B06">
        <w:rPr>
          <w:b/>
          <w:bCs/>
          <w:szCs w:val="22"/>
        </w:rPr>
        <w:t>,</w:t>
      </w:r>
      <w:r w:rsidR="002056A1">
        <w:rPr>
          <w:b/>
          <w:bCs/>
          <w:szCs w:val="22"/>
        </w:rPr>
        <w:t xml:space="preserve"> </w:t>
      </w:r>
      <w:r>
        <w:rPr>
          <w:b/>
          <w:bCs/>
          <w:szCs w:val="22"/>
        </w:rPr>
        <w:t>şirketimizin</w:t>
      </w:r>
      <w:r w:rsidR="00B25551">
        <w:rPr>
          <w:b/>
          <w:bCs/>
          <w:szCs w:val="22"/>
        </w:rPr>
        <w:t xml:space="preserve"> </w:t>
      </w:r>
      <w:r w:rsidR="002056A1">
        <w:rPr>
          <w:b/>
          <w:bCs/>
          <w:szCs w:val="22"/>
        </w:rPr>
        <w:lastRenderedPageBreak/>
        <w:t>son on yıllardaki</w:t>
      </w:r>
      <w:r>
        <w:rPr>
          <w:b/>
          <w:bCs/>
          <w:szCs w:val="22"/>
        </w:rPr>
        <w:t xml:space="preserve"> </w:t>
      </w:r>
      <w:r w:rsidR="006334BF">
        <w:rPr>
          <w:b/>
          <w:bCs/>
          <w:szCs w:val="22"/>
        </w:rPr>
        <w:t xml:space="preserve">yaşadığı </w:t>
      </w:r>
      <w:r>
        <w:rPr>
          <w:b/>
          <w:bCs/>
          <w:szCs w:val="22"/>
        </w:rPr>
        <w:t>en büyük dönüşümlerden birini de</w:t>
      </w:r>
      <w:r w:rsidR="00365050">
        <w:rPr>
          <w:b/>
          <w:bCs/>
          <w:szCs w:val="22"/>
        </w:rPr>
        <w:t>,</w:t>
      </w:r>
      <w:r>
        <w:rPr>
          <w:b/>
          <w:bCs/>
          <w:szCs w:val="22"/>
        </w:rPr>
        <w:t xml:space="preserve"> başarıyla hayata geçirmiş olduk,” ifadelerini kullanan Henkel CEO'su Carsten Knobel sözlerini şöyle sürdürdü: </w:t>
      </w:r>
    </w:p>
    <w:p w14:paraId="14361456" w14:textId="77777777" w:rsidR="004540FE" w:rsidRPr="004540FE" w:rsidRDefault="004540FE" w:rsidP="004540FE">
      <w:pPr>
        <w:rPr>
          <w:rFonts w:cs="Segoe UI"/>
          <w:b/>
          <w:bCs/>
          <w:szCs w:val="22"/>
          <w:lang w:val="en-US"/>
        </w:rPr>
      </w:pPr>
    </w:p>
    <w:p w14:paraId="7CC1ACA7" w14:textId="72E624FC" w:rsidR="004540FE" w:rsidRPr="004540FE" w:rsidRDefault="004540FE" w:rsidP="004540FE">
      <w:pPr>
        <w:rPr>
          <w:rFonts w:cs="Segoe UI"/>
          <w:b/>
          <w:bCs/>
          <w:szCs w:val="22"/>
        </w:rPr>
      </w:pPr>
      <w:r>
        <w:rPr>
          <w:b/>
          <w:bCs/>
          <w:szCs w:val="22"/>
        </w:rPr>
        <w:t>“</w:t>
      </w:r>
      <w:r w:rsidR="00B25AA6">
        <w:rPr>
          <w:b/>
          <w:bCs/>
          <w:szCs w:val="22"/>
        </w:rPr>
        <w:t>Global</w:t>
      </w:r>
      <w:r>
        <w:rPr>
          <w:b/>
          <w:bCs/>
          <w:szCs w:val="22"/>
        </w:rPr>
        <w:t xml:space="preserve"> ekibimizin büyük kararlılığı, güçlü kültürümüz</w:t>
      </w:r>
      <w:r w:rsidR="00A6473C">
        <w:rPr>
          <w:b/>
          <w:bCs/>
          <w:szCs w:val="22"/>
        </w:rPr>
        <w:t>,</w:t>
      </w:r>
      <w:r>
        <w:rPr>
          <w:b/>
          <w:bCs/>
          <w:szCs w:val="22"/>
        </w:rPr>
        <w:t xml:space="preserve"> net</w:t>
      </w:r>
      <w:r w:rsidR="00A6473C">
        <w:rPr>
          <w:b/>
          <w:bCs/>
          <w:szCs w:val="22"/>
        </w:rPr>
        <w:t xml:space="preserve"> ve</w:t>
      </w:r>
      <w:r>
        <w:rPr>
          <w:b/>
          <w:bCs/>
          <w:szCs w:val="22"/>
        </w:rPr>
        <w:t xml:space="preserve"> uzun vadeli bir büyüme stratejisi sayesinde, geçtiğimiz mali yılın zorluklarının üstesinden</w:t>
      </w:r>
      <w:r w:rsidR="00A6473C">
        <w:rPr>
          <w:b/>
          <w:bCs/>
          <w:szCs w:val="22"/>
        </w:rPr>
        <w:t>, genel olarak</w:t>
      </w:r>
      <w:r>
        <w:rPr>
          <w:b/>
          <w:bCs/>
          <w:szCs w:val="22"/>
        </w:rPr>
        <w:t xml:space="preserve"> iyi bir şekilde geldik. Henkel'i bu zor zamanlardan </w:t>
      </w:r>
      <w:r w:rsidR="00B25AA6">
        <w:rPr>
          <w:b/>
          <w:bCs/>
          <w:szCs w:val="22"/>
        </w:rPr>
        <w:t xml:space="preserve">başarıyla </w:t>
      </w:r>
      <w:r>
        <w:rPr>
          <w:b/>
          <w:bCs/>
          <w:szCs w:val="22"/>
        </w:rPr>
        <w:t xml:space="preserve">geçirmek ve iddialı hedeflerimize ulaşmak için iyi bir donanıma sahip olduğumuzu düşünüyorum. İçinde bulunduğumuz mali yılda, </w:t>
      </w:r>
      <w:r w:rsidR="00A6473C">
        <w:rPr>
          <w:b/>
          <w:bCs/>
          <w:szCs w:val="22"/>
        </w:rPr>
        <w:t xml:space="preserve">iki iş birimimiz </w:t>
      </w:r>
      <w:r>
        <w:rPr>
          <w:b/>
          <w:bCs/>
          <w:szCs w:val="22"/>
        </w:rPr>
        <w:t>Yapıştırıcı Teknolojileri ve Tüketici Markaları</w:t>
      </w:r>
      <w:r w:rsidR="00A6473C">
        <w:rPr>
          <w:b/>
          <w:bCs/>
          <w:szCs w:val="22"/>
        </w:rPr>
        <w:t xml:space="preserve"> ile, </w:t>
      </w:r>
      <w:r>
        <w:rPr>
          <w:b/>
          <w:bCs/>
          <w:szCs w:val="22"/>
        </w:rPr>
        <w:t>daha da büyümeye hazırız.”</w:t>
      </w:r>
    </w:p>
    <w:p w14:paraId="5612E7CE" w14:textId="29C3E2BD" w:rsidR="00295715" w:rsidRDefault="00295715" w:rsidP="00295715">
      <w:pPr>
        <w:rPr>
          <w:b/>
          <w:bCs/>
          <w:szCs w:val="22"/>
        </w:rPr>
      </w:pPr>
    </w:p>
    <w:p w14:paraId="5E0D3027" w14:textId="3D70A67B" w:rsidR="00B25AA6" w:rsidRPr="00E75CFE" w:rsidRDefault="00B25AA6" w:rsidP="00295715">
      <w:pPr>
        <w:rPr>
          <w:rFonts w:cs="Segoe UI"/>
          <w:b/>
          <w:bCs/>
          <w:szCs w:val="22"/>
        </w:rPr>
      </w:pPr>
      <w:r>
        <w:rPr>
          <w:rFonts w:cs="Segoe UI"/>
          <w:b/>
          <w:bCs/>
          <w:szCs w:val="22"/>
        </w:rPr>
        <w:t>2022</w:t>
      </w:r>
      <w:r w:rsidRPr="00B25AA6">
        <w:rPr>
          <w:rFonts w:cs="Segoe UI"/>
          <w:b/>
          <w:bCs/>
          <w:szCs w:val="22"/>
        </w:rPr>
        <w:t xml:space="preserve"> Mali Yılında Grup </w:t>
      </w:r>
      <w:r>
        <w:rPr>
          <w:rFonts w:cs="Segoe UI"/>
          <w:b/>
          <w:bCs/>
          <w:szCs w:val="22"/>
        </w:rPr>
        <w:t xml:space="preserve">Genelinde </w:t>
      </w:r>
      <w:r w:rsidRPr="00B25AA6">
        <w:rPr>
          <w:rFonts w:cs="Segoe UI"/>
          <w:b/>
          <w:bCs/>
          <w:szCs w:val="22"/>
        </w:rPr>
        <w:t>Satış ve Kâr Performansı</w:t>
      </w:r>
    </w:p>
    <w:p w14:paraId="2E53A2B4" w14:textId="77777777" w:rsidR="00295715" w:rsidRPr="00E75CFE" w:rsidRDefault="00295715" w:rsidP="00295715">
      <w:pPr>
        <w:rPr>
          <w:rFonts w:cs="Segoe UI"/>
          <w:szCs w:val="22"/>
          <w:lang w:val="en-US"/>
        </w:rPr>
      </w:pPr>
    </w:p>
    <w:p w14:paraId="5AD167EF" w14:textId="4AFFB0E2" w:rsidR="00E75CFE" w:rsidRPr="00E75CFE" w:rsidRDefault="00E75CFE" w:rsidP="004D7AB4">
      <w:pPr>
        <w:rPr>
          <w:rFonts w:cs="Segoe UI"/>
          <w:szCs w:val="22"/>
        </w:rPr>
      </w:pPr>
      <w:r>
        <w:t>Henkel Gru</w:t>
      </w:r>
      <w:r w:rsidR="00B873AA">
        <w:t>p’un</w:t>
      </w:r>
      <w:r>
        <w:t xml:space="preserve"> 2022 mali yılındaki </w:t>
      </w:r>
      <w:r>
        <w:rPr>
          <w:b/>
          <w:bCs/>
          <w:szCs w:val="22"/>
        </w:rPr>
        <w:t>satışları</w:t>
      </w:r>
      <w:r>
        <w:t xml:space="preserve"> 22,397 milyar </w:t>
      </w:r>
      <w:r w:rsidR="00705608">
        <w:t>Euro’</w:t>
      </w:r>
      <w:r>
        <w:t>ya ulaştı. Bu, tüm iş birimleri genelindeki fiyat artışları</w:t>
      </w:r>
      <w:r w:rsidR="00B25AA6">
        <w:t>nın etkisiyle oluşan</w:t>
      </w:r>
      <w:r>
        <w:t xml:space="preserve"> yüzde 11,6 oranında bir nominal büyümeye ve yüzde 8,8</w:t>
      </w:r>
      <w:r w:rsidR="00B25AA6">
        <w:t xml:space="preserve"> oranında</w:t>
      </w:r>
      <w:r>
        <w:t xml:space="preserve"> kayda değer </w:t>
      </w:r>
      <w:r>
        <w:rPr>
          <w:b/>
          <w:bCs/>
          <w:szCs w:val="22"/>
        </w:rPr>
        <w:t>organik</w:t>
      </w:r>
      <w:r w:rsidR="00B25AA6">
        <w:rPr>
          <w:b/>
          <w:bCs/>
          <w:szCs w:val="22"/>
        </w:rPr>
        <w:t xml:space="preserve"> bir</w:t>
      </w:r>
      <w:r>
        <w:rPr>
          <w:b/>
          <w:bCs/>
          <w:szCs w:val="22"/>
        </w:rPr>
        <w:t xml:space="preserve"> satış</w:t>
      </w:r>
      <w:r>
        <w:t xml:space="preserve"> </w:t>
      </w:r>
      <w:r>
        <w:rPr>
          <w:b/>
        </w:rPr>
        <w:t>büyümesine</w:t>
      </w:r>
      <w:r>
        <w:t xml:space="preserve"> karşılık </w:t>
      </w:r>
      <w:r w:rsidR="004D7AB4">
        <w:t>geliyor</w:t>
      </w:r>
      <w:r>
        <w:t>. Satın alma ve elden çıkarmaların satışlar üzerinde gösterdiği etki yüzde -1,1 ile hafif oranda negatif olarak gerçekleşti. Kur etkileri ise satışları</w:t>
      </w:r>
      <w:r w:rsidR="00432D57">
        <w:t>,</w:t>
      </w:r>
      <w:r>
        <w:t xml:space="preserve"> yüzde 3,9 oranında pozitif yönde etkiledi.</w:t>
      </w:r>
    </w:p>
    <w:p w14:paraId="5AD66820" w14:textId="77777777" w:rsidR="00295715" w:rsidRPr="00A24FBF" w:rsidRDefault="00295715" w:rsidP="00295715">
      <w:pPr>
        <w:rPr>
          <w:rFonts w:cs="Segoe UI"/>
          <w:szCs w:val="22"/>
          <w:lang w:val="en-US"/>
        </w:rPr>
      </w:pPr>
    </w:p>
    <w:p w14:paraId="3421F83C" w14:textId="5DD4A8D6" w:rsidR="00B15676" w:rsidRDefault="00B15676" w:rsidP="00B15676">
      <w:pPr>
        <w:rPr>
          <w:rFonts w:cs="Segoe UI"/>
          <w:szCs w:val="22"/>
        </w:rPr>
      </w:pPr>
      <w:r>
        <w:rPr>
          <w:b/>
        </w:rPr>
        <w:t>Yapıştırıcı Teknolojileri</w:t>
      </w:r>
      <w:r>
        <w:t xml:space="preserve"> </w:t>
      </w:r>
      <w:r w:rsidR="00B25AA6">
        <w:t>İ</w:t>
      </w:r>
      <w:r>
        <w:t xml:space="preserve">ş </w:t>
      </w:r>
      <w:r w:rsidR="00B25AA6">
        <w:t>B</w:t>
      </w:r>
      <w:r>
        <w:t xml:space="preserve">irimi, tüm iş alanlarının katkıda bulunmasıyla yüzde 13,2'lik çift haneli organik satış büyümesi elde etti. </w:t>
      </w:r>
      <w:r>
        <w:rPr>
          <w:b/>
          <w:bCs/>
          <w:szCs w:val="22"/>
        </w:rPr>
        <w:t>Beauty Care</w:t>
      </w:r>
      <w:r>
        <w:t xml:space="preserve"> </w:t>
      </w:r>
      <w:r w:rsidR="00B25AA6">
        <w:t>İ</w:t>
      </w:r>
      <w:r>
        <w:t xml:space="preserve">ş </w:t>
      </w:r>
      <w:r w:rsidR="00B25AA6">
        <w:t>B</w:t>
      </w:r>
      <w:r>
        <w:t>irimi</w:t>
      </w:r>
      <w:r w:rsidR="001010BD">
        <w:t>’</w:t>
      </w:r>
      <w:r>
        <w:t xml:space="preserve">ndeki organik satış değişimi, yüzde -0,5 </w:t>
      </w:r>
      <w:r w:rsidR="001010BD">
        <w:t>ile</w:t>
      </w:r>
      <w:r>
        <w:t xml:space="preserve"> </w:t>
      </w:r>
      <w:r w:rsidR="001010BD">
        <w:t xml:space="preserve">hafif oranda </w:t>
      </w:r>
      <w:r>
        <w:t xml:space="preserve">negatif seyretti. Profesyonel iş biriminde süregelen toparlanma olumlu bir etki yaratırken, Beauty Care’e ait tüketici iş birimi, açıklanan portföy tedbirlerinin uygulamaya geçirilmesinden özellikle etkilendi. </w:t>
      </w:r>
      <w:r>
        <w:rPr>
          <w:b/>
          <w:bCs/>
          <w:szCs w:val="22"/>
        </w:rPr>
        <w:t>Çamaşır ve Ev Bakım</w:t>
      </w:r>
      <w:r>
        <w:t xml:space="preserve"> </w:t>
      </w:r>
      <w:r w:rsidR="001010BD">
        <w:t>İ</w:t>
      </w:r>
      <w:r>
        <w:t xml:space="preserve">ş </w:t>
      </w:r>
      <w:r w:rsidR="001010BD">
        <w:t>B</w:t>
      </w:r>
      <w:r>
        <w:t>irimi, özellikle Çamaşır Bakım iş alanındaki göze çarpan büyümenin etkisiyle</w:t>
      </w:r>
      <w:r w:rsidR="00432D57">
        <w:t>,</w:t>
      </w:r>
      <w:r>
        <w:t xml:space="preserve"> yüzde 6,3</w:t>
      </w:r>
      <w:r w:rsidR="001010BD">
        <w:t xml:space="preserve"> oranında</w:t>
      </w:r>
      <w:r>
        <w:t xml:space="preserve"> çok güçlü organik </w:t>
      </w:r>
      <w:r w:rsidR="001010BD">
        <w:t xml:space="preserve">bir </w:t>
      </w:r>
      <w:r>
        <w:t>satış büyümesi elde etti.</w:t>
      </w:r>
    </w:p>
    <w:p w14:paraId="394C62B3" w14:textId="77777777" w:rsidR="00B15676" w:rsidRDefault="00B15676" w:rsidP="00B15676">
      <w:pPr>
        <w:rPr>
          <w:rFonts w:cs="Segoe UI"/>
          <w:szCs w:val="22"/>
          <w:lang w:val="en-US"/>
        </w:rPr>
      </w:pPr>
    </w:p>
    <w:p w14:paraId="7C495E43" w14:textId="75500465" w:rsidR="004A1D94" w:rsidRPr="004A1D94" w:rsidRDefault="004A1D94" w:rsidP="004A1D94">
      <w:pPr>
        <w:rPr>
          <w:rFonts w:cs="Segoe UI"/>
          <w:szCs w:val="22"/>
        </w:rPr>
      </w:pPr>
      <w:r>
        <w:rPr>
          <w:b/>
          <w:bCs/>
          <w:szCs w:val="22"/>
        </w:rPr>
        <w:t>Gelişmekte olan pazarlarda</w:t>
      </w:r>
      <w:r>
        <w:t xml:space="preserve"> yüzde 13,3</w:t>
      </w:r>
      <w:r w:rsidR="00081F20">
        <w:t xml:space="preserve"> oranında</w:t>
      </w:r>
      <w:r>
        <w:t xml:space="preserve"> çift haneli organik satış büyümesi gözlenirken, </w:t>
      </w:r>
      <w:r>
        <w:rPr>
          <w:b/>
        </w:rPr>
        <w:t>gelişmiş pazarlarda</w:t>
      </w:r>
      <w:r>
        <w:t xml:space="preserve"> ise yüzde 5,2’lik güçlü bir organik satış performansı sergilendi.</w:t>
      </w:r>
    </w:p>
    <w:p w14:paraId="5A227D67" w14:textId="77777777" w:rsidR="004A1D94" w:rsidRPr="004A1D94" w:rsidRDefault="004A1D94" w:rsidP="00295715">
      <w:pPr>
        <w:rPr>
          <w:rFonts w:cs="Segoe UI"/>
          <w:szCs w:val="22"/>
          <w:lang w:val="en-US"/>
        </w:rPr>
      </w:pPr>
    </w:p>
    <w:p w14:paraId="4CF76A8C" w14:textId="34CCD2C0" w:rsidR="00937A98" w:rsidRDefault="00937A98" w:rsidP="00295715">
      <w:pPr>
        <w:rPr>
          <w:rFonts w:cs="Segoe UI"/>
          <w:szCs w:val="22"/>
        </w:rPr>
      </w:pPr>
      <w:r>
        <w:rPr>
          <w:b/>
          <w:bCs/>
          <w:szCs w:val="22"/>
        </w:rPr>
        <w:t>Düzeltilmiş faaliyet kârı</w:t>
      </w:r>
      <w:r>
        <w:t xml:space="preserve"> </w:t>
      </w:r>
      <w:r>
        <w:rPr>
          <w:b/>
        </w:rPr>
        <w:t>(düzeltilmiş VFÖK)</w:t>
      </w:r>
      <w:r>
        <w:t>, 2021 mali yılın</w:t>
      </w:r>
      <w:r w:rsidR="00C770D4">
        <w:t>da ortaya konan</w:t>
      </w:r>
      <w:r>
        <w:t xml:space="preserve"> 2,686 milyar </w:t>
      </w:r>
      <w:r w:rsidR="00705608">
        <w:t>Euro</w:t>
      </w:r>
      <w:r>
        <w:t xml:space="preserve"> rakamına kıyasla, 2,319 milyar </w:t>
      </w:r>
      <w:r w:rsidR="00705608">
        <w:t>Euro</w:t>
      </w:r>
      <w:r>
        <w:t xml:space="preserve"> </w:t>
      </w:r>
      <w:r w:rsidR="00C770D4">
        <w:t>seviyesinde gerçekleşti</w:t>
      </w:r>
      <w:r>
        <w:t xml:space="preserve"> (yüzde -13,7). Ham</w:t>
      </w:r>
      <w:r w:rsidR="00B25AA6">
        <w:t xml:space="preserve"> </w:t>
      </w:r>
      <w:r>
        <w:t>madde ve lojistik fiyatlarındaki önemli artışların Grup kârlılığı üzerindeki etkisi</w:t>
      </w:r>
      <w:r w:rsidR="0059367C">
        <w:t>;</w:t>
      </w:r>
      <w:r>
        <w:t xml:space="preserve"> olumlu fiyat gelişmeleri</w:t>
      </w:r>
      <w:r w:rsidR="0059367C">
        <w:t>,</w:t>
      </w:r>
      <w:r>
        <w:t xml:space="preserve"> üretim ve tedarik zincirinde maliyetleri düşürmeye ve verimliliği artırmaya yönelik devam eden tedbirlerle tam olarak telafi edilemedi.</w:t>
      </w:r>
    </w:p>
    <w:p w14:paraId="27FB1362" w14:textId="77777777" w:rsidR="00937A98" w:rsidRDefault="00937A98" w:rsidP="00295715">
      <w:pPr>
        <w:rPr>
          <w:rFonts w:cs="Segoe UI"/>
          <w:szCs w:val="22"/>
          <w:lang w:val="en-US"/>
        </w:rPr>
      </w:pPr>
    </w:p>
    <w:p w14:paraId="006B44B6" w14:textId="104B25DF" w:rsidR="00295715" w:rsidRPr="00937A98" w:rsidRDefault="00937A98" w:rsidP="00295715">
      <w:pPr>
        <w:rPr>
          <w:rFonts w:cs="Segoe UI"/>
          <w:szCs w:val="22"/>
        </w:rPr>
      </w:pPr>
      <w:r>
        <w:t xml:space="preserve">2022 mali yılındaki </w:t>
      </w:r>
      <w:r>
        <w:rPr>
          <w:b/>
        </w:rPr>
        <w:t>düzeltilmiş satış kazancı (düzeltilmiş VFÖK marjı)</w:t>
      </w:r>
      <w:r>
        <w:t xml:space="preserve"> yüzde 10,4 ile bir önceki yılda elde edilen düzeyin altında kaldı (2021: yüzde 13,4).</w:t>
      </w:r>
    </w:p>
    <w:p w14:paraId="2E37A487" w14:textId="77777777" w:rsidR="00295715" w:rsidRPr="00A24FBF" w:rsidRDefault="00295715" w:rsidP="00295715">
      <w:pPr>
        <w:rPr>
          <w:rFonts w:cs="Segoe UI"/>
          <w:szCs w:val="22"/>
        </w:rPr>
      </w:pPr>
      <w:r>
        <w:lastRenderedPageBreak/>
        <w:t xml:space="preserve"> </w:t>
      </w:r>
    </w:p>
    <w:p w14:paraId="33E4A411" w14:textId="4AD239EB" w:rsidR="002946E7" w:rsidRDefault="002946E7" w:rsidP="004D7AB4">
      <w:pPr>
        <w:rPr>
          <w:rFonts w:cs="Segoe UI"/>
          <w:szCs w:val="22"/>
        </w:rPr>
      </w:pPr>
      <w:r>
        <w:rPr>
          <w:b/>
          <w:szCs w:val="22"/>
        </w:rPr>
        <w:t>İmtiyazlı hisse senedi başına kârlılık</w:t>
      </w:r>
      <w:r>
        <w:t xml:space="preserve"> yüzde -14,5 oranında azalarak 3,90 </w:t>
      </w:r>
      <w:r w:rsidR="00705608">
        <w:t>Euro</w:t>
      </w:r>
      <w:r>
        <w:t xml:space="preserve"> değerinde gerçekleşti (bir önceki yıl: 4,56 </w:t>
      </w:r>
      <w:r w:rsidR="00705608">
        <w:t>Euro</w:t>
      </w:r>
      <w:r>
        <w:t xml:space="preserve">). Bu rakam, sabit kur </w:t>
      </w:r>
      <w:r w:rsidR="00F16651">
        <w:t xml:space="preserve">ile </w:t>
      </w:r>
      <w:r>
        <w:t>yüzde -17,8</w:t>
      </w:r>
      <w:r w:rsidR="00F16651">
        <w:t xml:space="preserve"> oranında</w:t>
      </w:r>
      <w:r>
        <w:t xml:space="preserve"> bir değişimi ifade </w:t>
      </w:r>
      <w:r w:rsidR="004D7AB4">
        <w:t>ediyor</w:t>
      </w:r>
      <w:r>
        <w:t>.</w:t>
      </w:r>
    </w:p>
    <w:p w14:paraId="203CDECF" w14:textId="77777777" w:rsidR="002946E7" w:rsidRDefault="002946E7" w:rsidP="00295715">
      <w:pPr>
        <w:rPr>
          <w:rFonts w:cs="Segoe UI"/>
          <w:szCs w:val="22"/>
          <w:lang w:val="en-US"/>
        </w:rPr>
      </w:pPr>
    </w:p>
    <w:p w14:paraId="114660A1" w14:textId="31F0E471" w:rsidR="00B15676" w:rsidRPr="00B15676" w:rsidRDefault="00191593" w:rsidP="00B15676">
      <w:pPr>
        <w:rPr>
          <w:rFonts w:cs="Segoe UI"/>
          <w:szCs w:val="22"/>
        </w:rPr>
      </w:pPr>
      <w:r w:rsidRPr="00A34A49">
        <w:rPr>
          <w:b/>
        </w:rPr>
        <w:t>Satış yüzdesi olarak n</w:t>
      </w:r>
      <w:r w:rsidR="00B15676" w:rsidRPr="00A34A49">
        <w:rPr>
          <w:b/>
        </w:rPr>
        <w:t>et işletme sermayesi</w:t>
      </w:r>
      <w:r w:rsidRPr="00A34A49">
        <w:rPr>
          <w:b/>
        </w:rPr>
        <w:t>,</w:t>
      </w:r>
      <w:r w:rsidR="00B15676" w:rsidRPr="00A34A49">
        <w:t xml:space="preserve"> bir önceki yıla nazaran</w:t>
      </w:r>
      <w:r w:rsidR="00640CFD" w:rsidRPr="00A34A49">
        <w:t xml:space="preserve"> 2,3 yüzde puanı artarak</w:t>
      </w:r>
      <w:r w:rsidR="00B15676" w:rsidRPr="00A34A49">
        <w:t xml:space="preserve"> yüzde 4,5'e yükseldi. Net işletme sermayesindeki bu artış, her şeyden önce doğrudan malzeme fiyatlarının önemli ölçüde yükselmesinden kaynaklandı.</w:t>
      </w:r>
      <w:r w:rsidR="00B15676">
        <w:t xml:space="preserve"> </w:t>
      </w:r>
    </w:p>
    <w:p w14:paraId="7ED3E25B" w14:textId="77777777" w:rsidR="00295715" w:rsidRPr="00A24FBF" w:rsidRDefault="00295715" w:rsidP="00295715">
      <w:pPr>
        <w:rPr>
          <w:rFonts w:cs="Segoe UI"/>
          <w:szCs w:val="22"/>
          <w:lang w:val="en-US"/>
        </w:rPr>
      </w:pPr>
    </w:p>
    <w:p w14:paraId="12CE462D" w14:textId="5725F4AE" w:rsidR="00677F8A" w:rsidRDefault="00B15676" w:rsidP="00B15676">
      <w:pPr>
        <w:rPr>
          <w:rFonts w:cs="Segoe UI"/>
          <w:szCs w:val="22"/>
        </w:rPr>
      </w:pPr>
      <w:r>
        <w:rPr>
          <w:b/>
        </w:rPr>
        <w:t>Serbest nakit akışı</w:t>
      </w:r>
      <w:r>
        <w:t xml:space="preserve">, bir önceki yıla göre önemli bir düşüş sergileyerek 653 milyon </w:t>
      </w:r>
      <w:r w:rsidR="00705608">
        <w:t>Euro</w:t>
      </w:r>
      <w:r>
        <w:t xml:space="preserve"> olarak gerçekleşti (2021: 1</w:t>
      </w:r>
      <w:r w:rsidR="00191593">
        <w:t>,</w:t>
      </w:r>
      <w:r>
        <w:t>478 mily</w:t>
      </w:r>
      <w:r w:rsidR="00191593">
        <w:t>ar</w:t>
      </w:r>
      <w:r>
        <w:t xml:space="preserve"> </w:t>
      </w:r>
      <w:r w:rsidR="00705608">
        <w:t>Euro</w:t>
      </w:r>
      <w:r>
        <w:t>). Bu durum, daha yüksek net işletme sermayesi ve daha düşük faaliyet kârının bir sonucu olarak</w:t>
      </w:r>
      <w:r w:rsidR="00E072D8">
        <w:t>,</w:t>
      </w:r>
      <w:r>
        <w:t xml:space="preserve"> işletme faaliyetlerinden elde edilen daha düşük nakit akışından kaynaklandı.</w:t>
      </w:r>
    </w:p>
    <w:p w14:paraId="483B3E68" w14:textId="77777777" w:rsidR="00677F8A" w:rsidRDefault="00677F8A" w:rsidP="00B15676">
      <w:pPr>
        <w:rPr>
          <w:rFonts w:cs="Segoe UI"/>
          <w:szCs w:val="22"/>
          <w:lang w:val="en-US"/>
        </w:rPr>
      </w:pPr>
    </w:p>
    <w:p w14:paraId="2ED88060" w14:textId="765DC116" w:rsidR="00295715" w:rsidRPr="00A24FBF" w:rsidRDefault="00677F8A" w:rsidP="004D7AB4">
      <w:pPr>
        <w:rPr>
          <w:rFonts w:cs="Segoe UI"/>
        </w:rPr>
      </w:pPr>
      <w:r>
        <w:rPr>
          <w:b/>
          <w:bCs/>
          <w:szCs w:val="22"/>
        </w:rPr>
        <w:t>Net mali durum</w:t>
      </w:r>
      <w:r>
        <w:t xml:space="preserve"> -1,267 milyar </w:t>
      </w:r>
      <w:r w:rsidR="00705608">
        <w:t>Euro</w:t>
      </w:r>
      <w:r>
        <w:t xml:space="preserve"> olarak gerçekleş</w:t>
      </w:r>
      <w:r w:rsidR="004D7AB4">
        <w:t>ti</w:t>
      </w:r>
      <w:r>
        <w:t xml:space="preserve"> (31 Aralık 2021: -292 milyon </w:t>
      </w:r>
      <w:r w:rsidR="00705608">
        <w:t>Euro</w:t>
      </w:r>
      <w:r>
        <w:t xml:space="preserve">). Bu rakam aynı zamanda Şubat 2022'de başlatılan hisse geri </w:t>
      </w:r>
      <w:r w:rsidR="001870DE">
        <w:t xml:space="preserve">satın </w:t>
      </w:r>
      <w:r>
        <w:t>alım</w:t>
      </w:r>
      <w:r w:rsidR="001870DE">
        <w:t>ı</w:t>
      </w:r>
      <w:r>
        <w:t xml:space="preserve"> programına ilişkin harcamaları ve ikinci çeyrekteki temettü ödemesini de yansıt</w:t>
      </w:r>
      <w:r w:rsidR="004D7AB4">
        <w:t>ıyor</w:t>
      </w:r>
      <w:r>
        <w:t>.</w:t>
      </w:r>
    </w:p>
    <w:p w14:paraId="42C1A317" w14:textId="77777777" w:rsidR="00295715" w:rsidRPr="00A24FBF" w:rsidRDefault="00295715" w:rsidP="00295715">
      <w:pPr>
        <w:rPr>
          <w:rFonts w:cs="Segoe UI"/>
          <w:lang w:val="en-US"/>
        </w:rPr>
      </w:pPr>
    </w:p>
    <w:p w14:paraId="5EB92BD5" w14:textId="31112C47" w:rsidR="00295B5D" w:rsidRDefault="00783912" w:rsidP="004D7AB4">
      <w:pPr>
        <w:rPr>
          <w:rFonts w:cs="Segoe UI"/>
        </w:rPr>
      </w:pPr>
      <w:r>
        <w:t>Yönetim Kurulu, Denetleme Kurulu ve Hissedarlar Komitesi, 24 Nisan 2023 tarihinde yapılacak Yıllık Genel Kurul</w:t>
      </w:r>
      <w:r w:rsidR="00211535">
        <w:t>’da,</w:t>
      </w:r>
      <w:r>
        <w:t xml:space="preserve"> imtiyazlı hisse senedi başına 1,85 </w:t>
      </w:r>
      <w:r w:rsidR="00705608">
        <w:t>Euro</w:t>
      </w:r>
      <w:r>
        <w:t xml:space="preserve"> ve </w:t>
      </w:r>
      <w:r w:rsidR="00211535">
        <w:t>serbest dolaşımdaki</w:t>
      </w:r>
      <w:r>
        <w:t xml:space="preserve"> hisse senedi başına 1,83 </w:t>
      </w:r>
      <w:r w:rsidR="00705608">
        <w:t>Euro</w:t>
      </w:r>
      <w:r>
        <w:t xml:space="preserve"> olmak üzere</w:t>
      </w:r>
      <w:r w:rsidR="00E072D8">
        <w:t>,</w:t>
      </w:r>
      <w:r>
        <w:t xml:space="preserve"> bir önceki yıla göre sabit bir temettü önerecek. Bu rakam yüzde 46,6'lık bir ödeme oranına denk gelmekte olup</w:t>
      </w:r>
      <w:r w:rsidR="00E072D8">
        <w:t>,</w:t>
      </w:r>
      <w:r>
        <w:t xml:space="preserve"> hedef aralık olan yüzde 30 il</w:t>
      </w:r>
      <w:r w:rsidR="00211535">
        <w:t>e</w:t>
      </w:r>
      <w:r>
        <w:t xml:space="preserve"> 40</w:t>
      </w:r>
      <w:r w:rsidR="00211535">
        <w:t xml:space="preserve"> arasındaki</w:t>
      </w:r>
      <w:r>
        <w:t xml:space="preserve"> oranın üzerindedir ve özellikle oldukça yüksek emtia fiyatları ve lojistik maliyetlerinin </w:t>
      </w:r>
      <w:r w:rsidR="00705608" w:rsidRPr="00705608">
        <w:t>kârlılık</w:t>
      </w:r>
      <w:r>
        <w:t xml:space="preserve"> üzerinde yarattığı olağandışı yükü yansıt</w:t>
      </w:r>
      <w:r w:rsidR="00211535">
        <w:t>maktadır</w:t>
      </w:r>
      <w:r>
        <w:t xml:space="preserve">. Bu ödeme, Henkel Grup'un güçlü mali </w:t>
      </w:r>
      <w:r w:rsidR="00E072D8">
        <w:t>temeli</w:t>
      </w:r>
      <w:r>
        <w:t xml:space="preserve"> ve düşük net borcu sayesinde mümkün </w:t>
      </w:r>
      <w:r w:rsidR="004D7AB4">
        <w:t>ol</w:t>
      </w:r>
      <w:r w:rsidR="00211535">
        <w:t>maktadır</w:t>
      </w:r>
      <w:r>
        <w:t>. Henkel bu sayede, hissedarları için temettü sürekliliğini sağlayabil</w:t>
      </w:r>
      <w:r w:rsidR="00211535">
        <w:t>mektedir</w:t>
      </w:r>
      <w:r>
        <w:t xml:space="preserve">. </w:t>
      </w:r>
    </w:p>
    <w:p w14:paraId="4B6A6AFA" w14:textId="77777777" w:rsidR="00295B5D" w:rsidRDefault="00295B5D" w:rsidP="00783912">
      <w:pPr>
        <w:rPr>
          <w:rFonts w:cs="Segoe UI"/>
          <w:lang w:val="en-US"/>
        </w:rPr>
      </w:pPr>
    </w:p>
    <w:p w14:paraId="3646BDD4" w14:textId="17449B2A" w:rsidR="00295715" w:rsidRPr="00295B5D" w:rsidRDefault="00295B5D" w:rsidP="00295715">
      <w:pPr>
        <w:spacing w:after="120"/>
        <w:rPr>
          <w:rFonts w:cs="Segoe UI"/>
          <w:b/>
          <w:bCs/>
          <w:szCs w:val="22"/>
        </w:rPr>
      </w:pPr>
      <w:r w:rsidRPr="004D7AB4">
        <w:rPr>
          <w:b/>
          <w:bCs/>
          <w:szCs w:val="22"/>
        </w:rPr>
        <w:t xml:space="preserve">2022 </w:t>
      </w:r>
      <w:r w:rsidR="00211535">
        <w:rPr>
          <w:b/>
          <w:bCs/>
          <w:szCs w:val="22"/>
        </w:rPr>
        <w:t>M</w:t>
      </w:r>
      <w:r w:rsidRPr="004D7AB4">
        <w:rPr>
          <w:b/>
          <w:bCs/>
          <w:szCs w:val="22"/>
        </w:rPr>
        <w:t xml:space="preserve">ali </w:t>
      </w:r>
      <w:r w:rsidR="00211535">
        <w:rPr>
          <w:b/>
          <w:bCs/>
          <w:szCs w:val="22"/>
        </w:rPr>
        <w:t>Y</w:t>
      </w:r>
      <w:r w:rsidRPr="004D7AB4">
        <w:rPr>
          <w:b/>
          <w:bCs/>
          <w:szCs w:val="22"/>
        </w:rPr>
        <w:t xml:space="preserve">ılında </w:t>
      </w:r>
      <w:r w:rsidR="00211535">
        <w:rPr>
          <w:b/>
          <w:bCs/>
          <w:szCs w:val="22"/>
        </w:rPr>
        <w:t>İ</w:t>
      </w:r>
      <w:r w:rsidRPr="004D7AB4">
        <w:rPr>
          <w:b/>
          <w:bCs/>
          <w:szCs w:val="22"/>
        </w:rPr>
        <w:t xml:space="preserve">ş </w:t>
      </w:r>
      <w:r w:rsidR="00211535">
        <w:rPr>
          <w:b/>
          <w:bCs/>
          <w:szCs w:val="22"/>
        </w:rPr>
        <w:t>B</w:t>
      </w:r>
      <w:r w:rsidRPr="004D7AB4">
        <w:rPr>
          <w:b/>
          <w:bCs/>
          <w:szCs w:val="22"/>
        </w:rPr>
        <w:t xml:space="preserve">irimi </w:t>
      </w:r>
      <w:r w:rsidR="00211535">
        <w:rPr>
          <w:b/>
          <w:bCs/>
          <w:szCs w:val="22"/>
        </w:rPr>
        <w:t>P</w:t>
      </w:r>
      <w:r w:rsidRPr="004D7AB4">
        <w:rPr>
          <w:b/>
          <w:bCs/>
          <w:szCs w:val="22"/>
        </w:rPr>
        <w:t>erformansı</w:t>
      </w:r>
    </w:p>
    <w:p w14:paraId="7ED02FDC" w14:textId="48AF8BB2" w:rsidR="001E3031" w:rsidRPr="001E3031" w:rsidRDefault="007A33FD" w:rsidP="00D76BF0">
      <w:pPr>
        <w:rPr>
          <w:rFonts w:cs="Segoe UI"/>
          <w:szCs w:val="22"/>
        </w:rPr>
      </w:pPr>
      <w:r>
        <w:rPr>
          <w:b/>
          <w:bCs/>
          <w:szCs w:val="22"/>
        </w:rPr>
        <w:t>Yapıştırıcı Teknolojileri</w:t>
      </w:r>
      <w:r>
        <w:t xml:space="preserve"> </w:t>
      </w:r>
      <w:r w:rsidR="00C551DE">
        <w:t>İ</w:t>
      </w:r>
      <w:r>
        <w:t xml:space="preserve">ş </w:t>
      </w:r>
      <w:r w:rsidR="00C551DE">
        <w:t>B</w:t>
      </w:r>
      <w:r>
        <w:t>irim</w:t>
      </w:r>
      <w:r w:rsidR="00A51D58">
        <w:t>’</w:t>
      </w:r>
      <w:r>
        <w:t xml:space="preserve">inin </w:t>
      </w:r>
      <w:r>
        <w:rPr>
          <w:b/>
          <w:bCs/>
          <w:szCs w:val="22"/>
        </w:rPr>
        <w:t>satışları</w:t>
      </w:r>
      <w:r>
        <w:t xml:space="preserve"> 2022 mali yılında nominal olarak yüzde 16,6 oranında artarak 11,242 milyar </w:t>
      </w:r>
      <w:r w:rsidR="00705608">
        <w:t>Euro’</w:t>
      </w:r>
      <w:r>
        <w:t xml:space="preserve">ya yükseldi. Satışlar </w:t>
      </w:r>
      <w:r>
        <w:rPr>
          <w:b/>
        </w:rPr>
        <w:t>organik</w:t>
      </w:r>
      <w:r>
        <w:t xml:space="preserve"> olarak yüzde 13,2 oranında büyüdü. Satışlardaki bu büyüme, fiyatlardaki çift haneli artıştan kaynaklan</w:t>
      </w:r>
      <w:r w:rsidR="00211535">
        <w:t>dı.</w:t>
      </w:r>
      <w:r>
        <w:t xml:space="preserve"> </w:t>
      </w:r>
      <w:r>
        <w:rPr>
          <w:b/>
        </w:rPr>
        <w:t>Düzeltilmiş faaliyet kârı</w:t>
      </w:r>
      <w:r>
        <w:t xml:space="preserve"> bir yıllık dönemde hafif bir düşüşle 1</w:t>
      </w:r>
      <w:r w:rsidR="00211535">
        <w:t>,</w:t>
      </w:r>
      <w:r>
        <w:t>530 mily</w:t>
      </w:r>
      <w:r w:rsidR="00211535">
        <w:t>ar</w:t>
      </w:r>
      <w:r>
        <w:t xml:space="preserve"> </w:t>
      </w:r>
      <w:r w:rsidR="00705608">
        <w:t>Euro</w:t>
      </w:r>
      <w:r>
        <w:t xml:space="preserve"> olarak gerçekleşti (2021: 1</w:t>
      </w:r>
      <w:r w:rsidR="00211535">
        <w:t>,</w:t>
      </w:r>
      <w:r>
        <w:t>561 mily</w:t>
      </w:r>
      <w:r w:rsidR="00211535">
        <w:t>ar</w:t>
      </w:r>
      <w:r>
        <w:t xml:space="preserve"> </w:t>
      </w:r>
      <w:r w:rsidR="00705608">
        <w:t>Euro</w:t>
      </w:r>
      <w:r>
        <w:t xml:space="preserve">). </w:t>
      </w:r>
      <w:r>
        <w:rPr>
          <w:b/>
        </w:rPr>
        <w:t>Düzeltilmiş satış kazancı</w:t>
      </w:r>
      <w:r>
        <w:t xml:space="preserve"> bir önceki yıldaki yüzde 16,2'ye kıyasla yüzde 13,6</w:t>
      </w:r>
      <w:r w:rsidR="00211535">
        <w:t xml:space="preserve"> seviyesinde idi.</w:t>
      </w:r>
      <w:r>
        <w:t xml:space="preserve"> Bunun başlıca nedeni, doğrudan malzeme fiyatlarındaki ciddi artıştan olumsuz etkilenen brüt kâr marjındaki düşüş</w:t>
      </w:r>
      <w:r w:rsidR="00D76BF0">
        <w:t xml:space="preserve"> olarak ifade edildi</w:t>
      </w:r>
      <w:r>
        <w:t>.</w:t>
      </w:r>
    </w:p>
    <w:p w14:paraId="7412AC6B" w14:textId="77777777" w:rsidR="00295715" w:rsidRPr="00A24FBF" w:rsidRDefault="00295715" w:rsidP="00295715">
      <w:pPr>
        <w:rPr>
          <w:rFonts w:cs="Segoe UI"/>
          <w:szCs w:val="22"/>
          <w:lang w:val="en-US"/>
        </w:rPr>
      </w:pPr>
    </w:p>
    <w:p w14:paraId="33C731B0" w14:textId="30D9F237" w:rsidR="006F099D" w:rsidRPr="006F099D" w:rsidRDefault="00254F65" w:rsidP="006F099D">
      <w:pPr>
        <w:rPr>
          <w:rFonts w:cs="Segoe UI"/>
          <w:szCs w:val="22"/>
        </w:rPr>
      </w:pPr>
      <w:r>
        <w:rPr>
          <w:b/>
          <w:bCs/>
          <w:szCs w:val="22"/>
        </w:rPr>
        <w:t>Beauty Care</w:t>
      </w:r>
      <w:r>
        <w:t xml:space="preserve"> </w:t>
      </w:r>
      <w:r w:rsidR="00C551DE">
        <w:t>İ</w:t>
      </w:r>
      <w:r>
        <w:t xml:space="preserve">ş </w:t>
      </w:r>
      <w:r w:rsidR="00C551DE">
        <w:t>B</w:t>
      </w:r>
      <w:r>
        <w:t>irimi</w:t>
      </w:r>
      <w:r w:rsidR="00C551DE">
        <w:t>’</w:t>
      </w:r>
      <w:r>
        <w:t xml:space="preserve">nde satışlar 2022 mali yılında nominal olarak yüzde -2,6 oranında azalarak 3,775 milyar </w:t>
      </w:r>
      <w:r w:rsidR="00705608">
        <w:t>Euro</w:t>
      </w:r>
      <w:r>
        <w:t xml:space="preserve"> tutarında gerçekleşti. Satışlar </w:t>
      </w:r>
      <w:r>
        <w:rPr>
          <w:b/>
          <w:bCs/>
          <w:szCs w:val="22"/>
        </w:rPr>
        <w:t>organik</w:t>
      </w:r>
      <w:r>
        <w:t xml:space="preserve"> olarak yüzde -0,5’lik hafif bir düşüş </w:t>
      </w:r>
      <w:r>
        <w:lastRenderedPageBreak/>
        <w:t xml:space="preserve">sergiledi. Bu durum ise farklı gelişmelerden kaynaklandı. Profesyonel iş birimi çok güçlü bir satış büyümesine tanıklık ederken, tüketici iş birimi, özellikle açıklanan portföy tedbirlerinin uygulanması nedeniyle, organik olarak bir önceki yıl düzeyinin altında kaldı. </w:t>
      </w:r>
      <w:r>
        <w:rPr>
          <w:b/>
          <w:bCs/>
          <w:szCs w:val="22"/>
        </w:rPr>
        <w:t>Düzeltilmiş faaliyet kârı</w:t>
      </w:r>
      <w:r>
        <w:t xml:space="preserve"> 269 milyon </w:t>
      </w:r>
      <w:r w:rsidR="00705608">
        <w:t>Euro</w:t>
      </w:r>
      <w:r w:rsidR="00560F12">
        <w:t xml:space="preserve"> </w:t>
      </w:r>
      <w:r w:rsidR="0020160E">
        <w:t>olarak gerçekleşti</w:t>
      </w:r>
      <w:r>
        <w:t xml:space="preserve"> (bir önceki yıl: 351 milyon </w:t>
      </w:r>
      <w:r w:rsidR="00705608">
        <w:t>Euro</w:t>
      </w:r>
      <w:r>
        <w:t xml:space="preserve">). </w:t>
      </w:r>
      <w:r>
        <w:rPr>
          <w:b/>
          <w:bCs/>
          <w:szCs w:val="22"/>
        </w:rPr>
        <w:t>Düzeltilmiş satış kazancı</w:t>
      </w:r>
      <w:r>
        <w:t xml:space="preserve"> ise yüzde 7,8 düzeyine geriledi (bir önceki yıl: yüzde 9,5). Bu durum, brüt </w:t>
      </w:r>
      <w:r w:rsidR="0020160E" w:rsidRPr="0020160E">
        <w:t xml:space="preserve">kâr </w:t>
      </w:r>
      <w:r>
        <w:t>marj</w:t>
      </w:r>
      <w:r w:rsidR="0020160E">
        <w:t>ın</w:t>
      </w:r>
      <w:r>
        <w:t>daki düşüşün yanı sıra</w:t>
      </w:r>
      <w:r w:rsidR="0020160E">
        <w:t>,</w:t>
      </w:r>
      <w:r>
        <w:t xml:space="preserve"> kısmen pazarlama ve reklam yatırımlarındaki hafif artıştan kaynaklandı.</w:t>
      </w:r>
    </w:p>
    <w:p w14:paraId="00A01DCC" w14:textId="77777777" w:rsidR="00295715" w:rsidRPr="00A24FBF" w:rsidRDefault="00295715" w:rsidP="00295715">
      <w:pPr>
        <w:rPr>
          <w:rFonts w:cs="Segoe UI"/>
          <w:szCs w:val="22"/>
          <w:lang w:val="en-US"/>
        </w:rPr>
      </w:pPr>
    </w:p>
    <w:p w14:paraId="7357C9A4" w14:textId="3EA6D08E" w:rsidR="006F099D" w:rsidRDefault="006F099D" w:rsidP="00D76BF0">
      <w:pPr>
        <w:rPr>
          <w:rFonts w:cs="Segoe UI"/>
          <w:szCs w:val="22"/>
        </w:rPr>
      </w:pPr>
      <w:r>
        <w:rPr>
          <w:b/>
        </w:rPr>
        <w:t>Çamaşır ve</w:t>
      </w:r>
      <w:r>
        <w:t xml:space="preserve"> </w:t>
      </w:r>
      <w:r>
        <w:rPr>
          <w:b/>
          <w:bCs/>
          <w:szCs w:val="22"/>
        </w:rPr>
        <w:t>Ev Bakım</w:t>
      </w:r>
      <w:r>
        <w:t xml:space="preserve"> </w:t>
      </w:r>
      <w:r w:rsidR="009E531A">
        <w:t>İ</w:t>
      </w:r>
      <w:r>
        <w:t xml:space="preserve">ş </w:t>
      </w:r>
      <w:r w:rsidR="009E531A">
        <w:t>B</w:t>
      </w:r>
      <w:r>
        <w:t>irimi</w:t>
      </w:r>
      <w:r w:rsidR="009E531A">
        <w:t>’</w:t>
      </w:r>
      <w:r>
        <w:t xml:space="preserve">ne ait </w:t>
      </w:r>
      <w:r>
        <w:rPr>
          <w:b/>
        </w:rPr>
        <w:t>satışlar</w:t>
      </w:r>
      <w:r>
        <w:t xml:space="preserve"> 2022 mali yılında nominal </w:t>
      </w:r>
      <w:r w:rsidR="009E531A">
        <w:t xml:space="preserve">olarak </w:t>
      </w:r>
      <w:r>
        <w:t xml:space="preserve"> yüzde 8,3 oranında artarak 7,152 milyar </w:t>
      </w:r>
      <w:r w:rsidR="00705608">
        <w:t>Euro</w:t>
      </w:r>
      <w:r>
        <w:t xml:space="preserve"> değerinde gerçekleşti. Satışlar </w:t>
      </w:r>
      <w:r>
        <w:rPr>
          <w:b/>
        </w:rPr>
        <w:t>organik</w:t>
      </w:r>
      <w:r>
        <w:t xml:space="preserve"> olarak yüzde 6,3 oranında artış gösterdi. Satışlardaki artış fiyat kaynaklı olurken, hacimler </w:t>
      </w:r>
      <w:r w:rsidR="00D76BF0">
        <w:t>geriledi</w:t>
      </w:r>
      <w:r>
        <w:t xml:space="preserve">. 614 milyon </w:t>
      </w:r>
      <w:r w:rsidR="00705608">
        <w:t>Euro’</w:t>
      </w:r>
      <w:r>
        <w:t xml:space="preserve">luk </w:t>
      </w:r>
      <w:r>
        <w:rPr>
          <w:b/>
          <w:bCs/>
          <w:szCs w:val="22"/>
        </w:rPr>
        <w:t>düzeltilmiş faaliyet kârı</w:t>
      </w:r>
      <w:r>
        <w:t xml:space="preserve"> bir önceki yılda gerçekleşen düzeyin (904 milyon </w:t>
      </w:r>
      <w:r w:rsidR="00705608">
        <w:t>Euro</w:t>
      </w:r>
      <w:r>
        <w:t xml:space="preserve">) altında kaldı. </w:t>
      </w:r>
      <w:r>
        <w:rPr>
          <w:b/>
        </w:rPr>
        <w:t>Düzeltilmiş satış kazancı</w:t>
      </w:r>
      <w:r>
        <w:t>, ciddi oranda artan ham</w:t>
      </w:r>
      <w:r w:rsidR="00B25AA6">
        <w:t xml:space="preserve"> </w:t>
      </w:r>
      <w:r>
        <w:t>madde ve lojistik fiyatlarının yanı</w:t>
      </w:r>
      <w:r w:rsidR="00EE20A1">
        <w:t xml:space="preserve"> </w:t>
      </w:r>
      <w:r>
        <w:t>sıra pazarlama ve reklam harcamalarındaki artıştan kaynaklanan brüt kâr marjındaki düşüş nedeniyle yüzde 8,6'ya geriledi.</w:t>
      </w:r>
    </w:p>
    <w:p w14:paraId="39846155" w14:textId="77777777" w:rsidR="00295715" w:rsidRPr="00A24FBF" w:rsidRDefault="00295715" w:rsidP="00295715">
      <w:pPr>
        <w:rPr>
          <w:rFonts w:cs="Segoe UI"/>
          <w:szCs w:val="22"/>
          <w:lang w:val="en-US"/>
        </w:rPr>
      </w:pPr>
    </w:p>
    <w:p w14:paraId="2696DA80" w14:textId="5BA89618" w:rsidR="00295715" w:rsidRPr="005A0561" w:rsidRDefault="006F099D" w:rsidP="00295715">
      <w:pPr>
        <w:spacing w:after="120"/>
        <w:rPr>
          <w:rFonts w:cs="Segoe UI"/>
          <w:b/>
          <w:bCs/>
          <w:szCs w:val="22"/>
        </w:rPr>
      </w:pPr>
      <w:r>
        <w:rPr>
          <w:b/>
          <w:bCs/>
          <w:szCs w:val="22"/>
        </w:rPr>
        <w:t xml:space="preserve">2023 </w:t>
      </w:r>
      <w:r w:rsidR="00EE20A1">
        <w:rPr>
          <w:b/>
          <w:bCs/>
          <w:szCs w:val="22"/>
        </w:rPr>
        <w:t>için</w:t>
      </w:r>
      <w:r>
        <w:rPr>
          <w:b/>
          <w:bCs/>
          <w:szCs w:val="22"/>
        </w:rPr>
        <w:t xml:space="preserve"> Öngörü</w:t>
      </w:r>
    </w:p>
    <w:p w14:paraId="2CABFDAD" w14:textId="16D2252F" w:rsidR="005A0561" w:rsidRPr="005A0561" w:rsidRDefault="00B25AA6" w:rsidP="006B50E6">
      <w:pPr>
        <w:rPr>
          <w:rFonts w:cs="Segoe UI"/>
          <w:szCs w:val="22"/>
        </w:rPr>
      </w:pPr>
      <w:r>
        <w:t>Global</w:t>
      </w:r>
      <w:r w:rsidR="00E075D3">
        <w:t xml:space="preserve"> ekonomik büyümenin 2023 yılında da zayıflamaya devam etmesi bekleniyor. Güncel tahminlere göre, </w:t>
      </w:r>
      <w:r>
        <w:t>global</w:t>
      </w:r>
      <w:r w:rsidR="00E075D3">
        <w:t xml:space="preserve"> ekonomik ortamın, beklenen iş</w:t>
      </w:r>
      <w:r w:rsidR="000E4AE6">
        <w:t xml:space="preserve"> </w:t>
      </w:r>
      <w:r w:rsidR="00E075D3">
        <w:t>gücü maliyeti artışları ve devam eden yüksek enerji ve emtia maliyetleri nedeniyle 2023 mali yılında da enflasyon</w:t>
      </w:r>
      <w:r w:rsidR="0080513B">
        <w:t xml:space="preserve"> trendi içinde</w:t>
      </w:r>
      <w:r w:rsidR="00E075D3">
        <w:t xml:space="preserve"> olmaya devam etmesi bekleniyor. Bu bağlamda, ortalama doğrudan malzeme fiyatlarının</w:t>
      </w:r>
      <w:r w:rsidR="0080513B">
        <w:t>,</w:t>
      </w:r>
      <w:r w:rsidR="00E075D3">
        <w:t xml:space="preserve"> 2022 yılı ortalamasına </w:t>
      </w:r>
      <w:r w:rsidR="0080513B">
        <w:t>kıyasla</w:t>
      </w:r>
      <w:r w:rsidR="00401D94">
        <w:t>,</w:t>
      </w:r>
      <w:r w:rsidR="00E075D3">
        <w:t xml:space="preserve"> düşük il</w:t>
      </w:r>
      <w:r w:rsidR="00281843">
        <w:t>e</w:t>
      </w:r>
      <w:r w:rsidR="00E075D3">
        <w:t xml:space="preserve"> orta tek haneli </w:t>
      </w:r>
      <w:r w:rsidR="00281843">
        <w:t>yüzde aralığında</w:t>
      </w:r>
      <w:r w:rsidR="00E075D3">
        <w:t xml:space="preserve"> artması bekleniyor. Buna ek olarak, faiz oranlarının önceki yıllardaki düzeyinden ciddi ölçüde yüksek seyretmesi muhtemeldir. Bu nedenle, endüstriyel talebin bir önceki yıla göre daha durgun olacağı ve Henkel'in tüketi</w:t>
      </w:r>
      <w:r w:rsidR="0080513B">
        <w:t>ci</w:t>
      </w:r>
      <w:r w:rsidR="00E075D3">
        <w:t xml:space="preserve"> </w:t>
      </w:r>
      <w:r w:rsidR="0080513B">
        <w:t xml:space="preserve">ürünleri </w:t>
      </w:r>
      <w:r w:rsidR="00E075D3">
        <w:t>iş birim</w:t>
      </w:r>
      <w:r w:rsidR="0080513B">
        <w:t>ler</w:t>
      </w:r>
      <w:r w:rsidR="00E075D3">
        <w:t xml:space="preserve">inin </w:t>
      </w:r>
      <w:r w:rsidR="00401D94">
        <w:t>başlıca</w:t>
      </w:r>
      <w:r w:rsidR="00E075D3">
        <w:t xml:space="preserve"> alanlarında tüketici talebine ilişkin büyüme ivmesinin yavaşlayacağı varsayılmaktadır. Buna ek olarak, Rusya'daki ticari faaliyetlerin 2023 yılı ilk çeyreğinin sonuna kadar </w:t>
      </w:r>
      <w:r w:rsidR="000E4AE6">
        <w:t>elden çıkarılması</w:t>
      </w:r>
      <w:r w:rsidR="00E075D3">
        <w:t xml:space="preserve"> beklenmektedir. </w:t>
      </w:r>
    </w:p>
    <w:p w14:paraId="061E0B06" w14:textId="77777777" w:rsidR="005A0561" w:rsidRDefault="005A0561" w:rsidP="006B50E6">
      <w:pPr>
        <w:rPr>
          <w:rFonts w:cs="Segoe UI"/>
          <w:szCs w:val="22"/>
          <w:highlight w:val="yellow"/>
          <w:lang w:val="en-US"/>
        </w:rPr>
      </w:pPr>
    </w:p>
    <w:p w14:paraId="40864399" w14:textId="1B37E8C4" w:rsidR="00295715" w:rsidRPr="00740131" w:rsidRDefault="006B50E6" w:rsidP="006B50E6">
      <w:pPr>
        <w:rPr>
          <w:rFonts w:cs="Segoe UI"/>
          <w:szCs w:val="22"/>
        </w:rPr>
      </w:pPr>
      <w:r>
        <w:t>Bu faktörler hesaba katıldığında, Henkel 2023 mali yılında yüzde 1,0 il</w:t>
      </w:r>
      <w:r w:rsidR="00211535">
        <w:t>e</w:t>
      </w:r>
      <w:r>
        <w:t xml:space="preserve"> 3,0 arasında </w:t>
      </w:r>
      <w:r>
        <w:rPr>
          <w:b/>
        </w:rPr>
        <w:t>organik satış büyümesi</w:t>
      </w:r>
      <w:r>
        <w:t xml:space="preserve"> elde etmeyi bekle</w:t>
      </w:r>
      <w:r w:rsidR="000E4AE6">
        <w:t>rken</w:t>
      </w:r>
      <w:r>
        <w:t xml:space="preserve">, her iki iş biriminin de bu aralık içerisinde yer alması öngörülüyor. </w:t>
      </w:r>
      <w:r>
        <w:rPr>
          <w:b/>
        </w:rPr>
        <w:t>Düzeltilmiş satış kazancının (düzeltilmiş VFÖK marjı)</w:t>
      </w:r>
      <w:r>
        <w:t xml:space="preserve"> yüzde 10,0 ile yüzde 12,0 arasında olması bekleniyor. Düzeltilmiş satış kazancının</w:t>
      </w:r>
      <w:r w:rsidR="00401D94">
        <w:t>,</w:t>
      </w:r>
      <w:r>
        <w:t xml:space="preserve"> Yapıştırıcı Teknolojileri için yüzde 13,0 ile 15,0 arasında ve Tüketici Markaları için yüzde 7,5 ile 9,5 arasında olması bekleniyor. Sabit kur ile </w:t>
      </w:r>
      <w:r>
        <w:rPr>
          <w:b/>
        </w:rPr>
        <w:t>imtiyazlı hisse senedi başına kârlılıkta (EPS)</w:t>
      </w:r>
      <w:r>
        <w:t xml:space="preserve"> ise Henkel yüzde -10,0 ile yüzde +10,0 arasında bir değişim öngörüyor. </w:t>
      </w:r>
    </w:p>
    <w:p w14:paraId="79DC2AB5" w14:textId="77777777" w:rsidR="00295715" w:rsidRPr="00A24FBF" w:rsidRDefault="00295715" w:rsidP="00295715">
      <w:pPr>
        <w:rPr>
          <w:rFonts w:cs="Segoe UI"/>
          <w:szCs w:val="22"/>
          <w:lang w:val="en-US"/>
        </w:rPr>
      </w:pPr>
    </w:p>
    <w:p w14:paraId="59182FFC" w14:textId="77777777" w:rsidR="000279A4" w:rsidRDefault="000279A4" w:rsidP="00295715">
      <w:pPr>
        <w:spacing w:after="120"/>
        <w:rPr>
          <w:b/>
          <w:szCs w:val="22"/>
        </w:rPr>
      </w:pPr>
    </w:p>
    <w:p w14:paraId="611A8503" w14:textId="77777777" w:rsidR="000279A4" w:rsidRDefault="000279A4" w:rsidP="00295715">
      <w:pPr>
        <w:spacing w:after="120"/>
        <w:rPr>
          <w:b/>
          <w:szCs w:val="22"/>
        </w:rPr>
      </w:pPr>
    </w:p>
    <w:p w14:paraId="0E5F51B3" w14:textId="14E82F50" w:rsidR="00295715" w:rsidRPr="00EA47F0" w:rsidRDefault="00EA47F0" w:rsidP="00295715">
      <w:pPr>
        <w:spacing w:after="120"/>
        <w:rPr>
          <w:rFonts w:cs="Segoe UI"/>
          <w:szCs w:val="22"/>
        </w:rPr>
      </w:pPr>
      <w:r>
        <w:rPr>
          <w:b/>
          <w:szCs w:val="22"/>
        </w:rPr>
        <w:t xml:space="preserve">Amaca Yönelik Büyüme </w:t>
      </w:r>
      <w:r w:rsidR="00B7179E">
        <w:rPr>
          <w:b/>
          <w:szCs w:val="22"/>
        </w:rPr>
        <w:t>G</w:t>
      </w:r>
      <w:r>
        <w:rPr>
          <w:b/>
          <w:szCs w:val="22"/>
        </w:rPr>
        <w:t xml:space="preserve">ündemi </w:t>
      </w:r>
      <w:r w:rsidR="00B7179E">
        <w:rPr>
          <w:b/>
          <w:szCs w:val="22"/>
        </w:rPr>
        <w:t>B</w:t>
      </w:r>
      <w:r>
        <w:rPr>
          <w:b/>
          <w:szCs w:val="22"/>
        </w:rPr>
        <w:t xml:space="preserve">aşarıyla </w:t>
      </w:r>
      <w:r w:rsidR="00B7179E">
        <w:rPr>
          <w:b/>
          <w:szCs w:val="22"/>
        </w:rPr>
        <w:t>H</w:t>
      </w:r>
      <w:r>
        <w:rPr>
          <w:b/>
          <w:szCs w:val="22"/>
        </w:rPr>
        <w:t xml:space="preserve">ayata </w:t>
      </w:r>
      <w:r w:rsidR="00B7179E">
        <w:rPr>
          <w:b/>
          <w:szCs w:val="22"/>
        </w:rPr>
        <w:t>G</w:t>
      </w:r>
      <w:r>
        <w:rPr>
          <w:b/>
          <w:szCs w:val="22"/>
        </w:rPr>
        <w:t>eçirildi</w:t>
      </w:r>
    </w:p>
    <w:p w14:paraId="071D806D" w14:textId="6F80DB06" w:rsidR="00E01AF5" w:rsidRPr="00E01AF5" w:rsidRDefault="00E01AF5" w:rsidP="008F0292">
      <w:pPr>
        <w:rPr>
          <w:rFonts w:cs="Segoe UI"/>
          <w:bCs/>
          <w:szCs w:val="22"/>
        </w:rPr>
      </w:pPr>
      <w:r>
        <w:t>Henkel, zorlu makroekonomik ve jeopolitik ortama rağmen 2022 yılında stratejisini tutarlı bir şekilde uygulamaya devam etti. Şirket, iş ve marka portföyünü daha da geliştirdi</w:t>
      </w:r>
      <w:r w:rsidR="00625373">
        <w:t>,</w:t>
      </w:r>
      <w:r>
        <w:t xml:space="preserve"> inovasyon, sürdürülebilirlik ve dijitalleşme alanlarında rekabet gücünü artırdı, işletme modellerini optimize etti ve kurumsal kültürünü güçlendirdi. 2022 yılındaki </w:t>
      </w:r>
      <w:r w:rsidR="00625373">
        <w:t>başlıca</w:t>
      </w:r>
      <w:r>
        <w:t xml:space="preserve"> stratejik odak noktası, Çamaşır ve Ev Bakım ile Beauty Care iş birimlerinin entegre Tüketici Markaları biriminde birleşmesi oldu.</w:t>
      </w:r>
    </w:p>
    <w:p w14:paraId="463AB305" w14:textId="77777777" w:rsidR="00D76BF0" w:rsidRDefault="00D76BF0" w:rsidP="00295715">
      <w:pPr>
        <w:spacing w:after="120"/>
        <w:rPr>
          <w:b/>
          <w:bCs/>
          <w:szCs w:val="22"/>
        </w:rPr>
      </w:pPr>
    </w:p>
    <w:p w14:paraId="6C5D6550" w14:textId="6D4009A0" w:rsidR="00295715" w:rsidRPr="0086101D" w:rsidRDefault="00E915DB" w:rsidP="00295715">
      <w:pPr>
        <w:spacing w:after="120"/>
        <w:rPr>
          <w:rFonts w:cs="Segoe UI"/>
          <w:b/>
          <w:bCs/>
          <w:szCs w:val="22"/>
          <w:lang w:val="en-US"/>
        </w:rPr>
      </w:pPr>
      <w:r>
        <w:rPr>
          <w:b/>
          <w:bCs/>
          <w:szCs w:val="22"/>
        </w:rPr>
        <w:t xml:space="preserve">Yeni </w:t>
      </w:r>
      <w:r w:rsidR="00B7179E">
        <w:rPr>
          <w:b/>
          <w:bCs/>
          <w:szCs w:val="22"/>
        </w:rPr>
        <w:t>İ</w:t>
      </w:r>
      <w:r>
        <w:rPr>
          <w:b/>
          <w:bCs/>
          <w:szCs w:val="22"/>
        </w:rPr>
        <w:t xml:space="preserve">ş </w:t>
      </w:r>
      <w:r w:rsidR="00B7179E">
        <w:rPr>
          <w:b/>
          <w:bCs/>
          <w:szCs w:val="22"/>
        </w:rPr>
        <w:t>B</w:t>
      </w:r>
      <w:r>
        <w:rPr>
          <w:b/>
          <w:bCs/>
          <w:szCs w:val="22"/>
        </w:rPr>
        <w:t xml:space="preserve">irimi </w:t>
      </w:r>
      <w:r w:rsidR="00B7179E">
        <w:rPr>
          <w:b/>
          <w:bCs/>
          <w:szCs w:val="22"/>
        </w:rPr>
        <w:t>“</w:t>
      </w:r>
      <w:r>
        <w:rPr>
          <w:b/>
          <w:bCs/>
          <w:szCs w:val="22"/>
        </w:rPr>
        <w:t>Tüketici Markaları</w:t>
      </w:r>
      <w:r w:rsidR="00B7179E">
        <w:rPr>
          <w:b/>
          <w:bCs/>
          <w:szCs w:val="22"/>
        </w:rPr>
        <w:t>”</w:t>
      </w:r>
      <w:r>
        <w:rPr>
          <w:b/>
          <w:bCs/>
          <w:szCs w:val="22"/>
        </w:rPr>
        <w:t xml:space="preserve"> </w:t>
      </w:r>
      <w:r w:rsidR="00B7179E">
        <w:rPr>
          <w:b/>
          <w:bCs/>
          <w:szCs w:val="22"/>
        </w:rPr>
        <w:t>B</w:t>
      </w:r>
      <w:r>
        <w:rPr>
          <w:b/>
          <w:bCs/>
          <w:szCs w:val="22"/>
        </w:rPr>
        <w:t xml:space="preserve">aşarıyla </w:t>
      </w:r>
      <w:r w:rsidR="00490F2E">
        <w:rPr>
          <w:b/>
          <w:bCs/>
          <w:szCs w:val="22"/>
        </w:rPr>
        <w:t>Oluşturuldu</w:t>
      </w:r>
    </w:p>
    <w:p w14:paraId="3279F1B9" w14:textId="72E9D1E4" w:rsidR="00B54A6C" w:rsidRPr="00B54A6C" w:rsidRDefault="00B54A6C" w:rsidP="00D76BF0">
      <w:pPr>
        <w:rPr>
          <w:rFonts w:cs="Segoe UI"/>
          <w:szCs w:val="22"/>
        </w:rPr>
      </w:pPr>
      <w:r>
        <w:t xml:space="preserve">Henkel, 2022 Ocak ayının sonunda şirketin geçtiğimiz on yıllardaki en büyük dönüşümlerinden birini duyurdu: </w:t>
      </w:r>
      <w:r w:rsidR="0086101D">
        <w:t>İ</w:t>
      </w:r>
      <w:r>
        <w:t xml:space="preserve">ki tüketici iş biriminin </w:t>
      </w:r>
      <w:r w:rsidR="0086101D">
        <w:t>‘</w:t>
      </w:r>
      <w:r>
        <w:t>Tüketici Markaları</w:t>
      </w:r>
      <w:r w:rsidR="0086101D">
        <w:t>’</w:t>
      </w:r>
      <w:r>
        <w:t xml:space="preserve"> adı altında tek bir</w:t>
      </w:r>
      <w:r w:rsidR="00D76BF0">
        <w:t xml:space="preserve"> entegre iş biriminde birleşmesi gerçekleşti</w:t>
      </w:r>
      <w:r>
        <w:t xml:space="preserve">. 2023'ün başından bu yana </w:t>
      </w:r>
      <w:r w:rsidR="00D76BF0">
        <w:t xml:space="preserve">kurulumu </w:t>
      </w:r>
      <w:r>
        <w:t xml:space="preserve">başarıyla </w:t>
      </w:r>
      <w:r w:rsidR="00D76BF0">
        <w:t xml:space="preserve">tamamlanan bu </w:t>
      </w:r>
      <w:r>
        <w:t xml:space="preserve">yeni iş birimi, Persil ve Schwarzkopf gibi ikonik markalar ve Profesyonel </w:t>
      </w:r>
      <w:r w:rsidR="0086101D">
        <w:t xml:space="preserve">Saç Bakım </w:t>
      </w:r>
      <w:r>
        <w:t xml:space="preserve">iş birimi de </w:t>
      </w:r>
      <w:r w:rsidR="00D76BF0">
        <w:t>dâhil</w:t>
      </w:r>
      <w:r>
        <w:t xml:space="preserve"> olmak üzere tüm kategorilerdeki tüm tüketici markalarını tek bir çatı altında bir araya geti</w:t>
      </w:r>
      <w:r w:rsidR="00D76BF0">
        <w:t>rmiş oldu</w:t>
      </w:r>
      <w:r>
        <w:t>. Henkel b</w:t>
      </w:r>
      <w:r w:rsidR="0086101D">
        <w:t>öylelikle</w:t>
      </w:r>
      <w:r w:rsidR="00B7179E">
        <w:t>,</w:t>
      </w:r>
      <w:r>
        <w:t xml:space="preserve"> 2022 yılında yaklaşık 11 milyar </w:t>
      </w:r>
      <w:r w:rsidR="00705608">
        <w:t>Euro</w:t>
      </w:r>
      <w:r>
        <w:t xml:space="preserve"> olarak gerçekleşen satış rakamını gelecekte büyütmek </w:t>
      </w:r>
      <w:r w:rsidR="0086101D">
        <w:t>üzere</w:t>
      </w:r>
      <w:r>
        <w:t xml:space="preserve"> çok kategorili bir platform oluştur</w:t>
      </w:r>
      <w:r w:rsidR="00D76BF0">
        <w:t>muş oldu</w:t>
      </w:r>
      <w:r>
        <w:t>.</w:t>
      </w:r>
    </w:p>
    <w:p w14:paraId="0EDF21D3" w14:textId="77777777" w:rsidR="00B54A6C" w:rsidRPr="00A24FBF" w:rsidRDefault="00B54A6C" w:rsidP="00295715">
      <w:pPr>
        <w:rPr>
          <w:rFonts w:cs="Segoe UI"/>
          <w:szCs w:val="22"/>
          <w:lang w:val="en-US" w:eastAsia="de-DE"/>
        </w:rPr>
      </w:pPr>
    </w:p>
    <w:p w14:paraId="12E636B6" w14:textId="12B73CE0" w:rsidR="002577B7" w:rsidRPr="002577B7" w:rsidRDefault="00F13DDF" w:rsidP="002577B7">
      <w:r>
        <w:t>B</w:t>
      </w:r>
      <w:r w:rsidR="00D76BF0">
        <w:t>u b</w:t>
      </w:r>
      <w:r>
        <w:t xml:space="preserve">irleşmeyle birlikte Henkel, tüketici </w:t>
      </w:r>
      <w:r w:rsidR="00B7179E">
        <w:t>ürünleri iş birimlerinde</w:t>
      </w:r>
      <w:r>
        <w:t xml:space="preserve"> ve dolayısıyla Grup genelinde kârlılığı artırmayı ve ek büyüme ivmesi yaratmayı amaçlıyor. Bu amaçla, </w:t>
      </w:r>
      <w:r w:rsidR="00B25AA6">
        <w:t>global</w:t>
      </w:r>
      <w:r>
        <w:t xml:space="preserve"> Çamaşır ve Ev Bakım ve </w:t>
      </w:r>
      <w:r w:rsidR="00210B58">
        <w:t>Saç</w:t>
      </w:r>
      <w:r>
        <w:t xml:space="preserve"> kategorilerindeki portföy, cazip büyüme ve marj potansiyeline sahip stratejik işlere ve markalara odaklanacak. </w:t>
      </w:r>
      <w:r w:rsidR="002577B7">
        <w:t xml:space="preserve">Entegrasyon sürecinde; bir kısmı inovasyon, sürdürülebilirlik, dijitalleşme gibi stratejik önceliklere yönelik yatırımlar için kullanılacak ve bunun yanı sıra, iş biriminin marjını ve büyüme profilini güçlendirecek, önemli sinerjilerin oluşması bekleniyor. </w:t>
      </w:r>
    </w:p>
    <w:p w14:paraId="597BCDA7" w14:textId="77777777" w:rsidR="002577B7" w:rsidRDefault="002577B7" w:rsidP="00D76BF0">
      <w:pPr>
        <w:rPr>
          <w:rFonts w:cs="Segoe UI"/>
          <w:szCs w:val="22"/>
        </w:rPr>
      </w:pPr>
    </w:p>
    <w:p w14:paraId="01D9CD26" w14:textId="77777777" w:rsidR="005B1FD1" w:rsidRDefault="005B1FD1" w:rsidP="00F13DDF">
      <w:pPr>
        <w:rPr>
          <w:rFonts w:cs="Segoe UI"/>
          <w:szCs w:val="22"/>
          <w:lang w:val="en-US" w:eastAsia="de-DE"/>
        </w:rPr>
      </w:pPr>
    </w:p>
    <w:p w14:paraId="40AA5F3D" w14:textId="7F198557" w:rsidR="00B14B85" w:rsidRDefault="00F13DDF" w:rsidP="00D76BF0">
      <w:pPr>
        <w:rPr>
          <w:rFonts w:cs="Segoe UI"/>
          <w:szCs w:val="22"/>
        </w:rPr>
      </w:pPr>
      <w:r>
        <w:t xml:space="preserve">Henkel, orta vadede yaklaşık 500 milyon </w:t>
      </w:r>
      <w:r w:rsidR="00705608">
        <w:t>Euro’</w:t>
      </w:r>
      <w:r>
        <w:t>luk brüt tasarruf (yeniden yatırımlardan önce) sağlamayı hedefliyor. Sinerji potansiyeli</w:t>
      </w:r>
      <w:r w:rsidR="00546B49">
        <w:t>;</w:t>
      </w:r>
      <w:r>
        <w:t xml:space="preserve"> uyarlanmış satış ve idari yapılar, daha odaklı reklam </w:t>
      </w:r>
      <w:r w:rsidR="00546B49">
        <w:t>&amp;</w:t>
      </w:r>
      <w:r>
        <w:t xml:space="preserve"> pazarlama ve optimize edilmiş bir tedarik zincirinden kaynaklan</w:t>
      </w:r>
      <w:r w:rsidR="00D76BF0">
        <w:t>ıyor</w:t>
      </w:r>
      <w:r>
        <w:t>. Uygul</w:t>
      </w:r>
      <w:r w:rsidR="00D76BF0">
        <w:t>ama iki aşamada gerçekleşecek</w:t>
      </w:r>
      <w:r>
        <w:t>: İlk aşamada, 2023 yılı sonuna kadar uygulanacak tedbirler</w:t>
      </w:r>
      <w:r w:rsidR="00546B49">
        <w:t>,</w:t>
      </w:r>
      <w:r>
        <w:t xml:space="preserve"> yıllık bazda yaklaşık 250 milyon </w:t>
      </w:r>
      <w:r w:rsidR="00705608">
        <w:t>Euro’</w:t>
      </w:r>
      <w:r>
        <w:t>luk net tasarruf sağlaya</w:t>
      </w:r>
      <w:r w:rsidR="00D76BF0">
        <w:t>rak</w:t>
      </w:r>
      <w:r>
        <w:t xml:space="preserve"> 2024 yılından itibaren </w:t>
      </w:r>
      <w:r w:rsidR="00705608" w:rsidRPr="00705608">
        <w:t>kârlılık</w:t>
      </w:r>
      <w:r>
        <w:t xml:space="preserve"> üzerinde tam etki yaratacak. Yaklaşık 60 milyon </w:t>
      </w:r>
      <w:r w:rsidR="00705608">
        <w:t>Euro’</w:t>
      </w:r>
      <w:r>
        <w:t>luk ilk net tasarruf</w:t>
      </w:r>
      <w:r w:rsidR="0065017E">
        <w:t xml:space="preserve"> ise</w:t>
      </w:r>
      <w:r>
        <w:t xml:space="preserve"> 2022 yılında elde </w:t>
      </w:r>
      <w:r w:rsidR="00D76BF0">
        <w:t>edilmişti</w:t>
      </w:r>
      <w:r>
        <w:t xml:space="preserve">. </w:t>
      </w:r>
    </w:p>
    <w:p w14:paraId="21E84E3B" w14:textId="77777777" w:rsidR="00B14B85" w:rsidRDefault="00B14B85" w:rsidP="00F13DDF">
      <w:pPr>
        <w:rPr>
          <w:rFonts w:cs="Segoe UI"/>
          <w:szCs w:val="22"/>
          <w:lang w:val="en-US" w:eastAsia="de-DE"/>
        </w:rPr>
      </w:pPr>
    </w:p>
    <w:p w14:paraId="7B79B586" w14:textId="030AED6E" w:rsidR="00CC6C55" w:rsidRDefault="00BB6BB8" w:rsidP="001A1CD4">
      <w:pPr>
        <w:rPr>
          <w:rFonts w:cs="Segoe UI"/>
          <w:szCs w:val="22"/>
        </w:rPr>
      </w:pPr>
      <w:r>
        <w:t xml:space="preserve">Şirket ayrıca tüketici portföyünü dönüştürme konusunda da önemli ilerleme kaydetti: Henkel 1 milyar </w:t>
      </w:r>
      <w:r w:rsidR="00705608">
        <w:t>Euro’</w:t>
      </w:r>
      <w:r>
        <w:t xml:space="preserve">ya kadar olan satışlarını </w:t>
      </w:r>
      <w:r w:rsidR="00E907EE">
        <w:t>gözden geçireceğini</w:t>
      </w:r>
      <w:r>
        <w:t xml:space="preserve"> açıklamıştı. 2022'de yaklaşık 400 milyon </w:t>
      </w:r>
      <w:r w:rsidR="00705608">
        <w:t>Euro</w:t>
      </w:r>
      <w:r>
        <w:t xml:space="preserve"> başarılı bir şekilde uygulandı</w:t>
      </w:r>
      <w:r w:rsidR="0065017E">
        <w:t>.</w:t>
      </w:r>
      <w:r>
        <w:t xml:space="preserve"> </w:t>
      </w:r>
      <w:r w:rsidR="0065017E">
        <w:t>B</w:t>
      </w:r>
      <w:r>
        <w:t xml:space="preserve">unun yaklaşık 200 milyon </w:t>
      </w:r>
      <w:r w:rsidR="00705608">
        <w:t>Euro’</w:t>
      </w:r>
      <w:r>
        <w:t xml:space="preserve">su portföy optimizasyonu önlemleriyle ilgiliyken, kalan 200 milyon </w:t>
      </w:r>
      <w:r w:rsidR="00705608">
        <w:t>Euro</w:t>
      </w:r>
      <w:r>
        <w:t xml:space="preserve"> elden çıkarmalara bağlanabilir. Sonuç ise, Ağız ve Cilt Bakımı kategorilerinden ve belirli Vücut Bakımı piyasalarından </w:t>
      </w:r>
      <w:r w:rsidR="00B25AA6">
        <w:t>global</w:t>
      </w:r>
      <w:r>
        <w:t xml:space="preserve"> </w:t>
      </w:r>
      <w:r>
        <w:lastRenderedPageBreak/>
        <w:t>çıkışla birlikte temel bir portföy dönüşümü. İleriye dönük olarak, Henkel portföyünü</w:t>
      </w:r>
      <w:r w:rsidR="00FE2AD9">
        <w:t xml:space="preserve"> incelemeye</w:t>
      </w:r>
      <w:r>
        <w:t xml:space="preserve">  ve karmaşıklığı daha da azaltmaya devam edecek.</w:t>
      </w:r>
    </w:p>
    <w:p w14:paraId="345AB976" w14:textId="77777777" w:rsidR="00F13DDF" w:rsidRDefault="00F13DDF" w:rsidP="00F13DDF">
      <w:pPr>
        <w:rPr>
          <w:rFonts w:cs="Segoe UI"/>
          <w:szCs w:val="22"/>
          <w:lang w:val="en-US" w:eastAsia="de-DE"/>
        </w:rPr>
      </w:pPr>
    </w:p>
    <w:p w14:paraId="7F01A1D9" w14:textId="31A8605A" w:rsidR="00295715" w:rsidRPr="00F13DDF" w:rsidRDefault="002E1100" w:rsidP="001A1CD4">
      <w:pPr>
        <w:rPr>
          <w:rFonts w:cs="Segoe UI"/>
          <w:szCs w:val="22"/>
        </w:rPr>
      </w:pPr>
      <w:r>
        <w:t>Uygulamanın ikinci aşaması tedarik zinciri mükemmelliğine odaklanacak. Henkel bu amaçla, kendi üretim kurulumunun verimliliğini artırma</w:t>
      </w:r>
      <w:r w:rsidR="0065017E">
        <w:t>nın yanı sıra</w:t>
      </w:r>
      <w:r w:rsidR="008A3B5A">
        <w:t>,</w:t>
      </w:r>
      <w:r>
        <w:t xml:space="preserve"> sözleşmeli </w:t>
      </w:r>
      <w:r w:rsidR="008A3B5A">
        <w:t>üreticiler</w:t>
      </w:r>
      <w:r>
        <w:t xml:space="preserve"> ağını ve </w:t>
      </w:r>
      <w:r w:rsidR="008A3B5A">
        <w:t>satın alma</w:t>
      </w:r>
      <w:r>
        <w:t xml:space="preserve"> maliyetlerini optimize etme</w:t>
      </w:r>
      <w:r w:rsidR="001A1CD4">
        <w:t>yi hedefliyor</w:t>
      </w:r>
      <w:r>
        <w:t xml:space="preserve">. "Müşteriyle tek temas noktası" prensibini benimseyen şirket, optimize edilmiş lojistik </w:t>
      </w:r>
      <w:r w:rsidR="006F1C05">
        <w:t>kapasitesiyle</w:t>
      </w:r>
      <w:r>
        <w:t xml:space="preserve"> ticari entegrasyonu da </w:t>
      </w:r>
      <w:r w:rsidR="006F1C05">
        <w:t>yönetmek</w:t>
      </w:r>
      <w:r>
        <w:t xml:space="preserve"> istiyor. Entegrasyonun ikinci aşaması halihazırda başlatılmış olup, tedbirlerin 2025 yılı sonuna kadar büyük ölçüde uygulamaya konulması beklen</w:t>
      </w:r>
      <w:r w:rsidR="001A1CD4">
        <w:t>iyor</w:t>
      </w:r>
      <w:r>
        <w:t>. Henkel bu önlemlerden, tamamı 2026'dan itibaren gerçekleş</w:t>
      </w:r>
      <w:r w:rsidR="009D03F5">
        <w:t>mek</w:t>
      </w:r>
      <w:r w:rsidR="001240AF">
        <w:t xml:space="preserve"> </w:t>
      </w:r>
      <w:r>
        <w:t xml:space="preserve">üzere, yıllık yaklaşık 150 milyon </w:t>
      </w:r>
      <w:r w:rsidR="00705608">
        <w:t>Euro’</w:t>
      </w:r>
      <w:r>
        <w:t>luk ilave net tasarruf bekl</w:t>
      </w:r>
      <w:r w:rsidR="001A1CD4">
        <w:t>iyor</w:t>
      </w:r>
      <w:r>
        <w:t xml:space="preserve">. Aynı zamanda, ikinci aşama yaklaşık 250 milyon </w:t>
      </w:r>
      <w:r w:rsidR="00705608">
        <w:t>Euro’</w:t>
      </w:r>
      <w:r>
        <w:t>luk tek seferlik maliyetler ve se</w:t>
      </w:r>
      <w:r w:rsidR="001A1CD4">
        <w:t>rmaye harcamalarıyla ilişkili durumda</w:t>
      </w:r>
      <w:r>
        <w:t>. Bu mali yılın öngörülerine</w:t>
      </w:r>
      <w:r w:rsidR="009D03F5">
        <w:t>,</w:t>
      </w:r>
      <w:r>
        <w:t xml:space="preserve"> 2023 yılına </w:t>
      </w:r>
      <w:r w:rsidR="009D03F5">
        <w:t xml:space="preserve">karşılık gelen </w:t>
      </w:r>
      <w:r>
        <w:t xml:space="preserve">kısımlar </w:t>
      </w:r>
      <w:r w:rsidR="001A1CD4">
        <w:t xml:space="preserve">da </w:t>
      </w:r>
      <w:r>
        <w:t xml:space="preserve">dahil </w:t>
      </w:r>
      <w:r w:rsidR="001A1CD4">
        <w:t>bulunuyor</w:t>
      </w:r>
      <w:r>
        <w:t>.</w:t>
      </w:r>
    </w:p>
    <w:p w14:paraId="7CAB0FE5" w14:textId="77777777" w:rsidR="00295715" w:rsidRPr="00F13DDF" w:rsidRDefault="00295715" w:rsidP="00295715">
      <w:pPr>
        <w:autoSpaceDE w:val="0"/>
        <w:autoSpaceDN w:val="0"/>
        <w:adjustRightInd w:val="0"/>
        <w:rPr>
          <w:rFonts w:cs="Segoe UI"/>
          <w:bCs/>
          <w:szCs w:val="22"/>
          <w:lang w:val="en-US"/>
        </w:rPr>
      </w:pPr>
    </w:p>
    <w:p w14:paraId="498DAD04" w14:textId="526D92E3" w:rsidR="00295715" w:rsidRPr="00F13DDF" w:rsidRDefault="00792DAE" w:rsidP="00295715">
      <w:pPr>
        <w:spacing w:after="120"/>
        <w:rPr>
          <w:rFonts w:cs="Segoe UI"/>
          <w:szCs w:val="22"/>
        </w:rPr>
      </w:pPr>
      <w:r>
        <w:rPr>
          <w:b/>
          <w:bCs/>
          <w:szCs w:val="22"/>
        </w:rPr>
        <w:t>‘</w:t>
      </w:r>
      <w:r w:rsidR="00F13DDF">
        <w:rPr>
          <w:b/>
          <w:bCs/>
          <w:szCs w:val="22"/>
        </w:rPr>
        <w:t>Amaca Yönelik Büyüme Gündemi</w:t>
      </w:r>
      <w:r>
        <w:rPr>
          <w:b/>
          <w:bCs/>
          <w:szCs w:val="22"/>
        </w:rPr>
        <w:t>’</w:t>
      </w:r>
      <w:r w:rsidR="00F13DDF">
        <w:rPr>
          <w:b/>
          <w:bCs/>
          <w:szCs w:val="22"/>
        </w:rPr>
        <w:t xml:space="preserve">nin </w:t>
      </w:r>
      <w:r w:rsidR="00B32B96">
        <w:rPr>
          <w:b/>
          <w:bCs/>
          <w:szCs w:val="22"/>
        </w:rPr>
        <w:t>T</w:t>
      </w:r>
      <w:r w:rsidR="00F13DDF">
        <w:rPr>
          <w:b/>
          <w:bCs/>
          <w:szCs w:val="22"/>
        </w:rPr>
        <w:t xml:space="preserve">üm </w:t>
      </w:r>
      <w:r w:rsidR="00B32B96">
        <w:rPr>
          <w:b/>
          <w:bCs/>
          <w:szCs w:val="22"/>
        </w:rPr>
        <w:t>S</w:t>
      </w:r>
      <w:r w:rsidR="00F13DDF">
        <w:rPr>
          <w:b/>
          <w:bCs/>
          <w:szCs w:val="22"/>
        </w:rPr>
        <w:t xml:space="preserve">tratejik </w:t>
      </w:r>
      <w:r w:rsidR="00B32B96">
        <w:rPr>
          <w:b/>
          <w:bCs/>
          <w:szCs w:val="22"/>
        </w:rPr>
        <w:t>Alanlarında</w:t>
      </w:r>
      <w:r w:rsidR="00F13DDF">
        <w:rPr>
          <w:b/>
          <w:bCs/>
          <w:szCs w:val="22"/>
        </w:rPr>
        <w:t xml:space="preserve"> </w:t>
      </w:r>
      <w:r w:rsidR="00B32B96">
        <w:rPr>
          <w:b/>
          <w:bCs/>
          <w:szCs w:val="22"/>
        </w:rPr>
        <w:t>T</w:t>
      </w:r>
      <w:r w:rsidR="00F13DDF">
        <w:rPr>
          <w:b/>
          <w:bCs/>
          <w:szCs w:val="22"/>
        </w:rPr>
        <w:t xml:space="preserve">utarlı </w:t>
      </w:r>
      <w:r w:rsidR="00B32B96">
        <w:rPr>
          <w:b/>
          <w:bCs/>
          <w:szCs w:val="22"/>
        </w:rPr>
        <w:t>İ</w:t>
      </w:r>
      <w:r w:rsidR="00F13DDF">
        <w:rPr>
          <w:b/>
          <w:bCs/>
          <w:szCs w:val="22"/>
        </w:rPr>
        <w:t>lerleme</w:t>
      </w:r>
    </w:p>
    <w:p w14:paraId="73F93B92" w14:textId="1638EB83" w:rsidR="00031A36" w:rsidRPr="00031A36" w:rsidRDefault="00031A36" w:rsidP="002C1B2D">
      <w:pPr>
        <w:autoSpaceDE w:val="0"/>
        <w:autoSpaceDN w:val="0"/>
        <w:adjustRightInd w:val="0"/>
        <w:rPr>
          <w:szCs w:val="22"/>
        </w:rPr>
      </w:pPr>
      <w:r w:rsidRPr="00031A36">
        <w:rPr>
          <w:rStyle w:val="cf01"/>
          <w:sz w:val="22"/>
          <w:szCs w:val="22"/>
        </w:rPr>
        <w:t xml:space="preserve">Henkel, </w:t>
      </w:r>
      <w:r w:rsidRPr="00031A36">
        <w:rPr>
          <w:rStyle w:val="cf11"/>
          <w:sz w:val="22"/>
          <w:szCs w:val="22"/>
        </w:rPr>
        <w:t xml:space="preserve">aktif portföy yönetimi </w:t>
      </w:r>
      <w:r w:rsidRPr="00031A36">
        <w:rPr>
          <w:rStyle w:val="cf01"/>
          <w:sz w:val="22"/>
          <w:szCs w:val="22"/>
        </w:rPr>
        <w:t>çerçevesinde, faaliyet durdurma ya da elden çıkarmaların yanı sıra</w:t>
      </w:r>
      <w:r w:rsidR="001104A0">
        <w:rPr>
          <w:rStyle w:val="cf01"/>
          <w:sz w:val="22"/>
          <w:szCs w:val="22"/>
        </w:rPr>
        <w:t>,</w:t>
      </w:r>
      <w:r w:rsidRPr="00031A36">
        <w:rPr>
          <w:rStyle w:val="cf01"/>
          <w:sz w:val="22"/>
          <w:szCs w:val="22"/>
        </w:rPr>
        <w:t xml:space="preserve"> portföyünü satın almalar yoluyla daha da ileri taşıdı.</w:t>
      </w:r>
    </w:p>
    <w:p w14:paraId="1AABAA80" w14:textId="06472F96" w:rsidR="002C1B2D" w:rsidRPr="009B065B" w:rsidRDefault="002C1B2D" w:rsidP="002C1B2D">
      <w:pPr>
        <w:autoSpaceDE w:val="0"/>
        <w:autoSpaceDN w:val="0"/>
        <w:adjustRightInd w:val="0"/>
      </w:pPr>
      <w:r>
        <w:t xml:space="preserve">Şirket, Shiseido'nun Asya-Pasifik bölgesindeki </w:t>
      </w:r>
      <w:r w:rsidR="00B32B96">
        <w:t>P</w:t>
      </w:r>
      <w:r>
        <w:t>rofesyonel iş birimini satın al</w:t>
      </w:r>
      <w:r w:rsidR="0065017E">
        <w:t>dı</w:t>
      </w:r>
      <w:r>
        <w:t xml:space="preserve"> ve böylece </w:t>
      </w:r>
      <w:r w:rsidR="007A753C">
        <w:t>premium kategorideki</w:t>
      </w:r>
      <w:r>
        <w:t xml:space="preserve"> saç bakımı, renklendirme ve şekillendirme ürünleriyle</w:t>
      </w:r>
      <w:r w:rsidR="007A753C">
        <w:t xml:space="preserve"> </w:t>
      </w:r>
      <w:r>
        <w:t>piy</w:t>
      </w:r>
      <w:r w:rsidR="001A1CD4">
        <w:t>asadaki konumunu güçlendirdi</w:t>
      </w:r>
      <w:r>
        <w:t xml:space="preserve">. Henkel, Yapıştırıcı Teknolojileri </w:t>
      </w:r>
      <w:r w:rsidR="00C551DE">
        <w:t>İ</w:t>
      </w:r>
      <w:r>
        <w:t xml:space="preserve">ş </w:t>
      </w:r>
      <w:r w:rsidR="00C551DE">
        <w:t>B</w:t>
      </w:r>
      <w:r>
        <w:t>irimi</w:t>
      </w:r>
      <w:r w:rsidR="00C551DE">
        <w:t>’</w:t>
      </w:r>
      <w:r>
        <w:t xml:space="preserve">ndeki yenilikçi yüzey teknolojileri ve termal yönetim çözümleri alanındaki uzmanlığını iki teknoloji satın alımıyla genişletti. </w:t>
      </w:r>
    </w:p>
    <w:p w14:paraId="38994FE7" w14:textId="77777777" w:rsidR="002C1B2D" w:rsidRPr="002C1B2D" w:rsidRDefault="002C1B2D" w:rsidP="002C1B2D">
      <w:pPr>
        <w:autoSpaceDE w:val="0"/>
        <w:autoSpaceDN w:val="0"/>
        <w:adjustRightInd w:val="0"/>
        <w:rPr>
          <w:rFonts w:cs="Segoe UI"/>
          <w:bCs/>
          <w:szCs w:val="22"/>
          <w:lang w:val="en-US"/>
        </w:rPr>
      </w:pPr>
    </w:p>
    <w:p w14:paraId="5D7C1D3B" w14:textId="2003F487" w:rsidR="00295715" w:rsidRPr="00F937AE" w:rsidRDefault="00F937AE" w:rsidP="00F937AE">
      <w:pPr>
        <w:autoSpaceDE w:val="0"/>
        <w:autoSpaceDN w:val="0"/>
        <w:adjustRightInd w:val="0"/>
        <w:rPr>
          <w:rFonts w:cs="Segoe UI"/>
          <w:bCs/>
          <w:szCs w:val="22"/>
        </w:rPr>
      </w:pPr>
      <w:r>
        <w:t>Henkel, 2022 yılında da önemli trendleri ele alan</w:t>
      </w:r>
      <w:r w:rsidR="007A753C">
        <w:t xml:space="preserve">, </w:t>
      </w:r>
      <w:r>
        <w:t xml:space="preserve">müşteriler ve tüketiciler için değer yaratan çok sayıda </w:t>
      </w:r>
      <w:r w:rsidRPr="000017DE">
        <w:rPr>
          <w:b/>
        </w:rPr>
        <w:t>inovasyonu</w:t>
      </w:r>
      <w:r>
        <w:t xml:space="preserve"> piyasaya sundu. Yapıştırıcı Teknolojileri</w:t>
      </w:r>
      <w:r w:rsidR="007A753C">
        <w:t>nde</w:t>
      </w:r>
      <w:r>
        <w:t>, hızla büyüyen elektrikli araç aküsü piyasasına yönelik</w:t>
      </w:r>
      <w:r w:rsidR="007A753C">
        <w:t>,</w:t>
      </w:r>
      <w:r>
        <w:t xml:space="preserve"> yeni bir iletken kaplama çözümü geliştirildi. Teknoloji, akü hücresi içindeki iletkenliği yüzde 30'a kadar artırarak akü performansını geliştiriyor ve ayrıca imalat sürecindeki toplam enerji tüketiminde yüzde 20'den fazla tasarruf sağlıyor. Henkel, Beauty Care </w:t>
      </w:r>
      <w:r w:rsidR="00C551DE">
        <w:t>İ</w:t>
      </w:r>
      <w:r>
        <w:t xml:space="preserve">ş </w:t>
      </w:r>
      <w:r w:rsidR="00C551DE">
        <w:t>B</w:t>
      </w:r>
      <w:r>
        <w:t>irimi</w:t>
      </w:r>
      <w:r w:rsidR="00C551DE">
        <w:t>’</w:t>
      </w:r>
      <w:r>
        <w:t xml:space="preserve">nde </w:t>
      </w:r>
      <w:r w:rsidR="000017DE">
        <w:t xml:space="preserve">ise örneğin, </w:t>
      </w:r>
      <w:r>
        <w:t>saç teknolojisindeki lider uzmanlığına dayanan</w:t>
      </w:r>
      <w:r w:rsidR="00B32B96">
        <w:t xml:space="preserve"> ve</w:t>
      </w:r>
      <w:r>
        <w:t xml:space="preserve"> benzersiz renk efektleri </w:t>
      </w:r>
      <w:r w:rsidR="00B32B96">
        <w:t>elde etmeyi sağlayan</w:t>
      </w:r>
      <w:r w:rsidR="000017DE">
        <w:t>,</w:t>
      </w:r>
      <w:r w:rsidR="00B32B96">
        <w:t xml:space="preserve"> yenilikçi </w:t>
      </w:r>
      <w:r>
        <w:t xml:space="preserve">saç </w:t>
      </w:r>
      <w:r w:rsidR="00B32B96">
        <w:t>renklendirme ürünü</w:t>
      </w:r>
      <w:r>
        <w:t xml:space="preserve"> Colour Alchemy'yi piyasaya sürdü. Çamaşır ve Ev Bakım </w:t>
      </w:r>
      <w:r w:rsidR="00B32B96">
        <w:t>İ</w:t>
      </w:r>
      <w:r>
        <w:t xml:space="preserve">ş </w:t>
      </w:r>
      <w:r w:rsidR="00B32B96">
        <w:t>B</w:t>
      </w:r>
      <w:r>
        <w:t>irimi</w:t>
      </w:r>
      <w:r w:rsidR="00B32B96">
        <w:t>’</w:t>
      </w:r>
      <w:r>
        <w:t>nde ise Somat markası altında bulaşık makineleri için yenilikçi temizleme jelleri piyasaya sunuldu.</w:t>
      </w:r>
    </w:p>
    <w:p w14:paraId="42294F99" w14:textId="77777777" w:rsidR="00F937AE" w:rsidRPr="00A24FBF" w:rsidRDefault="00F937AE" w:rsidP="00295715">
      <w:pPr>
        <w:rPr>
          <w:rFonts w:cs="Segoe UI"/>
          <w:bCs/>
          <w:szCs w:val="22"/>
          <w:lang w:val="en-US"/>
        </w:rPr>
      </w:pPr>
    </w:p>
    <w:p w14:paraId="789733C8" w14:textId="3590B732" w:rsidR="000017DE" w:rsidRDefault="000017DE" w:rsidP="005B1FD1"/>
    <w:p w14:paraId="5E64151D" w14:textId="692B5752" w:rsidR="005B1FD1" w:rsidRPr="008B1EB7" w:rsidRDefault="000017DE" w:rsidP="005B1FD1">
      <w:r>
        <w:t xml:space="preserve">Bunun yanı sıra Henkel, </w:t>
      </w:r>
      <w:r w:rsidRPr="002A6274">
        <w:rPr>
          <w:b/>
          <w:bCs/>
        </w:rPr>
        <w:t>sürdürülebilirlikteki</w:t>
      </w:r>
      <w:r>
        <w:t xml:space="preserve"> kararlığını daha da güçlü bir şekilde iş süreçlerine</w:t>
      </w:r>
      <w:r w:rsidR="008B1EB7">
        <w:t xml:space="preserve"> yansıttı. </w:t>
      </w:r>
      <w:r w:rsidR="005B1FD1">
        <w:t xml:space="preserve">Henkel, geçtiğimiz yıl yeni amaçlar ve hedefler içeren "2030+ Sürdürülebilirlik </w:t>
      </w:r>
      <w:r w:rsidR="009E07BC">
        <w:t>Hedefi</w:t>
      </w:r>
      <w:r w:rsidR="005B1FD1">
        <w:t xml:space="preserve"> Çerçevesi"ni başlattı. Henkel, 2022 yılında yenilenebilir kaynaklardan sağlanan elektrik oranını yüzde 70'e çıkararak şirketi</w:t>
      </w:r>
      <w:r w:rsidR="008B1EB7">
        <w:t>,</w:t>
      </w:r>
      <w:r w:rsidR="005B1FD1">
        <w:t xml:space="preserve"> 2030 yılına kadar iklim</w:t>
      </w:r>
      <w:r w:rsidR="009E07BC">
        <w:t>-pozitif</w:t>
      </w:r>
      <w:r w:rsidR="005B1FD1">
        <w:t xml:space="preserve"> operasyonlar hedefine yaklaştırdı. </w:t>
      </w:r>
      <w:r w:rsidR="005B1FD1">
        <w:lastRenderedPageBreak/>
        <w:t>Henkel ayrıca, örneğin daha fazla yenilenebilir ve geri dönüştürülmüş ham</w:t>
      </w:r>
      <w:r w:rsidR="00B25AA6">
        <w:t xml:space="preserve"> </w:t>
      </w:r>
      <w:r w:rsidR="005B1FD1">
        <w:t xml:space="preserve">madde kullanarak kendi ürün portföyünün sürdürülebilirliğini güçlendirdi. Henkel, BASF ile yaptığı ortaklık </w:t>
      </w:r>
      <w:r w:rsidR="009E07BC">
        <w:t>ile,</w:t>
      </w:r>
      <w:r w:rsidR="005B1FD1">
        <w:t xml:space="preserve"> Avrupa'da imal edilen tüketici ürünleri için 110.000 metrik tona kadar kimyasal ham</w:t>
      </w:r>
      <w:r w:rsidR="00B25AA6">
        <w:t xml:space="preserve"> </w:t>
      </w:r>
      <w:r w:rsidR="005B1FD1">
        <w:t>maddeyi</w:t>
      </w:r>
      <w:r w:rsidR="00F148F0">
        <w:t>,</w:t>
      </w:r>
      <w:r w:rsidR="005B1FD1">
        <w:t xml:space="preserve"> biyokütle denge</w:t>
      </w:r>
      <w:r w:rsidR="002A6274">
        <w:t>si</w:t>
      </w:r>
      <w:r w:rsidR="005B1FD1">
        <w:t xml:space="preserve"> sürecinin bir parçası olarak</w:t>
      </w:r>
      <w:r w:rsidR="00F148F0">
        <w:t>,</w:t>
      </w:r>
      <w:r w:rsidR="005B1FD1">
        <w:t xml:space="preserve"> yenilenebilir ham</w:t>
      </w:r>
      <w:r w:rsidR="00B25AA6">
        <w:t xml:space="preserve"> </w:t>
      </w:r>
      <w:r w:rsidR="005B1FD1">
        <w:t xml:space="preserve">maddelerle değiştirmeyi hedefliyor. Buna </w:t>
      </w:r>
      <w:r w:rsidR="009E07BC">
        <w:t xml:space="preserve">ek olarak </w:t>
      </w:r>
      <w:r w:rsidR="005B1FD1">
        <w:t xml:space="preserve">Henkel, belirli sürdürülebilirlik hedeflerine ulaşılmasıyla bağlantılı olarak 650 milyon </w:t>
      </w:r>
      <w:r w:rsidR="00705608">
        <w:t>Euro</w:t>
      </w:r>
      <w:r w:rsidR="005B1FD1">
        <w:t xml:space="preserve"> hacminde bir tahvil daha </w:t>
      </w:r>
      <w:r w:rsidR="00405E42">
        <w:t xml:space="preserve">çıkardı. </w:t>
      </w:r>
    </w:p>
    <w:p w14:paraId="2CBB8EEE" w14:textId="77777777" w:rsidR="005B1FD1" w:rsidRDefault="005B1FD1" w:rsidP="005B1FD1">
      <w:pPr>
        <w:rPr>
          <w:rFonts w:cs="Segoe UI"/>
          <w:bCs/>
          <w:szCs w:val="22"/>
          <w:lang w:val="en-US"/>
        </w:rPr>
      </w:pPr>
    </w:p>
    <w:p w14:paraId="69E2DBAF" w14:textId="3CF2BB99" w:rsidR="00295715" w:rsidRPr="008D1AA9" w:rsidRDefault="00CA74E7" w:rsidP="00295715">
      <w:pPr>
        <w:rPr>
          <w:rFonts w:cs="Segoe UI"/>
          <w:szCs w:val="22"/>
        </w:rPr>
      </w:pPr>
      <w:r>
        <w:t xml:space="preserve">Henkel </w:t>
      </w:r>
      <w:r w:rsidRPr="00E9319F">
        <w:rPr>
          <w:b/>
        </w:rPr>
        <w:t>dijitalleşmede</w:t>
      </w:r>
      <w:r>
        <w:t xml:space="preserve"> de ilerleme kaydetti ve dijital satışların Grup satışları içindeki payını yüzde 20'nin üzerine çıkardı. Buna ek olarak, şirketin dijital </w:t>
      </w:r>
      <w:r w:rsidR="00B873AA">
        <w:t xml:space="preserve">iş </w:t>
      </w:r>
      <w:r>
        <w:t>birimi Henkel dx'teki yapılar optimize edildi ve RAQN dijital iş platformunun önemli bir katkı sağladığı yeni iş fırsatları yaratıldı.</w:t>
      </w:r>
    </w:p>
    <w:p w14:paraId="77EE40EE" w14:textId="77777777" w:rsidR="008D1AA9" w:rsidRDefault="008D1AA9" w:rsidP="00295715">
      <w:pPr>
        <w:rPr>
          <w:rFonts w:cs="Segoe UI"/>
          <w:szCs w:val="22"/>
          <w:lang w:val="en-US" w:eastAsia="de-DE"/>
        </w:rPr>
      </w:pPr>
    </w:p>
    <w:p w14:paraId="5C6BAC30" w14:textId="71604642" w:rsidR="00564B38" w:rsidRDefault="00564B38" w:rsidP="00295715">
      <w:pPr>
        <w:rPr>
          <w:rFonts w:cs="Segoe UI"/>
          <w:szCs w:val="22"/>
        </w:rPr>
      </w:pPr>
      <w:r>
        <w:rPr>
          <w:b/>
        </w:rPr>
        <w:t>Geleceğe hazır işletme modelleri</w:t>
      </w:r>
      <w:r>
        <w:t>yle ilgili olarak 2022 yılındaki odak noktası, Çamaşır ve Ev Bakım ile Beauty Care iş birimlerinin birleştirilmesiydi.</w:t>
      </w:r>
    </w:p>
    <w:p w14:paraId="4E61F6A3" w14:textId="77777777" w:rsidR="00564B38" w:rsidRDefault="00564B38" w:rsidP="00295715">
      <w:pPr>
        <w:rPr>
          <w:rFonts w:cs="Segoe UI"/>
          <w:szCs w:val="22"/>
          <w:lang w:val="en-US" w:eastAsia="de-DE"/>
        </w:rPr>
      </w:pPr>
    </w:p>
    <w:p w14:paraId="72BF994F" w14:textId="5120497F" w:rsidR="00295715" w:rsidRPr="00564B38" w:rsidRDefault="00564B38" w:rsidP="00295715">
      <w:pPr>
        <w:rPr>
          <w:rFonts w:cs="Segoe UI"/>
          <w:szCs w:val="22"/>
        </w:rPr>
      </w:pPr>
      <w:r>
        <w:t xml:space="preserve">Buna </w:t>
      </w:r>
      <w:r w:rsidR="006E7026">
        <w:t>ek olarak</w:t>
      </w:r>
      <w:r>
        <w:t xml:space="preserve">, "Gelecek nesiller için iyiliğe öncülük ediyoruz" kurumsal amacı ve Henkel'in yerleşik "Liderlik </w:t>
      </w:r>
      <w:r w:rsidR="00362DCD">
        <w:t>Sorumlulukları”</w:t>
      </w:r>
      <w:r w:rsidR="00777411">
        <w:t xml:space="preserve"> (Leadership Commitments)</w:t>
      </w:r>
      <w:r>
        <w:t xml:space="preserve"> doğrultusunda </w:t>
      </w:r>
      <w:r>
        <w:rPr>
          <w:b/>
        </w:rPr>
        <w:t>şirket kültürü</w:t>
      </w:r>
      <w:r>
        <w:t xml:space="preserve"> daha </w:t>
      </w:r>
      <w:r w:rsidR="00777411">
        <w:t xml:space="preserve">da </w:t>
      </w:r>
      <w:r>
        <w:t xml:space="preserve">güçlendirildi. Bu bağlamda Henkel, yeni eğitim ve gelişim programlarının yanı sıra mobil çalışma, çalışma ortamının tasarımı ve çalışanlara yönelik sağlık girişimleri için </w:t>
      </w:r>
      <w:r w:rsidR="00B25AA6">
        <w:t>global</w:t>
      </w:r>
      <w:r>
        <w:t xml:space="preserve"> bir çerçeve sağlayan bütünsel Akıllı İş </w:t>
      </w:r>
      <w:r w:rsidR="00193F8D">
        <w:t xml:space="preserve">(Smart Work) </w:t>
      </w:r>
      <w:r>
        <w:t>konseptini uygulamaya devam etti.</w:t>
      </w:r>
    </w:p>
    <w:p w14:paraId="771B71A5" w14:textId="107692D9" w:rsidR="00406592" w:rsidRPr="00A24FBF" w:rsidRDefault="00406592">
      <w:pPr>
        <w:spacing w:line="240" w:lineRule="auto"/>
        <w:jc w:val="left"/>
        <w:rPr>
          <w:rStyle w:val="AboutandContactHeadline"/>
          <w:lang w:val="en-US"/>
        </w:rPr>
      </w:pPr>
    </w:p>
    <w:p w14:paraId="5CC0D43A" w14:textId="11DFCA17" w:rsidR="00564B38" w:rsidRPr="00564B38" w:rsidRDefault="00564B38" w:rsidP="00564B38">
      <w:pPr>
        <w:rPr>
          <w:rFonts w:cs="Segoe UI"/>
          <w:szCs w:val="22"/>
        </w:rPr>
      </w:pPr>
      <w:r>
        <w:t>Carsten Knobel konu hakkındaki görüşlerini şu sözlerle özetledi: “Tüketici Markaları ile</w:t>
      </w:r>
      <w:r w:rsidR="002A0D53">
        <w:t>,</w:t>
      </w:r>
      <w:r>
        <w:t xml:space="preserve"> tüketici iş birim</w:t>
      </w:r>
      <w:r w:rsidR="002A0D53">
        <w:t>ler</w:t>
      </w:r>
      <w:r>
        <w:t xml:space="preserve">imizin ve tüm şirketimizin daha kârlı </w:t>
      </w:r>
      <w:r w:rsidR="002A0D53">
        <w:t xml:space="preserve">bir şekilde </w:t>
      </w:r>
      <w:r>
        <w:t>büyümesi için gerekli temeli attığımıza yürekten inanıyoruz. Yapıştırıcı Teknolojilerinde</w:t>
      </w:r>
      <w:r w:rsidR="00777411">
        <w:t>;</w:t>
      </w:r>
      <w:r>
        <w:t xml:space="preserve"> sistematik olarak sürdürülebilirlik, mobilite ve bağlanabilirlik trendlerine odaklanıyoruz ve önümüzdeki yıllarda büyüme ve k</w:t>
      </w:r>
      <w:r w:rsidR="002A0D53" w:rsidRPr="002A0D53">
        <w:t>â</w:t>
      </w:r>
      <w:r>
        <w:t xml:space="preserve">rlılığı daha </w:t>
      </w:r>
      <w:r w:rsidR="00777411">
        <w:t xml:space="preserve">da </w:t>
      </w:r>
      <w:r>
        <w:t xml:space="preserve">artırmak için bu iş biriminin </w:t>
      </w:r>
      <w:r w:rsidR="002A0D53">
        <w:t xml:space="preserve">pazardaki </w:t>
      </w:r>
      <w:r w:rsidR="00B25AA6">
        <w:t>global</w:t>
      </w:r>
      <w:r>
        <w:t xml:space="preserve"> lider konumun</w:t>
      </w:r>
      <w:r w:rsidR="002A0D53">
        <w:t xml:space="preserve">u güçlendirmek </w:t>
      </w:r>
      <w:r>
        <w:t>istiyoruz.</w:t>
      </w:r>
      <w:r w:rsidR="002A0D53">
        <w:t xml:space="preserve"> Bu doğr</w:t>
      </w:r>
      <w:r w:rsidR="00536BDC">
        <w:t>ultuda iyi bir şekilde konumlan</w:t>
      </w:r>
      <w:r w:rsidR="002A0D53">
        <w:t>mış durumdayız.</w:t>
      </w:r>
      <w:r>
        <w:t xml:space="preserve"> Doğru </w:t>
      </w:r>
      <w:r w:rsidR="00762DFE">
        <w:t xml:space="preserve">bir </w:t>
      </w:r>
      <w:r>
        <w:t>stratejimiz ve güçlü bir ekibimiz var. İddialı hedeflerimize ulaşacağımıza ve amaca yönelik büyüme gündemimizi başarıyla uygulayacağımıza yürekten inanıyorum”.</w:t>
      </w:r>
    </w:p>
    <w:p w14:paraId="037A0F04" w14:textId="516DB1DC" w:rsidR="00564B38" w:rsidRDefault="00564B38" w:rsidP="00564B38">
      <w:pPr>
        <w:rPr>
          <w:rFonts w:cs="Segoe UI"/>
          <w:b/>
          <w:bCs/>
          <w:szCs w:val="22"/>
          <w:lang w:val="en-US"/>
        </w:rPr>
      </w:pPr>
    </w:p>
    <w:p w14:paraId="3277A53D" w14:textId="77777777" w:rsidR="000279A4" w:rsidRPr="000279A4" w:rsidRDefault="000279A4" w:rsidP="000279A4">
      <w:pPr>
        <w:rPr>
          <w:rFonts w:cs="Segoe UI"/>
          <w:b/>
          <w:sz w:val="18"/>
          <w:szCs w:val="18"/>
        </w:rPr>
      </w:pPr>
      <w:r w:rsidRPr="000279A4">
        <w:rPr>
          <w:rFonts w:cs="Segoe UI"/>
          <w:b/>
          <w:sz w:val="18"/>
          <w:szCs w:val="18"/>
        </w:rPr>
        <w:t>Henkel Hakkında</w:t>
      </w:r>
    </w:p>
    <w:p w14:paraId="330AF345" w14:textId="2CDE89FB" w:rsidR="000279A4" w:rsidRPr="000279A4" w:rsidRDefault="000279A4" w:rsidP="000279A4">
      <w:pPr>
        <w:rPr>
          <w:rFonts w:cs="Segoe UI"/>
          <w:sz w:val="18"/>
          <w:szCs w:val="18"/>
        </w:rPr>
      </w:pPr>
      <w:r w:rsidRPr="000279A4">
        <w:rPr>
          <w:rFonts w:cs="Segoe UI"/>
          <w:sz w:val="18"/>
          <w:szCs w:val="18"/>
        </w:rPr>
        <w:t>Markaları, inovasyonları ve teknolojileri ile Henkel, endüstriyel ve tüketici iş birimlerinde, dünya genelindeki pazarlarda lider konumlara sahiptir. Yapıştırıcı Teknolojileri İş Birimi; yapıştırıcılar, yalıtım malzemeleri ve fonksiyonel kaplamalar pazarlarında global bir liderdir. Tüketici Markaları ile şirketin,</w:t>
      </w:r>
      <w:r w:rsidRPr="000279A4">
        <w:rPr>
          <w:sz w:val="18"/>
          <w:szCs w:val="18"/>
        </w:rPr>
        <w:t xml:space="preserve"> </w:t>
      </w:r>
      <w:r w:rsidRPr="000279A4">
        <w:rPr>
          <w:rFonts w:cs="Segoe UI"/>
          <w:sz w:val="18"/>
          <w:szCs w:val="18"/>
        </w:rPr>
        <w:t xml:space="preserve">başta Saç Bakım ile Çamaşır ve Ev Bakım olmak üzere, dünya genelinde pek çok piyasa ve kategoride liderliği bulunmaktadır. Henkel’in en güçlü üç markası Loctite, Persil ve Schwarzkopf markalarıdır. 2022 mali yılında Henkel, 22 milyar Euro’nun üzerinde satış ve yaklaşık 2,3 milyar Euro düzeltilmiş faaliyet kârı bildirmiştir. Henkel’in imtiyazlı hisse senetleri, Almanya DAX borsa endeksine kayıtlıdır. Sürdürülebilirlik, Henkel’in köklü geleneğinin önemli bir bileşenidir ve şirket somut hedefler doğrultusunda hayata geçirdiği net bir sürdürülebilirlik stratejisine sahiptir. 1876’da kurulmuş olan Henkel, bugün dünya çapında güçlü bir şirket kültürü ile bir araya gelen, çeşitliliği kapsayan, ortak değerlerde birleşen ve “Pioneers at heart for the </w:t>
      </w:r>
      <w:r w:rsidRPr="000279A4">
        <w:rPr>
          <w:rFonts w:cs="Segoe UI"/>
          <w:sz w:val="18"/>
          <w:szCs w:val="18"/>
        </w:rPr>
        <w:lastRenderedPageBreak/>
        <w:t>good of generations”</w:t>
      </w:r>
      <w:r w:rsidRPr="000279A4">
        <w:rPr>
          <w:sz w:val="18"/>
          <w:szCs w:val="18"/>
        </w:rPr>
        <w:t xml:space="preserve"> </w:t>
      </w:r>
      <w:r w:rsidRPr="000279A4">
        <w:rPr>
          <w:rFonts w:cs="Segoe UI"/>
          <w:sz w:val="18"/>
          <w:szCs w:val="18"/>
        </w:rPr>
        <w:t>(Gelecek Nesiller İçin İyiliğe Öncülük Ediyoruz) amacında buluşan 50.000’den fazla kişiyi istihdam etmektedir.</w:t>
      </w:r>
      <w:r w:rsidRPr="000279A4">
        <w:rPr>
          <w:sz w:val="18"/>
          <w:szCs w:val="18"/>
        </w:rPr>
        <w:t xml:space="preserve"> </w:t>
      </w:r>
      <w:r w:rsidRPr="000279A4">
        <w:rPr>
          <w:rFonts w:cs="Segoe UI"/>
          <w:sz w:val="18"/>
          <w:szCs w:val="18"/>
        </w:rPr>
        <w:t xml:space="preserve">Daha fazla bilgiyi </w:t>
      </w:r>
      <w:hyperlink r:id="rId12" w:history="1">
        <w:r w:rsidRPr="000279A4">
          <w:rPr>
            <w:rStyle w:val="Hyperlink"/>
            <w:rFonts w:cs="Segoe UI"/>
          </w:rPr>
          <w:t>www.henkel.com</w:t>
        </w:r>
      </w:hyperlink>
      <w:r w:rsidRPr="000279A4">
        <w:rPr>
          <w:rFonts w:cs="Segoe UI"/>
          <w:sz w:val="18"/>
          <w:szCs w:val="18"/>
        </w:rPr>
        <w:t xml:space="preserve"> adresinde bulabilirsiniz.</w:t>
      </w:r>
    </w:p>
    <w:p w14:paraId="784D22BB" w14:textId="77777777" w:rsidR="000279A4" w:rsidRPr="00564B38" w:rsidRDefault="000279A4" w:rsidP="00564B38">
      <w:pPr>
        <w:rPr>
          <w:rFonts w:cs="Segoe UI"/>
          <w:b/>
          <w:bCs/>
          <w:szCs w:val="22"/>
          <w:lang w:val="en-US"/>
        </w:rPr>
      </w:pPr>
    </w:p>
    <w:p w14:paraId="70017B01" w14:textId="62BD4697" w:rsidR="00E71821" w:rsidRPr="00D6245A" w:rsidRDefault="00E71821">
      <w:pPr>
        <w:spacing w:line="240" w:lineRule="auto"/>
        <w:jc w:val="left"/>
        <w:rPr>
          <w:rFonts w:eastAsiaTheme="minorHAnsi" w:cstheme="minorBidi"/>
          <w:sz w:val="12"/>
          <w:szCs w:val="12"/>
        </w:rPr>
      </w:pPr>
    </w:p>
    <w:sectPr w:rsidR="00E71821" w:rsidRPr="00D6245A" w:rsidSect="00350F04">
      <w:footerReference w:type="default" r:id="rId13"/>
      <w:headerReference w:type="first" r:id="rId14"/>
      <w:footerReference w:type="first" r:id="rId15"/>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5FA79" w14:textId="77777777" w:rsidR="000C24DE" w:rsidRDefault="000C24DE">
      <w:r>
        <w:separator/>
      </w:r>
    </w:p>
  </w:endnote>
  <w:endnote w:type="continuationSeparator" w:id="0">
    <w:p w14:paraId="3879E963" w14:textId="77777777" w:rsidR="000C24DE" w:rsidRDefault="000C24DE">
      <w:r>
        <w:continuationSeparator/>
      </w:r>
    </w:p>
  </w:endnote>
  <w:endnote w:type="continuationNotice" w:id="1">
    <w:p w14:paraId="3C95BB2D" w14:textId="77777777" w:rsidR="000C24DE" w:rsidRDefault="000C24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2843" w14:textId="2DE87AD2" w:rsidR="0080513B" w:rsidRPr="00BF6E82" w:rsidRDefault="0080513B" w:rsidP="004D7D58">
    <w:pPr>
      <w:pStyle w:val="Footer"/>
      <w:tabs>
        <w:tab w:val="clear" w:pos="7083"/>
        <w:tab w:val="clear" w:pos="8640"/>
        <w:tab w:val="right" w:pos="9071"/>
      </w:tabs>
      <w:jc w:val="left"/>
    </w:pPr>
    <w:r>
      <w:tab/>
    </w:r>
    <w:r>
      <w:t xml:space="preserve">Sayfa </w:t>
    </w:r>
    <w:r w:rsidRPr="00992A11">
      <w:fldChar w:fldCharType="begin"/>
    </w:r>
    <w:r w:rsidRPr="00992A11">
      <w:instrText xml:space="preserve"> PAGE  \* Arabic  \* MERGEFORMAT </w:instrText>
    </w:r>
    <w:r w:rsidRPr="00992A11">
      <w:fldChar w:fldCharType="separate"/>
    </w:r>
    <w:r w:rsidR="00E71821">
      <w:t>8</w:t>
    </w:r>
    <w:r w:rsidRPr="00992A11">
      <w:fldChar w:fldCharType="end"/>
    </w:r>
    <w:r>
      <w:t>/</w:t>
    </w:r>
    <w:fldSimple w:instr=" NUMPAGES  \* Arabic  \* MERGEFORMAT ">
      <w:r w:rsidR="00E71821">
        <w:t>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8A23" w14:textId="3FBCEE2C" w:rsidR="0080513B" w:rsidRPr="00992A11" w:rsidRDefault="0080513B" w:rsidP="00992A11">
    <w:pPr>
      <w:pStyle w:val="Footer"/>
    </w:pPr>
    <w:bookmarkStart w:id="3" w:name="_Hlk505758583"/>
    <w:r w:rsidRPr="00992A11">
      <w:rPr>
        <w:lang w:eastAsia="tr-TR"/>
      </w:rPr>
      <w:drawing>
        <wp:anchor distT="0" distB="0" distL="114300" distR="114300" simplePos="0" relativeHeight="251658242" behindDoc="0" locked="0" layoutInCell="1" allowOverlap="1" wp14:anchorId="5557ECEB" wp14:editId="2928C3B2">
          <wp:simplePos x="0" y="0"/>
          <wp:positionH relativeFrom="column">
            <wp:posOffset>1270</wp:posOffset>
          </wp:positionH>
          <wp:positionV relativeFrom="paragraph">
            <wp:posOffset>-484806</wp:posOffset>
          </wp:positionV>
          <wp:extent cx="5756910" cy="38481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3"/>
    <w:r>
      <w:t xml:space="preserve">Sayfa </w:t>
    </w:r>
    <w:r w:rsidRPr="00992A11">
      <w:fldChar w:fldCharType="begin"/>
    </w:r>
    <w:r w:rsidRPr="00992A11">
      <w:instrText xml:space="preserve"> PAGE  \* Arabic  \* MERGEFORMAT </w:instrText>
    </w:r>
    <w:r w:rsidRPr="00992A11">
      <w:fldChar w:fldCharType="separate"/>
    </w:r>
    <w:r w:rsidR="00EB6926">
      <w:t>1</w:t>
    </w:r>
    <w:r w:rsidRPr="00992A11">
      <w:fldChar w:fldCharType="end"/>
    </w:r>
    <w:r>
      <w:t>/</w:t>
    </w:r>
    <w:fldSimple w:instr=" NUMPAGES  \* Arabic  \* MERGEFORMAT ">
      <w:r w:rsidR="00EB6926">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C4A86" w14:textId="77777777" w:rsidR="000C24DE" w:rsidRDefault="000C24DE">
      <w:r>
        <w:separator/>
      </w:r>
    </w:p>
  </w:footnote>
  <w:footnote w:type="continuationSeparator" w:id="0">
    <w:p w14:paraId="763A5B41" w14:textId="77777777" w:rsidR="000C24DE" w:rsidRDefault="000C24DE">
      <w:r>
        <w:continuationSeparator/>
      </w:r>
    </w:p>
  </w:footnote>
  <w:footnote w:type="continuationNotice" w:id="1">
    <w:p w14:paraId="1DA8E044" w14:textId="77777777" w:rsidR="000C24DE" w:rsidRDefault="000C24D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0721" w14:textId="2780795B" w:rsidR="0080513B" w:rsidRPr="00EB46D9" w:rsidRDefault="0080513B" w:rsidP="006362AD">
    <w:pPr>
      <w:pStyle w:val="Header"/>
    </w:pPr>
    <w:r w:rsidRPr="00EB46D9">
      <w:rPr>
        <w:lang w:eastAsia="tr-TR"/>
      </w:rPr>
      <w:drawing>
        <wp:anchor distT="0" distB="0" distL="114300" distR="114300" simplePos="0" relativeHeight="251658241" behindDoc="0" locked="1" layoutInCell="1" allowOverlap="1" wp14:anchorId="728660EA" wp14:editId="06BC616B">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lang w:eastAsia="tr-TR"/>
      </w:rPr>
      <mc:AlternateContent>
        <mc:Choice Requires="wpg">
          <w:drawing>
            <wp:anchor distT="0" distB="0" distL="114300" distR="114300" simplePos="0" relativeHeight="251658240" behindDoc="0" locked="0" layoutInCell="1" allowOverlap="1" wp14:anchorId="5AA40221" wp14:editId="60F29556">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69E3F572"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t>Basın Bülteni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95019839">
    <w:abstractNumId w:val="1"/>
  </w:num>
  <w:num w:numId="2" w16cid:durableId="1344012974">
    <w:abstractNumId w:val="0"/>
  </w:num>
  <w:num w:numId="3" w16cid:durableId="1095438147">
    <w:abstractNumId w:val="6"/>
  </w:num>
  <w:num w:numId="4" w16cid:durableId="1873499435">
    <w:abstractNumId w:val="4"/>
  </w:num>
  <w:num w:numId="5" w16cid:durableId="1702436621">
    <w:abstractNumId w:val="2"/>
  </w:num>
  <w:num w:numId="6" w16cid:durableId="404837382">
    <w:abstractNumId w:val="5"/>
  </w:num>
  <w:num w:numId="7" w16cid:durableId="1041436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F27FF1"/>
    <w:rsid w:val="000017DE"/>
    <w:rsid w:val="00002AA4"/>
    <w:rsid w:val="00005267"/>
    <w:rsid w:val="00006346"/>
    <w:rsid w:val="00006BB1"/>
    <w:rsid w:val="00011C19"/>
    <w:rsid w:val="00021C67"/>
    <w:rsid w:val="000279A4"/>
    <w:rsid w:val="00030557"/>
    <w:rsid w:val="00030F51"/>
    <w:rsid w:val="00031A36"/>
    <w:rsid w:val="00040CC9"/>
    <w:rsid w:val="00044785"/>
    <w:rsid w:val="00046B08"/>
    <w:rsid w:val="00051E86"/>
    <w:rsid w:val="00053230"/>
    <w:rsid w:val="000542D8"/>
    <w:rsid w:val="00055BAE"/>
    <w:rsid w:val="000575F9"/>
    <w:rsid w:val="00060254"/>
    <w:rsid w:val="000618FC"/>
    <w:rsid w:val="00065C4C"/>
    <w:rsid w:val="00067071"/>
    <w:rsid w:val="00075423"/>
    <w:rsid w:val="000772CF"/>
    <w:rsid w:val="00080D10"/>
    <w:rsid w:val="000811DE"/>
    <w:rsid w:val="00081F20"/>
    <w:rsid w:val="00084E75"/>
    <w:rsid w:val="00093FB6"/>
    <w:rsid w:val="00094112"/>
    <w:rsid w:val="000A566E"/>
    <w:rsid w:val="000B695A"/>
    <w:rsid w:val="000B73FB"/>
    <w:rsid w:val="000C210A"/>
    <w:rsid w:val="000C24DE"/>
    <w:rsid w:val="000C5013"/>
    <w:rsid w:val="000C56DD"/>
    <w:rsid w:val="000C67A1"/>
    <w:rsid w:val="000D1672"/>
    <w:rsid w:val="000D2740"/>
    <w:rsid w:val="000E1188"/>
    <w:rsid w:val="000E2F62"/>
    <w:rsid w:val="000E38ED"/>
    <w:rsid w:val="000E4AE6"/>
    <w:rsid w:val="000E7F24"/>
    <w:rsid w:val="000F03BE"/>
    <w:rsid w:val="000F225B"/>
    <w:rsid w:val="000F4451"/>
    <w:rsid w:val="000F625B"/>
    <w:rsid w:val="000F7FAF"/>
    <w:rsid w:val="001010BD"/>
    <w:rsid w:val="00105975"/>
    <w:rsid w:val="00110193"/>
    <w:rsid w:val="001104A0"/>
    <w:rsid w:val="00111F4D"/>
    <w:rsid w:val="0011474A"/>
    <w:rsid w:val="00115230"/>
    <w:rsid w:val="00115B5F"/>
    <w:rsid w:val="001162B4"/>
    <w:rsid w:val="00117DB0"/>
    <w:rsid w:val="00122CBC"/>
    <w:rsid w:val="001240AF"/>
    <w:rsid w:val="00125779"/>
    <w:rsid w:val="00126D4A"/>
    <w:rsid w:val="00127A64"/>
    <w:rsid w:val="00132DA9"/>
    <w:rsid w:val="0013305B"/>
    <w:rsid w:val="00133B99"/>
    <w:rsid w:val="001443BD"/>
    <w:rsid w:val="00145680"/>
    <w:rsid w:val="00150BB0"/>
    <w:rsid w:val="0015214C"/>
    <w:rsid w:val="00161862"/>
    <w:rsid w:val="001731CE"/>
    <w:rsid w:val="001745B9"/>
    <w:rsid w:val="00185BD9"/>
    <w:rsid w:val="001870DE"/>
    <w:rsid w:val="00187E4E"/>
    <w:rsid w:val="00190CEB"/>
    <w:rsid w:val="00191593"/>
    <w:rsid w:val="00193F8D"/>
    <w:rsid w:val="001A0989"/>
    <w:rsid w:val="001A1CD4"/>
    <w:rsid w:val="001B12FA"/>
    <w:rsid w:val="001B3769"/>
    <w:rsid w:val="001C0B32"/>
    <w:rsid w:val="001C4BE1"/>
    <w:rsid w:val="001D3EAA"/>
    <w:rsid w:val="001E0F71"/>
    <w:rsid w:val="001E3031"/>
    <w:rsid w:val="001E6D05"/>
    <w:rsid w:val="001E7C28"/>
    <w:rsid w:val="001F1BDF"/>
    <w:rsid w:val="001F7110"/>
    <w:rsid w:val="001F740D"/>
    <w:rsid w:val="001F7E96"/>
    <w:rsid w:val="002014B0"/>
    <w:rsid w:val="0020160E"/>
    <w:rsid w:val="00202284"/>
    <w:rsid w:val="002056A1"/>
    <w:rsid w:val="00210B58"/>
    <w:rsid w:val="00211535"/>
    <w:rsid w:val="00212439"/>
    <w:rsid w:val="00212488"/>
    <w:rsid w:val="0021752F"/>
    <w:rsid w:val="00220628"/>
    <w:rsid w:val="00220A6A"/>
    <w:rsid w:val="00223075"/>
    <w:rsid w:val="00223EAE"/>
    <w:rsid w:val="002249B3"/>
    <w:rsid w:val="002304D2"/>
    <w:rsid w:val="002333E5"/>
    <w:rsid w:val="00236E2A"/>
    <w:rsid w:val="00237F62"/>
    <w:rsid w:val="00240F8A"/>
    <w:rsid w:val="002436D4"/>
    <w:rsid w:val="0024398A"/>
    <w:rsid w:val="0024586A"/>
    <w:rsid w:val="00254F65"/>
    <w:rsid w:val="00256F0C"/>
    <w:rsid w:val="002577B7"/>
    <w:rsid w:val="002601C3"/>
    <w:rsid w:val="00262757"/>
    <w:rsid w:val="00262C05"/>
    <w:rsid w:val="0027160A"/>
    <w:rsid w:val="00273DA7"/>
    <w:rsid w:val="00275981"/>
    <w:rsid w:val="00276F9F"/>
    <w:rsid w:val="0028035A"/>
    <w:rsid w:val="00281843"/>
    <w:rsid w:val="00281D14"/>
    <w:rsid w:val="00282C13"/>
    <w:rsid w:val="00290CD3"/>
    <w:rsid w:val="002946E7"/>
    <w:rsid w:val="00294CC6"/>
    <w:rsid w:val="00295715"/>
    <w:rsid w:val="002958B1"/>
    <w:rsid w:val="00295B5D"/>
    <w:rsid w:val="00296DD0"/>
    <w:rsid w:val="002A0D53"/>
    <w:rsid w:val="002A0DF7"/>
    <w:rsid w:val="002A1528"/>
    <w:rsid w:val="002A32B0"/>
    <w:rsid w:val="002A5AD9"/>
    <w:rsid w:val="002A60E0"/>
    <w:rsid w:val="002A6274"/>
    <w:rsid w:val="002B1259"/>
    <w:rsid w:val="002B7C01"/>
    <w:rsid w:val="002B7C38"/>
    <w:rsid w:val="002C0335"/>
    <w:rsid w:val="002C1B2D"/>
    <w:rsid w:val="002C252E"/>
    <w:rsid w:val="002C6773"/>
    <w:rsid w:val="002C6B5E"/>
    <w:rsid w:val="002D2A3D"/>
    <w:rsid w:val="002D3B24"/>
    <w:rsid w:val="002D533B"/>
    <w:rsid w:val="002D657C"/>
    <w:rsid w:val="002D6841"/>
    <w:rsid w:val="002E0B17"/>
    <w:rsid w:val="002E1100"/>
    <w:rsid w:val="002E40D3"/>
    <w:rsid w:val="002E4FFB"/>
    <w:rsid w:val="002E7DED"/>
    <w:rsid w:val="002F4AFD"/>
    <w:rsid w:val="002F7E11"/>
    <w:rsid w:val="00304087"/>
    <w:rsid w:val="003064C3"/>
    <w:rsid w:val="00310ACD"/>
    <w:rsid w:val="0031379F"/>
    <w:rsid w:val="00314913"/>
    <w:rsid w:val="00320A26"/>
    <w:rsid w:val="00321344"/>
    <w:rsid w:val="00321450"/>
    <w:rsid w:val="00323F23"/>
    <w:rsid w:val="00325341"/>
    <w:rsid w:val="00326912"/>
    <w:rsid w:val="00327FEC"/>
    <w:rsid w:val="00330AEF"/>
    <w:rsid w:val="003326C7"/>
    <w:rsid w:val="0033739A"/>
    <w:rsid w:val="003400F9"/>
    <w:rsid w:val="0034015C"/>
    <w:rsid w:val="003415E9"/>
    <w:rsid w:val="003442F4"/>
    <w:rsid w:val="00350F04"/>
    <w:rsid w:val="00353705"/>
    <w:rsid w:val="003562E8"/>
    <w:rsid w:val="00362DCD"/>
    <w:rsid w:val="0036357D"/>
    <w:rsid w:val="003649BC"/>
    <w:rsid w:val="00365050"/>
    <w:rsid w:val="00365E44"/>
    <w:rsid w:val="00367AA1"/>
    <w:rsid w:val="00372E36"/>
    <w:rsid w:val="00376EE9"/>
    <w:rsid w:val="00377CBB"/>
    <w:rsid w:val="00382B01"/>
    <w:rsid w:val="00383810"/>
    <w:rsid w:val="003840D8"/>
    <w:rsid w:val="003850D3"/>
    <w:rsid w:val="003877B6"/>
    <w:rsid w:val="00393887"/>
    <w:rsid w:val="00394C6B"/>
    <w:rsid w:val="003977A6"/>
    <w:rsid w:val="003A4E62"/>
    <w:rsid w:val="003A7C4B"/>
    <w:rsid w:val="003B003E"/>
    <w:rsid w:val="003B1069"/>
    <w:rsid w:val="003B326A"/>
    <w:rsid w:val="003B390A"/>
    <w:rsid w:val="003B5697"/>
    <w:rsid w:val="003C0249"/>
    <w:rsid w:val="003C15DE"/>
    <w:rsid w:val="003C18AB"/>
    <w:rsid w:val="003C4EB2"/>
    <w:rsid w:val="003D5B33"/>
    <w:rsid w:val="003E32CD"/>
    <w:rsid w:val="003E7458"/>
    <w:rsid w:val="003F1AF3"/>
    <w:rsid w:val="003F3A43"/>
    <w:rsid w:val="003F4D8D"/>
    <w:rsid w:val="003F5ACF"/>
    <w:rsid w:val="003F653D"/>
    <w:rsid w:val="0040040A"/>
    <w:rsid w:val="00401D94"/>
    <w:rsid w:val="00403332"/>
    <w:rsid w:val="00405E42"/>
    <w:rsid w:val="00406592"/>
    <w:rsid w:val="0042101B"/>
    <w:rsid w:val="0042796C"/>
    <w:rsid w:val="004313E7"/>
    <w:rsid w:val="00431CEA"/>
    <w:rsid w:val="00432D57"/>
    <w:rsid w:val="0044763B"/>
    <w:rsid w:val="00450243"/>
    <w:rsid w:val="00452BFE"/>
    <w:rsid w:val="00453E99"/>
    <w:rsid w:val="004540FE"/>
    <w:rsid w:val="00454AE9"/>
    <w:rsid w:val="004560FE"/>
    <w:rsid w:val="004629B3"/>
    <w:rsid w:val="0046376E"/>
    <w:rsid w:val="0046690F"/>
    <w:rsid w:val="0047224B"/>
    <w:rsid w:val="00472FEC"/>
    <w:rsid w:val="00477934"/>
    <w:rsid w:val="004823E4"/>
    <w:rsid w:val="00485334"/>
    <w:rsid w:val="004863FF"/>
    <w:rsid w:val="004874BA"/>
    <w:rsid w:val="00490A03"/>
    <w:rsid w:val="00490CFE"/>
    <w:rsid w:val="00490F2E"/>
    <w:rsid w:val="00493327"/>
    <w:rsid w:val="00494DBE"/>
    <w:rsid w:val="00495CE6"/>
    <w:rsid w:val="004A1D94"/>
    <w:rsid w:val="004A323C"/>
    <w:rsid w:val="004A3EC2"/>
    <w:rsid w:val="004A4F37"/>
    <w:rsid w:val="004A6AD7"/>
    <w:rsid w:val="004A6F00"/>
    <w:rsid w:val="004B54E8"/>
    <w:rsid w:val="004C02B5"/>
    <w:rsid w:val="004C09EC"/>
    <w:rsid w:val="004C4FEB"/>
    <w:rsid w:val="004C6B79"/>
    <w:rsid w:val="004D059B"/>
    <w:rsid w:val="004D3AA6"/>
    <w:rsid w:val="004D4CB6"/>
    <w:rsid w:val="004D7AB4"/>
    <w:rsid w:val="004D7D58"/>
    <w:rsid w:val="004E18C1"/>
    <w:rsid w:val="004E18C9"/>
    <w:rsid w:val="004E3341"/>
    <w:rsid w:val="004E4FE6"/>
    <w:rsid w:val="004E5170"/>
    <w:rsid w:val="004F10C1"/>
    <w:rsid w:val="00502E62"/>
    <w:rsid w:val="00505522"/>
    <w:rsid w:val="0050762C"/>
    <w:rsid w:val="00513DB0"/>
    <w:rsid w:val="0052212B"/>
    <w:rsid w:val="00533F73"/>
    <w:rsid w:val="00534899"/>
    <w:rsid w:val="005348AD"/>
    <w:rsid w:val="00534B46"/>
    <w:rsid w:val="00534DCB"/>
    <w:rsid w:val="00535284"/>
    <w:rsid w:val="00536BDC"/>
    <w:rsid w:val="00540358"/>
    <w:rsid w:val="0054573C"/>
    <w:rsid w:val="00546B49"/>
    <w:rsid w:val="005519F4"/>
    <w:rsid w:val="0055571E"/>
    <w:rsid w:val="00556F67"/>
    <w:rsid w:val="005576B0"/>
    <w:rsid w:val="00560F12"/>
    <w:rsid w:val="00561313"/>
    <w:rsid w:val="00563834"/>
    <w:rsid w:val="00564B38"/>
    <w:rsid w:val="00572378"/>
    <w:rsid w:val="00573A36"/>
    <w:rsid w:val="00575823"/>
    <w:rsid w:val="00576654"/>
    <w:rsid w:val="00580541"/>
    <w:rsid w:val="00583051"/>
    <w:rsid w:val="005833F0"/>
    <w:rsid w:val="005856B9"/>
    <w:rsid w:val="00586CAF"/>
    <w:rsid w:val="00591180"/>
    <w:rsid w:val="0059367C"/>
    <w:rsid w:val="00595C06"/>
    <w:rsid w:val="0059722C"/>
    <w:rsid w:val="00597B54"/>
    <w:rsid w:val="00597D07"/>
    <w:rsid w:val="005A0561"/>
    <w:rsid w:val="005A3846"/>
    <w:rsid w:val="005B17E1"/>
    <w:rsid w:val="005B1FD1"/>
    <w:rsid w:val="005B3AB0"/>
    <w:rsid w:val="005B5CFE"/>
    <w:rsid w:val="005B6A58"/>
    <w:rsid w:val="005C0425"/>
    <w:rsid w:val="005C7112"/>
    <w:rsid w:val="005D0561"/>
    <w:rsid w:val="005D0AD9"/>
    <w:rsid w:val="005D22F6"/>
    <w:rsid w:val="005E0C30"/>
    <w:rsid w:val="005E3772"/>
    <w:rsid w:val="005E69D9"/>
    <w:rsid w:val="005E7EA8"/>
    <w:rsid w:val="005F27F4"/>
    <w:rsid w:val="005F284F"/>
    <w:rsid w:val="005F3239"/>
    <w:rsid w:val="005F6567"/>
    <w:rsid w:val="005F7853"/>
    <w:rsid w:val="006046D6"/>
    <w:rsid w:val="00606089"/>
    <w:rsid w:val="00607256"/>
    <w:rsid w:val="006144B1"/>
    <w:rsid w:val="00615ABA"/>
    <w:rsid w:val="00625373"/>
    <w:rsid w:val="0062593D"/>
    <w:rsid w:val="00630F44"/>
    <w:rsid w:val="006334BF"/>
    <w:rsid w:val="006335F1"/>
    <w:rsid w:val="00634135"/>
    <w:rsid w:val="006345B6"/>
    <w:rsid w:val="00635712"/>
    <w:rsid w:val="006362AD"/>
    <w:rsid w:val="00640CFD"/>
    <w:rsid w:val="00643D8A"/>
    <w:rsid w:val="006444AF"/>
    <w:rsid w:val="0065017E"/>
    <w:rsid w:val="00650722"/>
    <w:rsid w:val="00652021"/>
    <w:rsid w:val="00652229"/>
    <w:rsid w:val="00652793"/>
    <w:rsid w:val="00657FB6"/>
    <w:rsid w:val="006626CA"/>
    <w:rsid w:val="00663487"/>
    <w:rsid w:val="00665FA0"/>
    <w:rsid w:val="00670D3C"/>
    <w:rsid w:val="00672382"/>
    <w:rsid w:val="00672E10"/>
    <w:rsid w:val="00677F8A"/>
    <w:rsid w:val="00682EB9"/>
    <w:rsid w:val="0068441A"/>
    <w:rsid w:val="0068728E"/>
    <w:rsid w:val="00690B19"/>
    <w:rsid w:val="00695F34"/>
    <w:rsid w:val="006972BC"/>
    <w:rsid w:val="006A0A3C"/>
    <w:rsid w:val="006A42A9"/>
    <w:rsid w:val="006A5CC0"/>
    <w:rsid w:val="006A79F0"/>
    <w:rsid w:val="006B1888"/>
    <w:rsid w:val="006B499F"/>
    <w:rsid w:val="006B50E6"/>
    <w:rsid w:val="006C1121"/>
    <w:rsid w:val="006C6AEB"/>
    <w:rsid w:val="006D251E"/>
    <w:rsid w:val="006D4996"/>
    <w:rsid w:val="006D54AB"/>
    <w:rsid w:val="006D6E15"/>
    <w:rsid w:val="006E0FDB"/>
    <w:rsid w:val="006E3006"/>
    <w:rsid w:val="006E5032"/>
    <w:rsid w:val="006E5BDA"/>
    <w:rsid w:val="006E7026"/>
    <w:rsid w:val="006F099D"/>
    <w:rsid w:val="006F0FC7"/>
    <w:rsid w:val="006F1C05"/>
    <w:rsid w:val="006F670F"/>
    <w:rsid w:val="00703272"/>
    <w:rsid w:val="007034D7"/>
    <w:rsid w:val="00705608"/>
    <w:rsid w:val="007062CE"/>
    <w:rsid w:val="0070733C"/>
    <w:rsid w:val="00710C5D"/>
    <w:rsid w:val="00711653"/>
    <w:rsid w:val="0071348C"/>
    <w:rsid w:val="0071535E"/>
    <w:rsid w:val="00716A39"/>
    <w:rsid w:val="00717273"/>
    <w:rsid w:val="007177D2"/>
    <w:rsid w:val="00720FD4"/>
    <w:rsid w:val="00721643"/>
    <w:rsid w:val="00721A98"/>
    <w:rsid w:val="007241E7"/>
    <w:rsid w:val="00724AF2"/>
    <w:rsid w:val="00730547"/>
    <w:rsid w:val="0073096C"/>
    <w:rsid w:val="0073342D"/>
    <w:rsid w:val="007334EE"/>
    <w:rsid w:val="00735F7D"/>
    <w:rsid w:val="007365F6"/>
    <w:rsid w:val="00740131"/>
    <w:rsid w:val="00742398"/>
    <w:rsid w:val="00747C37"/>
    <w:rsid w:val="00747DB5"/>
    <w:rsid w:val="007507B5"/>
    <w:rsid w:val="00753A24"/>
    <w:rsid w:val="00754B91"/>
    <w:rsid w:val="00754D7A"/>
    <w:rsid w:val="00755AA0"/>
    <w:rsid w:val="00760637"/>
    <w:rsid w:val="00762DFE"/>
    <w:rsid w:val="0076759B"/>
    <w:rsid w:val="00767C62"/>
    <w:rsid w:val="00772188"/>
    <w:rsid w:val="00772703"/>
    <w:rsid w:val="00777411"/>
    <w:rsid w:val="007813D0"/>
    <w:rsid w:val="00783912"/>
    <w:rsid w:val="007844D2"/>
    <w:rsid w:val="00785993"/>
    <w:rsid w:val="00786BA3"/>
    <w:rsid w:val="0079202F"/>
    <w:rsid w:val="00792DAE"/>
    <w:rsid w:val="00794E7D"/>
    <w:rsid w:val="00795AF2"/>
    <w:rsid w:val="007A0FF6"/>
    <w:rsid w:val="007A26AF"/>
    <w:rsid w:val="007A33FD"/>
    <w:rsid w:val="007A4432"/>
    <w:rsid w:val="007A531B"/>
    <w:rsid w:val="007A753C"/>
    <w:rsid w:val="007A784E"/>
    <w:rsid w:val="007B499C"/>
    <w:rsid w:val="007B4D4B"/>
    <w:rsid w:val="007B6F8D"/>
    <w:rsid w:val="007C3520"/>
    <w:rsid w:val="007C489B"/>
    <w:rsid w:val="007C5A90"/>
    <w:rsid w:val="007D2A02"/>
    <w:rsid w:val="007D384C"/>
    <w:rsid w:val="007D6168"/>
    <w:rsid w:val="007E6EA1"/>
    <w:rsid w:val="007F0F63"/>
    <w:rsid w:val="007F2B1E"/>
    <w:rsid w:val="007F62B4"/>
    <w:rsid w:val="0080044D"/>
    <w:rsid w:val="00801517"/>
    <w:rsid w:val="00802AFB"/>
    <w:rsid w:val="0080513B"/>
    <w:rsid w:val="00817AE8"/>
    <w:rsid w:val="00817DE8"/>
    <w:rsid w:val="008229F5"/>
    <w:rsid w:val="00824D55"/>
    <w:rsid w:val="0082699A"/>
    <w:rsid w:val="00833CEB"/>
    <w:rsid w:val="00835CAB"/>
    <w:rsid w:val="00836F33"/>
    <w:rsid w:val="008372D2"/>
    <w:rsid w:val="008377BC"/>
    <w:rsid w:val="00840C3E"/>
    <w:rsid w:val="00844C17"/>
    <w:rsid w:val="00845D29"/>
    <w:rsid w:val="00847726"/>
    <w:rsid w:val="00847BFD"/>
    <w:rsid w:val="0085231A"/>
    <w:rsid w:val="00852511"/>
    <w:rsid w:val="00853BD4"/>
    <w:rsid w:val="00857390"/>
    <w:rsid w:val="00857FB7"/>
    <w:rsid w:val="0086101D"/>
    <w:rsid w:val="008614F1"/>
    <w:rsid w:val="008639B3"/>
    <w:rsid w:val="00863C1A"/>
    <w:rsid w:val="0087142D"/>
    <w:rsid w:val="00873956"/>
    <w:rsid w:val="0087407D"/>
    <w:rsid w:val="00877110"/>
    <w:rsid w:val="00877602"/>
    <w:rsid w:val="00880611"/>
    <w:rsid w:val="00881A56"/>
    <w:rsid w:val="008825EE"/>
    <w:rsid w:val="0088596E"/>
    <w:rsid w:val="00890532"/>
    <w:rsid w:val="008918EE"/>
    <w:rsid w:val="00892702"/>
    <w:rsid w:val="008962FA"/>
    <w:rsid w:val="0089796A"/>
    <w:rsid w:val="008A01A6"/>
    <w:rsid w:val="008A2375"/>
    <w:rsid w:val="008A24FC"/>
    <w:rsid w:val="008A3B2C"/>
    <w:rsid w:val="008A3B5A"/>
    <w:rsid w:val="008A7219"/>
    <w:rsid w:val="008B1EB7"/>
    <w:rsid w:val="008C02C0"/>
    <w:rsid w:val="008D1AA9"/>
    <w:rsid w:val="008D5BE8"/>
    <w:rsid w:val="008D76C5"/>
    <w:rsid w:val="008D7B87"/>
    <w:rsid w:val="008E0AFA"/>
    <w:rsid w:val="008E75D3"/>
    <w:rsid w:val="008F0292"/>
    <w:rsid w:val="008F125E"/>
    <w:rsid w:val="008F130D"/>
    <w:rsid w:val="008F42BA"/>
    <w:rsid w:val="008F4D2F"/>
    <w:rsid w:val="008F5B37"/>
    <w:rsid w:val="008F677C"/>
    <w:rsid w:val="00901CF4"/>
    <w:rsid w:val="009036C9"/>
    <w:rsid w:val="009067AF"/>
    <w:rsid w:val="00917162"/>
    <w:rsid w:val="00921370"/>
    <w:rsid w:val="009221D8"/>
    <w:rsid w:val="00924EB8"/>
    <w:rsid w:val="009251CC"/>
    <w:rsid w:val="00926E17"/>
    <w:rsid w:val="0092714E"/>
    <w:rsid w:val="00937A98"/>
    <w:rsid w:val="00942002"/>
    <w:rsid w:val="00947885"/>
    <w:rsid w:val="00952168"/>
    <w:rsid w:val="009527FE"/>
    <w:rsid w:val="00961C72"/>
    <w:rsid w:val="00963F25"/>
    <w:rsid w:val="009707D9"/>
    <w:rsid w:val="009714F3"/>
    <w:rsid w:val="009739A0"/>
    <w:rsid w:val="00974F84"/>
    <w:rsid w:val="009767C7"/>
    <w:rsid w:val="0098147B"/>
    <w:rsid w:val="0098579A"/>
    <w:rsid w:val="0099195A"/>
    <w:rsid w:val="00992A11"/>
    <w:rsid w:val="00994681"/>
    <w:rsid w:val="0099486A"/>
    <w:rsid w:val="00997DC6"/>
    <w:rsid w:val="009A0E26"/>
    <w:rsid w:val="009A16EC"/>
    <w:rsid w:val="009B061F"/>
    <w:rsid w:val="009B065B"/>
    <w:rsid w:val="009B3B37"/>
    <w:rsid w:val="009B7D1F"/>
    <w:rsid w:val="009C088E"/>
    <w:rsid w:val="009C3E7B"/>
    <w:rsid w:val="009C4D35"/>
    <w:rsid w:val="009C6A37"/>
    <w:rsid w:val="009D03F5"/>
    <w:rsid w:val="009D1522"/>
    <w:rsid w:val="009E07BC"/>
    <w:rsid w:val="009E15B4"/>
    <w:rsid w:val="009E4279"/>
    <w:rsid w:val="009E531A"/>
    <w:rsid w:val="009E5EB4"/>
    <w:rsid w:val="009F15E4"/>
    <w:rsid w:val="009F1F5D"/>
    <w:rsid w:val="00A01A7E"/>
    <w:rsid w:val="00A044D6"/>
    <w:rsid w:val="00A04ADB"/>
    <w:rsid w:val="00A11E0F"/>
    <w:rsid w:val="00A233BC"/>
    <w:rsid w:val="00A24FBF"/>
    <w:rsid w:val="00A26CB6"/>
    <w:rsid w:val="00A31A1D"/>
    <w:rsid w:val="00A32F82"/>
    <w:rsid w:val="00A32F8B"/>
    <w:rsid w:val="00A34A49"/>
    <w:rsid w:val="00A34D35"/>
    <w:rsid w:val="00A36154"/>
    <w:rsid w:val="00A3756F"/>
    <w:rsid w:val="00A42D6F"/>
    <w:rsid w:val="00A43ACC"/>
    <w:rsid w:val="00A45A62"/>
    <w:rsid w:val="00A51D58"/>
    <w:rsid w:val="00A54AC5"/>
    <w:rsid w:val="00A55DC3"/>
    <w:rsid w:val="00A56D41"/>
    <w:rsid w:val="00A61353"/>
    <w:rsid w:val="00A615A8"/>
    <w:rsid w:val="00A62AA2"/>
    <w:rsid w:val="00A63B18"/>
    <w:rsid w:val="00A6473C"/>
    <w:rsid w:val="00A654C0"/>
    <w:rsid w:val="00A658E7"/>
    <w:rsid w:val="00A66DB1"/>
    <w:rsid w:val="00A67A92"/>
    <w:rsid w:val="00A73DF0"/>
    <w:rsid w:val="00A75B01"/>
    <w:rsid w:val="00A8294B"/>
    <w:rsid w:val="00A832EC"/>
    <w:rsid w:val="00A87870"/>
    <w:rsid w:val="00A91A70"/>
    <w:rsid w:val="00A9535D"/>
    <w:rsid w:val="00A97390"/>
    <w:rsid w:val="00AA0C6A"/>
    <w:rsid w:val="00AA1854"/>
    <w:rsid w:val="00AA1B85"/>
    <w:rsid w:val="00AB1CB6"/>
    <w:rsid w:val="00AB1D9A"/>
    <w:rsid w:val="00AB26D7"/>
    <w:rsid w:val="00AB59CC"/>
    <w:rsid w:val="00AC3CAA"/>
    <w:rsid w:val="00AD44FE"/>
    <w:rsid w:val="00AE49F1"/>
    <w:rsid w:val="00AF1A48"/>
    <w:rsid w:val="00B04609"/>
    <w:rsid w:val="00B053E3"/>
    <w:rsid w:val="00B05CCA"/>
    <w:rsid w:val="00B14271"/>
    <w:rsid w:val="00B14B85"/>
    <w:rsid w:val="00B15676"/>
    <w:rsid w:val="00B16270"/>
    <w:rsid w:val="00B17A51"/>
    <w:rsid w:val="00B25551"/>
    <w:rsid w:val="00B25AA6"/>
    <w:rsid w:val="00B26265"/>
    <w:rsid w:val="00B2685D"/>
    <w:rsid w:val="00B30351"/>
    <w:rsid w:val="00B32B96"/>
    <w:rsid w:val="00B33C2A"/>
    <w:rsid w:val="00B36EA6"/>
    <w:rsid w:val="00B41F9C"/>
    <w:rsid w:val="00B422EC"/>
    <w:rsid w:val="00B43CE3"/>
    <w:rsid w:val="00B47C34"/>
    <w:rsid w:val="00B53CF2"/>
    <w:rsid w:val="00B54A6C"/>
    <w:rsid w:val="00B6283F"/>
    <w:rsid w:val="00B62D6C"/>
    <w:rsid w:val="00B7179E"/>
    <w:rsid w:val="00B7211F"/>
    <w:rsid w:val="00B72466"/>
    <w:rsid w:val="00B726D4"/>
    <w:rsid w:val="00B73BB6"/>
    <w:rsid w:val="00B75B06"/>
    <w:rsid w:val="00B80B7B"/>
    <w:rsid w:val="00B8214F"/>
    <w:rsid w:val="00B851DB"/>
    <w:rsid w:val="00B86A4F"/>
    <w:rsid w:val="00B873AA"/>
    <w:rsid w:val="00B928B7"/>
    <w:rsid w:val="00B93035"/>
    <w:rsid w:val="00B958E8"/>
    <w:rsid w:val="00BA09B2"/>
    <w:rsid w:val="00BA5521"/>
    <w:rsid w:val="00BA5B46"/>
    <w:rsid w:val="00BB11EA"/>
    <w:rsid w:val="00BB6BB8"/>
    <w:rsid w:val="00BC0995"/>
    <w:rsid w:val="00BC64ED"/>
    <w:rsid w:val="00BD3DF3"/>
    <w:rsid w:val="00BD78F0"/>
    <w:rsid w:val="00BE5D03"/>
    <w:rsid w:val="00BE793A"/>
    <w:rsid w:val="00BF2B82"/>
    <w:rsid w:val="00BF432A"/>
    <w:rsid w:val="00BF6E82"/>
    <w:rsid w:val="00C060C7"/>
    <w:rsid w:val="00C10DB0"/>
    <w:rsid w:val="00C21375"/>
    <w:rsid w:val="00C24C17"/>
    <w:rsid w:val="00C27EA9"/>
    <w:rsid w:val="00C321E1"/>
    <w:rsid w:val="00C40B88"/>
    <w:rsid w:val="00C42E72"/>
    <w:rsid w:val="00C47D87"/>
    <w:rsid w:val="00C5376E"/>
    <w:rsid w:val="00C54882"/>
    <w:rsid w:val="00C551DE"/>
    <w:rsid w:val="00C71109"/>
    <w:rsid w:val="00C726B9"/>
    <w:rsid w:val="00C770D4"/>
    <w:rsid w:val="00C816A8"/>
    <w:rsid w:val="00C8173A"/>
    <w:rsid w:val="00C97091"/>
    <w:rsid w:val="00C97260"/>
    <w:rsid w:val="00CA2001"/>
    <w:rsid w:val="00CA602B"/>
    <w:rsid w:val="00CA74E7"/>
    <w:rsid w:val="00CB5B6C"/>
    <w:rsid w:val="00CC0F98"/>
    <w:rsid w:val="00CC2094"/>
    <w:rsid w:val="00CC56CC"/>
    <w:rsid w:val="00CC6949"/>
    <w:rsid w:val="00CC6C55"/>
    <w:rsid w:val="00CC715B"/>
    <w:rsid w:val="00CD16BE"/>
    <w:rsid w:val="00CD4616"/>
    <w:rsid w:val="00CE0E81"/>
    <w:rsid w:val="00CE33D5"/>
    <w:rsid w:val="00CF445E"/>
    <w:rsid w:val="00CF519D"/>
    <w:rsid w:val="00CF5D37"/>
    <w:rsid w:val="00CF6F33"/>
    <w:rsid w:val="00D02248"/>
    <w:rsid w:val="00D02B40"/>
    <w:rsid w:val="00D05A37"/>
    <w:rsid w:val="00D063B8"/>
    <w:rsid w:val="00D06675"/>
    <w:rsid w:val="00D06825"/>
    <w:rsid w:val="00D15AA3"/>
    <w:rsid w:val="00D17E3B"/>
    <w:rsid w:val="00D23C09"/>
    <w:rsid w:val="00D23CED"/>
    <w:rsid w:val="00D24BD2"/>
    <w:rsid w:val="00D2573D"/>
    <w:rsid w:val="00D260A2"/>
    <w:rsid w:val="00D30CC6"/>
    <w:rsid w:val="00D3260C"/>
    <w:rsid w:val="00D35790"/>
    <w:rsid w:val="00D360F1"/>
    <w:rsid w:val="00D424E9"/>
    <w:rsid w:val="00D5653B"/>
    <w:rsid w:val="00D6245A"/>
    <w:rsid w:val="00D62EF1"/>
    <w:rsid w:val="00D6309D"/>
    <w:rsid w:val="00D644CA"/>
    <w:rsid w:val="00D66FC2"/>
    <w:rsid w:val="00D718B1"/>
    <w:rsid w:val="00D73897"/>
    <w:rsid w:val="00D748A7"/>
    <w:rsid w:val="00D76BF0"/>
    <w:rsid w:val="00D76C7E"/>
    <w:rsid w:val="00D7776D"/>
    <w:rsid w:val="00D814CD"/>
    <w:rsid w:val="00D83A0C"/>
    <w:rsid w:val="00D9293F"/>
    <w:rsid w:val="00D93168"/>
    <w:rsid w:val="00D93598"/>
    <w:rsid w:val="00D97EAD"/>
    <w:rsid w:val="00DA1E18"/>
    <w:rsid w:val="00DA2009"/>
    <w:rsid w:val="00DA4A28"/>
    <w:rsid w:val="00DB05B1"/>
    <w:rsid w:val="00DB5A79"/>
    <w:rsid w:val="00DB6420"/>
    <w:rsid w:val="00DD4874"/>
    <w:rsid w:val="00DD512E"/>
    <w:rsid w:val="00DE1177"/>
    <w:rsid w:val="00DE2CEA"/>
    <w:rsid w:val="00DE6A3C"/>
    <w:rsid w:val="00DE74F4"/>
    <w:rsid w:val="00DE7F97"/>
    <w:rsid w:val="00DF1010"/>
    <w:rsid w:val="00DF5AEA"/>
    <w:rsid w:val="00DF5CFC"/>
    <w:rsid w:val="00DF63F6"/>
    <w:rsid w:val="00DF7A65"/>
    <w:rsid w:val="00E01AF5"/>
    <w:rsid w:val="00E060CB"/>
    <w:rsid w:val="00E072D8"/>
    <w:rsid w:val="00E075D3"/>
    <w:rsid w:val="00E1157F"/>
    <w:rsid w:val="00E13747"/>
    <w:rsid w:val="00E153FB"/>
    <w:rsid w:val="00E253A0"/>
    <w:rsid w:val="00E25A92"/>
    <w:rsid w:val="00E25AEA"/>
    <w:rsid w:val="00E30DEF"/>
    <w:rsid w:val="00E30ED2"/>
    <w:rsid w:val="00E31276"/>
    <w:rsid w:val="00E37F70"/>
    <w:rsid w:val="00E43351"/>
    <w:rsid w:val="00E4411C"/>
    <w:rsid w:val="00E4417F"/>
    <w:rsid w:val="00E446C1"/>
    <w:rsid w:val="00E47A27"/>
    <w:rsid w:val="00E548CF"/>
    <w:rsid w:val="00E549ED"/>
    <w:rsid w:val="00E61244"/>
    <w:rsid w:val="00E71821"/>
    <w:rsid w:val="00E719B1"/>
    <w:rsid w:val="00E7387A"/>
    <w:rsid w:val="00E758B9"/>
    <w:rsid w:val="00E75CFE"/>
    <w:rsid w:val="00E81608"/>
    <w:rsid w:val="00E85569"/>
    <w:rsid w:val="00E856AF"/>
    <w:rsid w:val="00E86B83"/>
    <w:rsid w:val="00E87C64"/>
    <w:rsid w:val="00E906D7"/>
    <w:rsid w:val="00E907EE"/>
    <w:rsid w:val="00E915DB"/>
    <w:rsid w:val="00E91869"/>
    <w:rsid w:val="00E9319F"/>
    <w:rsid w:val="00E93A01"/>
    <w:rsid w:val="00E93FF8"/>
    <w:rsid w:val="00E969F8"/>
    <w:rsid w:val="00E96EAF"/>
    <w:rsid w:val="00EA1752"/>
    <w:rsid w:val="00EA25AE"/>
    <w:rsid w:val="00EA47F0"/>
    <w:rsid w:val="00EA5A89"/>
    <w:rsid w:val="00EA5BDB"/>
    <w:rsid w:val="00EA7C98"/>
    <w:rsid w:val="00EB1A62"/>
    <w:rsid w:val="00EB465B"/>
    <w:rsid w:val="00EB46D9"/>
    <w:rsid w:val="00EB6926"/>
    <w:rsid w:val="00EC0509"/>
    <w:rsid w:val="00EC0F98"/>
    <w:rsid w:val="00EC142D"/>
    <w:rsid w:val="00EC1E16"/>
    <w:rsid w:val="00ED0F85"/>
    <w:rsid w:val="00ED2B5C"/>
    <w:rsid w:val="00ED3269"/>
    <w:rsid w:val="00EE1A8C"/>
    <w:rsid w:val="00EE20A1"/>
    <w:rsid w:val="00EF06C5"/>
    <w:rsid w:val="00EF15FF"/>
    <w:rsid w:val="00EF23FB"/>
    <w:rsid w:val="00EF7111"/>
    <w:rsid w:val="00EF7D1A"/>
    <w:rsid w:val="00F016EC"/>
    <w:rsid w:val="00F0292F"/>
    <w:rsid w:val="00F035A7"/>
    <w:rsid w:val="00F0448F"/>
    <w:rsid w:val="00F0768A"/>
    <w:rsid w:val="00F13DDF"/>
    <w:rsid w:val="00F14509"/>
    <w:rsid w:val="00F148F0"/>
    <w:rsid w:val="00F152B7"/>
    <w:rsid w:val="00F16651"/>
    <w:rsid w:val="00F16FB6"/>
    <w:rsid w:val="00F2646F"/>
    <w:rsid w:val="00F270E9"/>
    <w:rsid w:val="00F275C0"/>
    <w:rsid w:val="00F27FF1"/>
    <w:rsid w:val="00F346B6"/>
    <w:rsid w:val="00F36145"/>
    <w:rsid w:val="00F37BDD"/>
    <w:rsid w:val="00F41503"/>
    <w:rsid w:val="00F466C8"/>
    <w:rsid w:val="00F469A9"/>
    <w:rsid w:val="00F50B46"/>
    <w:rsid w:val="00F50D1F"/>
    <w:rsid w:val="00F635FC"/>
    <w:rsid w:val="00F63D03"/>
    <w:rsid w:val="00F65C29"/>
    <w:rsid w:val="00F65E2F"/>
    <w:rsid w:val="00F668D8"/>
    <w:rsid w:val="00F67DF1"/>
    <w:rsid w:val="00F73993"/>
    <w:rsid w:val="00F76E10"/>
    <w:rsid w:val="00F8309B"/>
    <w:rsid w:val="00F833C9"/>
    <w:rsid w:val="00F83CAB"/>
    <w:rsid w:val="00F90064"/>
    <w:rsid w:val="00F937AE"/>
    <w:rsid w:val="00F94BDD"/>
    <w:rsid w:val="00F96AFD"/>
    <w:rsid w:val="00FA1398"/>
    <w:rsid w:val="00FA2E19"/>
    <w:rsid w:val="00FA3337"/>
    <w:rsid w:val="00FA375F"/>
    <w:rsid w:val="00FA697F"/>
    <w:rsid w:val="00FB5521"/>
    <w:rsid w:val="00FB610D"/>
    <w:rsid w:val="00FC0A83"/>
    <w:rsid w:val="00FC4477"/>
    <w:rsid w:val="00FC46FB"/>
    <w:rsid w:val="00FC49E3"/>
    <w:rsid w:val="00FD2BD3"/>
    <w:rsid w:val="00FD3537"/>
    <w:rsid w:val="00FD453A"/>
    <w:rsid w:val="00FD49E2"/>
    <w:rsid w:val="00FD4CCA"/>
    <w:rsid w:val="00FE0AAD"/>
    <w:rsid w:val="00FE28A9"/>
    <w:rsid w:val="00FE2A9E"/>
    <w:rsid w:val="00FE2AD9"/>
    <w:rsid w:val="00FF213B"/>
    <w:rsid w:val="00FF416C"/>
    <w:rsid w:val="00FF69B6"/>
    <w:rsid w:val="00FF7D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BA0229"/>
  <w15:docId w15:val="{8E263B71-7A5C-4638-8B8B-04CCB96B0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1D8"/>
    <w:pPr>
      <w:spacing w:line="276" w:lineRule="auto"/>
      <w:jc w:val="both"/>
    </w:pPr>
    <w:rPr>
      <w:rFonts w:ascii="Segoe UI" w:hAnsi="Segoe UI"/>
      <w:sz w:val="22"/>
      <w:szCs w:val="24"/>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tr-TR"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tr-TR"/>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273DA7"/>
    <w:pPr>
      <w:spacing w:line="240" w:lineRule="auto"/>
    </w:pPr>
    <w:rPr>
      <w:sz w:val="18"/>
      <w:szCs w:val="18"/>
    </w:rPr>
  </w:style>
  <w:style w:type="character" w:customStyle="1" w:styleId="BalloonTextChar">
    <w:name w:val="Balloon Text Char"/>
    <w:link w:val="BalloonText"/>
    <w:rsid w:val="00273DA7"/>
    <w:rPr>
      <w:rFonts w:ascii="Segoe UI" w:hAnsi="Segoe UI"/>
      <w:sz w:val="18"/>
      <w:szCs w:val="18"/>
      <w:lang w:val="tr-TR"/>
    </w:rPr>
  </w:style>
  <w:style w:type="paragraph" w:customStyle="1" w:styleId="MittlereListe2-Akzent21">
    <w:name w:val="Mittlere Liste 2 - Akzent 21"/>
    <w:hidden/>
    <w:uiPriority w:val="99"/>
    <w:semiHidden/>
    <w:rsid w:val="002E0B17"/>
    <w:rPr>
      <w:rFonts w:ascii="Arial" w:hAnsi="Arial"/>
      <w:szCs w:val="24"/>
    </w:rPr>
  </w:style>
  <w:style w:type="character" w:customStyle="1" w:styleId="FooterChar">
    <w:name w:val="Footer Char"/>
    <w:link w:val="Footer"/>
    <w:uiPriority w:val="99"/>
    <w:rsid w:val="00992A11"/>
    <w:rPr>
      <w:rFonts w:ascii="Segoe UI" w:hAnsi="Segoe UI"/>
      <w:bCs/>
      <w:noProof/>
      <w:sz w:val="12"/>
      <w:szCs w:val="24"/>
      <w:lang w:val="tr-TR"/>
    </w:rPr>
  </w:style>
  <w:style w:type="character" w:customStyle="1" w:styleId="UnresolvedMention1">
    <w:name w:val="Unresolved Mention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273DA7"/>
    <w:rPr>
      <w:rFonts w:ascii="Segoe UI" w:hAnsi="Segoe UI"/>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273DA7"/>
    <w:rPr>
      <w:rFonts w:ascii="Segoe UI" w:hAnsi="Segoe UI"/>
      <w:sz w:val="18"/>
    </w:rPr>
  </w:style>
  <w:style w:type="character" w:customStyle="1" w:styleId="AboutandContactHeadline">
    <w:name w:val="About and Contact Headline"/>
    <w:basedOn w:val="DefaultParagraphFont"/>
    <w:rsid w:val="00273DA7"/>
    <w:rPr>
      <w:rFonts w:ascii="Segoe UI" w:hAnsi="Segoe UI"/>
      <w:b/>
      <w:bCs/>
      <w:sz w:val="18"/>
    </w:rPr>
  </w:style>
  <w:style w:type="paragraph" w:styleId="Revision">
    <w:name w:val="Revision"/>
    <w:hidden/>
    <w:uiPriority w:val="62"/>
    <w:unhideWhenUsed/>
    <w:rsid w:val="00711653"/>
    <w:rPr>
      <w:rFonts w:ascii="Segoe UI" w:hAnsi="Segoe UI"/>
      <w:sz w:val="22"/>
      <w:szCs w:val="24"/>
    </w:rPr>
  </w:style>
  <w:style w:type="paragraph" w:customStyle="1" w:styleId="He01Flietext">
    <w:name w:val="_He_01_Fließtext"/>
    <w:qFormat/>
    <w:rsid w:val="003A7C4B"/>
    <w:pPr>
      <w:spacing w:after="160"/>
    </w:pPr>
    <w:rPr>
      <w:rFonts w:ascii="Segoe UI" w:eastAsiaTheme="minorHAnsi" w:hAnsi="Segoe UI" w:cstheme="minorBidi"/>
      <w:sz w:val="22"/>
      <w:szCs w:val="22"/>
    </w:rPr>
  </w:style>
  <w:style w:type="paragraph" w:customStyle="1" w:styleId="pf0">
    <w:name w:val="pf0"/>
    <w:basedOn w:val="Normal"/>
    <w:rsid w:val="003B5697"/>
    <w:pPr>
      <w:spacing w:before="100" w:beforeAutospacing="1" w:after="100" w:afterAutospacing="1" w:line="240" w:lineRule="auto"/>
      <w:jc w:val="left"/>
    </w:pPr>
    <w:rPr>
      <w:rFonts w:ascii="Times New Roman" w:hAnsi="Times New Roman"/>
      <w:sz w:val="24"/>
      <w:lang w:eastAsia="de-DE"/>
    </w:rPr>
  </w:style>
  <w:style w:type="character" w:customStyle="1" w:styleId="cf01">
    <w:name w:val="cf01"/>
    <w:basedOn w:val="DefaultParagraphFont"/>
    <w:rsid w:val="003B5697"/>
    <w:rPr>
      <w:rFonts w:ascii="Segoe UI" w:hAnsi="Segoe UI" w:cs="Segoe UI" w:hint="default"/>
      <w:sz w:val="18"/>
      <w:szCs w:val="18"/>
    </w:rPr>
  </w:style>
  <w:style w:type="paragraph" w:styleId="HTMLPreformatted">
    <w:name w:val="HTML Preformatted"/>
    <w:basedOn w:val="Normal"/>
    <w:link w:val="HTMLPreformattedChar"/>
    <w:uiPriority w:val="99"/>
    <w:semiHidden/>
    <w:unhideWhenUsed/>
    <w:rsid w:val="00B47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lang w:eastAsia="de-DE"/>
    </w:rPr>
  </w:style>
  <w:style w:type="character" w:customStyle="1" w:styleId="HTMLPreformattedChar">
    <w:name w:val="HTML Preformatted Char"/>
    <w:basedOn w:val="DefaultParagraphFont"/>
    <w:link w:val="HTMLPreformatted"/>
    <w:uiPriority w:val="99"/>
    <w:semiHidden/>
    <w:rsid w:val="00B47C34"/>
    <w:rPr>
      <w:rFonts w:ascii="Courier New" w:hAnsi="Courier New" w:cs="Courier New"/>
      <w:lang w:val="tr-TR" w:eastAsia="de-DE"/>
    </w:rPr>
  </w:style>
  <w:style w:type="character" w:customStyle="1" w:styleId="y2iqfc">
    <w:name w:val="y2iqfc"/>
    <w:basedOn w:val="DefaultParagraphFont"/>
    <w:rsid w:val="00B47C34"/>
  </w:style>
  <w:style w:type="paragraph" w:customStyle="1" w:styleId="He04Funote">
    <w:name w:val="_He_04_Fußnote"/>
    <w:next w:val="Normal"/>
    <w:qFormat/>
    <w:rsid w:val="00295715"/>
    <w:pPr>
      <w:tabs>
        <w:tab w:val="left" w:pos="85"/>
      </w:tabs>
      <w:spacing w:line="256" w:lineRule="auto"/>
      <w:ind w:left="85" w:hanging="85"/>
    </w:pPr>
    <w:rPr>
      <w:rFonts w:ascii="Segoe UI" w:eastAsiaTheme="minorHAnsi" w:hAnsi="Segoe UI" w:cstheme="minorBidi"/>
      <w:sz w:val="15"/>
      <w:szCs w:val="22"/>
      <w14:numForm w14:val="lining"/>
    </w:rPr>
  </w:style>
  <w:style w:type="paragraph" w:styleId="ListParagraph">
    <w:name w:val="List Paragraph"/>
    <w:basedOn w:val="Normal"/>
    <w:uiPriority w:val="34"/>
    <w:qFormat/>
    <w:rsid w:val="00F16FB6"/>
    <w:pPr>
      <w:ind w:left="720"/>
      <w:contextualSpacing/>
    </w:pPr>
  </w:style>
  <w:style w:type="character" w:styleId="CommentReference">
    <w:name w:val="annotation reference"/>
    <w:basedOn w:val="DefaultParagraphFont"/>
    <w:rsid w:val="0015214C"/>
    <w:rPr>
      <w:sz w:val="16"/>
      <w:szCs w:val="16"/>
    </w:rPr>
  </w:style>
  <w:style w:type="paragraph" w:styleId="CommentText">
    <w:name w:val="annotation text"/>
    <w:basedOn w:val="Normal"/>
    <w:link w:val="CommentTextChar"/>
    <w:rsid w:val="0015214C"/>
    <w:pPr>
      <w:spacing w:line="240" w:lineRule="auto"/>
    </w:pPr>
    <w:rPr>
      <w:sz w:val="20"/>
      <w:szCs w:val="20"/>
    </w:rPr>
  </w:style>
  <w:style w:type="character" w:customStyle="1" w:styleId="CommentTextChar">
    <w:name w:val="Comment Text Char"/>
    <w:basedOn w:val="DefaultParagraphFont"/>
    <w:link w:val="CommentText"/>
    <w:rsid w:val="0015214C"/>
    <w:rPr>
      <w:rFonts w:ascii="Segoe UI" w:hAnsi="Segoe UI"/>
      <w:lang w:val="tr-TR"/>
    </w:rPr>
  </w:style>
  <w:style w:type="paragraph" w:styleId="CommentSubject">
    <w:name w:val="annotation subject"/>
    <w:basedOn w:val="CommentText"/>
    <w:next w:val="CommentText"/>
    <w:link w:val="CommentSubjectChar"/>
    <w:rsid w:val="0015214C"/>
    <w:rPr>
      <w:b/>
      <w:bCs/>
    </w:rPr>
  </w:style>
  <w:style w:type="character" w:customStyle="1" w:styleId="CommentSubjectChar">
    <w:name w:val="Comment Subject Char"/>
    <w:basedOn w:val="CommentTextChar"/>
    <w:link w:val="CommentSubject"/>
    <w:rsid w:val="0015214C"/>
    <w:rPr>
      <w:rFonts w:ascii="Segoe UI" w:hAnsi="Segoe UI"/>
      <w:b/>
      <w:bCs/>
      <w:lang w:val="tr-TR"/>
    </w:rPr>
  </w:style>
  <w:style w:type="character" w:styleId="PlaceholderText">
    <w:name w:val="Placeholder Text"/>
    <w:basedOn w:val="DefaultParagraphFont"/>
    <w:uiPriority w:val="99"/>
    <w:unhideWhenUsed/>
    <w:rsid w:val="008A01A6"/>
    <w:rPr>
      <w:color w:val="808080"/>
    </w:rPr>
  </w:style>
  <w:style w:type="character" w:customStyle="1" w:styleId="cf11">
    <w:name w:val="cf11"/>
    <w:basedOn w:val="DefaultParagraphFont"/>
    <w:rsid w:val="00031A36"/>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904998688">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659576655">
      <w:bodyDiv w:val="1"/>
      <w:marLeft w:val="0"/>
      <w:marRight w:val="0"/>
      <w:marTop w:val="0"/>
      <w:marBottom w:val="0"/>
      <w:divBdr>
        <w:top w:val="none" w:sz="0" w:space="0" w:color="auto"/>
        <w:left w:val="none" w:sz="0" w:space="0" w:color="auto"/>
        <w:bottom w:val="none" w:sz="0" w:space="0" w:color="auto"/>
        <w:right w:val="none" w:sz="0" w:space="0" w:color="auto"/>
      </w:divBdr>
    </w:div>
    <w:div w:id="1747142110">
      <w:bodyDiv w:val="1"/>
      <w:marLeft w:val="0"/>
      <w:marRight w:val="0"/>
      <w:marTop w:val="0"/>
      <w:marBottom w:val="0"/>
      <w:divBdr>
        <w:top w:val="none" w:sz="0" w:space="0" w:color="auto"/>
        <w:left w:val="none" w:sz="0" w:space="0" w:color="auto"/>
        <w:bottom w:val="none" w:sz="0" w:space="0" w:color="auto"/>
        <w:right w:val="none" w:sz="0" w:space="0" w:color="auto"/>
      </w:divBdr>
    </w:div>
    <w:div w:id="190312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Henkel-press-release-template-2020-german.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487aa4a8-6e08-4624-a126-3644f60fbb35">
      <Terms xmlns="http://schemas.microsoft.com/office/infopath/2007/PartnerControls"/>
    </lcf76f155ced4ddcb4097134ff3c332f>
    <Datum xmlns="487aa4a8-6e08-4624-a126-3644f60fbb3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19" ma:contentTypeDescription="Create a new document." ma:contentTypeScope="" ma:versionID="825475ee42d6d3916f0f035df9a60211">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42fdeaaf15d4786a8267b6cc6b9b50c2"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3082B0C5-EED5-4602-B10C-81FB6CE5C812}">
  <ds:schemaRefs>
    <ds:schemaRef ds:uri="http://schemas.openxmlformats.org/officeDocument/2006/bibliography"/>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487aa4a8-6e08-4624-a126-3644f60fbb35"/>
  </ds:schemaRefs>
</ds:datastoreItem>
</file>

<file path=customXml/itemProps4.xml><?xml version="1.0" encoding="utf-8"?>
<ds:datastoreItem xmlns:ds="http://schemas.openxmlformats.org/officeDocument/2006/customXml" ds:itemID="{146117A7-D8F3-443A-8A2E-395190B79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Henkel-press-release-template-2020-german.dotx</Template>
  <TotalTime>0</TotalTime>
  <Pages>8</Pages>
  <Words>2421</Words>
  <Characters>16048</Characters>
  <Application>Microsoft Office Word</Application>
  <DocSecurity>0</DocSecurity>
  <Lines>133</Lines>
  <Paragraphs>36</Paragraphs>
  <ScaleCrop>false</ScaleCrop>
  <HeadingPairs>
    <vt:vector size="6" baseType="variant">
      <vt:variant>
        <vt:lpstr>Title</vt:lpstr>
      </vt:variant>
      <vt:variant>
        <vt:i4>1</vt:i4>
      </vt:variant>
      <vt:variant>
        <vt:lpstr>Konu Başlığı</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18433</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Oznur Cati</cp:lastModifiedBy>
  <cp:revision>33</cp:revision>
  <cp:lastPrinted>2023-03-03T14:50:00Z</cp:lastPrinted>
  <dcterms:created xsi:type="dcterms:W3CDTF">2023-03-27T14:01:00Z</dcterms:created>
  <dcterms:modified xsi:type="dcterms:W3CDTF">2023-04-04T09:38:00Z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y fmtid="{D5CDD505-2E9C-101B-9397-08002B2CF9AE}" pid="3" name="MediaServiceImageTags">
    <vt:lpwstr/>
  </property>
</Properties>
</file>