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3F17" w14:textId="40E032F6" w:rsidR="0002741C" w:rsidRPr="00AC2928" w:rsidRDefault="0002741C" w:rsidP="000B79EB">
      <w:pPr>
        <w:widowControl/>
        <w:shd w:val="clear" w:color="auto" w:fill="FFFFFF"/>
        <w:wordWrap/>
        <w:autoSpaceDE/>
        <w:autoSpaceDN/>
        <w:spacing w:beforeAutospacing="1" w:after="0" w:afterAutospacing="1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2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023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년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3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월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7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일 독일/뒤셀도르프 </w:t>
      </w:r>
    </w:p>
    <w:p w14:paraId="652070DE" w14:textId="625876E0" w:rsidR="00AC2928" w:rsidRPr="00AC2928" w:rsidRDefault="00AC2928" w:rsidP="000B79E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</w:pP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24"/>
          <w:szCs w:val="24"/>
        </w:rPr>
        <w:t>헨켈</w:t>
      </w:r>
      <w:proofErr w:type="spellEnd"/>
      <w:r w:rsidRPr="00AC2928">
        <w:rPr>
          <w:rFonts w:asciiTheme="minorEastAsia" w:hAnsiTheme="minorEastAsia" w:cs="굴림" w:hint="eastAsia"/>
          <w:color w:val="000000" w:themeColor="text1"/>
          <w:kern w:val="0"/>
          <w:sz w:val="24"/>
          <w:szCs w:val="24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24"/>
          <w:szCs w:val="24"/>
        </w:rPr>
        <w:t xml:space="preserve">2022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24"/>
          <w:szCs w:val="24"/>
        </w:rPr>
        <w:t xml:space="preserve">지속 가능성 보고서 발표 </w:t>
      </w:r>
    </w:p>
    <w:p w14:paraId="11310358" w14:textId="10F246ED" w:rsidR="00491144" w:rsidRPr="00491144" w:rsidRDefault="00491144" w:rsidP="00491144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color w:val="000000" w:themeColor="text1"/>
          <w:kern w:val="0"/>
          <w:sz w:val="28"/>
          <w:szCs w:val="28"/>
        </w:rPr>
      </w:pPr>
      <w:proofErr w:type="spellStart"/>
      <w:r w:rsidRPr="00491144">
        <w:rPr>
          <w:rFonts w:asciiTheme="minorEastAsia" w:hAnsiTheme="minorEastAsia" w:cs="굴림"/>
          <w:b/>
          <w:color w:val="000000" w:themeColor="text1"/>
          <w:kern w:val="0"/>
          <w:sz w:val="28"/>
          <w:szCs w:val="28"/>
        </w:rPr>
        <w:t>헨켈은</w:t>
      </w:r>
      <w:proofErr w:type="spellEnd"/>
      <w:r w:rsidRPr="00491144">
        <w:rPr>
          <w:rFonts w:asciiTheme="minorEastAsia" w:hAnsiTheme="minorEastAsia" w:cs="굴림"/>
          <w:b/>
          <w:color w:val="000000" w:themeColor="text1"/>
          <w:kern w:val="0"/>
          <w:sz w:val="28"/>
          <w:szCs w:val="28"/>
        </w:rPr>
        <w:t xml:space="preserve"> 기후 보호와 사회 참여 개선으로 지속 가능성에 대한 진전을 이끌어내고 있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28"/>
          <w:szCs w:val="28"/>
        </w:rPr>
        <w:t xml:space="preserve">다 </w:t>
      </w:r>
    </w:p>
    <w:p w14:paraId="735C5B99" w14:textId="77777777" w:rsidR="00491144" w:rsidRPr="00AC2928" w:rsidRDefault="00491144" w:rsidP="000B79E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0"/>
        <w:rPr>
          <w:rFonts w:asciiTheme="minorEastAsia" w:hAnsiTheme="minorEastAsia" w:cs="굴림"/>
          <w:color w:val="000000" w:themeColor="text1"/>
          <w:kern w:val="36"/>
          <w:sz w:val="16"/>
          <w:szCs w:val="16"/>
        </w:rPr>
      </w:pPr>
    </w:p>
    <w:p w14:paraId="2282841C" w14:textId="7340D2C9" w:rsidR="00491144" w:rsidRPr="00AC2928" w:rsidRDefault="00491144" w:rsidP="0049114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</w:pP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기후 보호: 전 세계 생산 현장에서 재생 가능한 전기 사용 비율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을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70%로 증가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시켜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CO2 배출량을 55%까지 줄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임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(제품 톤당).</w:t>
      </w:r>
    </w:p>
    <w:p w14:paraId="0412E232" w14:textId="3E9C7731" w:rsidR="00491144" w:rsidRPr="00AC2928" w:rsidRDefault="00491144" w:rsidP="0049114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</w:pP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순환 경제: 100% 재활용 및 재사용 가능한 포장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 xml:space="preserve">을 향한 추가 진전 </w:t>
      </w:r>
    </w:p>
    <w:p w14:paraId="637C383B" w14:textId="6533AFBC" w:rsidR="00491144" w:rsidRPr="00AC2928" w:rsidRDefault="00491144" w:rsidP="0049114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</w:pP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사회적 참여: 우크라이나 전쟁 희생자를 위한 600만 유로의 연대 프로그램</w:t>
      </w:r>
    </w:p>
    <w:p w14:paraId="2F8625BF" w14:textId="2C92B8BD" w:rsidR="00491144" w:rsidRPr="00AC2928" w:rsidRDefault="00491144" w:rsidP="0049114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</w:pP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젠더 평등 목표: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관리직 여성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비중 확대</w:t>
      </w:r>
    </w:p>
    <w:p w14:paraId="1CFDF790" w14:textId="7BC867B8" w:rsidR="00491144" w:rsidRPr="00AC2928" w:rsidRDefault="00491144" w:rsidP="00491144">
      <w:pPr>
        <w:widowControl/>
        <w:numPr>
          <w:ilvl w:val="0"/>
          <w:numId w:val="1"/>
        </w:numPr>
        <w:shd w:val="clear" w:color="auto" w:fill="FFFFFF"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</w:pP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"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지속 가능성의 선구자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": 글로벌 직원 참여 프로그램 성공적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 xml:space="preserve">으로 도입 </w:t>
      </w:r>
    </w:p>
    <w:p w14:paraId="0B3221EB" w14:textId="54E5CD43" w:rsidR="00491144" w:rsidRPr="00AC2928" w:rsidRDefault="00491144" w:rsidP="00491144">
      <w:pPr>
        <w:widowControl/>
        <w:shd w:val="clear" w:color="auto" w:fill="FFFFFF"/>
        <w:wordWrap/>
        <w:autoSpaceDE/>
        <w:autoSpaceDN/>
        <w:spacing w:beforeAutospacing="1" w:after="0" w:afterAutospacing="1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헨켈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은</w:t>
      </w:r>
      <w:proofErr w:type="spellEnd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지속 가능성 전략 및 목표 구현에 대한 성과와 진행 상황을 요약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한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32번째 지속 가능성 보고서를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오늘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발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행했다.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헨켈은</w:t>
      </w:r>
      <w:proofErr w:type="spellEnd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매우 어려운 시장 환경에서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도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특히 CO2 배출량을 더욱 줄이고 사회적 참여를 확대함으로써 여러 주요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부문에서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지속 가능성의 발전을 주도할 수 있었다.</w:t>
      </w:r>
    </w:p>
    <w:p w14:paraId="5FE8E69B" w14:textId="23672EDC" w:rsidR="007F016D" w:rsidRPr="00AC2928" w:rsidRDefault="00491144" w:rsidP="007F016D">
      <w:pPr>
        <w:widowControl/>
        <w:wordWrap/>
        <w:autoSpaceDE/>
        <w:autoSpaceDN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헨켈의</w:t>
      </w:r>
      <w:proofErr w:type="spellEnd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CEO </w:t>
      </w: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카스텐</w:t>
      </w:r>
      <w:proofErr w:type="spellEnd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노벨(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Carsten </w:t>
      </w:r>
      <w:proofErr w:type="spellStart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Knobel</w:t>
      </w:r>
      <w:proofErr w:type="spellEnd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)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은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“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요즘만큼 우리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회사가 직면한 전반적인 비즈니스 환경이 도전적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이었던 </w:t>
      </w:r>
      <w:r w:rsid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때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가 없었던 것 같습니다.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우크라이나 </w:t>
      </w:r>
      <w:r w:rsidR="007F016D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전쟁은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우리</w:t>
      </w:r>
      <w:r w:rsidR="007F016D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를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깊이 강타하였으며 광범위한 영향을 미쳤습니다. 이로 인해 </w:t>
      </w:r>
      <w:r w:rsidR="007F016D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특히 에너지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="007F016D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등 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경제 환경</w:t>
      </w:r>
      <w:r w:rsidR="007F016D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에 위기가 왔고 원자재 가격이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="007F016D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상승했습니다.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그러나 이러한 어려운 시기일수록 환경과 사회에 대한 책임을 다하고 지속 가능성에 초점을 맞추는 것이 더욱 중요합니다. 모든 어려움에도 불구하고 우리는 </w:t>
      </w:r>
      <w:r w:rsidR="007F016D" w:rsidRPr="009D78B7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야심</w:t>
      </w:r>
      <w:r w:rsidR="00D602EE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="007F016D" w:rsidRPr="009D78B7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찬 지속 가능성 목표</w:t>
      </w:r>
      <w:r w:rsidR="007F016D" w:rsidRPr="009D78B7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의 </w:t>
      </w:r>
      <w:r w:rsidR="00D602EE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대부분을 더 </w:t>
      </w:r>
      <w:r w:rsidR="007F016D" w:rsidRPr="009D78B7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진전</w:t>
      </w:r>
      <w:r w:rsidR="00D602EE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시킬</w:t>
      </w:r>
      <w:r w:rsidR="007F016D" w:rsidRPr="009D78B7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수 있었</w:t>
      </w:r>
      <w:r w:rsidR="007F016D" w:rsidRPr="009D78B7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습니다.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이</w:t>
      </w:r>
      <w:r w:rsidR="007F016D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와 관련하여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전 세계</w:t>
      </w:r>
      <w:r w:rsidR="007F016D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에 있는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="00827DF6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5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만 명 이상의 </w:t>
      </w:r>
      <w:proofErr w:type="spellStart"/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헨켈</w:t>
      </w:r>
      <w:proofErr w:type="spellEnd"/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="00D602EE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직원들</w:t>
      </w:r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에게 감사의 말씀을 전하고 싶습니다</w:t>
      </w:r>
      <w:r w:rsidR="007F016D" w:rsidRPr="00AC2928">
        <w:rPr>
          <w:rFonts w:asciiTheme="minorEastAsia" w:hAnsiTheme="minorEastAsia" w:cs="Calibri"/>
          <w:color w:val="000000" w:themeColor="text1"/>
          <w:kern w:val="0"/>
          <w:sz w:val="16"/>
          <w:szCs w:val="16"/>
        </w:rPr>
        <w:t>”</w:t>
      </w:r>
      <w:proofErr w:type="spellStart"/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라고</w:t>
      </w:r>
      <w:proofErr w:type="spellEnd"/>
      <w:r w:rsidR="007F016D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말했다.</w:t>
      </w:r>
    </w:p>
    <w:p w14:paraId="58258E3D" w14:textId="635AB4A2" w:rsidR="007F016D" w:rsidRPr="00AC2928" w:rsidRDefault="007F016D" w:rsidP="007F016D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헨켈에서</w:t>
      </w:r>
      <w:proofErr w:type="spellEnd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인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적자원과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지속 가능성을 담당하는 이사회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일원인 실비 니콜(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Sylvie Nicol)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은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"2022년에 우리는 재생 에너지 사용을 더욱 확대하여 2030년까지 기후에 긍정적인 생산을 달성한다는 목표를 향한 중요한 발걸음을 내디뎠습니다.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또한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우리는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성평등에 대해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서도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더 많은 진전을 이룰 수 있었습니다. 관리직 여성 비율은 2022년 38.7%로 증가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했습니다.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우리는 다양성의 잠재력을 최대한 활용하기 위한 구체적인 프로그램과 조치를 통해 노력을 더욱 가속화하고 강화하기 위해 최선을 다하고 있습니다”</w:t>
      </w: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라고</w:t>
      </w:r>
      <w:proofErr w:type="spellEnd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말했다.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</w:p>
    <w:p w14:paraId="7D10B68A" w14:textId="77777777" w:rsidR="00AC2928" w:rsidRDefault="00AC2928" w:rsidP="000B79E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</w:p>
    <w:p w14:paraId="09B89E61" w14:textId="4F369C22" w:rsidR="007F016D" w:rsidRPr="00AC2928" w:rsidRDefault="007F016D" w:rsidP="000B79E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Theme="minorEastAsia" w:hAnsiTheme="minorEastAsia" w:cs="굴림"/>
          <w:b/>
          <w:color w:val="000000" w:themeColor="text1"/>
          <w:kern w:val="0"/>
          <w:sz w:val="28"/>
          <w:szCs w:val="28"/>
        </w:rPr>
      </w:pPr>
      <w:r w:rsidRPr="00AC2928">
        <w:rPr>
          <w:rFonts w:asciiTheme="minorEastAsia" w:hAnsiTheme="minorEastAsia" w:cs="굴림"/>
          <w:b/>
          <w:color w:val="000000" w:themeColor="text1"/>
          <w:kern w:val="0"/>
          <w:sz w:val="28"/>
          <w:szCs w:val="28"/>
        </w:rPr>
        <w:t>주요 지속 가능성 영역의 개선</w:t>
      </w:r>
    </w:p>
    <w:p w14:paraId="4E001BDB" w14:textId="53ABBB3E" w:rsidR="007F016D" w:rsidRPr="00AC2928" w:rsidRDefault="007F016D" w:rsidP="007F016D">
      <w:pPr>
        <w:widowControl/>
        <w:wordWrap/>
        <w:autoSpaceDE/>
        <w:autoSpaceDN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헨켈은</w:t>
      </w:r>
      <w:proofErr w:type="spellEnd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작년에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글로벌 동향을 고려하여 새로운 지속 가능성 목표를 정의한 2030+ 지속 가능성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목표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프레임워크를 발표했다. 특히, 2022년에는 기후 보호를 위해 CO2 배출량을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제품 1톤당 생산량 대비 2010년 기준 55% 감축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하는 등의 성과를 이뤘다. </w:t>
      </w:r>
      <w:proofErr w:type="spellStart"/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헨켈은</w:t>
      </w:r>
      <w:proofErr w:type="spellEnd"/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재생 에너지 비중</w:t>
      </w:r>
      <w:r w:rsidR="000B09F1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도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70%까지 늘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렸다.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2030년까지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전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세계 생산에</w:t>
      </w:r>
      <w:r w:rsidR="000B09F1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서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기후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에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긍정적인 탄소 발자국을 달성하고, 생산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현장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에서 사용하는 전기를 100% 재생 에너지로 공급하는 것을 목표로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하고 있다.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</w:p>
    <w:p w14:paraId="5BB7EDB0" w14:textId="77777777" w:rsidR="007F016D" w:rsidRPr="000B09F1" w:rsidRDefault="007F016D" w:rsidP="000B79EB">
      <w:pPr>
        <w:widowControl/>
        <w:shd w:val="clear" w:color="auto" w:fill="FFFFFF"/>
        <w:wordWrap/>
        <w:autoSpaceDE/>
        <w:autoSpaceDN/>
        <w:spacing w:beforeAutospacing="1" w:after="0" w:afterAutospacing="1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</w:p>
    <w:p w14:paraId="411C33D5" w14:textId="22143D7D" w:rsidR="007F016D" w:rsidRPr="007F016D" w:rsidRDefault="007F016D" w:rsidP="00724915">
      <w:pPr>
        <w:widowControl/>
        <w:shd w:val="clear" w:color="auto" w:fill="FFFFFF"/>
        <w:wordWrap/>
        <w:autoSpaceDE/>
        <w:autoSpaceDN/>
        <w:spacing w:beforeAutospacing="1" w:after="0" w:afterAutospacing="1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r w:rsidRPr="007F016D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lastRenderedPageBreak/>
        <w:t>2022년 12월에 체결된 IGNIS와의 10년간의 가상전력구매계약(VPPA</w:t>
      </w:r>
      <w:r w:rsidR="00724915" w:rsidRPr="00AC2928">
        <w:rPr>
          <w:rFonts w:asciiTheme="minorEastAsia" w:hAnsiTheme="minorEastAsia" w:cs="Calibri"/>
          <w:b/>
          <w:color w:val="000000" w:themeColor="text1"/>
          <w:kern w:val="0"/>
          <w:sz w:val="16"/>
          <w:szCs w:val="16"/>
        </w:rPr>
        <w:t>:</w:t>
      </w:r>
      <w:r w:rsidR="00724915" w:rsidRPr="00AC2928">
        <w:rPr>
          <w:rFonts w:asciiTheme="minorEastAsia" w:hAnsiTheme="minorEastAsia" w:cs="굴림"/>
          <w:b/>
          <w:bCs/>
          <w:color w:val="000000" w:themeColor="text1"/>
          <w:kern w:val="0"/>
          <w:sz w:val="16"/>
          <w:szCs w:val="16"/>
        </w:rPr>
        <w:t xml:space="preserve"> virtual</w:t>
      </w:r>
      <w:r w:rsidR="00724915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 </w:t>
      </w:r>
      <w:r w:rsidR="00724915" w:rsidRPr="00AC2928">
        <w:rPr>
          <w:rFonts w:asciiTheme="minorEastAsia" w:hAnsiTheme="minorEastAsia" w:cs="굴림"/>
          <w:b/>
          <w:bCs/>
          <w:color w:val="000000" w:themeColor="text1"/>
          <w:kern w:val="0"/>
          <w:sz w:val="16"/>
          <w:szCs w:val="16"/>
        </w:rPr>
        <w:t>power</w:t>
      </w:r>
      <w:r w:rsidR="00724915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 </w:t>
      </w:r>
      <w:r w:rsidR="00724915" w:rsidRPr="00AC2928">
        <w:rPr>
          <w:rFonts w:asciiTheme="minorEastAsia" w:hAnsiTheme="minorEastAsia" w:cs="굴림"/>
          <w:b/>
          <w:bCs/>
          <w:color w:val="000000" w:themeColor="text1"/>
          <w:kern w:val="0"/>
          <w:sz w:val="16"/>
          <w:szCs w:val="16"/>
        </w:rPr>
        <w:t>purchase</w:t>
      </w:r>
      <w:r w:rsidR="00724915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 </w:t>
      </w:r>
      <w:r w:rsidR="00724915" w:rsidRPr="00AC2928">
        <w:rPr>
          <w:rFonts w:asciiTheme="minorEastAsia" w:hAnsiTheme="minorEastAsia" w:cs="굴림"/>
          <w:b/>
          <w:bCs/>
          <w:color w:val="000000" w:themeColor="text1"/>
          <w:kern w:val="0"/>
          <w:sz w:val="16"/>
          <w:szCs w:val="16"/>
        </w:rPr>
        <w:t>agreement</w:t>
      </w:r>
      <w:r w:rsidRPr="007F016D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)</w:t>
      </w:r>
      <w:r w:rsidRPr="007F016D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은 에너지 공공기관과의 협력 사례 중 하나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이다</w:t>
      </w:r>
      <w:r w:rsidRPr="007F016D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. </w:t>
      </w:r>
      <w:r w:rsidR="00724915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이 계약은 스페인에 두 개의 새로운 태양광 발전소를 건설하는 것과 밀접한 관련이 있</w:t>
      </w:r>
      <w:r w:rsidR="00724915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다.</w:t>
      </w:r>
      <w:r w:rsidR="00724915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Pr="007F016D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이를 통해 약 200GWh의 재생 에너지를 </w:t>
      </w:r>
      <w:proofErr w:type="spellStart"/>
      <w:r w:rsidRPr="007F016D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헨켈의</w:t>
      </w:r>
      <w:proofErr w:type="spellEnd"/>
      <w:r w:rsidRPr="007F016D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유럽 </w:t>
      </w:r>
      <w:r w:rsidR="00724915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현장</w:t>
      </w:r>
      <w:r w:rsidRPr="007F016D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에 공급할 수 있게 </w:t>
      </w:r>
      <w:r w:rsidR="00724915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될 것이다.</w:t>
      </w:r>
      <w:r w:rsidR="00724915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</w:p>
    <w:p w14:paraId="45860D5C" w14:textId="232B51EE" w:rsidR="00724915" w:rsidRPr="00724915" w:rsidRDefault="00724915" w:rsidP="00724915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환경에 미치는 폐기물과 부정적인 영향을 최소화하기 위해 </w:t>
      </w:r>
      <w:proofErr w:type="spellStart"/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헨켈은</w:t>
      </w:r>
      <w:proofErr w:type="spellEnd"/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소비재를 비롯한 제품의 포장재 사용을 피하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거나 </w:t>
      </w:r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줄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이며</w:t>
      </w:r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, 가능한 한 경제적인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순환</w:t>
      </w:r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내에서 유지하도록 지속적으로 노력하고 있다. </w:t>
      </w:r>
      <w:r w:rsidRPr="00724915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2025년까지 포장재의 100%가 재활용과 재사용을 고려한 디자인으로 제작될 것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이다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*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.</w:t>
      </w:r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2022년에는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이 </w:t>
      </w:r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비율이 약 </w:t>
      </w:r>
      <w:r w:rsidRPr="00724915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87%</w:t>
      </w:r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로 증가했다. 또한, </w:t>
      </w:r>
      <w:proofErr w:type="spellStart"/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헨켈은</w:t>
      </w:r>
      <w:proofErr w:type="spellEnd"/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소비재 포장재의 재생 플라스틱 함량 비율을 높이는 것도 목표로 하고 있다. 2022년에는 이 비율이 약 16%였다.</w:t>
      </w:r>
    </w:p>
    <w:p w14:paraId="29D379ED" w14:textId="1C238E6C" w:rsidR="00724915" w:rsidRPr="00AC2928" w:rsidRDefault="00724915" w:rsidP="00724915">
      <w:pPr>
        <w:widowControl/>
        <w:shd w:val="clear" w:color="auto" w:fill="FFFFFF"/>
        <w:wordWrap/>
        <w:autoSpaceDE/>
        <w:autoSpaceDN/>
        <w:spacing w:beforeAutospacing="1" w:after="0" w:afterAutospacing="1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헨켈은</w:t>
      </w:r>
      <w:proofErr w:type="spellEnd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2025년까지 2010년에 비해 제품 톤당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폐기물 양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을 50% 줄이는 것을 목표로 하고 있다.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2022년에 이미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43%의 감소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를 기록했다.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2030년까지 생산 폐기물의 순환 사용을 달성하는 것을 목표로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하고 있다.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</w:p>
    <w:p w14:paraId="34F3E45B" w14:textId="246C7245" w:rsidR="00724915" w:rsidRPr="00AC2928" w:rsidRDefault="00724915" w:rsidP="00724915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proofErr w:type="spellStart"/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헨켈은</w:t>
      </w:r>
      <w:proofErr w:type="spellEnd"/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지난해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천연</w:t>
      </w:r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자원 보호 분야에서도 진전을 이루었다. 공급망 관리의 일환으로 선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별</w:t>
      </w:r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된 전략적인 공급업체와 협력하여 지속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가능한 원자재를 확보하고 있다.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예를 들면,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Pr="00724915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2022년에는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팜 기반 원료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가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공장까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지 도달하는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추적 가능성을 전년 대비 84%에서 89%로 높일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수 있었다.</w:t>
      </w:r>
    </w:p>
    <w:p w14:paraId="385D5EF4" w14:textId="77777777" w:rsidR="00724915" w:rsidRPr="00AC2928" w:rsidRDefault="00724915" w:rsidP="00724915">
      <w:pPr>
        <w:widowControl/>
        <w:wordWrap/>
        <w:autoSpaceDE/>
        <w:autoSpaceDN/>
        <w:spacing w:after="0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</w:p>
    <w:p w14:paraId="6328C3C4" w14:textId="1BDC69B1" w:rsidR="00724915" w:rsidRPr="00AC2928" w:rsidRDefault="00724915" w:rsidP="000B79EB">
      <w:pPr>
        <w:widowControl/>
        <w:shd w:val="clear" w:color="auto" w:fill="FFFFFF"/>
        <w:wordWrap/>
        <w:autoSpaceDE/>
        <w:autoSpaceDN/>
        <w:spacing w:beforeAutospacing="1" w:after="0" w:afterAutospacing="1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특히 지난해 지정학적 사건을 배경으로 </w:t>
      </w:r>
      <w:proofErr w:type="spellStart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헨켈은</w:t>
      </w:r>
      <w:proofErr w:type="spellEnd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사회적 참여를 더욱 확대했다. 2030년까지 사회 프로젝트와 기부를 통해 전 세계 3천만 명의 삶을 개선하는 것을 목표로 삼았다. </w:t>
      </w:r>
      <w:proofErr w:type="spellStart"/>
      <w:r w:rsidR="00E37298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헨켈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은</w:t>
      </w:r>
      <w:proofErr w:type="spellEnd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작년에 이 목표를 초과 달성했다.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2010년부터 2022년 말까지 </w:t>
      </w:r>
      <w:proofErr w:type="spellStart"/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헨켈은</w:t>
      </w:r>
      <w:proofErr w:type="spellEnd"/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3천만 명 이상의 사람들</w:t>
      </w:r>
      <w:r w:rsidR="00E37298"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을 도울 수 있었다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이는 특히 전 세계 </w:t>
      </w:r>
      <w:r w:rsidR="00E37298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코로나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19 팬데믹 퇴치에 기여하고 우크라이나 전쟁 희생자들을 지원</w:t>
      </w:r>
      <w:r w:rsidR="00E37298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한 결과이다.</w:t>
      </w:r>
      <w:r w:rsidR="00E37298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</w:p>
    <w:p w14:paraId="3509A1FB" w14:textId="6A3E33CE" w:rsidR="00E37298" w:rsidRPr="00AC2928" w:rsidRDefault="00E37298" w:rsidP="00E37298">
      <w:pPr>
        <w:widowControl/>
        <w:shd w:val="clear" w:color="auto" w:fill="FFFFFF"/>
        <w:wordWrap/>
        <w:autoSpaceDE/>
        <w:autoSpaceDN/>
        <w:spacing w:beforeAutospacing="1" w:after="0" w:afterAutospacing="1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헨켈은</w:t>
      </w:r>
      <w:proofErr w:type="spellEnd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기회의 평등을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촉진하기 위해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관리직 여성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비율을 지속적으로 높이는 것을 목표로 하고 있으며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,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2025년까지 모든 관리 수준에서 성평등을 달성하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기 위한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목표를 추구하고 있다.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2022년 관리직 여성 비율은 약 38.7%로 전년 대비 더욱 증가했다.</w:t>
      </w:r>
    </w:p>
    <w:p w14:paraId="479E5CE3" w14:textId="77777777" w:rsidR="00AC2928" w:rsidRDefault="00AC2928" w:rsidP="000B79E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</w:p>
    <w:p w14:paraId="362D8486" w14:textId="0537C572" w:rsidR="00E37298" w:rsidRPr="00AC2928" w:rsidRDefault="00E37298" w:rsidP="000B79E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Theme="minorEastAsia" w:hAnsiTheme="minorEastAsia" w:cs="굴림"/>
          <w:b/>
          <w:color w:val="000000" w:themeColor="text1"/>
          <w:kern w:val="0"/>
          <w:sz w:val="28"/>
          <w:szCs w:val="28"/>
        </w:rPr>
      </w:pPr>
      <w:r w:rsidRPr="00AC2928">
        <w:rPr>
          <w:rFonts w:asciiTheme="minorEastAsia" w:hAnsiTheme="minorEastAsia" w:cs="굴림"/>
          <w:b/>
          <w:color w:val="000000" w:themeColor="text1"/>
          <w:kern w:val="0"/>
          <w:sz w:val="28"/>
          <w:szCs w:val="28"/>
        </w:rPr>
        <w:t>제품 포트폴리오의 지속 가능한 혁신 주도</w:t>
      </w:r>
    </w:p>
    <w:p w14:paraId="3062F078" w14:textId="508B9474" w:rsidR="00E37298" w:rsidRPr="00576667" w:rsidRDefault="00E37298" w:rsidP="00E37298">
      <w:pPr>
        <w:widowControl/>
        <w:wordWrap/>
        <w:autoSpaceDE/>
        <w:autoSpaceDN/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</w:pP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지속 가능성은 </w:t>
      </w:r>
      <w:proofErr w:type="spellStart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헨켈의</w:t>
      </w:r>
      <w:proofErr w:type="spellEnd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소비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자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및 산업용 고객 사업 혁신 전략의 중심 축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이다.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소비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자 사업에서는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재료 최적화에 중점을 두고 있다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.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이를 위해 </w:t>
      </w:r>
      <w:proofErr w:type="spellStart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헨켈은</w:t>
      </w:r>
      <w:proofErr w:type="spellEnd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다양한 파트너와 협력하고 있다.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예를 들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면,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작년에 </w:t>
      </w: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헨켈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은</w:t>
      </w:r>
      <w:proofErr w:type="spellEnd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BASF와 다년간의 협력 계약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을 체결했다.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소위 바이오매스 균형 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 xml:space="preserve">방식을 통해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화석 원료는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연간 최대 110,000톤</w:t>
      </w:r>
      <w:r w:rsidR="000B09F1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까지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Pr="00576667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재생 가능한 원료로 대체</w:t>
      </w:r>
      <w:r w:rsidRPr="00576667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될</w:t>
      </w:r>
      <w:r w:rsidRPr="00576667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 xml:space="preserve"> </w:t>
      </w:r>
      <w:r w:rsidRPr="00576667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것이다.</w:t>
      </w:r>
      <w:r w:rsidRPr="00576667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</w:p>
    <w:p w14:paraId="09E3649C" w14:textId="67078FBC" w:rsidR="00E37298" w:rsidRPr="00AC2928" w:rsidRDefault="00E37298" w:rsidP="00E37298">
      <w:pPr>
        <w:widowControl/>
        <w:wordWrap/>
        <w:autoSpaceDE/>
        <w:autoSpaceDN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</w:p>
    <w:p w14:paraId="0EBFF3C6" w14:textId="15CAFD6F" w:rsidR="00E37298" w:rsidRPr="00AC2928" w:rsidRDefault="00E37298" w:rsidP="00AC2928">
      <w:pPr>
        <w:widowControl/>
        <w:wordWrap/>
        <w:autoSpaceDE/>
        <w:autoSpaceDN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 xml:space="preserve">접착 </w:t>
      </w:r>
      <w:proofErr w:type="spellStart"/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테크놀러지스</w:t>
      </w:r>
      <w:proofErr w:type="spellEnd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사업부는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혁신적인 솔루션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으로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배출량을 줄이고 에너지 및 재료 효율성을 높이며 귀중한 자원을 재활용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하는</w:t>
      </w:r>
      <w:r w:rsidR="000B09F1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데 도움을 준다.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한 가지 예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로,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원형</w:t>
      </w:r>
      <w:r w:rsidR="00AC2928"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의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유연</w:t>
      </w:r>
      <w:r w:rsidR="00AC2928"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한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포장재 개발을 위한 재활용 최적화 접착제</w:t>
      </w:r>
      <w:r w:rsidR="00AC2928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가</w:t>
      </w:r>
      <w:r w:rsidR="00AC2928"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 xml:space="preserve"> </w:t>
      </w:r>
      <w:r w:rsidR="00AC2928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있다.</w:t>
      </w:r>
      <w:r w:rsidR="00AC2928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="00AC2928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이것을 위해 </w:t>
      </w:r>
      <w:proofErr w:type="spellStart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헨켈은</w:t>
      </w:r>
      <w:proofErr w:type="spellEnd"/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포장 제조업체 및 재활용 전문가와 협력</w:t>
      </w:r>
      <w:r w:rsidR="00AC2928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하고 있다.</w:t>
      </w:r>
      <w:r w:rsidR="00AC2928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접착제의 재활용 가능성도 독립 기관에서 인증을 받았</w:t>
      </w:r>
      <w:r w:rsidR="00AC2928"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다.</w:t>
      </w:r>
      <w:r w:rsidR="00AC2928"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</w:p>
    <w:p w14:paraId="720515B0" w14:textId="77777777" w:rsidR="00576667" w:rsidRDefault="00576667" w:rsidP="000B79E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</w:p>
    <w:p w14:paraId="08D268EF" w14:textId="41EB1157" w:rsidR="00AC2928" w:rsidRPr="00576667" w:rsidRDefault="00AC2928" w:rsidP="000B79EB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outlineLvl w:val="1"/>
        <w:rPr>
          <w:rFonts w:asciiTheme="minorEastAsia" w:hAnsiTheme="minorEastAsia" w:cs="굴림"/>
          <w:b/>
          <w:color w:val="000000" w:themeColor="text1"/>
          <w:kern w:val="0"/>
          <w:sz w:val="28"/>
          <w:szCs w:val="28"/>
        </w:rPr>
      </w:pPr>
      <w:r w:rsidRPr="00576667">
        <w:rPr>
          <w:rFonts w:asciiTheme="minorEastAsia" w:hAnsiTheme="minorEastAsia" w:cs="굴림"/>
          <w:b/>
          <w:color w:val="000000" w:themeColor="text1"/>
          <w:kern w:val="0"/>
          <w:sz w:val="28"/>
          <w:szCs w:val="28"/>
        </w:rPr>
        <w:t xml:space="preserve">글로벌 직원 참여 프로그램 </w:t>
      </w:r>
      <w:r w:rsidRPr="00576667">
        <w:rPr>
          <w:rFonts w:asciiTheme="minorEastAsia" w:hAnsiTheme="minorEastAsia" w:cs="굴림" w:hint="eastAsia"/>
          <w:b/>
          <w:color w:val="000000" w:themeColor="text1"/>
          <w:kern w:val="0"/>
          <w:sz w:val="28"/>
          <w:szCs w:val="28"/>
        </w:rPr>
        <w:t xml:space="preserve">시작 </w:t>
      </w:r>
    </w:p>
    <w:p w14:paraId="5273E48A" w14:textId="31A3B31A" w:rsidR="00AC2928" w:rsidRPr="00AC2928" w:rsidRDefault="00AC2928" w:rsidP="00AC2928">
      <w:pPr>
        <w:widowControl/>
        <w:shd w:val="clear" w:color="auto" w:fill="FFFFFF"/>
        <w:wordWrap/>
        <w:autoSpaceDE/>
        <w:autoSpaceDN/>
        <w:spacing w:beforeAutospacing="1" w:after="0" w:afterAutospacing="1" w:line="240" w:lineRule="auto"/>
        <w:jc w:val="left"/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</w:pPr>
      <w:proofErr w:type="spellStart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헨켈은</w:t>
      </w:r>
      <w:proofErr w:type="spellEnd"/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지속 가능성에 대한 직원 참여를 더욱 촉진하기 </w:t>
      </w:r>
      <w:r w:rsidR="000B09F1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위해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기존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에 있던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교육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 xml:space="preserve"> 프로그램을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2022년 3월에 전체 참여 프로그램으로 확장했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다.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글로벌 "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마음으로 하는 지속 가능성(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Sustainability at Heart)" 프로그램의 목표는 직원들에게 지속 가능성에 대해 보다 포괄적으로 알리고 교육하는 것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이다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.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한 예로,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IESE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비즈니스 스쿨과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공동으로 개발한 "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지속 가능성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lastRenderedPageBreak/>
        <w:t>선구자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(Sustainability Pioneer)" 교육은 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현재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여러 언어로 제공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되고 있다.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  <w:t>2022년에만 5,800명 이상의 직원이 참여했</w:t>
      </w:r>
      <w:r w:rsidRPr="00AC2928">
        <w:rPr>
          <w:rFonts w:asciiTheme="minorEastAsia" w:hAnsiTheme="minorEastAsia" w:cs="굴림" w:hint="eastAsia"/>
          <w:b/>
          <w:color w:val="000000" w:themeColor="text1"/>
          <w:kern w:val="0"/>
          <w:sz w:val="16"/>
          <w:szCs w:val="16"/>
        </w:rPr>
        <w:t>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목표는 직원들이 작업 환경과 개인 생활에서 지속 가능성을 적극적으로 촉진하도록 동기</w:t>
      </w:r>
      <w:r w:rsidR="00BA353D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를</w:t>
      </w:r>
      <w:r w:rsidR="00195F0B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 xml:space="preserve"> 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>부여하고 지원하는 것</w:t>
      </w:r>
      <w:r w:rsidRPr="00AC2928">
        <w:rPr>
          <w:rFonts w:asciiTheme="minorEastAsia" w:hAnsiTheme="minorEastAsia" w:cs="굴림" w:hint="eastAsia"/>
          <w:color w:val="000000" w:themeColor="text1"/>
          <w:kern w:val="0"/>
          <w:sz w:val="16"/>
          <w:szCs w:val="16"/>
        </w:rPr>
        <w:t>이다.</w:t>
      </w:r>
      <w:r w:rsidRPr="00AC2928">
        <w:rPr>
          <w:rFonts w:asciiTheme="minorEastAsia" w:hAnsiTheme="minorEastAsia" w:cs="굴림"/>
          <w:color w:val="000000" w:themeColor="text1"/>
          <w:kern w:val="0"/>
          <w:sz w:val="16"/>
          <w:szCs w:val="16"/>
        </w:rPr>
        <w:t xml:space="preserve"> </w:t>
      </w:r>
    </w:p>
    <w:p w14:paraId="7B3B955F" w14:textId="77777777" w:rsidR="00AC2928" w:rsidRPr="00576667" w:rsidRDefault="00AC2928" w:rsidP="00AC2928">
      <w:pPr>
        <w:widowControl/>
        <w:shd w:val="clear" w:color="auto" w:fill="FFFFFF"/>
        <w:wordWrap/>
        <w:autoSpaceDE/>
        <w:autoSpaceDN/>
        <w:spacing w:beforeAutospacing="1" w:after="0" w:afterAutospacing="1" w:line="240" w:lineRule="auto"/>
        <w:jc w:val="left"/>
        <w:rPr>
          <w:rFonts w:asciiTheme="minorEastAsia" w:hAnsiTheme="minorEastAsia" w:cs="굴림"/>
          <w:b/>
          <w:color w:val="000000" w:themeColor="text1"/>
          <w:kern w:val="0"/>
          <w:sz w:val="16"/>
          <w:szCs w:val="16"/>
        </w:rPr>
      </w:pPr>
    </w:p>
    <w:p w14:paraId="4406489A" w14:textId="1149D0EB" w:rsidR="00747A9E" w:rsidRPr="00D44475" w:rsidRDefault="00AC2928" w:rsidP="00D44475">
      <w:pPr>
        <w:widowControl/>
        <w:shd w:val="clear" w:color="auto" w:fill="FFFFFF"/>
        <w:wordWrap/>
        <w:autoSpaceDE/>
        <w:autoSpaceDN/>
        <w:spacing w:beforeAutospacing="1" w:after="0" w:afterAutospacing="1" w:line="240" w:lineRule="auto"/>
        <w:jc w:val="left"/>
        <w:rPr>
          <w:rFonts w:asciiTheme="minorEastAsia" w:hAnsiTheme="minorEastAsia" w:cs="굴림" w:hint="eastAsia"/>
          <w:color w:val="000000" w:themeColor="text1"/>
          <w:kern w:val="0"/>
          <w:sz w:val="12"/>
          <w:szCs w:val="12"/>
        </w:rPr>
      </w:pPr>
      <w:r w:rsidRPr="00576667">
        <w:rPr>
          <w:rFonts w:asciiTheme="minorEastAsia" w:hAnsiTheme="minorEastAsia" w:cs="굴림"/>
          <w:color w:val="000000" w:themeColor="text1"/>
          <w:kern w:val="0"/>
          <w:sz w:val="12"/>
          <w:szCs w:val="12"/>
        </w:rPr>
        <w:t>* 성분이나 잔류물이 재활용 가능성에 영향을 미치거나 재활용 흐름을 오염시킬 수 있는 제품은 제외</w:t>
      </w:r>
      <w:r w:rsidRPr="00576667">
        <w:rPr>
          <w:rFonts w:asciiTheme="minorEastAsia" w:hAnsiTheme="minorEastAsia" w:cs="굴림" w:hint="eastAsia"/>
          <w:color w:val="000000" w:themeColor="text1"/>
          <w:kern w:val="0"/>
          <w:sz w:val="12"/>
          <w:szCs w:val="12"/>
        </w:rPr>
        <w:t>.</w:t>
      </w:r>
      <w:r w:rsidRPr="00576667">
        <w:rPr>
          <w:rFonts w:asciiTheme="minorEastAsia" w:hAnsiTheme="minorEastAsia" w:cs="굴림"/>
          <w:color w:val="000000" w:themeColor="text1"/>
          <w:kern w:val="0"/>
          <w:sz w:val="12"/>
          <w:szCs w:val="12"/>
        </w:rPr>
        <w:t xml:space="preserve"> </w:t>
      </w:r>
    </w:p>
    <w:sectPr w:rsidR="00747A9E" w:rsidRPr="00D444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940B7"/>
    <w:multiLevelType w:val="multilevel"/>
    <w:tmpl w:val="B7525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1742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EB"/>
    <w:rsid w:val="0002741C"/>
    <w:rsid w:val="000B09F1"/>
    <w:rsid w:val="000B79EB"/>
    <w:rsid w:val="00195F0B"/>
    <w:rsid w:val="0022504F"/>
    <w:rsid w:val="00491144"/>
    <w:rsid w:val="0052034D"/>
    <w:rsid w:val="00576667"/>
    <w:rsid w:val="00724915"/>
    <w:rsid w:val="00747A9E"/>
    <w:rsid w:val="007E0A95"/>
    <w:rsid w:val="007F016D"/>
    <w:rsid w:val="00813F05"/>
    <w:rsid w:val="00827DF6"/>
    <w:rsid w:val="009D78B7"/>
    <w:rsid w:val="00AC2928"/>
    <w:rsid w:val="00BA353D"/>
    <w:rsid w:val="00CB401C"/>
    <w:rsid w:val="00D44475"/>
    <w:rsid w:val="00D602EE"/>
    <w:rsid w:val="00E37298"/>
    <w:rsid w:val="00F0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63477"/>
  <w15:chartTrackingRefBased/>
  <w15:docId w15:val="{141F53F1-24D0-4B11-B300-03891AED4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27DF6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827DF6"/>
    <w:pPr>
      <w:jc w:val="left"/>
    </w:pPr>
  </w:style>
  <w:style w:type="character" w:customStyle="1" w:styleId="Char">
    <w:name w:val="메모 텍스트 Char"/>
    <w:basedOn w:val="a0"/>
    <w:link w:val="a4"/>
    <w:uiPriority w:val="99"/>
    <w:rsid w:val="00827DF6"/>
  </w:style>
  <w:style w:type="paragraph" w:styleId="a5">
    <w:name w:val="annotation subject"/>
    <w:basedOn w:val="a4"/>
    <w:next w:val="a4"/>
    <w:link w:val="Char0"/>
    <w:uiPriority w:val="99"/>
    <w:semiHidden/>
    <w:unhideWhenUsed/>
    <w:rsid w:val="00827DF6"/>
    <w:rPr>
      <w:b/>
      <w:bCs/>
    </w:rPr>
  </w:style>
  <w:style w:type="character" w:customStyle="1" w:styleId="Char0">
    <w:name w:val="메모 주제 Char"/>
    <w:basedOn w:val="Char"/>
    <w:link w:val="a5"/>
    <w:uiPriority w:val="99"/>
    <w:semiHidden/>
    <w:rsid w:val="00827D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47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8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2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Kim</dc:creator>
  <cp:keywords/>
  <dc:description/>
  <cp:lastModifiedBy>Sarah Kim</cp:lastModifiedBy>
  <cp:revision>5</cp:revision>
  <dcterms:created xsi:type="dcterms:W3CDTF">2023-04-24T08:51:00Z</dcterms:created>
  <dcterms:modified xsi:type="dcterms:W3CDTF">2023-04-24T08:53:00Z</dcterms:modified>
</cp:coreProperties>
</file>