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1794" w14:textId="77777777" w:rsidR="000C2A4C" w:rsidRPr="00E23F82" w:rsidRDefault="000C2A4C" w:rsidP="000C2A4C">
      <w:pPr>
        <w:pStyle w:val="MonthDayYear"/>
        <w:tabs>
          <w:tab w:val="left" w:pos="7371"/>
        </w:tabs>
        <w:rPr>
          <w:lang w:val="sk-SK"/>
        </w:rPr>
      </w:pPr>
      <w:r>
        <w:rPr>
          <w:lang w:val="sk-SK"/>
        </w:rPr>
        <w:t>20. apríl</w:t>
      </w:r>
      <w:r w:rsidRPr="00E23F82">
        <w:rPr>
          <w:lang w:val="sk-SK"/>
        </w:rPr>
        <w:t xml:space="preserve"> 2023</w:t>
      </w:r>
    </w:p>
    <w:p w14:paraId="09896324" w14:textId="113BD531" w:rsidR="007F0F63" w:rsidRPr="00B71239" w:rsidRDefault="007F0F63" w:rsidP="009D1522">
      <w:pPr>
        <w:pStyle w:val="Topline"/>
        <w:rPr>
          <w:lang w:val="sk-SK"/>
        </w:rPr>
      </w:pPr>
    </w:p>
    <w:p w14:paraId="62495126" w14:textId="77777777" w:rsidR="0037505F" w:rsidRPr="00FB179B" w:rsidRDefault="0037505F" w:rsidP="0037505F">
      <w:pPr>
        <w:jc w:val="left"/>
        <w:rPr>
          <w:rStyle w:val="Headline"/>
          <w:rFonts w:asciiTheme="majorHAnsi" w:hAnsiTheme="majorHAnsi" w:cs="Calibri Light"/>
          <w:lang w:val="sk-SK"/>
        </w:rPr>
      </w:pPr>
      <w:r w:rsidRPr="00FB179B">
        <w:rPr>
          <w:rStyle w:val="Headline"/>
          <w:rFonts w:asciiTheme="majorHAnsi" w:hAnsiTheme="majorHAnsi" w:cs="Calibri Light"/>
          <w:lang w:val="sk-SK" w:bidi="bo-CN"/>
        </w:rPr>
        <w:t xml:space="preserve">Spoločnosť Henkel končí svoje podnikateľské aktivity v Rusku </w:t>
      </w:r>
    </w:p>
    <w:p w14:paraId="76AD0789" w14:textId="54808A5F" w:rsidR="007F0F63" w:rsidRPr="00B71239" w:rsidRDefault="007F0F63" w:rsidP="00A3756F">
      <w:pPr>
        <w:rPr>
          <w:rStyle w:val="Headline"/>
          <w:lang w:val="sk-SK"/>
        </w:rPr>
      </w:pPr>
    </w:p>
    <w:p w14:paraId="1C347E6B" w14:textId="77777777" w:rsidR="0000450E" w:rsidRPr="00FB179B" w:rsidRDefault="0000450E" w:rsidP="0000450E">
      <w:pPr>
        <w:rPr>
          <w:rFonts w:cs="Segoe UI"/>
          <w:sz w:val="23"/>
          <w:szCs w:val="23"/>
          <w:lang w:val="sk-SK"/>
        </w:rPr>
      </w:pPr>
      <w:bookmarkStart w:id="0" w:name="_Hlk127964982"/>
      <w:bookmarkStart w:id="1" w:name="_Hlk109211145"/>
      <w:proofErr w:type="spellStart"/>
      <w:r w:rsidRPr="00E23F82">
        <w:rPr>
          <w:rFonts w:cs="Segoe UI"/>
          <w:sz w:val="23"/>
          <w:szCs w:val="23"/>
          <w:lang w:val="sk-SK"/>
        </w:rPr>
        <w:t>Düsseldorf</w:t>
      </w:r>
      <w:proofErr w:type="spellEnd"/>
      <w:r w:rsidRPr="00E23F82">
        <w:rPr>
          <w:rFonts w:cs="Segoe UI"/>
          <w:sz w:val="23"/>
          <w:szCs w:val="23"/>
          <w:lang w:val="sk-SK"/>
        </w:rPr>
        <w:t xml:space="preserve"> –</w:t>
      </w:r>
      <w:bookmarkStart w:id="2" w:name="_Hlk127963465"/>
      <w:bookmarkStart w:id="3" w:name="_Hlk127866025"/>
      <w:r>
        <w:rPr>
          <w:rFonts w:cs="Segoe UI"/>
          <w:sz w:val="23"/>
          <w:szCs w:val="23"/>
          <w:lang w:val="sk-SK"/>
        </w:rPr>
        <w:t xml:space="preserve"> </w:t>
      </w:r>
      <w:r w:rsidRPr="00FB179B">
        <w:rPr>
          <w:rFonts w:cs="Segoe UI"/>
          <w:sz w:val="23"/>
          <w:szCs w:val="23"/>
          <w:lang w:val="sk-SK" w:bidi="bo-CN"/>
        </w:rPr>
        <w:t>Spoločnosť Henkel podpísala zmluvu o predaji svojich obchodných aktív v Rusku s konzorciom miestnych finančných investorov.</w:t>
      </w:r>
      <w:r w:rsidRPr="00FB179B">
        <w:rPr>
          <w:rFonts w:cs="Segoe UI"/>
          <w:sz w:val="23"/>
          <w:szCs w:val="23"/>
          <w:lang w:val="sk-SK"/>
        </w:rPr>
        <w:t xml:space="preserve"> </w:t>
      </w:r>
      <w:r w:rsidRPr="00FB179B">
        <w:rPr>
          <w:rFonts w:cs="Segoe UI"/>
          <w:sz w:val="23"/>
          <w:szCs w:val="23"/>
          <w:lang w:val="sk-SK" w:bidi="bo-CN"/>
        </w:rPr>
        <w:t>Rozhodnutie opustiť ruský trh oznámila spoločnosť v apríli 2022.</w:t>
      </w:r>
    </w:p>
    <w:bookmarkEnd w:id="0"/>
    <w:bookmarkEnd w:id="2"/>
    <w:p w14:paraId="24E2A291" w14:textId="77777777" w:rsidR="0000450E" w:rsidRPr="00E23F82" w:rsidRDefault="0000450E" w:rsidP="0000450E">
      <w:pPr>
        <w:rPr>
          <w:rFonts w:cs="Segoe UI"/>
          <w:sz w:val="23"/>
          <w:szCs w:val="23"/>
          <w:lang w:val="sk-SK"/>
        </w:rPr>
      </w:pPr>
    </w:p>
    <w:p w14:paraId="25836A65" w14:textId="77777777" w:rsidR="0000450E" w:rsidRPr="00FB179B" w:rsidRDefault="0000450E" w:rsidP="0000450E">
      <w:pPr>
        <w:rPr>
          <w:rFonts w:cs="Segoe UI"/>
          <w:sz w:val="23"/>
          <w:szCs w:val="23"/>
          <w:lang w:val="sk-SK"/>
        </w:rPr>
      </w:pPr>
      <w:bookmarkStart w:id="4" w:name="_Hlk127865873"/>
      <w:bookmarkStart w:id="5" w:name="_Hlk127865750"/>
      <w:bookmarkStart w:id="6" w:name="_Hlk128485177"/>
      <w:bookmarkEnd w:id="3"/>
      <w:r w:rsidRPr="00FB179B">
        <w:rPr>
          <w:rFonts w:cs="Segoe UI"/>
          <w:sz w:val="23"/>
          <w:szCs w:val="23"/>
          <w:lang w:val="sk-SK" w:bidi="bo-CN"/>
        </w:rPr>
        <w:t xml:space="preserve">Členmi konzorcia, ktoré získa obchodné aktíva spoločnosti Henkel v Rusku, sú spoločnosti </w:t>
      </w:r>
      <w:r w:rsidRPr="00FB179B">
        <w:rPr>
          <w:rFonts w:cs="Segoe UI"/>
          <w:noProof/>
          <w:sz w:val="23"/>
          <w:szCs w:val="23"/>
          <w:lang w:val="sk-SK" w:eastAsia="de-DE" w:bidi="bo-CN"/>
        </w:rPr>
        <w:t>Augment Investments, Kismet Capital Group</w:t>
      </w:r>
      <w:r w:rsidRPr="00FB179B">
        <w:rPr>
          <w:rFonts w:cs="Segoe UI"/>
          <w:noProof/>
          <w:sz w:val="23"/>
          <w:szCs w:val="23"/>
          <w:lang w:val="sk-SK" w:bidi="bo-CN"/>
        </w:rPr>
        <w:t xml:space="preserve"> </w:t>
      </w:r>
      <w:r w:rsidRPr="00FB179B">
        <w:rPr>
          <w:rFonts w:cs="Segoe UI"/>
          <w:sz w:val="23"/>
          <w:szCs w:val="23"/>
          <w:lang w:val="sk-SK" w:bidi="bo-CN"/>
        </w:rPr>
        <w:t xml:space="preserve">a </w:t>
      </w:r>
      <w:r w:rsidRPr="00FB179B">
        <w:rPr>
          <w:rFonts w:cs="Segoe UI"/>
          <w:sz w:val="23"/>
          <w:szCs w:val="23"/>
          <w:lang w:val="sk-SK" w:eastAsia="de-DE" w:bidi="bo-CN"/>
        </w:rPr>
        <w:t xml:space="preserve">Elbrus </w:t>
      </w:r>
      <w:proofErr w:type="spellStart"/>
      <w:r w:rsidRPr="00FB179B">
        <w:rPr>
          <w:rFonts w:cs="Segoe UI"/>
          <w:sz w:val="23"/>
          <w:szCs w:val="23"/>
          <w:lang w:val="sk-SK" w:eastAsia="de-DE" w:bidi="bo-CN"/>
        </w:rPr>
        <w:t>Services</w:t>
      </w:r>
      <w:proofErr w:type="spellEnd"/>
      <w:r w:rsidRPr="00FB179B">
        <w:rPr>
          <w:rFonts w:cs="Segoe UI"/>
          <w:sz w:val="23"/>
          <w:szCs w:val="23"/>
          <w:lang w:val="sk-SK" w:bidi="bo-CN"/>
        </w:rPr>
        <w:t xml:space="preserve">. Všetky spoločnosti majú dlhodobé obchodné väzby na západné štáty a nevzťahujú sa na </w:t>
      </w:r>
      <w:proofErr w:type="spellStart"/>
      <w:r w:rsidRPr="00FB179B">
        <w:rPr>
          <w:rFonts w:cs="Segoe UI"/>
          <w:sz w:val="23"/>
          <w:szCs w:val="23"/>
          <w:lang w:val="sk-SK" w:bidi="bo-CN"/>
        </w:rPr>
        <w:t>ne</w:t>
      </w:r>
      <w:proofErr w:type="spellEnd"/>
      <w:r w:rsidRPr="00FB179B">
        <w:rPr>
          <w:rFonts w:cs="Segoe UI"/>
          <w:sz w:val="23"/>
          <w:szCs w:val="23"/>
          <w:lang w:val="sk-SK" w:bidi="bo-CN"/>
        </w:rPr>
        <w:t xml:space="preserve"> sankcie uvalené Európskou úniou alebo USA.</w:t>
      </w:r>
    </w:p>
    <w:p w14:paraId="3D9576BD" w14:textId="77777777" w:rsidR="0000450E" w:rsidRPr="00E23F82" w:rsidRDefault="0000450E" w:rsidP="0000450E">
      <w:pPr>
        <w:rPr>
          <w:rFonts w:cs="Segoe UI"/>
          <w:b/>
          <w:bCs/>
          <w:sz w:val="23"/>
          <w:szCs w:val="23"/>
          <w:lang w:val="sk-SK"/>
        </w:rPr>
      </w:pPr>
    </w:p>
    <w:bookmarkEnd w:id="4"/>
    <w:bookmarkEnd w:id="5"/>
    <w:bookmarkEnd w:id="6"/>
    <w:p w14:paraId="29F90688" w14:textId="77777777" w:rsidR="0000450E" w:rsidRDefault="0000450E" w:rsidP="0000450E">
      <w:pPr>
        <w:rPr>
          <w:sz w:val="23"/>
          <w:szCs w:val="23"/>
          <w:lang w:val="sk-SK"/>
        </w:rPr>
      </w:pPr>
      <w:r w:rsidRPr="00FB179B">
        <w:rPr>
          <w:rFonts w:cs="Segoe UI"/>
          <w:sz w:val="23"/>
          <w:szCs w:val="23"/>
          <w:lang w:val="sk-SK" w:bidi="bo-CN"/>
        </w:rPr>
        <w:t>Dohodnutá kúpna cena predstavuje 54 miliárd rubľov, čo je približne 600 miliónov eur.</w:t>
      </w:r>
      <w:r w:rsidRPr="00FB179B">
        <w:rPr>
          <w:rFonts w:cs="Segoe UI"/>
          <w:sz w:val="23"/>
          <w:szCs w:val="23"/>
          <w:lang w:val="sk-SK"/>
        </w:rPr>
        <w:t xml:space="preserve"> </w:t>
      </w:r>
      <w:r w:rsidRPr="00FB179B">
        <w:rPr>
          <w:rFonts w:cs="Segoe UI"/>
          <w:sz w:val="23"/>
          <w:szCs w:val="23"/>
          <w:lang w:val="sk-SK" w:bidi="bo-CN"/>
        </w:rPr>
        <w:t xml:space="preserve">Transakcia, ktorá už bola schválená príslušnými ruskými orgánmi, </w:t>
      </w:r>
      <w:r>
        <w:rPr>
          <w:rFonts w:cs="Segoe UI"/>
          <w:sz w:val="23"/>
          <w:szCs w:val="23"/>
          <w:lang w:val="sk-SK" w:bidi="bo-CN"/>
        </w:rPr>
        <w:t>teraz</w:t>
      </w:r>
      <w:r w:rsidRPr="00FB179B">
        <w:rPr>
          <w:rFonts w:cs="Segoe UI"/>
          <w:sz w:val="23"/>
          <w:szCs w:val="23"/>
          <w:lang w:val="sk-SK" w:bidi="bo-CN"/>
        </w:rPr>
        <w:t xml:space="preserve"> čaká na konečné uzavretie.</w:t>
      </w:r>
      <w:r w:rsidRPr="00FB179B">
        <w:rPr>
          <w:sz w:val="23"/>
          <w:szCs w:val="23"/>
          <w:lang w:val="sk-SK"/>
        </w:rPr>
        <w:t xml:space="preserve"> </w:t>
      </w:r>
    </w:p>
    <w:p w14:paraId="702BBFFE" w14:textId="77777777" w:rsidR="00266006" w:rsidRDefault="00266006" w:rsidP="0000450E">
      <w:pPr>
        <w:rPr>
          <w:sz w:val="23"/>
          <w:szCs w:val="23"/>
          <w:lang w:val="sk-SK"/>
        </w:rPr>
      </w:pPr>
    </w:p>
    <w:p w14:paraId="493F871D" w14:textId="77777777" w:rsidR="00266006" w:rsidRPr="00393D77" w:rsidRDefault="00266006" w:rsidP="00266006">
      <w:pPr>
        <w:pStyle w:val="He01Flietext"/>
        <w:spacing w:line="276" w:lineRule="auto"/>
        <w:rPr>
          <w:sz w:val="18"/>
          <w:szCs w:val="18"/>
          <w:lang w:val="sk-SK"/>
        </w:rPr>
      </w:pPr>
      <w:r w:rsidRPr="00393D77">
        <w:rPr>
          <w:spacing w:val="-3"/>
          <w:sz w:val="18"/>
          <w:szCs w:val="18"/>
          <w:lang w:val="sk-SK"/>
        </w:rPr>
        <w:t>Stanoviská týkajúce sa budúceho vývoja charakterizuje použitie takých slovných zvratov ako „očakávať“, „zamýšľať“, „plánovať“, „predpokladať“, „domnievať sa“, „odhadovať“ a podobných výrazov.</w:t>
      </w:r>
      <w:r w:rsidRPr="00393D77">
        <w:rPr>
          <w:sz w:val="18"/>
          <w:szCs w:val="18"/>
          <w:lang w:val="sk-SK"/>
        </w:rPr>
        <w:t xml:space="preserve"> Tento dokument obsahuje výhľadové stanoviská opierajúce sa o aktuálne odhady a predpoklady vypracované manažmentom spoločnosti Henkel AG &amp; Co. </w:t>
      </w:r>
      <w:proofErr w:type="spellStart"/>
      <w:r w:rsidRPr="00393D77">
        <w:rPr>
          <w:sz w:val="18"/>
          <w:szCs w:val="18"/>
          <w:lang w:val="sk-SK"/>
        </w:rPr>
        <w:t>KGaA</w:t>
      </w:r>
      <w:proofErr w:type="spellEnd"/>
      <w:r w:rsidRPr="00393D77">
        <w:rPr>
          <w:sz w:val="18"/>
          <w:szCs w:val="18"/>
          <w:lang w:val="sk-SK"/>
        </w:rPr>
        <w:t>. Takéto stanoviská nie je možné chápať ako zaručujúce akýmkoľvek spôsobom, že dané predikcie sú presné.</w:t>
      </w:r>
      <w:r w:rsidRPr="00393D77">
        <w:rPr>
          <w:spacing w:val="2"/>
          <w:sz w:val="18"/>
          <w:szCs w:val="18"/>
          <w:lang w:val="sk-SK"/>
        </w:rPr>
        <w:t xml:space="preserve"> Budúca výkonnosť ako aj reálne dosiahnuté výsledky spoločnosti Henkel AG &amp; Co. </w:t>
      </w:r>
      <w:proofErr w:type="spellStart"/>
      <w:r w:rsidRPr="00393D77">
        <w:rPr>
          <w:spacing w:val="2"/>
          <w:sz w:val="18"/>
          <w:szCs w:val="18"/>
          <w:lang w:val="sk-SK"/>
        </w:rPr>
        <w:t>KGaA</w:t>
      </w:r>
      <w:proofErr w:type="spellEnd"/>
      <w:r w:rsidRPr="00393D77">
        <w:rPr>
          <w:spacing w:val="2"/>
          <w:sz w:val="18"/>
          <w:szCs w:val="18"/>
          <w:lang w:val="sk-SK"/>
        </w:rPr>
        <w:t xml:space="preserve"> a jej sesterských spoločností závisia od celého radu rizikových faktorov a neistôt, a preto sa môžu podstatne odkláňať od výhľadových stanovísk.</w:t>
      </w:r>
      <w:r w:rsidRPr="00393D77">
        <w:rPr>
          <w:sz w:val="18"/>
          <w:szCs w:val="18"/>
          <w:lang w:val="sk-SK"/>
        </w:rPr>
        <w:t xml:space="preserve"> Na mnohé z nich spoločnosť Henkel nemá priamy dosah a vopred ich nie je možné presne odhadnúť, ako napríklad, aké bude ekonomické prostredie v budúcnosti a aké budú kroky konkurentov a iných subjektov pôsobiacich na trhu. Spoločnosť Henkel nemá v úmysle a ani neprijme kroky na účely aktualizácie týchto stanovísk.</w:t>
      </w:r>
    </w:p>
    <w:p w14:paraId="252F4039" w14:textId="77777777" w:rsidR="00266006" w:rsidRPr="00393D77" w:rsidRDefault="00266006" w:rsidP="00266006">
      <w:pPr>
        <w:pStyle w:val="He01Flietext"/>
        <w:spacing w:line="276" w:lineRule="auto"/>
        <w:rPr>
          <w:sz w:val="18"/>
          <w:szCs w:val="18"/>
          <w:lang w:val="sk-SK"/>
        </w:rPr>
      </w:pPr>
      <w:r w:rsidRPr="00393D77">
        <w:rPr>
          <w:sz w:val="18"/>
          <w:szCs w:val="18"/>
          <w:lang w:val="sk-SK"/>
        </w:rPr>
        <w:t>Tento dokument obsahuje doplňujúce finančné ukazovatele, ktoré nie sú jednoznačne definované v platnom rámci finančného výkazníctva, ktoré predstavujú alebo môžu predstavovať alternatívne ukazovatele finančnej výkonnosti.</w:t>
      </w:r>
      <w:r w:rsidRPr="00393D77">
        <w:rPr>
          <w:spacing w:val="-2"/>
          <w:sz w:val="18"/>
          <w:szCs w:val="18"/>
          <w:lang w:val="sk-SK"/>
        </w:rPr>
        <w:t xml:space="preserve"> </w:t>
      </w:r>
      <w:r w:rsidRPr="00393D77">
        <w:rPr>
          <w:spacing w:val="-2"/>
          <w:sz w:val="18"/>
          <w:szCs w:val="18"/>
          <w:lang w:val="sk-SK"/>
        </w:rPr>
        <w:lastRenderedPageBreak/>
        <w:t>Tieto doplňujúce finančné ukazovatele by sa nemali vykladať osobitne alebo ako alternatívne ukazovatele k ukazovateľom čistých aktív a finančných pozícií spoločnosti Henkel alebo k výsledkom podnikania, ktoré sú v súlade s platným rámcom finančného výkazníctva prezentované v konsolidovanej účtovnej závierke spoločnosti.</w:t>
      </w:r>
      <w:r w:rsidRPr="00393D77">
        <w:rPr>
          <w:sz w:val="18"/>
          <w:szCs w:val="18"/>
          <w:lang w:val="sk-SK"/>
        </w:rPr>
        <w:t xml:space="preserve"> Iné spoločnosti, ktoré vykazujú alebo uvádzajú alternatívne ukazovatele výkonnosti s podobnými názvami, môžu počítať ich hodnoty odlišne.</w:t>
      </w:r>
    </w:p>
    <w:p w14:paraId="20BF98A2" w14:textId="77777777" w:rsidR="00266006" w:rsidRPr="00393D77" w:rsidRDefault="00266006" w:rsidP="00266006">
      <w:pPr>
        <w:rPr>
          <w:spacing w:val="1"/>
          <w:sz w:val="18"/>
          <w:szCs w:val="18"/>
          <w:lang w:val="sk-SK"/>
        </w:rPr>
      </w:pPr>
      <w:r w:rsidRPr="00393D77">
        <w:rPr>
          <w:spacing w:val="1"/>
          <w:sz w:val="18"/>
          <w:szCs w:val="18"/>
          <w:lang w:val="sk-SK"/>
        </w:rPr>
        <w:t>Tento dokument slúži výlučne na informačné účely a nepredstavuje investičnú radu ani ponuku na predaj alebo kúpu akýchkoľvek cenných papierov.</w:t>
      </w:r>
    </w:p>
    <w:bookmarkEnd w:id="1"/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3AAD0F3" w14:textId="00269A63" w:rsidR="000D6831" w:rsidRPr="002E2CFB" w:rsidRDefault="004002DD" w:rsidP="002E2CFB">
      <w:pPr>
        <w:rPr>
          <w:sz w:val="18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r w:rsidR="006C1E4A">
        <w:fldChar w:fldCharType="begin"/>
      </w:r>
      <w:r w:rsidR="006C1E4A" w:rsidRPr="006C1E4A">
        <w:rPr>
          <w:lang w:val="pl-PL"/>
        </w:rPr>
        <w:instrText>HYPERLINK "http://www.henkel.com"</w:instrText>
      </w:r>
      <w:r w:rsidR="006C1E4A">
        <w:fldChar w:fldCharType="separate"/>
      </w:r>
      <w:r w:rsidR="005D1B3A" w:rsidRPr="00B05873">
        <w:rPr>
          <w:rStyle w:val="Hypertextovprepojenie"/>
          <w:szCs w:val="24"/>
          <w:lang w:val="sk-SK" w:bidi="bo-CN"/>
        </w:rPr>
        <w:t>www.henkel.com</w:t>
      </w:r>
      <w:r w:rsidR="006C1E4A">
        <w:rPr>
          <w:rStyle w:val="Hypertextovprepojenie"/>
          <w:szCs w:val="24"/>
          <w:lang w:val="sk-SK" w:bidi="bo-CN"/>
        </w:rPr>
        <w:fldChar w:fldCharType="end"/>
      </w:r>
      <w:r w:rsidR="005D1B3A"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70A50CA" w:rsidR="001864C0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r w:rsidR="006C1E4A">
        <w:fldChar w:fldCharType="begin"/>
      </w:r>
      <w:r w:rsidR="006C1E4A" w:rsidRPr="006C1E4A">
        <w:rPr>
          <w:lang w:val="pl-PL"/>
        </w:rPr>
        <w:instrText>HYPERLINK "http://www.henkel.sk"</w:instrText>
      </w:r>
      <w:r w:rsidR="006C1E4A">
        <w:fldChar w:fldCharType="separate"/>
      </w:r>
      <w:r w:rsidR="00B71239" w:rsidRPr="00B71239">
        <w:rPr>
          <w:rStyle w:val="Hypertextovprepojenie"/>
          <w:szCs w:val="24"/>
          <w:lang w:val="sk-SK"/>
        </w:rPr>
        <w:t>www.henkel.sk</w:t>
      </w:r>
      <w:r w:rsidR="006C1E4A">
        <w:rPr>
          <w:rStyle w:val="Hypertextovprepojenie"/>
          <w:szCs w:val="24"/>
          <w:lang w:val="sk-SK"/>
        </w:rPr>
        <w:fldChar w:fldCharType="end"/>
      </w:r>
      <w:r w:rsidRPr="00B71239">
        <w:rPr>
          <w:rStyle w:val="AboutandContactHeadline"/>
          <w:b w:val="0"/>
          <w:bCs w:val="0"/>
          <w:lang w:val="sk-SK"/>
        </w:rPr>
        <w:t>.</w:t>
      </w:r>
    </w:p>
    <w:p w14:paraId="2599D595" w14:textId="77777777" w:rsidR="002C3E79" w:rsidRPr="00393D77" w:rsidRDefault="002C3E79" w:rsidP="001864C0">
      <w:pPr>
        <w:rPr>
          <w:sz w:val="18"/>
          <w:szCs w:val="18"/>
          <w:lang w:val="sk-SK"/>
        </w:rPr>
      </w:pPr>
    </w:p>
    <w:p w14:paraId="5B1E3AD0" w14:textId="5A0FA781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1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FF5A" w14:textId="77777777" w:rsidR="00204A5C" w:rsidRDefault="00204A5C">
      <w:r>
        <w:separator/>
      </w:r>
    </w:p>
  </w:endnote>
  <w:endnote w:type="continuationSeparator" w:id="0">
    <w:p w14:paraId="45D263D2" w14:textId="77777777" w:rsidR="00204A5C" w:rsidRDefault="00204A5C">
      <w:r>
        <w:continuationSeparator/>
      </w:r>
    </w:p>
  </w:endnote>
  <w:endnote w:type="continuationNotice" w:id="1">
    <w:p w14:paraId="10A6F6A9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C1E4A">
      <w:fldChar w:fldCharType="begin"/>
    </w:r>
    <w:r w:rsidR="006C1E4A">
      <w:instrText>NUMPAGES  \* Arabic  \* MERGEFORMAT</w:instrText>
    </w:r>
    <w:r w:rsidR="006C1E4A">
      <w:fldChar w:fldCharType="separate"/>
    </w:r>
    <w:r>
      <w:t>2</w:t>
    </w:r>
    <w:r w:rsidR="006C1E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6E36" w14:textId="77777777" w:rsidR="00204A5C" w:rsidRDefault="00204A5C">
      <w:r>
        <w:separator/>
      </w:r>
    </w:p>
  </w:footnote>
  <w:footnote w:type="continuationSeparator" w:id="0">
    <w:p w14:paraId="53C175EA" w14:textId="77777777" w:rsidR="00204A5C" w:rsidRDefault="00204A5C">
      <w:r>
        <w:continuationSeparator/>
      </w:r>
    </w:p>
  </w:footnote>
  <w:footnote w:type="continuationNotice" w:id="1">
    <w:p w14:paraId="7B6320CF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50E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2A4C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154EC"/>
    <w:rsid w:val="00220628"/>
    <w:rsid w:val="002304D2"/>
    <w:rsid w:val="00234ABD"/>
    <w:rsid w:val="00236E2A"/>
    <w:rsid w:val="00237F62"/>
    <w:rsid w:val="0024586A"/>
    <w:rsid w:val="00256F0C"/>
    <w:rsid w:val="00262C05"/>
    <w:rsid w:val="00266006"/>
    <w:rsid w:val="00281D14"/>
    <w:rsid w:val="00282C13"/>
    <w:rsid w:val="002A0DF7"/>
    <w:rsid w:val="002A2975"/>
    <w:rsid w:val="002A60E0"/>
    <w:rsid w:val="002C1344"/>
    <w:rsid w:val="002C252E"/>
    <w:rsid w:val="002C3E79"/>
    <w:rsid w:val="002C6773"/>
    <w:rsid w:val="002D2A3D"/>
    <w:rsid w:val="002E0B17"/>
    <w:rsid w:val="002E2CFB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05F"/>
    <w:rsid w:val="00376EE9"/>
    <w:rsid w:val="00377CBB"/>
    <w:rsid w:val="00385185"/>
    <w:rsid w:val="003877B6"/>
    <w:rsid w:val="00393887"/>
    <w:rsid w:val="00393D7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05485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C1E4A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paragraph" w:customStyle="1" w:styleId="He01Flietext">
    <w:name w:val="_He_01_Fließtext"/>
    <w:qFormat/>
    <w:rsid w:val="00405485"/>
    <w:pPr>
      <w:spacing w:after="160"/>
    </w:pPr>
    <w:rPr>
      <w:rFonts w:eastAsiaTheme="minorHAnsi" w:cstheme="minorBid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13</TotalTime>
  <Pages>2</Pages>
  <Words>632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24</cp:revision>
  <cp:lastPrinted>2016-11-16T01:11:00Z</cp:lastPrinted>
  <dcterms:created xsi:type="dcterms:W3CDTF">2023-01-10T07:22:00Z</dcterms:created>
  <dcterms:modified xsi:type="dcterms:W3CDTF">2023-04-25T11:54:00Z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