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A24ED" w14:textId="74B5FAEF" w:rsidR="005742B4" w:rsidRPr="00F15EED" w:rsidRDefault="00622D85">
      <w:pPr>
        <w:pStyle w:val="MonthDayYear"/>
        <w:rPr>
          <w:lang w:val="cs-CZ"/>
        </w:rPr>
      </w:pPr>
      <w:r w:rsidRPr="00F15EED">
        <w:rPr>
          <w:lang w:val="cs-CZ"/>
        </w:rPr>
        <w:t>20</w:t>
      </w:r>
      <w:r w:rsidR="004D74B9" w:rsidRPr="00F15EED">
        <w:rPr>
          <w:lang w:val="cs-CZ"/>
        </w:rPr>
        <w:t xml:space="preserve">. </w:t>
      </w:r>
      <w:r w:rsidRPr="00F15EED">
        <w:rPr>
          <w:lang w:val="cs-CZ"/>
        </w:rPr>
        <w:t>duben</w:t>
      </w:r>
      <w:r w:rsidR="007D354B" w:rsidRPr="00F15EED">
        <w:rPr>
          <w:lang w:val="cs-CZ"/>
        </w:rPr>
        <w:t xml:space="preserve"> 2023</w:t>
      </w:r>
    </w:p>
    <w:p w14:paraId="51AA24EE" w14:textId="22A5918A" w:rsidR="005742B4" w:rsidRPr="00F15EED" w:rsidRDefault="005742B4">
      <w:pPr>
        <w:pStyle w:val="Topline"/>
        <w:rPr>
          <w:lang w:val="cs-CZ"/>
        </w:rPr>
      </w:pPr>
    </w:p>
    <w:p w14:paraId="51AA24EF" w14:textId="1DB1EAD2" w:rsidR="005742B4" w:rsidRPr="00F15EED" w:rsidRDefault="0008686A" w:rsidP="0008686A">
      <w:pPr>
        <w:pStyle w:val="Predvolen"/>
        <w:spacing w:before="0" w:line="276" w:lineRule="auto"/>
        <w:ind w:right="553"/>
        <w:rPr>
          <w:rStyle w:val="Headline"/>
          <w:rFonts w:eastAsia="Helvetica"/>
          <w:lang w:val="cs-CZ"/>
        </w:rPr>
      </w:pPr>
      <w:r w:rsidRPr="00F15EED">
        <w:rPr>
          <w:rFonts w:ascii="Segoe UI" w:hAnsi="Segoe UI" w:cs="Segoe UI"/>
          <w:b/>
          <w:bCs/>
          <w:sz w:val="32"/>
          <w:szCs w:val="32"/>
          <w:lang w:val="cs-CZ"/>
        </w:rPr>
        <w:t xml:space="preserve">Společnost </w:t>
      </w:r>
      <w:proofErr w:type="spellStart"/>
      <w:r w:rsidRPr="00F15EED">
        <w:rPr>
          <w:rFonts w:ascii="Segoe UI" w:hAnsi="Segoe UI" w:cs="Segoe UI"/>
          <w:b/>
          <w:bCs/>
          <w:sz w:val="32"/>
          <w:szCs w:val="32"/>
          <w:lang w:val="cs-CZ"/>
        </w:rPr>
        <w:t>Henkel</w:t>
      </w:r>
      <w:proofErr w:type="spellEnd"/>
      <w:r w:rsidRPr="00F15EED">
        <w:rPr>
          <w:rFonts w:ascii="Segoe UI" w:hAnsi="Segoe UI" w:cs="Segoe UI"/>
          <w:b/>
          <w:bCs/>
          <w:sz w:val="32"/>
          <w:szCs w:val="32"/>
          <w:lang w:val="cs-CZ"/>
        </w:rPr>
        <w:t xml:space="preserve"> končí své podnikatelské aktivity v Rusku</w:t>
      </w:r>
    </w:p>
    <w:p w14:paraId="51AA24F0" w14:textId="77777777" w:rsidR="005742B4" w:rsidRPr="00F15EED" w:rsidRDefault="005742B4">
      <w:pPr>
        <w:rPr>
          <w:lang w:val="cs-CZ"/>
        </w:rPr>
      </w:pPr>
    </w:p>
    <w:p w14:paraId="5600644B" w14:textId="77777777" w:rsidR="009E6453" w:rsidRPr="00F15EED" w:rsidRDefault="009E6453" w:rsidP="004D3A0A">
      <w:pPr>
        <w:pStyle w:val="Predvolen"/>
        <w:spacing w:before="0" w:line="276" w:lineRule="auto"/>
        <w:ind w:right="553"/>
        <w:jc w:val="both"/>
        <w:rPr>
          <w:rFonts w:ascii="Segoe UI" w:eastAsia="Helvetica" w:hAnsi="Segoe UI" w:cs="Segoe UI"/>
          <w:sz w:val="23"/>
          <w:szCs w:val="23"/>
          <w:lang w:val="cs-CZ"/>
        </w:rPr>
      </w:pPr>
      <w:r w:rsidRPr="00F15EED">
        <w:rPr>
          <w:rFonts w:ascii="Segoe UI" w:hAnsi="Segoe UI" w:cs="Segoe UI"/>
          <w:sz w:val="23"/>
          <w:szCs w:val="23"/>
          <w:lang w:val="cs-CZ"/>
        </w:rPr>
        <w:t xml:space="preserve">Düsseldorf – Společnost </w:t>
      </w:r>
      <w:proofErr w:type="spellStart"/>
      <w:r w:rsidRPr="00F15EED">
        <w:rPr>
          <w:rFonts w:ascii="Segoe UI" w:hAnsi="Segoe UI" w:cs="Segoe UI"/>
          <w:sz w:val="23"/>
          <w:szCs w:val="23"/>
          <w:lang w:val="cs-CZ"/>
        </w:rPr>
        <w:t>Henkel</w:t>
      </w:r>
      <w:proofErr w:type="spellEnd"/>
      <w:r w:rsidRPr="00F15EED">
        <w:rPr>
          <w:rFonts w:ascii="Segoe UI" w:hAnsi="Segoe UI" w:cs="Segoe UI"/>
          <w:sz w:val="23"/>
          <w:szCs w:val="23"/>
          <w:lang w:val="cs-CZ"/>
        </w:rPr>
        <w:t xml:space="preserve"> podepsala smlouvu o prodeji svých obchodních aktiv v Rusku s konsorciem místních finančních investorů. Rozhodnutí opustit ruský trh oznámila společnost v dubnu 2022.</w:t>
      </w:r>
    </w:p>
    <w:p w14:paraId="68147AD1" w14:textId="77777777" w:rsidR="009E6453" w:rsidRPr="00F15EED" w:rsidRDefault="009E6453" w:rsidP="004D3A0A">
      <w:pPr>
        <w:pStyle w:val="Predvolen"/>
        <w:spacing w:before="0" w:line="276" w:lineRule="auto"/>
        <w:ind w:right="553"/>
        <w:jc w:val="both"/>
        <w:rPr>
          <w:rFonts w:ascii="Segoe UI" w:eastAsia="Helvetica" w:hAnsi="Segoe UI" w:cs="Segoe UI"/>
          <w:sz w:val="23"/>
          <w:szCs w:val="23"/>
          <w:lang w:val="cs-CZ"/>
        </w:rPr>
      </w:pPr>
    </w:p>
    <w:p w14:paraId="74B8A181" w14:textId="77777777" w:rsidR="009E6453" w:rsidRPr="00F15EED" w:rsidRDefault="009E6453" w:rsidP="004D3A0A">
      <w:pPr>
        <w:pStyle w:val="Predvolen"/>
        <w:spacing w:before="0" w:line="276" w:lineRule="auto"/>
        <w:ind w:right="553"/>
        <w:jc w:val="both"/>
        <w:rPr>
          <w:rFonts w:ascii="Segoe UI" w:eastAsia="Helvetica" w:hAnsi="Segoe UI" w:cs="Segoe UI"/>
          <w:sz w:val="23"/>
          <w:szCs w:val="23"/>
          <w:lang w:val="cs-CZ"/>
        </w:rPr>
      </w:pPr>
      <w:r w:rsidRPr="00F15EED">
        <w:rPr>
          <w:rFonts w:ascii="Segoe UI" w:hAnsi="Segoe UI" w:cs="Segoe UI"/>
          <w:sz w:val="23"/>
          <w:szCs w:val="23"/>
          <w:lang w:val="cs-CZ"/>
        </w:rPr>
        <w:t xml:space="preserve">Členy konsorcia, které získá obchodní aktiva společnosti </w:t>
      </w:r>
      <w:proofErr w:type="spellStart"/>
      <w:r w:rsidRPr="00F15EED">
        <w:rPr>
          <w:rFonts w:ascii="Segoe UI" w:hAnsi="Segoe UI" w:cs="Segoe UI"/>
          <w:sz w:val="23"/>
          <w:szCs w:val="23"/>
          <w:lang w:val="cs-CZ"/>
        </w:rPr>
        <w:t>Henkel</w:t>
      </w:r>
      <w:proofErr w:type="spellEnd"/>
      <w:r w:rsidRPr="00F15EED">
        <w:rPr>
          <w:rFonts w:ascii="Segoe UI" w:hAnsi="Segoe UI" w:cs="Segoe UI"/>
          <w:sz w:val="23"/>
          <w:szCs w:val="23"/>
          <w:lang w:val="cs-CZ"/>
        </w:rPr>
        <w:t xml:space="preserve"> v Rusku, jsou společnosti Augment </w:t>
      </w:r>
      <w:proofErr w:type="spellStart"/>
      <w:r w:rsidRPr="00F15EED">
        <w:rPr>
          <w:rFonts w:ascii="Segoe UI" w:hAnsi="Segoe UI" w:cs="Segoe UI"/>
          <w:sz w:val="23"/>
          <w:szCs w:val="23"/>
          <w:lang w:val="cs-CZ"/>
        </w:rPr>
        <w:t>Investments</w:t>
      </w:r>
      <w:proofErr w:type="spellEnd"/>
      <w:r w:rsidRPr="00F15EED">
        <w:rPr>
          <w:rFonts w:ascii="Segoe UI" w:hAnsi="Segoe UI" w:cs="Segoe UI"/>
          <w:sz w:val="23"/>
          <w:szCs w:val="23"/>
          <w:lang w:val="cs-CZ"/>
        </w:rPr>
        <w:t xml:space="preserve">, Kismet </w:t>
      </w:r>
      <w:proofErr w:type="spellStart"/>
      <w:r w:rsidRPr="00F15EED">
        <w:rPr>
          <w:rFonts w:ascii="Segoe UI" w:hAnsi="Segoe UI" w:cs="Segoe UI"/>
          <w:sz w:val="23"/>
          <w:szCs w:val="23"/>
          <w:lang w:val="cs-CZ"/>
        </w:rPr>
        <w:t>Capital</w:t>
      </w:r>
      <w:proofErr w:type="spellEnd"/>
      <w:r w:rsidRPr="00F15EED">
        <w:rPr>
          <w:rFonts w:ascii="Segoe UI" w:hAnsi="Segoe UI" w:cs="Segoe UI"/>
          <w:sz w:val="23"/>
          <w:szCs w:val="23"/>
          <w:lang w:val="cs-CZ"/>
        </w:rPr>
        <w:t xml:space="preserve"> Group a Elbrus </w:t>
      </w:r>
      <w:proofErr w:type="spellStart"/>
      <w:r w:rsidRPr="00F15EED">
        <w:rPr>
          <w:rFonts w:ascii="Segoe UI" w:hAnsi="Segoe UI" w:cs="Segoe UI"/>
          <w:sz w:val="23"/>
          <w:szCs w:val="23"/>
          <w:lang w:val="cs-CZ"/>
        </w:rPr>
        <w:t>Services</w:t>
      </w:r>
      <w:proofErr w:type="spellEnd"/>
      <w:r w:rsidRPr="00F15EED">
        <w:rPr>
          <w:rFonts w:ascii="Segoe UI" w:hAnsi="Segoe UI" w:cs="Segoe UI"/>
          <w:sz w:val="23"/>
          <w:szCs w:val="23"/>
          <w:lang w:val="cs-CZ"/>
        </w:rPr>
        <w:t>. Všechny společnosti mají dlouhodobé obchodní vazby na západní státy a nevztahují se na ně sankce uvalené Evropskou unií anebo USA.</w:t>
      </w:r>
    </w:p>
    <w:p w14:paraId="6A18BC2F" w14:textId="77777777" w:rsidR="009E6453" w:rsidRPr="00F15EED" w:rsidRDefault="009E6453" w:rsidP="004D3A0A">
      <w:pPr>
        <w:pStyle w:val="Predvolen"/>
        <w:spacing w:before="0" w:line="276" w:lineRule="auto"/>
        <w:ind w:right="553"/>
        <w:jc w:val="both"/>
        <w:rPr>
          <w:rFonts w:ascii="Segoe UI" w:eastAsia="Helvetica" w:hAnsi="Segoe UI" w:cs="Segoe UI"/>
          <w:b/>
          <w:bCs/>
          <w:sz w:val="23"/>
          <w:szCs w:val="23"/>
          <w:lang w:val="cs-CZ"/>
        </w:rPr>
      </w:pPr>
    </w:p>
    <w:p w14:paraId="51F84DAF" w14:textId="77777777" w:rsidR="009E6453" w:rsidRPr="00F15EED" w:rsidRDefault="009E6453" w:rsidP="004D3A0A">
      <w:pPr>
        <w:pStyle w:val="Predvolen"/>
        <w:spacing w:before="0" w:line="276" w:lineRule="auto"/>
        <w:ind w:right="553"/>
        <w:jc w:val="both"/>
        <w:rPr>
          <w:rFonts w:ascii="Segoe UI" w:hAnsi="Segoe UI" w:cs="Segoe UI"/>
          <w:lang w:val="cs-CZ"/>
        </w:rPr>
      </w:pPr>
      <w:r w:rsidRPr="00F15EED">
        <w:rPr>
          <w:rFonts w:ascii="Segoe UI" w:hAnsi="Segoe UI" w:cs="Segoe UI"/>
          <w:sz w:val="23"/>
          <w:szCs w:val="23"/>
          <w:lang w:val="cs-CZ"/>
        </w:rPr>
        <w:t>Dohodnutá kupní cena představuje 54 miliard rublů, což je přibližně 600 milionů eur. Transakce, která již byla schválena příslušnými ruskými orgány, nyní čeká na dokončení.</w:t>
      </w:r>
    </w:p>
    <w:p w14:paraId="51AA24F1" w14:textId="46D0DECE" w:rsidR="005742B4" w:rsidRPr="00F15EED" w:rsidRDefault="005742B4">
      <w:pPr>
        <w:rPr>
          <w:lang w:val="cs-CZ"/>
        </w:rPr>
      </w:pPr>
    </w:p>
    <w:p w14:paraId="69B633D8" w14:textId="77777777" w:rsidR="00FA6865" w:rsidRPr="00F15EED" w:rsidRDefault="00FA6865" w:rsidP="00102AE6">
      <w:pPr>
        <w:pStyle w:val="He01Flietext"/>
        <w:spacing w:line="276" w:lineRule="auto"/>
        <w:rPr>
          <w:rFonts w:cs="Segoe UI"/>
          <w:sz w:val="18"/>
          <w:szCs w:val="18"/>
          <w:lang w:val="cs-CZ"/>
        </w:rPr>
      </w:pPr>
      <w:r w:rsidRPr="00F15EED">
        <w:rPr>
          <w:rFonts w:cs="Segoe UI"/>
          <w:sz w:val="18"/>
          <w:szCs w:val="18"/>
          <w:lang w:val="cs-CZ"/>
        </w:rPr>
        <w:t xml:space="preserve">Tento dokument obsahuje stanoviska týkající se budoucího obchodního vývoje, finančních výsledků a dalších událostí nebo skutečností relevantních pro společnost </w:t>
      </w:r>
      <w:proofErr w:type="spellStart"/>
      <w:r w:rsidRPr="00F15EED">
        <w:rPr>
          <w:rFonts w:cs="Segoe UI"/>
          <w:sz w:val="18"/>
          <w:szCs w:val="18"/>
          <w:lang w:val="cs-CZ"/>
        </w:rPr>
        <w:t>Henkel</w:t>
      </w:r>
      <w:proofErr w:type="spellEnd"/>
      <w:r w:rsidRPr="00F15EED">
        <w:rPr>
          <w:rFonts w:cs="Segoe UI"/>
          <w:sz w:val="18"/>
          <w:szCs w:val="18"/>
          <w:lang w:val="cs-CZ"/>
        </w:rPr>
        <w:t xml:space="preserve"> z pohledu budoucího rozvoje. Stanoviska týkající se budoucího vývoje charakterizuje použití takových slovních zvratů jako „očekávat“, „zamýšlet“, „plánovat“, „předpokládat“, „domnívat se“, „odhadovat“ a podobných výrazů. Tento dokument obsahuje výhledová stanoviska opírající se o aktuální odhady a předpoklady vypracované managementem společnosti </w:t>
      </w:r>
      <w:proofErr w:type="spellStart"/>
      <w:r w:rsidRPr="00F15EED">
        <w:rPr>
          <w:rFonts w:cs="Segoe UI"/>
          <w:sz w:val="18"/>
          <w:szCs w:val="18"/>
          <w:lang w:val="cs-CZ"/>
        </w:rPr>
        <w:t>Henkel</w:t>
      </w:r>
      <w:proofErr w:type="spellEnd"/>
      <w:r w:rsidRPr="00F15EED">
        <w:rPr>
          <w:rFonts w:cs="Segoe UI"/>
          <w:sz w:val="18"/>
          <w:szCs w:val="18"/>
          <w:lang w:val="cs-CZ"/>
        </w:rPr>
        <w:t xml:space="preserve"> AG &amp; Co. </w:t>
      </w:r>
      <w:proofErr w:type="spellStart"/>
      <w:r w:rsidRPr="00F15EED">
        <w:rPr>
          <w:rFonts w:cs="Segoe UI"/>
          <w:sz w:val="18"/>
          <w:szCs w:val="18"/>
          <w:lang w:val="cs-CZ"/>
        </w:rPr>
        <w:t>KGaA</w:t>
      </w:r>
      <w:proofErr w:type="spellEnd"/>
      <w:r w:rsidRPr="00F15EED">
        <w:rPr>
          <w:rFonts w:cs="Segoe UI"/>
          <w:sz w:val="18"/>
          <w:szCs w:val="18"/>
          <w:lang w:val="cs-CZ"/>
        </w:rPr>
        <w:t xml:space="preserve">. Tato stanoviska nelze chápat jako zaručující jakýmkoli způsobem, že dané predikce jsou přesné. Budoucí výkonnost i reálně dosažené výsledky společnosti </w:t>
      </w:r>
      <w:proofErr w:type="spellStart"/>
      <w:r w:rsidRPr="00F15EED">
        <w:rPr>
          <w:rFonts w:cs="Segoe UI"/>
          <w:sz w:val="18"/>
          <w:szCs w:val="18"/>
          <w:lang w:val="cs-CZ"/>
        </w:rPr>
        <w:t>Henkel</w:t>
      </w:r>
      <w:proofErr w:type="spellEnd"/>
      <w:r w:rsidRPr="00F15EED">
        <w:rPr>
          <w:rFonts w:cs="Segoe UI"/>
          <w:sz w:val="18"/>
          <w:szCs w:val="18"/>
          <w:lang w:val="cs-CZ"/>
        </w:rPr>
        <w:t xml:space="preserve"> AG &amp; Co. </w:t>
      </w:r>
      <w:proofErr w:type="spellStart"/>
      <w:r w:rsidRPr="00F15EED">
        <w:rPr>
          <w:rFonts w:cs="Segoe UI"/>
          <w:sz w:val="18"/>
          <w:szCs w:val="18"/>
          <w:lang w:val="cs-CZ"/>
        </w:rPr>
        <w:t>KGaA</w:t>
      </w:r>
      <w:proofErr w:type="spellEnd"/>
      <w:r w:rsidRPr="00F15EED">
        <w:rPr>
          <w:rFonts w:cs="Segoe UI"/>
          <w:sz w:val="18"/>
          <w:szCs w:val="18"/>
          <w:lang w:val="cs-CZ"/>
        </w:rPr>
        <w:t xml:space="preserve"> a jejích sesterských společností závisí na celé řadě rizikových faktorů a nejistot, a proto se mohou podstatně odklánět od výhledových stanovisek. Na mnohé z nich společnost </w:t>
      </w:r>
      <w:proofErr w:type="spellStart"/>
      <w:r w:rsidRPr="00F15EED">
        <w:rPr>
          <w:rFonts w:cs="Segoe UI"/>
          <w:sz w:val="18"/>
          <w:szCs w:val="18"/>
          <w:lang w:val="cs-CZ"/>
        </w:rPr>
        <w:t>Henkel</w:t>
      </w:r>
      <w:proofErr w:type="spellEnd"/>
      <w:r w:rsidRPr="00F15EED">
        <w:rPr>
          <w:rFonts w:cs="Segoe UI"/>
          <w:sz w:val="18"/>
          <w:szCs w:val="18"/>
          <w:lang w:val="cs-CZ"/>
        </w:rPr>
        <w:t xml:space="preserve"> nemá přímý dosah a předem je nelze přesně odhadnout, jako například, jaké bude ekonomické prostředí v budoucnosti a jaké budou kroky konkurentů a jiných subjektů působících na trhu. Společnost </w:t>
      </w:r>
      <w:proofErr w:type="spellStart"/>
      <w:r w:rsidRPr="00F15EED">
        <w:rPr>
          <w:rFonts w:cs="Segoe UI"/>
          <w:sz w:val="18"/>
          <w:szCs w:val="18"/>
          <w:lang w:val="cs-CZ"/>
        </w:rPr>
        <w:t>Henkel</w:t>
      </w:r>
      <w:proofErr w:type="spellEnd"/>
      <w:r w:rsidRPr="00F15EED">
        <w:rPr>
          <w:rFonts w:cs="Segoe UI"/>
          <w:sz w:val="18"/>
          <w:szCs w:val="18"/>
          <w:lang w:val="cs-CZ"/>
        </w:rPr>
        <w:t xml:space="preserve"> nemá v úmyslu a ani nepřijme kroky k aktualizaci těchto stanovisek.</w:t>
      </w:r>
    </w:p>
    <w:p w14:paraId="0DEFD424" w14:textId="77777777" w:rsidR="00FA6865" w:rsidRPr="00F15EED" w:rsidRDefault="00FA6865" w:rsidP="00102AE6">
      <w:pPr>
        <w:pStyle w:val="He01Flietext"/>
        <w:spacing w:line="276" w:lineRule="auto"/>
        <w:rPr>
          <w:rFonts w:cs="Segoe UI"/>
          <w:sz w:val="18"/>
          <w:szCs w:val="18"/>
          <w:lang w:val="cs-CZ"/>
        </w:rPr>
      </w:pPr>
      <w:r w:rsidRPr="00F15EED">
        <w:rPr>
          <w:rFonts w:cs="Segoe UI"/>
          <w:sz w:val="18"/>
          <w:szCs w:val="18"/>
          <w:lang w:val="cs-CZ"/>
        </w:rPr>
        <w:t xml:space="preserve">Tento dokument obsahuje doplňkové finanční ukazatele, které nejsou jasně definovány v platném rámci účetního výkaznictví, které představují nebo mohou představovat alternativní ukazatele finanční výkonnosti. Tyto doplňující </w:t>
      </w:r>
      <w:r w:rsidRPr="00F15EED">
        <w:rPr>
          <w:rFonts w:cs="Segoe UI"/>
          <w:sz w:val="18"/>
          <w:szCs w:val="18"/>
          <w:lang w:val="cs-CZ"/>
        </w:rPr>
        <w:lastRenderedPageBreak/>
        <w:t xml:space="preserve">finanční ukazatele by neměly být vykládány zvlášť nebo jako alternativní ukazatele k ukazatelům čistých aktiv a finančních pozic společnosti </w:t>
      </w:r>
      <w:proofErr w:type="spellStart"/>
      <w:r w:rsidRPr="00F15EED">
        <w:rPr>
          <w:rFonts w:cs="Segoe UI"/>
          <w:sz w:val="18"/>
          <w:szCs w:val="18"/>
          <w:lang w:val="cs-CZ"/>
        </w:rPr>
        <w:t>Henkel</w:t>
      </w:r>
      <w:proofErr w:type="spellEnd"/>
      <w:r w:rsidRPr="00F15EED">
        <w:rPr>
          <w:rFonts w:cs="Segoe UI"/>
          <w:sz w:val="18"/>
          <w:szCs w:val="18"/>
          <w:lang w:val="cs-CZ"/>
        </w:rPr>
        <w:t xml:space="preserve"> nebo k výsledkům podnikání, které jsou v souladu s platným rámcem účetního výkaznictví prezentovány v konsolidované účetní závěrce společnosti. Jiné společnosti, které vykazují nebo uvádějí alternativní ukazatele výkonnosti s podobnými názvy, mohou počítat jejich hodnoty odlišně.</w:t>
      </w:r>
    </w:p>
    <w:p w14:paraId="51AA24F4" w14:textId="63C8479E" w:rsidR="005742B4" w:rsidRPr="00F15EED" w:rsidRDefault="00FA6865" w:rsidP="00102AE6">
      <w:pPr>
        <w:pStyle w:val="He01Flietext"/>
        <w:spacing w:line="276" w:lineRule="auto"/>
        <w:rPr>
          <w:rFonts w:cs="Segoe UI"/>
          <w:sz w:val="18"/>
          <w:szCs w:val="18"/>
          <w:lang w:val="cs-CZ"/>
        </w:rPr>
      </w:pPr>
      <w:r w:rsidRPr="00F15EED">
        <w:rPr>
          <w:rFonts w:cs="Segoe UI"/>
          <w:sz w:val="18"/>
          <w:szCs w:val="18"/>
          <w:lang w:val="cs-CZ"/>
        </w:rPr>
        <w:t xml:space="preserve">Tento dokument slouží výlučně k informačním účelům a nepředstavuje investiční radu ani nabídku k prodeji nebo koupi jakýchkoli cenných papírů. </w:t>
      </w:r>
    </w:p>
    <w:p w14:paraId="51AA24F5" w14:textId="77777777" w:rsidR="005742B4" w:rsidRPr="00F15EED" w:rsidRDefault="005742B4">
      <w:pPr>
        <w:rPr>
          <w:sz w:val="18"/>
          <w:szCs w:val="18"/>
          <w:lang w:val="cs-CZ"/>
        </w:rPr>
      </w:pPr>
    </w:p>
    <w:p w14:paraId="76CCC920" w14:textId="77777777" w:rsidR="005D6168" w:rsidRPr="00F15EED" w:rsidRDefault="005D6168" w:rsidP="002F7A23">
      <w:pPr>
        <w:rPr>
          <w:b/>
          <w:bCs/>
          <w:sz w:val="18"/>
          <w:szCs w:val="18"/>
          <w:lang w:val="cs-CZ" w:bidi="bo-CN"/>
        </w:rPr>
      </w:pPr>
      <w:r w:rsidRPr="00F15EED">
        <w:rPr>
          <w:b/>
          <w:bCs/>
          <w:sz w:val="18"/>
          <w:szCs w:val="18"/>
          <w:lang w:val="cs-CZ" w:bidi="bo-CN"/>
        </w:rPr>
        <w:t xml:space="preserve">O společnosti </w:t>
      </w:r>
      <w:proofErr w:type="spellStart"/>
      <w:r w:rsidRPr="00F15EED">
        <w:rPr>
          <w:b/>
          <w:bCs/>
          <w:sz w:val="18"/>
          <w:szCs w:val="18"/>
          <w:lang w:val="cs-CZ" w:bidi="bo-CN"/>
        </w:rPr>
        <w:t>Henkel</w:t>
      </w:r>
      <w:proofErr w:type="spellEnd"/>
    </w:p>
    <w:p w14:paraId="294CC13E" w14:textId="33D5857A" w:rsidR="005D6168" w:rsidRPr="00F15EED" w:rsidRDefault="005D6168" w:rsidP="002F7A23">
      <w:pPr>
        <w:rPr>
          <w:sz w:val="18"/>
          <w:szCs w:val="18"/>
          <w:lang w:val="cs-CZ" w:bidi="bo-CN"/>
        </w:rPr>
      </w:pPr>
      <w:r w:rsidRPr="00F15EED">
        <w:rPr>
          <w:sz w:val="18"/>
          <w:szCs w:val="18"/>
          <w:lang w:val="cs-CZ" w:bidi="bo-CN"/>
        </w:rPr>
        <w:t xml:space="preserve">Díky svým značkám, inovacím a technologiím je společnost </w:t>
      </w:r>
      <w:proofErr w:type="spellStart"/>
      <w:r w:rsidRPr="00F15EED">
        <w:rPr>
          <w:sz w:val="18"/>
          <w:szCs w:val="18"/>
          <w:lang w:val="cs-CZ" w:bidi="bo-CN"/>
        </w:rPr>
        <w:t>Henkel</w:t>
      </w:r>
      <w:proofErr w:type="spellEnd"/>
      <w:r w:rsidRPr="00F15EED">
        <w:rPr>
          <w:sz w:val="18"/>
          <w:szCs w:val="18"/>
          <w:lang w:val="cs-CZ" w:bidi="bo-CN"/>
        </w:rPr>
        <w:t xml:space="preserve"> světovým lídrem na trzích s průmyslovým a spotřebním zbožím. Obchodní divize </w:t>
      </w:r>
      <w:proofErr w:type="spellStart"/>
      <w:r w:rsidRPr="00F15EED">
        <w:rPr>
          <w:sz w:val="18"/>
          <w:szCs w:val="18"/>
          <w:lang w:val="cs-CZ" w:bidi="bo-CN"/>
        </w:rPr>
        <w:t>Adhesive</w:t>
      </w:r>
      <w:proofErr w:type="spellEnd"/>
      <w:r w:rsidRPr="00F15EED">
        <w:rPr>
          <w:sz w:val="18"/>
          <w:szCs w:val="18"/>
          <w:lang w:val="cs-CZ" w:bidi="bo-CN"/>
        </w:rPr>
        <w:t xml:space="preserve"> Technologies je globálním lídrem na trhu se spojovacími a lepícími materiály, tmely a funkčními nátěry. Obchodní divize </w:t>
      </w:r>
      <w:proofErr w:type="spellStart"/>
      <w:r w:rsidRPr="00F15EED">
        <w:rPr>
          <w:sz w:val="18"/>
          <w:szCs w:val="18"/>
          <w:lang w:val="cs-CZ" w:bidi="bo-CN"/>
        </w:rPr>
        <w:t>Consumer</w:t>
      </w:r>
      <w:proofErr w:type="spellEnd"/>
      <w:r w:rsidRPr="00F15EED">
        <w:rPr>
          <w:sz w:val="18"/>
          <w:szCs w:val="18"/>
          <w:lang w:val="cs-CZ" w:bidi="bo-CN"/>
        </w:rPr>
        <w:t xml:space="preserve"> </w:t>
      </w:r>
      <w:proofErr w:type="spellStart"/>
      <w:r w:rsidRPr="00F15EED">
        <w:rPr>
          <w:sz w:val="18"/>
          <w:szCs w:val="18"/>
          <w:lang w:val="cs-CZ" w:bidi="bo-CN"/>
        </w:rPr>
        <w:t>Brands</w:t>
      </w:r>
      <w:proofErr w:type="spellEnd"/>
      <w:r w:rsidRPr="00F15EED">
        <w:rPr>
          <w:sz w:val="18"/>
          <w:szCs w:val="18"/>
          <w:lang w:val="cs-CZ" w:bidi="bo-CN"/>
        </w:rPr>
        <w:t xml:space="preserve"> se drží na předních místech na mnoha světových trzích především v segmentech vlasové kosmetiky a pracích a čistících prostředků pro domácnost. Mezi tři nejsilnější značky společnosti patří </w:t>
      </w:r>
      <w:proofErr w:type="spellStart"/>
      <w:r w:rsidRPr="00F15EED">
        <w:rPr>
          <w:sz w:val="18"/>
          <w:szCs w:val="18"/>
          <w:lang w:val="cs-CZ" w:bidi="bo-CN"/>
        </w:rPr>
        <w:t>Loctite</w:t>
      </w:r>
      <w:proofErr w:type="spellEnd"/>
      <w:r w:rsidRPr="00F15EED">
        <w:rPr>
          <w:sz w:val="18"/>
          <w:szCs w:val="18"/>
          <w:lang w:val="cs-CZ" w:bidi="bo-CN"/>
        </w:rPr>
        <w:t xml:space="preserve">, </w:t>
      </w:r>
      <w:proofErr w:type="spellStart"/>
      <w:r w:rsidRPr="00F15EED">
        <w:rPr>
          <w:sz w:val="18"/>
          <w:szCs w:val="18"/>
          <w:lang w:val="cs-CZ" w:bidi="bo-CN"/>
        </w:rPr>
        <w:t>Persil</w:t>
      </w:r>
      <w:proofErr w:type="spellEnd"/>
      <w:r w:rsidRPr="00F15EED">
        <w:rPr>
          <w:sz w:val="18"/>
          <w:szCs w:val="18"/>
          <w:lang w:val="cs-CZ" w:bidi="bo-CN"/>
        </w:rPr>
        <w:t xml:space="preserve"> a </w:t>
      </w:r>
      <w:proofErr w:type="spellStart"/>
      <w:r w:rsidRPr="00F15EED">
        <w:rPr>
          <w:sz w:val="18"/>
          <w:szCs w:val="18"/>
          <w:lang w:val="cs-CZ" w:bidi="bo-CN"/>
        </w:rPr>
        <w:t>Schwarzkopf</w:t>
      </w:r>
      <w:proofErr w:type="spellEnd"/>
      <w:r w:rsidRPr="00F15EED">
        <w:rPr>
          <w:sz w:val="18"/>
          <w:szCs w:val="18"/>
          <w:lang w:val="cs-CZ" w:bidi="bo-CN"/>
        </w:rPr>
        <w:t xml:space="preserve">. Ve finančním roce 2021 vykázala společnost </w:t>
      </w:r>
      <w:proofErr w:type="spellStart"/>
      <w:r w:rsidRPr="00F15EED">
        <w:rPr>
          <w:sz w:val="18"/>
          <w:szCs w:val="18"/>
          <w:lang w:val="cs-CZ" w:bidi="bo-CN"/>
        </w:rPr>
        <w:t>Henkel</w:t>
      </w:r>
      <w:proofErr w:type="spellEnd"/>
      <w:r w:rsidRPr="00F15EED">
        <w:rPr>
          <w:sz w:val="18"/>
          <w:szCs w:val="18"/>
          <w:lang w:val="cs-CZ" w:bidi="bo-CN"/>
        </w:rPr>
        <w:t xml:space="preserve"> obrat ve výši přes 20 mld. eur a upravený provozní zisk přibližně ve výši 2,7 mld. eur. Prioritní akcie společnosti </w:t>
      </w:r>
      <w:proofErr w:type="spellStart"/>
      <w:r w:rsidRPr="00F15EED">
        <w:rPr>
          <w:sz w:val="18"/>
          <w:szCs w:val="18"/>
          <w:lang w:val="cs-CZ" w:bidi="bo-CN"/>
        </w:rPr>
        <w:t>Henkel</w:t>
      </w:r>
      <w:proofErr w:type="spellEnd"/>
      <w:r w:rsidRPr="00F15EED">
        <w:rPr>
          <w:sz w:val="18"/>
          <w:szCs w:val="18"/>
          <w:lang w:val="cs-CZ" w:bidi="bo-CN"/>
        </w:rPr>
        <w:t xml:space="preserve"> jsou kótovány na německém akciovém indexu DAX. Udržitelnost patří již dlouho k tradičním prioritám společnosti </w:t>
      </w:r>
      <w:proofErr w:type="spellStart"/>
      <w:r w:rsidRPr="00F15EED">
        <w:rPr>
          <w:sz w:val="18"/>
          <w:szCs w:val="18"/>
          <w:lang w:val="cs-CZ" w:bidi="bo-CN"/>
        </w:rPr>
        <w:t>Henkel</w:t>
      </w:r>
      <w:proofErr w:type="spellEnd"/>
      <w:r w:rsidRPr="00F15EED">
        <w:rPr>
          <w:sz w:val="18"/>
          <w:szCs w:val="18"/>
          <w:lang w:val="cs-CZ" w:bidi="bo-CN"/>
        </w:rPr>
        <w:t xml:space="preserve">, přičemž k plnění konkrétních cílů má společnost vypracovanou jasnou strategii dlouhodobé udržitelnosti. Společnost </w:t>
      </w:r>
      <w:proofErr w:type="spellStart"/>
      <w:r w:rsidRPr="00F15EED">
        <w:rPr>
          <w:sz w:val="18"/>
          <w:szCs w:val="18"/>
          <w:lang w:val="cs-CZ" w:bidi="bo-CN"/>
        </w:rPr>
        <w:t>Henkel</w:t>
      </w:r>
      <w:proofErr w:type="spellEnd"/>
      <w:r w:rsidRPr="00F15EED">
        <w:rPr>
          <w:sz w:val="18"/>
          <w:szCs w:val="18"/>
          <w:lang w:val="cs-CZ" w:bidi="bo-CN"/>
        </w:rPr>
        <w:t xml:space="preserve"> byla založena v roce 1876 a dnes celosvětově zaměstnává přes 50 000 zaměstnanců, již spojuje silná firemní kultura, společné hodnoty a společné poslání: „</w:t>
      </w:r>
      <w:proofErr w:type="spellStart"/>
      <w:r w:rsidRPr="00F15EED">
        <w:rPr>
          <w:sz w:val="18"/>
          <w:szCs w:val="18"/>
          <w:lang w:val="cs-CZ" w:bidi="bo-CN"/>
        </w:rPr>
        <w:t>Pioneers</w:t>
      </w:r>
      <w:proofErr w:type="spellEnd"/>
      <w:r w:rsidRPr="00F15EED">
        <w:rPr>
          <w:sz w:val="18"/>
          <w:szCs w:val="18"/>
          <w:lang w:val="cs-CZ" w:bidi="bo-CN"/>
        </w:rPr>
        <w:t xml:space="preserve"> </w:t>
      </w:r>
      <w:proofErr w:type="spellStart"/>
      <w:r w:rsidRPr="00F15EED">
        <w:rPr>
          <w:sz w:val="18"/>
          <w:szCs w:val="18"/>
          <w:lang w:val="cs-CZ" w:bidi="bo-CN"/>
        </w:rPr>
        <w:t>at</w:t>
      </w:r>
      <w:proofErr w:type="spellEnd"/>
      <w:r w:rsidRPr="00F15EED">
        <w:rPr>
          <w:sz w:val="18"/>
          <w:szCs w:val="18"/>
          <w:lang w:val="cs-CZ" w:bidi="bo-CN"/>
        </w:rPr>
        <w:t xml:space="preserve"> </w:t>
      </w:r>
      <w:proofErr w:type="spellStart"/>
      <w:r w:rsidRPr="00F15EED">
        <w:rPr>
          <w:sz w:val="18"/>
          <w:szCs w:val="18"/>
          <w:lang w:val="cs-CZ" w:bidi="bo-CN"/>
        </w:rPr>
        <w:t>heart</w:t>
      </w:r>
      <w:proofErr w:type="spellEnd"/>
      <w:r w:rsidRPr="00F15EED">
        <w:rPr>
          <w:sz w:val="18"/>
          <w:szCs w:val="18"/>
          <w:lang w:val="cs-CZ" w:bidi="bo-CN"/>
        </w:rPr>
        <w:t xml:space="preserve"> </w:t>
      </w:r>
      <w:proofErr w:type="spellStart"/>
      <w:r w:rsidRPr="00F15EED">
        <w:rPr>
          <w:sz w:val="18"/>
          <w:szCs w:val="18"/>
          <w:lang w:val="cs-CZ" w:bidi="bo-CN"/>
        </w:rPr>
        <w:t>for</w:t>
      </w:r>
      <w:proofErr w:type="spellEnd"/>
      <w:r w:rsidRPr="00F15EED">
        <w:rPr>
          <w:sz w:val="18"/>
          <w:szCs w:val="18"/>
          <w:lang w:val="cs-CZ" w:bidi="bo-CN"/>
        </w:rPr>
        <w:t xml:space="preserve"> </w:t>
      </w:r>
      <w:proofErr w:type="spellStart"/>
      <w:r w:rsidRPr="00F15EED">
        <w:rPr>
          <w:sz w:val="18"/>
          <w:szCs w:val="18"/>
          <w:lang w:val="cs-CZ" w:bidi="bo-CN"/>
        </w:rPr>
        <w:t>the</w:t>
      </w:r>
      <w:proofErr w:type="spellEnd"/>
      <w:r w:rsidRPr="00F15EED">
        <w:rPr>
          <w:sz w:val="18"/>
          <w:szCs w:val="18"/>
          <w:lang w:val="cs-CZ" w:bidi="bo-CN"/>
        </w:rPr>
        <w:t xml:space="preserve"> </w:t>
      </w:r>
      <w:proofErr w:type="spellStart"/>
      <w:r w:rsidRPr="00F15EED">
        <w:rPr>
          <w:sz w:val="18"/>
          <w:szCs w:val="18"/>
          <w:lang w:val="cs-CZ" w:bidi="bo-CN"/>
        </w:rPr>
        <w:t>good</w:t>
      </w:r>
      <w:proofErr w:type="spellEnd"/>
      <w:r w:rsidRPr="00F15EED">
        <w:rPr>
          <w:sz w:val="18"/>
          <w:szCs w:val="18"/>
          <w:lang w:val="cs-CZ" w:bidi="bo-CN"/>
        </w:rPr>
        <w:t xml:space="preserve"> </w:t>
      </w:r>
      <w:proofErr w:type="spellStart"/>
      <w:r w:rsidRPr="00F15EED">
        <w:rPr>
          <w:sz w:val="18"/>
          <w:szCs w:val="18"/>
          <w:lang w:val="cs-CZ" w:bidi="bo-CN"/>
        </w:rPr>
        <w:t>of</w:t>
      </w:r>
      <w:proofErr w:type="spellEnd"/>
      <w:r w:rsidRPr="00F15EED">
        <w:rPr>
          <w:sz w:val="18"/>
          <w:szCs w:val="18"/>
          <w:lang w:val="cs-CZ" w:bidi="bo-CN"/>
        </w:rPr>
        <w:t xml:space="preserve"> </w:t>
      </w:r>
      <w:proofErr w:type="spellStart"/>
      <w:r w:rsidRPr="00F15EED">
        <w:rPr>
          <w:sz w:val="18"/>
          <w:szCs w:val="18"/>
          <w:lang w:val="cs-CZ" w:bidi="bo-CN"/>
        </w:rPr>
        <w:t>generations</w:t>
      </w:r>
      <w:proofErr w:type="spellEnd"/>
      <w:r w:rsidRPr="00F15EED">
        <w:rPr>
          <w:sz w:val="18"/>
          <w:szCs w:val="18"/>
          <w:lang w:val="cs-CZ" w:bidi="bo-CN"/>
        </w:rPr>
        <w:t xml:space="preserve">“. Více informací najdete na stránkách </w:t>
      </w:r>
      <w:hyperlink r:id="rId8" w:history="1">
        <w:r w:rsidR="00A070EE" w:rsidRPr="00F15EED">
          <w:rPr>
            <w:rStyle w:val="Hypertextovprepojenie"/>
            <w:sz w:val="18"/>
            <w:szCs w:val="18"/>
            <w:lang w:val="cs-CZ" w:bidi="bo-CN"/>
          </w:rPr>
          <w:t>www.henkel.com</w:t>
        </w:r>
      </w:hyperlink>
      <w:r w:rsidR="00A070EE" w:rsidRPr="00F15EED">
        <w:rPr>
          <w:sz w:val="18"/>
          <w:szCs w:val="18"/>
          <w:lang w:val="cs-CZ" w:bidi="bo-CN"/>
        </w:rPr>
        <w:t>.</w:t>
      </w:r>
      <w:r w:rsidRPr="00F15EED">
        <w:rPr>
          <w:sz w:val="18"/>
          <w:szCs w:val="18"/>
          <w:lang w:val="cs-CZ" w:bidi="bo-CN"/>
        </w:rPr>
        <w:t xml:space="preserve"> </w:t>
      </w:r>
    </w:p>
    <w:p w14:paraId="4F4668BC" w14:textId="77777777" w:rsidR="005D6168" w:rsidRPr="00F15EED" w:rsidRDefault="005D6168" w:rsidP="002F7A23">
      <w:pPr>
        <w:rPr>
          <w:rFonts w:asciiTheme="majorHAnsi" w:hAnsiTheme="majorHAnsi" w:cstheme="majorHAnsi"/>
          <w:sz w:val="18"/>
          <w:szCs w:val="18"/>
          <w:lang w:val="cs-CZ"/>
        </w:rPr>
      </w:pPr>
    </w:p>
    <w:p w14:paraId="5010685E" w14:textId="77777777" w:rsidR="003B16A3" w:rsidRPr="00F15EED" w:rsidRDefault="003B16A3" w:rsidP="003B16A3">
      <w:pPr>
        <w:rPr>
          <w:sz w:val="18"/>
          <w:szCs w:val="18"/>
          <w:lang w:val="cs-CZ"/>
        </w:rPr>
      </w:pPr>
    </w:p>
    <w:p w14:paraId="1466B3D3" w14:textId="77777777" w:rsidR="00A110E3" w:rsidRPr="00F15EED" w:rsidRDefault="00A110E3" w:rsidP="00A110E3">
      <w:pPr>
        <w:rPr>
          <w:rStyle w:val="AboutandContactHeadline"/>
          <w:lang w:val="cs-CZ"/>
        </w:rPr>
      </w:pPr>
      <w:r w:rsidRPr="00F15EED">
        <w:rPr>
          <w:rStyle w:val="AboutandContactHeadline"/>
          <w:lang w:val="cs-CZ"/>
        </w:rPr>
        <w:t xml:space="preserve">Kontakt  </w:t>
      </w:r>
    </w:p>
    <w:p w14:paraId="430D742D" w14:textId="77777777" w:rsidR="00A110E3" w:rsidRPr="00F15EED" w:rsidRDefault="00A110E3" w:rsidP="00A110E3">
      <w:pPr>
        <w:rPr>
          <w:rStyle w:val="AboutandContactHeadline"/>
          <w:b w:val="0"/>
          <w:bCs w:val="0"/>
          <w:lang w:val="cs-CZ"/>
        </w:rPr>
      </w:pPr>
      <w:r w:rsidRPr="00F15EED">
        <w:rPr>
          <w:rStyle w:val="AboutandContactHeadline"/>
          <w:b w:val="0"/>
          <w:bCs w:val="0"/>
          <w:lang w:val="cs-CZ"/>
        </w:rPr>
        <w:t xml:space="preserve">Zuzana </w:t>
      </w:r>
      <w:proofErr w:type="spellStart"/>
      <w:r w:rsidRPr="00F15EED">
        <w:rPr>
          <w:rStyle w:val="AboutandContactHeadline"/>
          <w:b w:val="0"/>
          <w:bCs w:val="0"/>
          <w:lang w:val="cs-CZ"/>
        </w:rPr>
        <w:t>Kaňuchová</w:t>
      </w:r>
      <w:proofErr w:type="spellEnd"/>
      <w:r w:rsidRPr="00F15EED">
        <w:rPr>
          <w:rStyle w:val="AboutandContactHeadline"/>
          <w:b w:val="0"/>
          <w:bCs w:val="0"/>
          <w:lang w:val="cs-CZ"/>
        </w:rPr>
        <w:tab/>
      </w:r>
      <w:r w:rsidRPr="00F15EED">
        <w:rPr>
          <w:rStyle w:val="AboutandContactHeadline"/>
          <w:b w:val="0"/>
          <w:bCs w:val="0"/>
          <w:lang w:val="cs-CZ"/>
        </w:rPr>
        <w:tab/>
      </w:r>
      <w:r w:rsidRPr="00F15EED">
        <w:rPr>
          <w:rStyle w:val="AboutandContactHeadline"/>
          <w:b w:val="0"/>
          <w:bCs w:val="0"/>
          <w:lang w:val="cs-CZ"/>
        </w:rPr>
        <w:tab/>
      </w:r>
      <w:r w:rsidRPr="00F15EED">
        <w:rPr>
          <w:rStyle w:val="AboutandContactHeadline"/>
          <w:b w:val="0"/>
          <w:bCs w:val="0"/>
          <w:lang w:val="cs-CZ"/>
        </w:rPr>
        <w:tab/>
      </w:r>
      <w:r w:rsidRPr="00F15EED">
        <w:rPr>
          <w:rStyle w:val="AboutandContactHeadline"/>
          <w:b w:val="0"/>
          <w:bCs w:val="0"/>
          <w:lang w:val="cs-CZ"/>
        </w:rPr>
        <w:tab/>
      </w:r>
      <w:r w:rsidRPr="00F15EED">
        <w:rPr>
          <w:rStyle w:val="AboutandContactHeadline"/>
          <w:b w:val="0"/>
          <w:bCs w:val="0"/>
          <w:lang w:val="cs-CZ"/>
        </w:rPr>
        <w:tab/>
      </w:r>
    </w:p>
    <w:p w14:paraId="762EC9F8" w14:textId="72275E79" w:rsidR="00A110E3" w:rsidRPr="00F15EED" w:rsidRDefault="00A110E3" w:rsidP="00A110E3">
      <w:pPr>
        <w:rPr>
          <w:rStyle w:val="AboutandContactHeadline"/>
          <w:b w:val="0"/>
          <w:bCs w:val="0"/>
          <w:lang w:val="cs-CZ"/>
        </w:rPr>
      </w:pPr>
      <w:r w:rsidRPr="00F15EED">
        <w:rPr>
          <w:rStyle w:val="AboutandContactHeadline"/>
          <w:b w:val="0"/>
          <w:bCs w:val="0"/>
          <w:lang w:val="cs-CZ"/>
        </w:rPr>
        <w:t>Ředitelka korporátní komunikace</w:t>
      </w:r>
      <w:r w:rsidRPr="00F15EED">
        <w:rPr>
          <w:rStyle w:val="AboutandContactHeadline"/>
          <w:b w:val="0"/>
          <w:bCs w:val="0"/>
          <w:lang w:val="cs-CZ"/>
        </w:rPr>
        <w:tab/>
      </w:r>
      <w:r w:rsidRPr="00F15EED">
        <w:rPr>
          <w:rStyle w:val="AboutandContactHeadline"/>
          <w:b w:val="0"/>
          <w:bCs w:val="0"/>
          <w:lang w:val="cs-CZ"/>
        </w:rPr>
        <w:tab/>
      </w:r>
      <w:r w:rsidRPr="00F15EED">
        <w:rPr>
          <w:rStyle w:val="AboutandContactHeadline"/>
          <w:b w:val="0"/>
          <w:bCs w:val="0"/>
          <w:lang w:val="cs-CZ"/>
        </w:rPr>
        <w:tab/>
      </w:r>
    </w:p>
    <w:p w14:paraId="7C07374F" w14:textId="77777777" w:rsidR="00A110E3" w:rsidRPr="00F15EED" w:rsidRDefault="00A110E3" w:rsidP="00A110E3">
      <w:pPr>
        <w:rPr>
          <w:rStyle w:val="AboutandContactHeadline"/>
          <w:b w:val="0"/>
          <w:bCs w:val="0"/>
          <w:lang w:val="cs-CZ"/>
        </w:rPr>
      </w:pPr>
    </w:p>
    <w:p w14:paraId="3BE1DA98" w14:textId="20CF90E9" w:rsidR="00A110E3" w:rsidRPr="00F15EED" w:rsidRDefault="00A110E3" w:rsidP="00A110E3">
      <w:pPr>
        <w:rPr>
          <w:rStyle w:val="AboutandContactHeadline"/>
          <w:b w:val="0"/>
          <w:bCs w:val="0"/>
          <w:lang w:val="cs-CZ"/>
        </w:rPr>
      </w:pPr>
      <w:r w:rsidRPr="00F15EED">
        <w:rPr>
          <w:rStyle w:val="AboutandContactHeadline"/>
          <w:b w:val="0"/>
          <w:bCs w:val="0"/>
          <w:lang w:val="cs-CZ"/>
        </w:rPr>
        <w:t>Telef</w:t>
      </w:r>
      <w:r w:rsidR="00A070EE" w:rsidRPr="00F15EED">
        <w:rPr>
          <w:rStyle w:val="AboutandContactHeadline"/>
          <w:b w:val="0"/>
          <w:bCs w:val="0"/>
          <w:lang w:val="cs-CZ"/>
        </w:rPr>
        <w:t>o</w:t>
      </w:r>
      <w:r w:rsidRPr="00F15EED">
        <w:rPr>
          <w:rStyle w:val="AboutandContactHeadline"/>
          <w:b w:val="0"/>
          <w:bCs w:val="0"/>
          <w:lang w:val="cs-CZ"/>
        </w:rPr>
        <w:t>n: +421 917 160 597</w:t>
      </w:r>
      <w:r w:rsidRPr="00F15EED">
        <w:rPr>
          <w:rStyle w:val="AboutandContactHeadline"/>
          <w:b w:val="0"/>
          <w:bCs w:val="0"/>
          <w:lang w:val="cs-CZ"/>
        </w:rPr>
        <w:tab/>
      </w:r>
      <w:r w:rsidRPr="00F15EED">
        <w:rPr>
          <w:rStyle w:val="AboutandContactHeadline"/>
          <w:b w:val="0"/>
          <w:bCs w:val="0"/>
          <w:lang w:val="cs-CZ"/>
        </w:rPr>
        <w:tab/>
      </w:r>
      <w:r w:rsidRPr="00F15EED">
        <w:rPr>
          <w:rStyle w:val="AboutandContactHeadline"/>
          <w:b w:val="0"/>
          <w:bCs w:val="0"/>
          <w:lang w:val="cs-CZ"/>
        </w:rPr>
        <w:tab/>
      </w:r>
    </w:p>
    <w:p w14:paraId="628BCDA9" w14:textId="7ECC954A" w:rsidR="00A110E3" w:rsidRPr="00F15EED" w:rsidRDefault="00A110E3" w:rsidP="00A110E3">
      <w:pPr>
        <w:rPr>
          <w:rStyle w:val="AboutandContactHeadline"/>
          <w:b w:val="0"/>
          <w:bCs w:val="0"/>
          <w:lang w:val="cs-CZ"/>
        </w:rPr>
      </w:pPr>
      <w:r w:rsidRPr="00F15EED">
        <w:rPr>
          <w:rStyle w:val="AboutandContactHeadline"/>
          <w:b w:val="0"/>
          <w:bCs w:val="0"/>
          <w:lang w:val="cs-CZ"/>
        </w:rPr>
        <w:t xml:space="preserve">E-mail: </w:t>
      </w:r>
      <w:hyperlink r:id="rId9" w:history="1">
        <w:r w:rsidRPr="00F15EED">
          <w:rPr>
            <w:rStyle w:val="Hypertextovprepojenie"/>
            <w:sz w:val="18"/>
            <w:szCs w:val="18"/>
            <w:lang w:val="cs-CZ"/>
          </w:rPr>
          <w:t>zuzana.kanuchova@henkel.com</w:t>
        </w:r>
      </w:hyperlink>
    </w:p>
    <w:p w14:paraId="51AA2505" w14:textId="39C6A2F7" w:rsidR="005742B4" w:rsidRPr="00F15EED" w:rsidRDefault="005742B4" w:rsidP="00A110E3">
      <w:pPr>
        <w:rPr>
          <w:lang w:val="cs-CZ"/>
        </w:rPr>
      </w:pPr>
    </w:p>
    <w:sectPr w:rsidR="005742B4" w:rsidRPr="00F15EED">
      <w:footerReference w:type="default" r:id="rId10"/>
      <w:headerReference w:type="first" r:id="rId11"/>
      <w:footerReference w:type="first" r:id="rId12"/>
      <w:pgSz w:w="11900" w:h="16840"/>
      <w:pgMar w:top="1944" w:right="1411" w:bottom="1987" w:left="1411" w:header="1253" w:footer="95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A47B0D" w14:textId="77777777" w:rsidR="00A412E3" w:rsidRDefault="00A412E3">
      <w:pPr>
        <w:spacing w:line="240" w:lineRule="auto"/>
      </w:pPr>
      <w:r>
        <w:separator/>
      </w:r>
    </w:p>
  </w:endnote>
  <w:endnote w:type="continuationSeparator" w:id="0">
    <w:p w14:paraId="3861ED9D" w14:textId="77777777" w:rsidR="00A412E3" w:rsidRDefault="00A412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 Neue">
    <w:altName w:val="Arial"/>
    <w:charset w:val="00"/>
    <w:family w:val="roman"/>
    <w:pitch w:val="default"/>
  </w:font>
  <w:font w:name="Helvetica"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A2507" w14:textId="67D7FC71" w:rsidR="005742B4" w:rsidRDefault="007D354B">
    <w:pPr>
      <w:pStyle w:val="Pta"/>
      <w:tabs>
        <w:tab w:val="clear" w:pos="7083"/>
        <w:tab w:val="clear" w:pos="8640"/>
        <w:tab w:val="right" w:pos="9058"/>
      </w:tabs>
      <w:jc w:val="both"/>
    </w:pPr>
    <w:r>
      <w:rPr>
        <w:lang w:val="da-DK"/>
      </w:rPr>
      <w:t>Henkel AG &amp; Co. KGaA</w:t>
    </w:r>
    <w:r>
      <w:rPr>
        <w:lang w:val="da-DK"/>
      </w:rPr>
      <w:tab/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031201">
      <w:rPr>
        <w:noProof/>
      </w:rPr>
      <w:t>2</w:t>
    </w:r>
    <w:r>
      <w:fldChar w:fldCharType="end"/>
    </w:r>
    <w:r>
      <w:t>/</w:t>
    </w:r>
    <w:fldSimple w:instr=" NUMPAGES ">
      <w:r w:rsidR="00031201">
        <w:rPr>
          <w:noProof/>
        </w:rP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A2509" w14:textId="4149466C" w:rsidR="005742B4" w:rsidRDefault="004D74B9">
    <w:pPr>
      <w:pStyle w:val="Pta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B270117" wp14:editId="34EE21FB">
          <wp:simplePos x="0" y="0"/>
          <wp:positionH relativeFrom="margin">
            <wp:posOffset>-274320</wp:posOffset>
          </wp:positionH>
          <wp:positionV relativeFrom="paragraph">
            <wp:posOffset>-406400</wp:posOffset>
          </wp:positionV>
          <wp:extent cx="6212205" cy="387350"/>
          <wp:effectExtent l="0" t="0" r="0" b="0"/>
          <wp:wrapTight wrapText="bothSides">
            <wp:wrapPolygon edited="0">
              <wp:start x="0" y="0"/>
              <wp:lineTo x="0" y="20184"/>
              <wp:lineTo x="21527" y="20184"/>
              <wp:lineTo x="21527" y="0"/>
              <wp:lineTo x="0" y="0"/>
            </wp:wrapPolygon>
          </wp:wrapTight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12205" cy="387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Strana</w:t>
    </w:r>
    <w:r w:rsidR="007D354B">
      <w:rPr>
        <w:lang w:val="da-DK"/>
      </w:rPr>
      <w:t xml:space="preserve"> </w:t>
    </w:r>
    <w:r w:rsidR="007D354B">
      <w:fldChar w:fldCharType="begin"/>
    </w:r>
    <w:r w:rsidR="007D354B">
      <w:instrText xml:space="preserve"> PAGE </w:instrText>
    </w:r>
    <w:r w:rsidR="007D354B">
      <w:fldChar w:fldCharType="separate"/>
    </w:r>
    <w:r w:rsidR="00031201">
      <w:rPr>
        <w:noProof/>
      </w:rPr>
      <w:t>1</w:t>
    </w:r>
    <w:r w:rsidR="007D354B">
      <w:fldChar w:fldCharType="end"/>
    </w:r>
    <w:r w:rsidR="007D354B">
      <w:t>/</w:t>
    </w:r>
    <w:fldSimple w:instr=" NUMPAGES ">
      <w:r w:rsidR="00031201">
        <w:rPr>
          <w:noProof/>
        </w:rPr>
        <w:t>1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9889A" w14:textId="77777777" w:rsidR="00A412E3" w:rsidRDefault="00A412E3">
      <w:pPr>
        <w:spacing w:line="240" w:lineRule="auto"/>
      </w:pPr>
      <w:r>
        <w:separator/>
      </w:r>
    </w:p>
  </w:footnote>
  <w:footnote w:type="continuationSeparator" w:id="0">
    <w:p w14:paraId="5ADC352F" w14:textId="77777777" w:rsidR="00A412E3" w:rsidRDefault="00A412E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A2508" w14:textId="56475F99" w:rsidR="005742B4" w:rsidRPr="00251645" w:rsidRDefault="007D354B">
    <w:pPr>
      <w:pStyle w:val="Hlavika"/>
      <w:tabs>
        <w:tab w:val="clear" w:pos="9356"/>
        <w:tab w:val="right" w:pos="9058"/>
      </w:tabs>
      <w:rPr>
        <w:lang w:val="cs-CZ"/>
      </w:rPr>
    </w:pPr>
    <w:r w:rsidRPr="00251645">
      <w:rPr>
        <w:noProof/>
        <w:lang w:val="cs-CZ"/>
      </w:rPr>
      <w:drawing>
        <wp:anchor distT="152400" distB="152400" distL="152400" distR="152400" simplePos="0" relativeHeight="251658240" behindDoc="1" locked="0" layoutInCell="1" allowOverlap="1" wp14:anchorId="51AA250A" wp14:editId="4F3A163F">
          <wp:simplePos x="0" y="0"/>
          <wp:positionH relativeFrom="page">
            <wp:posOffset>5572760</wp:posOffset>
          </wp:positionH>
          <wp:positionV relativeFrom="page">
            <wp:posOffset>892175</wp:posOffset>
          </wp:positionV>
          <wp:extent cx="1051560" cy="603250"/>
          <wp:effectExtent l="0" t="0" r="0" b="0"/>
          <wp:wrapNone/>
          <wp:docPr id="1073741825" name="officeArt object" descr="Picture 2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icture 26" descr="Picture 26"/>
                  <pic:cNvPicPr>
                    <a:picLocks noChangeAspect="1"/>
                  </pic:cNvPicPr>
                </pic:nvPicPr>
                <pic:blipFill>
                  <a:blip r:embed="rId1"/>
                  <a:srcRect l="4736" t="10539" r="5063" b="12549"/>
                  <a:stretch>
                    <a:fillRect/>
                  </a:stretch>
                </pic:blipFill>
                <pic:spPr>
                  <a:xfrm>
                    <a:off x="0" y="0"/>
                    <a:ext cx="1051560" cy="60325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 w:rsidR="0069283E" w:rsidRPr="00251645">
      <w:rPr>
        <w:noProof/>
        <w:lang w:val="cs-CZ"/>
      </w:rPr>
      <w:t>Tisková</w:t>
    </w:r>
    <w:r w:rsidRPr="00251645">
      <w:rPr>
        <w:lang w:val="cs-CZ"/>
      </w:rPr>
      <w:t xml:space="preserve"> </w:t>
    </w:r>
    <w:r w:rsidR="0069283E" w:rsidRPr="00251645">
      <w:rPr>
        <w:lang w:val="cs-CZ"/>
      </w:rPr>
      <w:t>zpráva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2B4"/>
    <w:rsid w:val="00031201"/>
    <w:rsid w:val="0008686A"/>
    <w:rsid w:val="00102AE6"/>
    <w:rsid w:val="001210EA"/>
    <w:rsid w:val="00251645"/>
    <w:rsid w:val="002570B7"/>
    <w:rsid w:val="00284F28"/>
    <w:rsid w:val="002F7A23"/>
    <w:rsid w:val="003B16A3"/>
    <w:rsid w:val="004D3A0A"/>
    <w:rsid w:val="004D3C26"/>
    <w:rsid w:val="004D74B9"/>
    <w:rsid w:val="00562E09"/>
    <w:rsid w:val="005742B4"/>
    <w:rsid w:val="005B6D31"/>
    <w:rsid w:val="005D6168"/>
    <w:rsid w:val="00622D85"/>
    <w:rsid w:val="0069283E"/>
    <w:rsid w:val="006B2F83"/>
    <w:rsid w:val="00751DC7"/>
    <w:rsid w:val="00752E89"/>
    <w:rsid w:val="007B51A1"/>
    <w:rsid w:val="007D354B"/>
    <w:rsid w:val="007D73C9"/>
    <w:rsid w:val="0099764C"/>
    <w:rsid w:val="009E6453"/>
    <w:rsid w:val="00A070EE"/>
    <w:rsid w:val="00A110E3"/>
    <w:rsid w:val="00A412E3"/>
    <w:rsid w:val="00BB5AB9"/>
    <w:rsid w:val="00C930A3"/>
    <w:rsid w:val="00E23810"/>
    <w:rsid w:val="00E832BF"/>
    <w:rsid w:val="00F15EED"/>
    <w:rsid w:val="00FA528D"/>
    <w:rsid w:val="00FA6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AA24ED"/>
  <w15:docId w15:val="{59876774-5C3D-4785-A080-064EB5654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sk-SK" w:eastAsia="sk-S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5D6168"/>
    <w:pPr>
      <w:spacing w:line="276" w:lineRule="auto"/>
      <w:jc w:val="both"/>
    </w:pPr>
    <w:rPr>
      <w:rFonts w:ascii="Segoe UI" w:eastAsia="Segoe UI" w:hAnsi="Segoe UI" w:cs="Segoe UI"/>
      <w:color w:val="000000"/>
      <w:sz w:val="22"/>
      <w:szCs w:val="22"/>
      <w:u w:color="000000"/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sid w:val="005B6D31"/>
    <w:rPr>
      <w:color w:val="0000FF"/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lavikaapta">
    <w:name w:val="Hlavička a pät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ta">
    <w:name w:val="footer"/>
    <w:pPr>
      <w:tabs>
        <w:tab w:val="right" w:pos="7083"/>
        <w:tab w:val="right" w:pos="8640"/>
      </w:tabs>
      <w:spacing w:line="180" w:lineRule="atLeast"/>
      <w:jc w:val="right"/>
    </w:pPr>
    <w:rPr>
      <w:rFonts w:ascii="Segoe UI" w:eastAsia="Segoe UI" w:hAnsi="Segoe UI" w:cs="Segoe UI"/>
      <w:color w:val="000000"/>
      <w:sz w:val="12"/>
      <w:szCs w:val="12"/>
      <w:u w:color="000000"/>
    </w:rPr>
  </w:style>
  <w:style w:type="paragraph" w:styleId="Hlavika">
    <w:name w:val="header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ascii="Segoe UI" w:eastAsia="Segoe UI" w:hAnsi="Segoe UI" w:cs="Segoe UI"/>
      <w:b/>
      <w:bCs/>
      <w:color w:val="3E3C3C"/>
      <w:sz w:val="40"/>
      <w:szCs w:val="40"/>
      <w:u w:color="3E3C3C"/>
      <w:lang w:val="en-US"/>
    </w:rPr>
  </w:style>
  <w:style w:type="paragraph" w:customStyle="1" w:styleId="MonthDayYear">
    <w:name w:val="Month Day Year"/>
    <w:pPr>
      <w:spacing w:before="120" w:line="276" w:lineRule="auto"/>
      <w:jc w:val="right"/>
    </w:pPr>
    <w:rPr>
      <w:rFonts w:ascii="Segoe UI" w:eastAsia="Segoe UI" w:hAnsi="Segoe UI" w:cs="Segoe UI"/>
      <w:color w:val="000000"/>
      <w:sz w:val="22"/>
      <w:szCs w:val="22"/>
      <w:u w:color="000000"/>
      <w:lang w:val="en-US"/>
    </w:rPr>
  </w:style>
  <w:style w:type="paragraph" w:customStyle="1" w:styleId="Topline">
    <w:name w:val="Topline"/>
    <w:pPr>
      <w:spacing w:before="560" w:after="560" w:line="276" w:lineRule="auto"/>
      <w:jc w:val="both"/>
    </w:pPr>
    <w:rPr>
      <w:rFonts w:ascii="Segoe UI" w:eastAsia="Segoe UI" w:hAnsi="Segoe UI" w:cs="Segoe UI"/>
      <w:color w:val="000000"/>
      <w:sz w:val="22"/>
      <w:szCs w:val="22"/>
      <w:u w:color="000000"/>
      <w:lang w:val="en-US"/>
    </w:rPr>
  </w:style>
  <w:style w:type="character" w:customStyle="1" w:styleId="Headline">
    <w:name w:val="Headline"/>
    <w:rPr>
      <w:rFonts w:ascii="Segoe UI" w:eastAsia="Segoe UI" w:hAnsi="Segoe UI" w:cs="Segoe UI"/>
      <w:b/>
      <w:bCs/>
      <w:sz w:val="32"/>
      <w:szCs w:val="32"/>
      <w:lang w:val="en-US"/>
    </w:rPr>
  </w:style>
  <w:style w:type="character" w:customStyle="1" w:styleId="Odkaz">
    <w:name w:val="Odkaz"/>
    <w:rPr>
      <w:rFonts w:ascii="Segoe UI" w:eastAsia="Segoe UI" w:hAnsi="Segoe UI" w:cs="Segoe UI"/>
      <w:b w:val="0"/>
      <w:bCs w:val="0"/>
      <w:i w:val="0"/>
      <w:iCs w:val="0"/>
      <w:outline w:val="0"/>
      <w:color w:val="0000FF"/>
      <w:sz w:val="18"/>
      <w:szCs w:val="18"/>
      <w:u w:val="single" w:color="0000FF"/>
    </w:rPr>
  </w:style>
  <w:style w:type="character" w:customStyle="1" w:styleId="Hyperlink0">
    <w:name w:val="Hyperlink.0"/>
    <w:basedOn w:val="Odkaz"/>
    <w:rPr>
      <w:rFonts w:ascii="Segoe UI" w:eastAsia="Segoe UI" w:hAnsi="Segoe UI" w:cs="Segoe UI"/>
      <w:b w:val="0"/>
      <w:bCs w:val="0"/>
      <w:i w:val="0"/>
      <w:iCs w:val="0"/>
      <w:outline w:val="0"/>
      <w:color w:val="000000"/>
      <w:sz w:val="18"/>
      <w:szCs w:val="18"/>
      <w:u w:val="single" w:color="000000"/>
      <w:shd w:val="clear" w:color="auto" w:fill="FFFF00"/>
      <w:lang w:val="en-US"/>
    </w:rPr>
  </w:style>
  <w:style w:type="character" w:customStyle="1" w:styleId="AboutandContactHeadline">
    <w:name w:val="About and Contact Headline"/>
    <w:rPr>
      <w:rFonts w:ascii="Segoe UI" w:eastAsia="Segoe UI" w:hAnsi="Segoe UI" w:cs="Segoe UI"/>
      <w:b/>
      <w:bCs/>
      <w:sz w:val="18"/>
      <w:szCs w:val="18"/>
    </w:rPr>
  </w:style>
  <w:style w:type="character" w:customStyle="1" w:styleId="Hyperlink1">
    <w:name w:val="Hyperlink.1"/>
    <w:basedOn w:val="Odkaz"/>
    <w:rPr>
      <w:rFonts w:ascii="Segoe UI" w:eastAsia="Segoe UI" w:hAnsi="Segoe UI" w:cs="Segoe UI"/>
      <w:b/>
      <w:bCs/>
      <w:i w:val="0"/>
      <w:iCs w:val="0"/>
      <w:outline w:val="0"/>
      <w:color w:val="0000FF"/>
      <w:sz w:val="18"/>
      <w:szCs w:val="18"/>
      <w:u w:val="single" w:color="0000FF"/>
    </w:rPr>
  </w:style>
  <w:style w:type="character" w:styleId="Nevyrieenzmienka">
    <w:name w:val="Unresolved Mention"/>
    <w:basedOn w:val="Predvolenpsmoodseku"/>
    <w:uiPriority w:val="99"/>
    <w:semiHidden/>
    <w:unhideWhenUsed/>
    <w:rsid w:val="007D354B"/>
    <w:rPr>
      <w:color w:val="605E5C"/>
      <w:shd w:val="clear" w:color="auto" w:fill="E1DFDD"/>
    </w:rPr>
  </w:style>
  <w:style w:type="character" w:customStyle="1" w:styleId="AboutandContactBody">
    <w:name w:val="About and Contact Body"/>
    <w:basedOn w:val="Predvolenpsmoodseku"/>
    <w:rsid w:val="004D3C26"/>
    <w:rPr>
      <w:rFonts w:ascii="Segoe UI" w:hAnsi="Segoe UI"/>
      <w:sz w:val="18"/>
    </w:rPr>
  </w:style>
  <w:style w:type="paragraph" w:customStyle="1" w:styleId="Predvolen">
    <w:name w:val="Predvolené"/>
    <w:rsid w:val="0008686A"/>
    <w:pPr>
      <w:spacing w:before="160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He01Flietext">
    <w:name w:val="_He_01_Fließtext"/>
    <w:qFormat/>
    <w:rsid w:val="00FA686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/>
    </w:pPr>
    <w:rPr>
      <w:rFonts w:ascii="Segoe UI" w:eastAsiaTheme="minorHAnsi" w:hAnsi="Segoe UI" w:cstheme="minorBidi"/>
      <w:sz w:val="22"/>
      <w:szCs w:val="22"/>
      <w:bdr w:val="none" w:sz="0" w:space="0" w:color="auto"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nkel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zuzana.kanuchova@henkel.com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Henkel Theme">
  <a:themeElements>
    <a:clrScheme name="Henkel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000FF"/>
      </a:hlink>
      <a:folHlink>
        <a:srgbClr val="FF00FF"/>
      </a:folHlink>
    </a:clrScheme>
    <a:fontScheme name="Henkel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Henkel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Segoe UI"/>
            <a:ea typeface="Segoe UI"/>
            <a:cs typeface="Segoe UI"/>
            <a:sym typeface="Segoe U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Segoe UI"/>
            <a:ea typeface="Segoe UI"/>
            <a:cs typeface="Segoe UI"/>
            <a:sym typeface="Segoe U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A283F239FC9A47B3A603CC7E078231" ma:contentTypeVersion="16" ma:contentTypeDescription="Umožňuje vytvoriť nový dokument." ma:contentTypeScope="" ma:versionID="1e3e6ccbd874f2950124fbf72e1b9f72">
  <xsd:schema xmlns:xsd="http://www.w3.org/2001/XMLSchema" xmlns:xs="http://www.w3.org/2001/XMLSchema" xmlns:p="http://schemas.microsoft.com/office/2006/metadata/properties" xmlns:ns2="abed4518-919d-4839-afd6-808ec5b6ae4e" xmlns:ns3="29b6b4b2-766e-4d60-98b3-6175b639c8a8" targetNamespace="http://schemas.microsoft.com/office/2006/metadata/properties" ma:root="true" ma:fieldsID="0650d5b238a675e405af77a6ffcd6c95" ns2:_="" ns3:_="">
    <xsd:import namespace="abed4518-919d-4839-afd6-808ec5b6ae4e"/>
    <xsd:import namespace="29b6b4b2-766e-4d60-98b3-6175b639c8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d4518-919d-4839-afd6-808ec5b6a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Značky obrázka" ma:readOnly="false" ma:fieldId="{5cf76f15-5ced-4ddc-b409-7134ff3c332f}" ma:taxonomyMulti="true" ma:sspId="19ef1d94-6b49-4afa-a106-32bcc93ffe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b6b4b2-766e-4d60-98b3-6175b639c8a8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64d0f1b-8a8a-4021-a461-b397733c585f}" ma:internalName="TaxCatchAll" ma:showField="CatchAllData" ma:web="29b6b4b2-766e-4d60-98b3-6175b639c8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B6FA3D4-9938-4AF1-AA21-9EF60C5EFF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ed4518-919d-4839-afd6-808ec5b6ae4e"/>
    <ds:schemaRef ds:uri="29b6b4b2-766e-4d60-98b3-6175b639c8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8BA31A-7DFE-4B4E-BF01-01763EBB4E2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612</Words>
  <Characters>3489</Characters>
  <Application>Microsoft Office Word</Application>
  <DocSecurity>0</DocSecurity>
  <Lines>29</Lines>
  <Paragraphs>8</Paragraphs>
  <ScaleCrop>false</ScaleCrop>
  <Company/>
  <LinksUpToDate>false</LinksUpToDate>
  <CharactersWithSpaces>4093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Martina Poliačková (seesame.com)</cp:lastModifiedBy>
  <cp:revision>33</cp:revision>
  <dcterms:created xsi:type="dcterms:W3CDTF">2023-01-10T10:51:00Z</dcterms:created>
  <dcterms:modified xsi:type="dcterms:W3CDTF">2023-04-27T09:10:00Z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f0b2fc4c9d2571d002486f468b30aa8812c2310f0105fd3ac059d43b3f5246c6</vt:lpwstr>
  </property>
</Properties>
</file>