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71F" w14:textId="77777777" w:rsidR="00F806CF" w:rsidRPr="00100EC6" w:rsidRDefault="00C04129">
      <w:pPr>
        <w:spacing w:line="259" w:lineRule="auto"/>
        <w:ind w:left="0" w:right="5" w:firstLine="0"/>
        <w:jc w:val="right"/>
        <w:rPr>
          <w:lang w:val="pl-PL"/>
        </w:rPr>
      </w:pPr>
      <w:r w:rsidRPr="00100EC6">
        <w:rPr>
          <w:b/>
          <w:bCs/>
          <w:color w:val="3E3C3C"/>
          <w:sz w:val="40"/>
          <w:lang w:val="pl-PL"/>
        </w:rPr>
        <w:t xml:space="preserve">Informacja prasowa </w:t>
      </w:r>
    </w:p>
    <w:p w14:paraId="56BC59E9" w14:textId="77777777" w:rsidR="00F806CF" w:rsidRPr="00100EC6" w:rsidRDefault="00C04129">
      <w:pPr>
        <w:spacing w:after="158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12D21DFB" w14:textId="77777777" w:rsidR="00F806CF" w:rsidRPr="00100EC6" w:rsidRDefault="00C04129">
      <w:pPr>
        <w:tabs>
          <w:tab w:val="right" w:pos="9090"/>
        </w:tabs>
        <w:spacing w:after="565"/>
        <w:ind w:left="-15" w:right="-1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  <w:r w:rsidRPr="00100EC6">
        <w:rPr>
          <w:lang w:val="pl-PL"/>
        </w:rPr>
        <w:tab/>
        <w:t xml:space="preserve">10 sierpnia 2023 r. </w:t>
      </w:r>
    </w:p>
    <w:p w14:paraId="21D4F3F6" w14:textId="77777777" w:rsidR="00F806CF" w:rsidRPr="00100EC6" w:rsidRDefault="00C04129">
      <w:pPr>
        <w:spacing w:after="472"/>
        <w:ind w:left="-5" w:right="-10"/>
        <w:rPr>
          <w:lang w:val="pl-PL"/>
        </w:rPr>
      </w:pPr>
      <w:r w:rsidRPr="00100EC6">
        <w:rPr>
          <w:lang w:val="pl-PL"/>
        </w:rPr>
        <w:t>Utrzymanie tempa wzrostu przy znacznej poprawie zysku w pierwszej połowie roku</w:t>
      </w:r>
    </w:p>
    <w:p w14:paraId="019FECAD" w14:textId="77777777" w:rsidR="00F806CF" w:rsidRPr="00100EC6" w:rsidRDefault="00C04129">
      <w:pPr>
        <w:pStyle w:val="Nagwek1"/>
        <w:rPr>
          <w:lang w:val="pl-PL"/>
        </w:rPr>
      </w:pPr>
      <w:r w:rsidRPr="00100EC6">
        <w:rPr>
          <w:bCs/>
          <w:lang w:val="pl-PL"/>
        </w:rPr>
        <w:t xml:space="preserve">Henkel podnosi prognozy przychodów i zysku na 2023 r. </w:t>
      </w:r>
    </w:p>
    <w:p w14:paraId="6F47672F" w14:textId="77777777" w:rsidR="00F806CF" w:rsidRPr="00100EC6" w:rsidRDefault="00C04129">
      <w:pPr>
        <w:spacing w:after="45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5AD456CD" w14:textId="3AB8196C" w:rsidR="00F806CF" w:rsidRPr="00100EC6" w:rsidRDefault="00C04129" w:rsidP="00B533CA">
      <w:pPr>
        <w:numPr>
          <w:ilvl w:val="0"/>
          <w:numId w:val="1"/>
        </w:numPr>
        <w:spacing w:after="11" w:line="267" w:lineRule="auto"/>
        <w:ind w:hanging="358"/>
        <w:jc w:val="left"/>
        <w:rPr>
          <w:lang w:val="pl-PL"/>
        </w:rPr>
      </w:pPr>
      <w:r w:rsidRPr="00100EC6">
        <w:rPr>
          <w:b/>
          <w:bCs/>
          <w:lang w:val="pl-PL"/>
        </w:rPr>
        <w:t>Przychod</w:t>
      </w:r>
      <w:r w:rsidR="00232E8D">
        <w:rPr>
          <w:b/>
          <w:bCs/>
          <w:lang w:val="pl-PL"/>
        </w:rPr>
        <w:t>y</w:t>
      </w:r>
      <w:r w:rsidRPr="00100EC6">
        <w:rPr>
          <w:b/>
          <w:bCs/>
          <w:lang w:val="pl-PL"/>
        </w:rPr>
        <w:t xml:space="preserve"> ze sprzedaży Grupy wzrosły w ujęciu organicznym o 4,9% w </w:t>
      </w:r>
      <w:r w:rsidRPr="00100EC6">
        <w:rPr>
          <w:b/>
          <w:bCs/>
          <w:lang w:val="pl-PL"/>
        </w:rPr>
        <w:t>pierwszej połowie roku, do poziomu ok. 10,9 mld euro (o 0,1% w ujęciu nominalnym) – bardzo duży wzrost w obu sektorach</w:t>
      </w:r>
      <w:r w:rsidR="00B533CA" w:rsidRPr="00100EC6">
        <w:rPr>
          <w:b/>
          <w:bCs/>
          <w:lang w:val="pl-PL"/>
        </w:rPr>
        <w:t xml:space="preserve"> </w:t>
      </w:r>
      <w:r w:rsidRPr="00100EC6">
        <w:rPr>
          <w:b/>
          <w:bCs/>
          <w:lang w:val="pl-PL"/>
        </w:rPr>
        <w:t xml:space="preserve">biznesowych </w:t>
      </w:r>
    </w:p>
    <w:p w14:paraId="1F12DA94" w14:textId="77777777" w:rsidR="00F806CF" w:rsidRPr="00100EC6" w:rsidRDefault="00C04129">
      <w:pPr>
        <w:numPr>
          <w:ilvl w:val="0"/>
          <w:numId w:val="1"/>
        </w:numPr>
        <w:spacing w:after="114" w:line="267" w:lineRule="auto"/>
        <w:ind w:hanging="358"/>
        <w:jc w:val="left"/>
        <w:rPr>
          <w:lang w:val="pl-PL"/>
        </w:rPr>
      </w:pPr>
      <w:r w:rsidRPr="00100EC6">
        <w:rPr>
          <w:b/>
          <w:bCs/>
          <w:lang w:val="pl-PL"/>
        </w:rPr>
        <w:t xml:space="preserve">Zysk operacyjny (EBIT)* wzrósł znacząco do 1 254 mln euro (+7,6%) </w:t>
      </w:r>
    </w:p>
    <w:p w14:paraId="50F3DBDC" w14:textId="77777777" w:rsidR="00232E8D" w:rsidRDefault="00C04129" w:rsidP="00232E8D">
      <w:pPr>
        <w:numPr>
          <w:ilvl w:val="0"/>
          <w:numId w:val="1"/>
        </w:numPr>
        <w:spacing w:after="114" w:line="267" w:lineRule="auto"/>
        <w:ind w:hanging="358"/>
        <w:jc w:val="left"/>
        <w:rPr>
          <w:lang w:val="pl-PL"/>
        </w:rPr>
      </w:pPr>
      <w:r w:rsidRPr="00100EC6">
        <w:rPr>
          <w:b/>
          <w:bCs/>
          <w:lang w:val="pl-PL"/>
        </w:rPr>
        <w:t xml:space="preserve">Marża EBIT* wzrosła aż do 11,5% (+80 punktów bazowych) </w:t>
      </w:r>
    </w:p>
    <w:p w14:paraId="6DF6893B" w14:textId="77777777" w:rsidR="00232E8D" w:rsidRPr="00232E8D" w:rsidRDefault="00C04129" w:rsidP="00232E8D">
      <w:pPr>
        <w:numPr>
          <w:ilvl w:val="0"/>
          <w:numId w:val="1"/>
        </w:numPr>
        <w:spacing w:after="114" w:line="267" w:lineRule="auto"/>
        <w:ind w:hanging="358"/>
        <w:jc w:val="left"/>
        <w:rPr>
          <w:lang w:val="pl-PL"/>
        </w:rPr>
      </w:pPr>
      <w:r w:rsidRPr="00100EC6"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0" wp14:anchorId="04C591A1" wp14:editId="2A7089E2">
            <wp:simplePos x="0" y="0"/>
            <wp:positionH relativeFrom="page">
              <wp:posOffset>5932932</wp:posOffset>
            </wp:positionH>
            <wp:positionV relativeFrom="page">
              <wp:posOffset>569214</wp:posOffset>
            </wp:positionV>
            <wp:extent cx="1052462" cy="603504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2462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2E8D">
        <w:rPr>
          <w:b/>
          <w:bCs/>
          <w:lang w:val="pl-PL"/>
        </w:rPr>
        <w:t xml:space="preserve">Zysk na akcję uprzywilejowaną (EPS)* wzrósł do 2,13 euro, co oznacza dwucyfrowy wzrost o </w:t>
      </w:r>
      <w:r w:rsidRPr="00232E8D">
        <w:rPr>
          <w:b/>
          <w:bCs/>
          <w:lang w:val="pl-PL"/>
        </w:rPr>
        <w:t xml:space="preserve">14,4% przy stałych kursach wymiany </w:t>
      </w:r>
    </w:p>
    <w:p w14:paraId="16DEC2BB" w14:textId="77777777" w:rsidR="00232E8D" w:rsidRPr="00232E8D" w:rsidRDefault="00C04129" w:rsidP="00232E8D">
      <w:pPr>
        <w:numPr>
          <w:ilvl w:val="0"/>
          <w:numId w:val="1"/>
        </w:numPr>
        <w:spacing w:after="114" w:line="267" w:lineRule="auto"/>
        <w:ind w:hanging="358"/>
        <w:jc w:val="left"/>
        <w:rPr>
          <w:lang w:val="pl-PL"/>
        </w:rPr>
      </w:pPr>
      <w:r w:rsidRPr="00232E8D">
        <w:rPr>
          <w:b/>
          <w:bCs/>
          <w:lang w:val="pl-PL"/>
        </w:rPr>
        <w:t xml:space="preserve">Konsekwentna realizacja strategicznego programu wzrostu </w:t>
      </w:r>
    </w:p>
    <w:p w14:paraId="1EC3D6B6" w14:textId="1A8FB9FC" w:rsidR="00F806CF" w:rsidRPr="00232E8D" w:rsidRDefault="00C04129" w:rsidP="00232E8D">
      <w:pPr>
        <w:numPr>
          <w:ilvl w:val="0"/>
          <w:numId w:val="1"/>
        </w:numPr>
        <w:spacing w:after="114" w:line="267" w:lineRule="auto"/>
        <w:ind w:hanging="358"/>
        <w:jc w:val="left"/>
        <w:rPr>
          <w:lang w:val="pl-PL"/>
        </w:rPr>
      </w:pPr>
      <w:r w:rsidRPr="00232E8D">
        <w:rPr>
          <w:b/>
          <w:bCs/>
          <w:lang w:val="pl-PL"/>
        </w:rPr>
        <w:t>Podniesienie prognozy przychodów i zysku na rok obrotowy 2023:</w:t>
      </w:r>
      <w:r w:rsidR="00570DAC" w:rsidRPr="00232E8D">
        <w:rPr>
          <w:b/>
          <w:bCs/>
          <w:lang w:val="pl-PL"/>
        </w:rPr>
        <w:t xml:space="preserve"> </w:t>
      </w:r>
    </w:p>
    <w:p w14:paraId="5A10B8F1" w14:textId="77777777" w:rsidR="00F806CF" w:rsidRPr="00100EC6" w:rsidRDefault="00C04129">
      <w:pPr>
        <w:numPr>
          <w:ilvl w:val="2"/>
          <w:numId w:val="2"/>
        </w:numPr>
        <w:spacing w:after="114" w:line="267" w:lineRule="auto"/>
        <w:ind w:hanging="360"/>
        <w:jc w:val="left"/>
        <w:rPr>
          <w:lang w:val="pl-PL"/>
        </w:rPr>
      </w:pPr>
      <w:r w:rsidRPr="00100EC6">
        <w:rPr>
          <w:b/>
          <w:bCs/>
          <w:lang w:val="pl-PL"/>
        </w:rPr>
        <w:t xml:space="preserve">Wzrost przychodów w ujęciu organicznym rzędu 2,5%–4,5% </w:t>
      </w:r>
    </w:p>
    <w:p w14:paraId="4E93D190" w14:textId="77777777" w:rsidR="00F806CF" w:rsidRPr="00100EC6" w:rsidRDefault="00C04129">
      <w:pPr>
        <w:numPr>
          <w:ilvl w:val="2"/>
          <w:numId w:val="2"/>
        </w:numPr>
        <w:spacing w:after="114" w:line="267" w:lineRule="auto"/>
        <w:ind w:hanging="360"/>
        <w:jc w:val="left"/>
        <w:rPr>
          <w:lang w:val="pl-PL"/>
        </w:rPr>
      </w:pPr>
      <w:r w:rsidRPr="00100EC6">
        <w:rPr>
          <w:b/>
          <w:bCs/>
          <w:lang w:val="pl-PL"/>
        </w:rPr>
        <w:t xml:space="preserve">Wzrost rentowności sprzedaży (marży EBIT)* rzędu 11,0%–12,5% </w:t>
      </w:r>
    </w:p>
    <w:p w14:paraId="17DB5D41" w14:textId="2B7B6075" w:rsidR="00F806CF" w:rsidRPr="00100EC6" w:rsidRDefault="00C04129">
      <w:pPr>
        <w:numPr>
          <w:ilvl w:val="2"/>
          <w:numId w:val="2"/>
        </w:numPr>
        <w:spacing w:after="87" w:line="267" w:lineRule="auto"/>
        <w:ind w:hanging="360"/>
        <w:jc w:val="left"/>
        <w:rPr>
          <w:lang w:val="pl-PL"/>
        </w:rPr>
      </w:pPr>
      <w:r w:rsidRPr="00100EC6">
        <w:rPr>
          <w:b/>
          <w:bCs/>
          <w:lang w:val="pl-PL"/>
        </w:rPr>
        <w:t xml:space="preserve">Zysk na akcję uprzywilejowaną (EPS)*: wzrost w przedziale od </w:t>
      </w:r>
      <w:r w:rsidRPr="00100EC6">
        <w:rPr>
          <w:b/>
          <w:bCs/>
          <w:lang w:val="pl-PL"/>
        </w:rPr>
        <w:t>5% do +</w:t>
      </w:r>
      <w:r w:rsidRPr="00100EC6">
        <w:rPr>
          <w:b/>
          <w:bCs/>
          <w:lang w:val="pl-PL"/>
        </w:rPr>
        <w:t xml:space="preserve">0% przy stałych kursach wymiany </w:t>
      </w:r>
    </w:p>
    <w:p w14:paraId="55953538" w14:textId="77777777" w:rsidR="00F806CF" w:rsidRPr="00100EC6" w:rsidRDefault="00C04129">
      <w:pPr>
        <w:spacing w:after="19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58277E6F" w14:textId="4204F4FD" w:rsidR="00F806CF" w:rsidRPr="00100EC6" w:rsidRDefault="00C04129">
      <w:pPr>
        <w:ind w:left="-5" w:right="-10"/>
        <w:rPr>
          <w:lang w:val="pl-PL"/>
        </w:rPr>
      </w:pPr>
      <w:proofErr w:type="spellStart"/>
      <w:r w:rsidRPr="00100EC6">
        <w:rPr>
          <w:lang w:val="pl-PL"/>
        </w:rPr>
        <w:t>Düsseldorf</w:t>
      </w:r>
      <w:proofErr w:type="spellEnd"/>
      <w:r w:rsidRPr="00100EC6">
        <w:rPr>
          <w:lang w:val="pl-PL"/>
        </w:rPr>
        <w:t xml:space="preserve"> </w:t>
      </w:r>
      <w:r w:rsidR="00C27D59">
        <w:rPr>
          <w:lang w:val="pl-PL"/>
        </w:rPr>
        <w:t xml:space="preserve">– </w:t>
      </w:r>
      <w:r w:rsidRPr="00100EC6">
        <w:rPr>
          <w:lang w:val="pl-PL"/>
        </w:rPr>
        <w:t>Henkel notuje znaczą</w:t>
      </w:r>
      <w:r w:rsidRPr="00100EC6">
        <w:rPr>
          <w:lang w:val="pl-PL"/>
        </w:rPr>
        <w:t xml:space="preserve">cy wzrost przychodów ze sprzedaży i zysku w pierwszej połowie 2023 r. w niezmiennie trudnym otoczeniu gospodarczym. </w:t>
      </w:r>
    </w:p>
    <w:p w14:paraId="7E2A4109" w14:textId="77777777" w:rsidR="00F806CF" w:rsidRPr="00100EC6" w:rsidRDefault="00C04129">
      <w:pPr>
        <w:spacing w:after="20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51114D91" w14:textId="5EA93AEA" w:rsidR="00F806CF" w:rsidRPr="00100EC6" w:rsidRDefault="00C27D59" w:rsidP="00E431C8">
      <w:pPr>
        <w:ind w:left="-5" w:right="-10"/>
        <w:rPr>
          <w:lang w:val="pl-PL"/>
        </w:rPr>
      </w:pPr>
      <w:r>
        <w:rPr>
          <w:lang w:val="pl-PL"/>
        </w:rPr>
        <w:t>–</w:t>
      </w:r>
      <w:r w:rsidRPr="00100EC6">
        <w:rPr>
          <w:lang w:val="pl-PL"/>
        </w:rPr>
        <w:t xml:space="preserve"> Osiągnęliśmy bardzo duży wzrost w obu sektorach biznesowych. Jednocześnie udało nam się znacząco poprawić poziom zysku pomimo utrzymujących się niekorzystnych warunków w postaci wysokich cen materiałów i logistyki. Dzięki dobrym wynikom odnotowanym w pierwszej połowie roku </w:t>
      </w:r>
      <w:r w:rsidR="00275446" w:rsidRPr="00100EC6">
        <w:rPr>
          <w:lang w:val="pl-PL"/>
        </w:rPr>
        <w:t>zyskaliśmy</w:t>
      </w:r>
      <w:r w:rsidRPr="00100EC6">
        <w:rPr>
          <w:lang w:val="pl-PL"/>
        </w:rPr>
        <w:t xml:space="preserve"> pewność odnośnie kształtowania się wyników w drugiej połowie roku i znacząco podnieśliśmy </w:t>
      </w:r>
      <w:r w:rsidRPr="00100EC6">
        <w:rPr>
          <w:b/>
          <w:bCs/>
          <w:lang w:val="pl-PL"/>
        </w:rPr>
        <w:t>całoroczną prognozę</w:t>
      </w:r>
      <w:r w:rsidRPr="00100EC6">
        <w:rPr>
          <w:lang w:val="pl-PL"/>
        </w:rPr>
        <w:t xml:space="preserve"> poziomu przychodów ze sprzedaży i zysku </w:t>
      </w:r>
      <w:r>
        <w:rPr>
          <w:lang w:val="pl-PL"/>
        </w:rPr>
        <w:t>–</w:t>
      </w:r>
      <w:r w:rsidRPr="00100EC6">
        <w:rPr>
          <w:lang w:val="pl-PL"/>
        </w:rPr>
        <w:t xml:space="preserve"> powiedział </w:t>
      </w:r>
      <w:proofErr w:type="spellStart"/>
      <w:r w:rsidRPr="00100EC6">
        <w:rPr>
          <w:lang w:val="pl-PL"/>
        </w:rPr>
        <w:t>Carsten</w:t>
      </w:r>
      <w:proofErr w:type="spellEnd"/>
      <w:r w:rsidRPr="00100EC6">
        <w:rPr>
          <w:lang w:val="pl-PL"/>
        </w:rPr>
        <w:t xml:space="preserve"> </w:t>
      </w:r>
      <w:proofErr w:type="spellStart"/>
      <w:r w:rsidRPr="00100EC6">
        <w:rPr>
          <w:lang w:val="pl-PL"/>
        </w:rPr>
        <w:t>Knobel</w:t>
      </w:r>
      <w:proofErr w:type="spellEnd"/>
      <w:r w:rsidRPr="00100EC6">
        <w:rPr>
          <w:lang w:val="pl-PL"/>
        </w:rPr>
        <w:t xml:space="preserve">, prezes </w:t>
      </w:r>
      <w:r w:rsidR="00CC6938">
        <w:rPr>
          <w:lang w:val="pl-PL"/>
        </w:rPr>
        <w:t xml:space="preserve">zarządu </w:t>
      </w:r>
      <w:r w:rsidRPr="00100EC6">
        <w:rPr>
          <w:lang w:val="pl-PL"/>
        </w:rPr>
        <w:t>Henkel.</w:t>
      </w:r>
      <w:r w:rsidR="00570DAC" w:rsidRPr="00100EC6">
        <w:rPr>
          <w:lang w:val="pl-PL"/>
        </w:rPr>
        <w:t xml:space="preserve"> </w:t>
      </w:r>
    </w:p>
    <w:p w14:paraId="1FD98340" w14:textId="77777777" w:rsidR="00F806CF" w:rsidRPr="00100EC6" w:rsidRDefault="00C04129">
      <w:pPr>
        <w:spacing w:after="303" w:line="259" w:lineRule="auto"/>
        <w:ind w:left="149" w:right="-136" w:firstLine="0"/>
        <w:jc w:val="left"/>
        <w:rPr>
          <w:lang w:val="pl-PL"/>
        </w:rPr>
      </w:pPr>
      <w:r w:rsidRPr="00100EC6">
        <w:rPr>
          <w:noProof/>
          <w:lang w:val="pl-PL"/>
        </w:rPr>
        <w:drawing>
          <wp:inline distT="0" distB="0" distL="0" distR="0" wp14:anchorId="3A666603" wp14:editId="056462CD">
            <wp:extent cx="5763768" cy="390144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D0457" w14:textId="77777777" w:rsidR="00F806CF" w:rsidRPr="00100EC6" w:rsidRDefault="00C04129">
      <w:pPr>
        <w:spacing w:line="259" w:lineRule="auto"/>
        <w:ind w:left="0" w:firstLine="0"/>
        <w:jc w:val="left"/>
        <w:rPr>
          <w:lang w:val="pl-PL"/>
        </w:rPr>
      </w:pPr>
      <w:r w:rsidRPr="00100EC6">
        <w:rPr>
          <w:sz w:val="16"/>
          <w:lang w:val="pl-PL"/>
        </w:rPr>
        <w:t>* Po uwzględnieniu kosztów i przychodów o chara</w:t>
      </w:r>
      <w:r w:rsidRPr="00100EC6">
        <w:rPr>
          <w:sz w:val="16"/>
          <w:lang w:val="pl-PL"/>
        </w:rPr>
        <w:t xml:space="preserve">kterze jednorazowym oraz kosztów restrukturyzacji. </w:t>
      </w:r>
    </w:p>
    <w:p w14:paraId="1AEC727F" w14:textId="3D13A196" w:rsidR="00F806CF" w:rsidRPr="00100EC6" w:rsidRDefault="00C27D59">
      <w:pPr>
        <w:ind w:left="-5" w:right="-10"/>
        <w:rPr>
          <w:lang w:val="pl-PL"/>
        </w:rPr>
      </w:pPr>
      <w:r>
        <w:rPr>
          <w:lang w:val="pl-PL"/>
        </w:rPr>
        <w:lastRenderedPageBreak/>
        <w:t>–</w:t>
      </w:r>
      <w:r w:rsidRPr="00100EC6">
        <w:rPr>
          <w:lang w:val="pl-PL"/>
        </w:rPr>
        <w:t xml:space="preserve"> W pierwszej połowie roku odnotowaliśmy dalszy istotny postęp w realizacji naszego </w:t>
      </w:r>
      <w:r w:rsidRPr="00100EC6">
        <w:rPr>
          <w:b/>
          <w:bCs/>
          <w:lang w:val="pl-PL"/>
        </w:rPr>
        <w:t>strategicznego planu rozwoju</w:t>
      </w:r>
      <w:r w:rsidRPr="00100EC6">
        <w:rPr>
          <w:lang w:val="pl-PL"/>
        </w:rPr>
        <w:t xml:space="preserve">. W sektorze biznesowym Consumer </w:t>
      </w:r>
      <w:proofErr w:type="spellStart"/>
      <w:r w:rsidRPr="00100EC6">
        <w:rPr>
          <w:lang w:val="pl-PL"/>
        </w:rPr>
        <w:t>Brands</w:t>
      </w:r>
      <w:proofErr w:type="spellEnd"/>
      <w:r w:rsidRPr="00100EC6">
        <w:rPr>
          <w:lang w:val="pl-PL"/>
        </w:rPr>
        <w:t xml:space="preserve"> (marki konsumenckie) integracja przebiega szybciej niż planowano. Jednocześnie konsekwentnie rozwijamy nasz</w:t>
      </w:r>
      <w:r w:rsidR="009C0BCD">
        <w:rPr>
          <w:lang w:val="pl-PL"/>
        </w:rPr>
        <w:t>ą</w:t>
      </w:r>
      <w:r w:rsidRPr="00100EC6">
        <w:rPr>
          <w:lang w:val="pl-PL"/>
        </w:rPr>
        <w:t xml:space="preserve"> ofertę w kierunku wysokomarżowych i szybko rozwijających się marek i produktów. Podejście to znajduje również odzwierciedlenie w zyskach tego sektora biznesowego. W sektorze biznesowym </w:t>
      </w:r>
      <w:proofErr w:type="spellStart"/>
      <w:r w:rsidRPr="00100EC6">
        <w:rPr>
          <w:lang w:val="pl-PL"/>
        </w:rPr>
        <w:t>Adhesive</w:t>
      </w:r>
      <w:proofErr w:type="spellEnd"/>
      <w:r w:rsidRPr="00100EC6">
        <w:rPr>
          <w:lang w:val="pl-PL"/>
        </w:rPr>
        <w:t xml:space="preserve"> Technologies (kleje budowlane i konsumenckie oraz kleje i technologie dla przemysłu) jeszcze ściślej dostosowaliśmy strukturę organizacyjną do naszych klientów, aby umacniać naszą wiodącą pozycję na świecie i jeszcze bardziej zwiększać dynamikę wzrostu. Ponadto realizujemy ważne inicjatywy w obszarach zrównoważonego rozwoju i cyfryzacji, aby jeszcze bardziej wzmocnić naszą pozycję konkurencyjną </w:t>
      </w:r>
      <w:r w:rsidR="009C0BCD">
        <w:rPr>
          <w:lang w:val="pl-PL"/>
        </w:rPr>
        <w:t>–</w:t>
      </w:r>
      <w:r w:rsidRPr="00100EC6">
        <w:rPr>
          <w:lang w:val="pl-PL"/>
        </w:rPr>
        <w:t xml:space="preserve"> wyjaśnił</w:t>
      </w:r>
      <w:r w:rsidR="009C0BCD">
        <w:rPr>
          <w:lang w:val="pl-PL"/>
        </w:rPr>
        <w:t xml:space="preserve"> </w:t>
      </w:r>
      <w:proofErr w:type="spellStart"/>
      <w:r w:rsidRPr="00100EC6">
        <w:rPr>
          <w:lang w:val="pl-PL"/>
        </w:rPr>
        <w:t>Carsten</w:t>
      </w:r>
      <w:proofErr w:type="spellEnd"/>
      <w:r w:rsidRPr="00100EC6">
        <w:rPr>
          <w:lang w:val="pl-PL"/>
        </w:rPr>
        <w:t xml:space="preserve"> </w:t>
      </w:r>
      <w:proofErr w:type="spellStart"/>
      <w:r w:rsidRPr="00100EC6">
        <w:rPr>
          <w:lang w:val="pl-PL"/>
        </w:rPr>
        <w:t>Knobel</w:t>
      </w:r>
      <w:proofErr w:type="spellEnd"/>
      <w:r w:rsidRPr="00100EC6">
        <w:rPr>
          <w:lang w:val="pl-PL"/>
        </w:rPr>
        <w:t xml:space="preserve">. </w:t>
      </w:r>
    </w:p>
    <w:p w14:paraId="7BF13365" w14:textId="77777777" w:rsidR="00F806CF" w:rsidRPr="00100EC6" w:rsidRDefault="00C04129">
      <w:pPr>
        <w:spacing w:after="19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6F4DB1E9" w14:textId="77777777" w:rsidR="00F806CF" w:rsidRPr="00100EC6" w:rsidRDefault="00C04129">
      <w:pPr>
        <w:spacing w:after="114" w:line="267" w:lineRule="auto"/>
        <w:ind w:left="-5"/>
        <w:jc w:val="left"/>
        <w:rPr>
          <w:lang w:val="pl-PL"/>
        </w:rPr>
      </w:pPr>
      <w:r w:rsidRPr="00100EC6">
        <w:rPr>
          <w:b/>
          <w:bCs/>
          <w:lang w:val="pl-PL"/>
        </w:rPr>
        <w:t xml:space="preserve">Podniesienie prognozy wyników na 2023 r. </w:t>
      </w:r>
    </w:p>
    <w:p w14:paraId="12AF1A2E" w14:textId="3433015F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>Na poziomie Grupy Henkel spodziewa</w:t>
      </w:r>
      <w:r w:rsidR="009C0BCD">
        <w:rPr>
          <w:lang w:val="pl-PL"/>
        </w:rPr>
        <w:t>ny jest</w:t>
      </w:r>
      <w:r w:rsidRPr="00100EC6">
        <w:rPr>
          <w:lang w:val="pl-PL"/>
        </w:rPr>
        <w:t xml:space="preserve"> </w:t>
      </w:r>
      <w:r w:rsidRPr="00100EC6">
        <w:rPr>
          <w:b/>
          <w:bCs/>
          <w:lang w:val="pl-PL"/>
        </w:rPr>
        <w:t>wzrost</w:t>
      </w:r>
      <w:r w:rsidRPr="00100EC6">
        <w:rPr>
          <w:b/>
          <w:bCs/>
          <w:lang w:val="pl-PL"/>
        </w:rPr>
        <w:t xml:space="preserve"> przychodów ze sprzedaży w ujęciu organicznym</w:t>
      </w:r>
      <w:r w:rsidRPr="00100EC6">
        <w:rPr>
          <w:lang w:val="pl-PL"/>
        </w:rPr>
        <w:t xml:space="preserve"> o 2,5%–4,5% w roku obrotowym 2023 (wcześniejsza prognoza: 1,0%-3,0%). W wypadku sektora biznesowego </w:t>
      </w:r>
      <w:proofErr w:type="spellStart"/>
      <w:r w:rsidRPr="00100EC6">
        <w:rPr>
          <w:lang w:val="pl-PL"/>
        </w:rPr>
        <w:t>Adhesive</w:t>
      </w:r>
      <w:proofErr w:type="spellEnd"/>
      <w:r w:rsidRPr="00100EC6">
        <w:rPr>
          <w:lang w:val="pl-PL"/>
        </w:rPr>
        <w:t xml:space="preserve"> Technologies przewiduje się, że wzrost wyniesie od 2,0%</w:t>
      </w:r>
      <w:r w:rsidRPr="00100EC6">
        <w:rPr>
          <w:lang w:val="pl-PL"/>
        </w:rPr>
        <w:t xml:space="preserve"> do 4,0% (wcześniejsza prognoza: od 1,0% do 3,0%), a dla sektora biznesowego Consumer </w:t>
      </w:r>
      <w:proofErr w:type="spellStart"/>
      <w:r w:rsidRPr="00100EC6">
        <w:rPr>
          <w:lang w:val="pl-PL"/>
        </w:rPr>
        <w:t>Brands</w:t>
      </w:r>
      <w:proofErr w:type="spellEnd"/>
      <w:r w:rsidRPr="00100EC6">
        <w:rPr>
          <w:lang w:val="pl-PL"/>
        </w:rPr>
        <w:t xml:space="preserve"> (marki konsumenckie) – od 3,0% do 5,0% (wcześniejsza prognoza: od 1,0% do 3,0%). Według zaktualizowanej prognozy</w:t>
      </w:r>
      <w:r w:rsidRPr="00100EC6">
        <w:rPr>
          <w:b/>
          <w:bCs/>
          <w:lang w:val="pl-PL"/>
        </w:rPr>
        <w:t xml:space="preserve"> skorygowana rentowność sprzedaży (marża EBIT) </w:t>
      </w:r>
      <w:r w:rsidRPr="00100EC6">
        <w:rPr>
          <w:lang w:val="pl-PL"/>
        </w:rPr>
        <w:t>Grup</w:t>
      </w:r>
      <w:r w:rsidRPr="00100EC6">
        <w:rPr>
          <w:lang w:val="pl-PL"/>
        </w:rPr>
        <w:t xml:space="preserve">y Henkel ukształtuje się w przedziale od 11,0% do 12,5% (wcześniejsza prognoza: od 10,0% do 12,0%). Dla sektora biznesowego </w:t>
      </w:r>
      <w:proofErr w:type="spellStart"/>
      <w:r w:rsidRPr="00100EC6">
        <w:rPr>
          <w:lang w:val="pl-PL"/>
        </w:rPr>
        <w:t>Adhesive</w:t>
      </w:r>
      <w:proofErr w:type="spellEnd"/>
      <w:r w:rsidRPr="00100EC6">
        <w:rPr>
          <w:lang w:val="pl-PL"/>
        </w:rPr>
        <w:t xml:space="preserve"> Technologies przewiduje się, że skorygowana rentowność sprzedaży wyniesie od 13,5% do 15,0% (wcześniejsza prognoza: od 13,0</w:t>
      </w:r>
      <w:r w:rsidRPr="00100EC6">
        <w:rPr>
          <w:lang w:val="pl-PL"/>
        </w:rPr>
        <w:t xml:space="preserve">% do 15,0%), a dla sektora biznesowego Consumer </w:t>
      </w:r>
      <w:proofErr w:type="spellStart"/>
      <w:r w:rsidRPr="00100EC6">
        <w:rPr>
          <w:lang w:val="pl-PL"/>
        </w:rPr>
        <w:t>Brands</w:t>
      </w:r>
      <w:proofErr w:type="spellEnd"/>
      <w:r w:rsidRPr="00100EC6">
        <w:rPr>
          <w:lang w:val="pl-PL"/>
        </w:rPr>
        <w:t xml:space="preserve"> (marki konsumenckie) – od 9,5% do 11,0% (wcześniejsza prognoza: od 7,5% do 9,5%).</w:t>
      </w:r>
    </w:p>
    <w:p w14:paraId="628C04CA" w14:textId="6936D46E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 xml:space="preserve"> W wypadku </w:t>
      </w:r>
      <w:r w:rsidRPr="00100EC6">
        <w:rPr>
          <w:b/>
          <w:bCs/>
          <w:lang w:val="pl-PL"/>
        </w:rPr>
        <w:t>skorygowanego zysku na akcję uprzywilejowaną (EPS)</w:t>
      </w:r>
      <w:r w:rsidR="009C0BCD">
        <w:rPr>
          <w:b/>
          <w:bCs/>
          <w:lang w:val="pl-PL"/>
        </w:rPr>
        <w:t>,</w:t>
      </w:r>
      <w:r w:rsidRPr="00100EC6">
        <w:rPr>
          <w:b/>
          <w:bCs/>
          <w:lang w:val="pl-PL"/>
        </w:rPr>
        <w:t xml:space="preserve"> </w:t>
      </w:r>
      <w:r w:rsidRPr="00100EC6">
        <w:rPr>
          <w:lang w:val="pl-PL"/>
        </w:rPr>
        <w:t>przy założeniu stałych kursów wymiany</w:t>
      </w:r>
      <w:r w:rsidR="009C0BCD">
        <w:rPr>
          <w:lang w:val="pl-PL"/>
        </w:rPr>
        <w:t>,</w:t>
      </w:r>
      <w:r w:rsidRPr="00100EC6">
        <w:rPr>
          <w:lang w:val="pl-PL"/>
        </w:rPr>
        <w:t xml:space="preserve"> Henkel prognozuje o</w:t>
      </w:r>
      <w:r w:rsidRPr="00100EC6">
        <w:rPr>
          <w:lang w:val="pl-PL"/>
        </w:rPr>
        <w:t xml:space="preserve">becnie wzrost od </w:t>
      </w:r>
      <w:r w:rsidRPr="00100EC6">
        <w:rPr>
          <w:lang w:val="pl-PL"/>
        </w:rPr>
        <w:t xml:space="preserve">5% do </w:t>
      </w:r>
      <w:r w:rsidRPr="00100EC6">
        <w:rPr>
          <w:lang w:val="pl-PL"/>
        </w:rPr>
        <w:t xml:space="preserve">20% (wcześniejsza prognoza: -10% do +10%). </w:t>
      </w:r>
    </w:p>
    <w:p w14:paraId="30A0AE6C" w14:textId="77777777" w:rsidR="00F806CF" w:rsidRPr="00100EC6" w:rsidRDefault="00C04129">
      <w:pPr>
        <w:spacing w:after="20" w:line="259" w:lineRule="auto"/>
        <w:ind w:left="0" w:firstLine="0"/>
        <w:jc w:val="left"/>
        <w:rPr>
          <w:lang w:val="pl-PL"/>
        </w:rPr>
      </w:pPr>
      <w:r w:rsidRPr="00100EC6">
        <w:rPr>
          <w:b/>
          <w:bCs/>
          <w:lang w:val="pl-PL"/>
        </w:rPr>
        <w:t xml:space="preserve"> </w:t>
      </w:r>
    </w:p>
    <w:p w14:paraId="1F503470" w14:textId="77777777" w:rsidR="00F806CF" w:rsidRPr="00100EC6" w:rsidRDefault="00C04129">
      <w:pPr>
        <w:spacing w:after="114" w:line="267" w:lineRule="auto"/>
        <w:ind w:left="-5"/>
        <w:jc w:val="left"/>
        <w:rPr>
          <w:lang w:val="pl-PL"/>
        </w:rPr>
      </w:pPr>
      <w:r w:rsidRPr="00100EC6">
        <w:rPr>
          <w:b/>
          <w:bCs/>
          <w:lang w:val="pl-PL"/>
        </w:rPr>
        <w:t xml:space="preserve">Przychody ze sprzedaży i zysk w pierwszym półroczu 2023 r. </w:t>
      </w:r>
    </w:p>
    <w:p w14:paraId="62F85FF0" w14:textId="22C0B4DD" w:rsidR="00F806CF" w:rsidRPr="00100EC6" w:rsidRDefault="00C04129">
      <w:pPr>
        <w:ind w:left="-5" w:right="-10"/>
        <w:rPr>
          <w:lang w:val="pl-PL"/>
        </w:rPr>
      </w:pPr>
      <w:r w:rsidRPr="00100EC6">
        <w:rPr>
          <w:b/>
          <w:bCs/>
          <w:lang w:val="pl-PL"/>
        </w:rPr>
        <w:t xml:space="preserve">Przychody ze sprzedaży Grupy </w:t>
      </w:r>
      <w:r w:rsidRPr="00100EC6">
        <w:rPr>
          <w:lang w:val="pl-PL"/>
        </w:rPr>
        <w:t>w pierwszym półroczu 2023 r. wyniosły 10 926 mln euro i były o 0,1% wyższe niż w analogicznym ok</w:t>
      </w:r>
      <w:r w:rsidRPr="00100EC6">
        <w:rPr>
          <w:lang w:val="pl-PL"/>
        </w:rPr>
        <w:t xml:space="preserve">resie roku poprzedniego (w II kwartale: 5 316 mln euro, spadek o -5,8%). Odpowiada to bardzo silnemu </w:t>
      </w:r>
      <w:r w:rsidRPr="00100EC6">
        <w:rPr>
          <w:b/>
          <w:bCs/>
          <w:lang w:val="pl-PL"/>
        </w:rPr>
        <w:t>wzrostowi przychodów ze sprzedaży w ujęciu organicznym</w:t>
      </w:r>
      <w:r w:rsidRPr="00100EC6">
        <w:rPr>
          <w:lang w:val="pl-PL"/>
        </w:rPr>
        <w:t xml:space="preserve"> na poziomie 4,9% (w II kwartale: 3,2%). Na skutek niekorzystnych zmian kursów walut przychody ze spr</w:t>
      </w:r>
      <w:r w:rsidRPr="00100EC6">
        <w:rPr>
          <w:lang w:val="pl-PL"/>
        </w:rPr>
        <w:t xml:space="preserve">zedaży uległy obniżeniu o </w:t>
      </w:r>
      <w:r w:rsidRPr="00100EC6">
        <w:rPr>
          <w:lang w:val="pl-PL"/>
        </w:rPr>
        <w:t xml:space="preserve">2,5% (w II kwartale: o </w:t>
      </w:r>
      <w:r w:rsidRPr="00100EC6">
        <w:rPr>
          <w:lang w:val="pl-PL"/>
        </w:rPr>
        <w:t xml:space="preserve">5,8%). Transakcje przejęć i zbycia aktywów obniżyły przychody ze sprzedaży o </w:t>
      </w:r>
      <w:r w:rsidRPr="00100EC6">
        <w:rPr>
          <w:lang w:val="pl-PL"/>
        </w:rPr>
        <w:t xml:space="preserve">2,2% (w II kwartale: o </w:t>
      </w:r>
      <w:r w:rsidRPr="00100EC6">
        <w:rPr>
          <w:lang w:val="pl-PL"/>
        </w:rPr>
        <w:t xml:space="preserve">3.2%). </w:t>
      </w:r>
    </w:p>
    <w:p w14:paraId="6D855D51" w14:textId="77777777" w:rsidR="00F806CF" w:rsidRPr="00100EC6" w:rsidRDefault="00C04129">
      <w:pPr>
        <w:spacing w:after="20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3059D22E" w14:textId="7A23F6B0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>Wzrost przychodów ze sprzedaży w pierwszym półroczu odnotowany został w obu sektorach bizneso</w:t>
      </w:r>
      <w:r w:rsidRPr="00100EC6">
        <w:rPr>
          <w:lang w:val="pl-PL"/>
        </w:rPr>
        <w:t xml:space="preserve">wych. Sektor biznesowy </w:t>
      </w:r>
      <w:proofErr w:type="spellStart"/>
      <w:r w:rsidRPr="00100EC6">
        <w:rPr>
          <w:b/>
          <w:bCs/>
          <w:lang w:val="pl-PL"/>
        </w:rPr>
        <w:t>Adhesive</w:t>
      </w:r>
      <w:proofErr w:type="spellEnd"/>
      <w:r w:rsidRPr="00100EC6">
        <w:rPr>
          <w:b/>
          <w:bCs/>
          <w:lang w:val="pl-PL"/>
        </w:rPr>
        <w:t xml:space="preserve"> Technologies</w:t>
      </w:r>
      <w:r w:rsidRPr="00100EC6">
        <w:rPr>
          <w:lang w:val="pl-PL"/>
        </w:rPr>
        <w:t xml:space="preserve"> odnotował wzrost przychodów ze sprzedaży w ujęciu organicznym aż o 4,7%, dzięki wzrostom notowanym w obszarach </w:t>
      </w:r>
      <w:proofErr w:type="spellStart"/>
      <w:r w:rsidRPr="00100EC6">
        <w:rPr>
          <w:b/>
          <w:bCs/>
          <w:lang w:val="pl-PL"/>
        </w:rPr>
        <w:t>Mobility</w:t>
      </w:r>
      <w:proofErr w:type="spellEnd"/>
      <w:r w:rsidRPr="00100EC6">
        <w:rPr>
          <w:b/>
          <w:bCs/>
          <w:lang w:val="pl-PL"/>
        </w:rPr>
        <w:t xml:space="preserve"> &amp; Electronics </w:t>
      </w:r>
      <w:r w:rsidRPr="00100EC6">
        <w:rPr>
          <w:lang w:val="pl-PL"/>
        </w:rPr>
        <w:t xml:space="preserve">(produkty dla branży mobilności i branży elektronicznej) i </w:t>
      </w:r>
      <w:proofErr w:type="spellStart"/>
      <w:r w:rsidRPr="00100EC6">
        <w:rPr>
          <w:lang w:val="pl-PL"/>
        </w:rPr>
        <w:t>Craftsmen</w:t>
      </w:r>
      <w:proofErr w:type="spellEnd"/>
      <w:r w:rsidRPr="00100EC6">
        <w:rPr>
          <w:lang w:val="pl-PL"/>
        </w:rPr>
        <w:t xml:space="preserve">, </w:t>
      </w:r>
      <w:r w:rsidRPr="00100EC6">
        <w:rPr>
          <w:lang w:val="pl-PL"/>
        </w:rPr>
        <w:lastRenderedPageBreak/>
        <w:t>Constru</w:t>
      </w:r>
      <w:r w:rsidRPr="00100EC6">
        <w:rPr>
          <w:lang w:val="pl-PL"/>
        </w:rPr>
        <w:t xml:space="preserve">ction &amp; Professional (produkty dla branży rzemieślniczej, budowlanej i klientów profesjonalnych). Sektor biznesowy </w:t>
      </w:r>
      <w:r w:rsidRPr="00100EC6">
        <w:rPr>
          <w:b/>
          <w:bCs/>
          <w:lang w:val="pl-PL"/>
        </w:rPr>
        <w:t xml:space="preserve">Consumer </w:t>
      </w:r>
      <w:proofErr w:type="spellStart"/>
      <w:r w:rsidRPr="00100EC6">
        <w:rPr>
          <w:b/>
          <w:bCs/>
          <w:lang w:val="pl-PL"/>
        </w:rPr>
        <w:t>Brands</w:t>
      </w:r>
      <w:proofErr w:type="spellEnd"/>
      <w:r w:rsidRPr="00100EC6">
        <w:rPr>
          <w:lang w:val="pl-PL"/>
        </w:rPr>
        <w:t xml:space="preserve"> (marki konsumenckie) odnotował wysoki wzrost przychodów ze sprzedaży w ujęciu organicznym na poziomie 5,7% dzięki wynikom </w:t>
      </w:r>
      <w:r w:rsidR="00275446" w:rsidRPr="00100EC6">
        <w:rPr>
          <w:lang w:val="pl-PL"/>
        </w:rPr>
        <w:t>notowanym</w:t>
      </w:r>
      <w:r w:rsidRPr="00100EC6">
        <w:rPr>
          <w:lang w:val="pl-PL"/>
        </w:rPr>
        <w:t xml:space="preserve"> przez </w:t>
      </w:r>
      <w:r w:rsidR="009C0BCD">
        <w:rPr>
          <w:lang w:val="pl-PL"/>
        </w:rPr>
        <w:t>działy</w:t>
      </w:r>
      <w:r w:rsidRPr="00100EC6">
        <w:rPr>
          <w:lang w:val="pl-PL"/>
        </w:rPr>
        <w:t xml:space="preserve"> </w:t>
      </w:r>
      <w:proofErr w:type="spellStart"/>
      <w:r w:rsidRPr="00100EC6">
        <w:rPr>
          <w:lang w:val="pl-PL"/>
        </w:rPr>
        <w:t>Laundry</w:t>
      </w:r>
      <w:proofErr w:type="spellEnd"/>
      <w:r w:rsidRPr="00100EC6">
        <w:rPr>
          <w:lang w:val="pl-PL"/>
        </w:rPr>
        <w:t xml:space="preserve"> &amp; Home </w:t>
      </w:r>
      <w:proofErr w:type="spellStart"/>
      <w:r w:rsidRPr="00100EC6">
        <w:rPr>
          <w:lang w:val="pl-PL"/>
        </w:rPr>
        <w:t>Care</w:t>
      </w:r>
      <w:proofErr w:type="spellEnd"/>
      <w:r w:rsidRPr="00100EC6">
        <w:rPr>
          <w:lang w:val="pl-PL"/>
        </w:rPr>
        <w:t xml:space="preserve"> (środki piorące i środki czystości) i </w:t>
      </w:r>
      <w:proofErr w:type="spellStart"/>
      <w:r w:rsidRPr="00100EC6">
        <w:rPr>
          <w:lang w:val="pl-PL"/>
        </w:rPr>
        <w:t>Hair</w:t>
      </w:r>
      <w:proofErr w:type="spellEnd"/>
      <w:r w:rsidRPr="00100EC6">
        <w:rPr>
          <w:lang w:val="pl-PL"/>
        </w:rPr>
        <w:t xml:space="preserve"> (kosmetyki do pielęgnacji włosów). </w:t>
      </w:r>
    </w:p>
    <w:p w14:paraId="00E0FBF7" w14:textId="77777777" w:rsidR="00F806CF" w:rsidRPr="00100EC6" w:rsidRDefault="00C04129">
      <w:pPr>
        <w:spacing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522EF09F" w14:textId="56A975CA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 xml:space="preserve">W I półroczu wzrost przychodów ze sprzedaży w ujęciu organicznym w regionie </w:t>
      </w:r>
      <w:r w:rsidRPr="00100EC6">
        <w:rPr>
          <w:b/>
          <w:bCs/>
          <w:lang w:val="pl-PL"/>
        </w:rPr>
        <w:t>Europy</w:t>
      </w:r>
      <w:r w:rsidRPr="00100EC6">
        <w:rPr>
          <w:lang w:val="pl-PL"/>
        </w:rPr>
        <w:t xml:space="preserve"> wyniósł 2,4% (w II kwartale: 0,8%). W regionie </w:t>
      </w:r>
      <w:r w:rsidRPr="00100EC6">
        <w:rPr>
          <w:b/>
          <w:bCs/>
          <w:lang w:val="pl-PL"/>
        </w:rPr>
        <w:t>IMEA</w:t>
      </w:r>
      <w:r w:rsidRPr="00100EC6">
        <w:rPr>
          <w:lang w:val="pl-PL"/>
        </w:rPr>
        <w:t xml:space="preserve"> (Indie, Bliski Wschód i Afryka) sprzedaż wzrosła w ujęciu organicznym o 25,7% (w II kwartale: o 23,6%). Region </w:t>
      </w:r>
      <w:r w:rsidRPr="00100EC6">
        <w:rPr>
          <w:b/>
          <w:bCs/>
          <w:lang w:val="pl-PL"/>
        </w:rPr>
        <w:t xml:space="preserve">Ameryki Północnej </w:t>
      </w:r>
      <w:r w:rsidRPr="00100EC6">
        <w:rPr>
          <w:lang w:val="pl-PL"/>
        </w:rPr>
        <w:t xml:space="preserve">odnotował wzrost sprzedaży w ujęciu organicznym o 3,8% (w II kwartale: o 0,9%). Region </w:t>
      </w:r>
      <w:r w:rsidRPr="00100EC6">
        <w:rPr>
          <w:b/>
          <w:bCs/>
          <w:lang w:val="pl-PL"/>
        </w:rPr>
        <w:t>Ameryki Łacińskie</w:t>
      </w:r>
      <w:r w:rsidRPr="00100EC6">
        <w:rPr>
          <w:lang w:val="pl-PL"/>
        </w:rPr>
        <w:t xml:space="preserve">j odnotował wzrost sprzedaży w ujęciu organicznym o 13,2% (w II kwartale: o 9,4%). Z kolei region </w:t>
      </w:r>
      <w:r w:rsidRPr="00100EC6">
        <w:rPr>
          <w:b/>
          <w:bCs/>
          <w:lang w:val="pl-PL"/>
        </w:rPr>
        <w:t>Azji i Pacyfiku</w:t>
      </w:r>
      <w:r w:rsidRPr="00100EC6">
        <w:rPr>
          <w:lang w:val="pl-PL"/>
        </w:rPr>
        <w:t xml:space="preserve"> odnotował spadek przychodów ze sprzeda</w:t>
      </w:r>
      <w:r w:rsidRPr="00100EC6">
        <w:rPr>
          <w:lang w:val="pl-PL"/>
        </w:rPr>
        <w:t xml:space="preserve">ży w ujęciu organicznym o </w:t>
      </w:r>
      <w:r w:rsidRPr="00100EC6">
        <w:rPr>
          <w:lang w:val="pl-PL"/>
        </w:rPr>
        <w:t xml:space="preserve">2,7% (w II kwartale: o </w:t>
      </w:r>
      <w:r w:rsidRPr="00100EC6">
        <w:rPr>
          <w:lang w:val="pl-PL"/>
        </w:rPr>
        <w:t xml:space="preserve">0,6%), głównie ze względu na utrzymujące się trudne warunki rynkowe w Chinach. </w:t>
      </w:r>
    </w:p>
    <w:p w14:paraId="6DD1DEF3" w14:textId="77777777" w:rsidR="00F806CF" w:rsidRPr="00100EC6" w:rsidRDefault="00C04129">
      <w:pPr>
        <w:spacing w:after="19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2762F7C1" w14:textId="0D09D588" w:rsidR="00F806CF" w:rsidRPr="00100EC6" w:rsidRDefault="00C04129">
      <w:pPr>
        <w:ind w:left="-5" w:right="-10"/>
        <w:rPr>
          <w:lang w:val="pl-PL"/>
        </w:rPr>
      </w:pPr>
      <w:r w:rsidRPr="00100EC6">
        <w:rPr>
          <w:b/>
          <w:bCs/>
          <w:lang w:val="pl-PL"/>
        </w:rPr>
        <w:t>Skorygowany zysk operacyjny (skorygowany EBIT)</w:t>
      </w:r>
      <w:r w:rsidRPr="00100EC6">
        <w:rPr>
          <w:lang w:val="pl-PL"/>
        </w:rPr>
        <w:t xml:space="preserve"> wzrósł w pierwszym półroczu o 7,6% do 1 254 mln euro, z poziomu 1 166 mln eu</w:t>
      </w:r>
      <w:r w:rsidRPr="00100EC6">
        <w:rPr>
          <w:lang w:val="pl-PL"/>
        </w:rPr>
        <w:t xml:space="preserve">ro w analogicznym okresie ubiegłego roku. Wzrost ten był wspierany kształtowaniem się cen sprzedaży, </w:t>
      </w:r>
      <w:r w:rsidR="00275446" w:rsidRPr="00100EC6">
        <w:rPr>
          <w:lang w:val="pl-PL"/>
        </w:rPr>
        <w:t>oszczędnościami</w:t>
      </w:r>
      <w:r w:rsidRPr="00100EC6">
        <w:rPr>
          <w:lang w:val="pl-PL"/>
        </w:rPr>
        <w:t xml:space="preserve"> wynikającymi z utworzenia zintegrowanego sektora biznesowego Consumer </w:t>
      </w:r>
      <w:proofErr w:type="spellStart"/>
      <w:r w:rsidRPr="00100EC6">
        <w:rPr>
          <w:lang w:val="pl-PL"/>
        </w:rPr>
        <w:t>Brands</w:t>
      </w:r>
      <w:proofErr w:type="spellEnd"/>
      <w:r w:rsidRPr="00100EC6">
        <w:rPr>
          <w:lang w:val="pl-PL"/>
        </w:rPr>
        <w:t xml:space="preserve"> (marki konsumenckie) oraz działaniami podjętymi w celu optymal</w:t>
      </w:r>
      <w:r w:rsidRPr="00100EC6">
        <w:rPr>
          <w:lang w:val="pl-PL"/>
        </w:rPr>
        <w:t xml:space="preserve">izacji portfolio. </w:t>
      </w:r>
    </w:p>
    <w:p w14:paraId="1AC77B1C" w14:textId="77777777" w:rsidR="00F806CF" w:rsidRPr="00100EC6" w:rsidRDefault="00C04129">
      <w:pPr>
        <w:spacing w:after="20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71CAAC66" w14:textId="77777777" w:rsidR="00F806CF" w:rsidRPr="00100EC6" w:rsidRDefault="00C04129">
      <w:pPr>
        <w:spacing w:after="11" w:line="267" w:lineRule="auto"/>
        <w:ind w:left="-5"/>
        <w:jc w:val="left"/>
        <w:rPr>
          <w:lang w:val="pl-PL"/>
        </w:rPr>
      </w:pPr>
      <w:r w:rsidRPr="00100EC6">
        <w:rPr>
          <w:b/>
          <w:bCs/>
          <w:lang w:val="pl-PL"/>
        </w:rPr>
        <w:t>Skorygowana rentowność sprzedaży (skorygowana marża EBIT)</w:t>
      </w:r>
      <w:r w:rsidRPr="00100EC6">
        <w:rPr>
          <w:lang w:val="pl-PL"/>
        </w:rPr>
        <w:t xml:space="preserve"> wzrosła o 80 punktów bazowych do 11,5%. </w:t>
      </w:r>
    </w:p>
    <w:p w14:paraId="0744ACFC" w14:textId="77777777" w:rsidR="00F806CF" w:rsidRPr="00100EC6" w:rsidRDefault="00C04129">
      <w:pPr>
        <w:spacing w:after="19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70ACF09F" w14:textId="495DAE30" w:rsidR="00F806CF" w:rsidRPr="00100EC6" w:rsidRDefault="00C04129">
      <w:pPr>
        <w:ind w:left="-5" w:right="-10"/>
        <w:rPr>
          <w:lang w:val="pl-PL"/>
        </w:rPr>
      </w:pPr>
      <w:r w:rsidRPr="00100EC6">
        <w:rPr>
          <w:b/>
          <w:bCs/>
          <w:lang w:val="pl-PL"/>
        </w:rPr>
        <w:t xml:space="preserve">Skorygowany zysk na akcję uprzywilejowaną </w:t>
      </w:r>
      <w:r w:rsidR="00275446" w:rsidRPr="00100EC6">
        <w:rPr>
          <w:lang w:val="pl-PL"/>
        </w:rPr>
        <w:t>wzrósł</w:t>
      </w:r>
      <w:r w:rsidRPr="00100EC6">
        <w:rPr>
          <w:lang w:val="pl-PL"/>
        </w:rPr>
        <w:t xml:space="preserve"> w pierwszym półroczu 2023 r. do 2,13 euro. Przy stałych kurs wymiany oznacza to wzros</w:t>
      </w:r>
      <w:r w:rsidRPr="00100EC6">
        <w:rPr>
          <w:lang w:val="pl-PL"/>
        </w:rPr>
        <w:t xml:space="preserve">t o 14,4% w stosunku do analogicznego okresu poprzedniego roku. </w:t>
      </w:r>
    </w:p>
    <w:p w14:paraId="359802FE" w14:textId="77777777" w:rsidR="00F806CF" w:rsidRPr="00100EC6" w:rsidRDefault="00C04129">
      <w:pPr>
        <w:spacing w:after="20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23B78E3C" w14:textId="00195D13" w:rsidR="00F806CF" w:rsidRPr="00100EC6" w:rsidRDefault="00C04129">
      <w:pPr>
        <w:ind w:left="-5" w:right="-10"/>
        <w:rPr>
          <w:lang w:val="pl-PL"/>
        </w:rPr>
      </w:pPr>
      <w:r w:rsidRPr="00100EC6">
        <w:rPr>
          <w:b/>
          <w:bCs/>
          <w:lang w:val="pl-PL"/>
        </w:rPr>
        <w:t xml:space="preserve">Kapitał obrotowy netto </w:t>
      </w:r>
      <w:r w:rsidRPr="00100EC6">
        <w:rPr>
          <w:lang w:val="pl-PL"/>
        </w:rPr>
        <w:t xml:space="preserve">zwiększył się o 0,8 </w:t>
      </w:r>
      <w:r w:rsidR="00275446" w:rsidRPr="00100EC6">
        <w:rPr>
          <w:lang w:val="pl-PL"/>
        </w:rPr>
        <w:t>punktu</w:t>
      </w:r>
      <w:r w:rsidRPr="00100EC6">
        <w:rPr>
          <w:lang w:val="pl-PL"/>
        </w:rPr>
        <w:t xml:space="preserve"> procentowego, do 6,1% przychodów ze sprzedaży (w analogicznym okresie poprzedniego roku: 5,2%) </w:t>
      </w:r>
    </w:p>
    <w:p w14:paraId="53D863F8" w14:textId="77777777" w:rsidR="00F806CF" w:rsidRPr="00100EC6" w:rsidRDefault="00C04129">
      <w:pPr>
        <w:spacing w:after="20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2F800892" w14:textId="77777777" w:rsidR="00F806CF" w:rsidRPr="00100EC6" w:rsidRDefault="00C04129">
      <w:pPr>
        <w:ind w:left="-5" w:right="-10"/>
        <w:rPr>
          <w:lang w:val="pl-PL"/>
        </w:rPr>
      </w:pPr>
      <w:r w:rsidRPr="00100EC6">
        <w:rPr>
          <w:b/>
          <w:bCs/>
          <w:lang w:val="pl-PL"/>
        </w:rPr>
        <w:t>Wolne przepływy pieniężne</w:t>
      </w:r>
      <w:r w:rsidRPr="00100EC6">
        <w:rPr>
          <w:lang w:val="pl-PL"/>
        </w:rPr>
        <w:t xml:space="preserve"> osiągnęły pozio</w:t>
      </w:r>
      <w:r w:rsidRPr="00100EC6">
        <w:rPr>
          <w:lang w:val="pl-PL"/>
        </w:rPr>
        <w:t xml:space="preserve">m 749 mln euro i tym samym znacznie przekroczyły poziom z pierwszej połowy 2022 r. (46 mln euro), w szczególności ze względu na wyższe przepływy pieniężne z działalności operacyjnej w roku obrotowym. </w:t>
      </w:r>
    </w:p>
    <w:p w14:paraId="5DD59CF5" w14:textId="77777777" w:rsidR="00F806CF" w:rsidRPr="00100EC6" w:rsidRDefault="00C04129">
      <w:pPr>
        <w:spacing w:after="20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66F34DA0" w14:textId="77777777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 xml:space="preserve">Na 30 czerwca 2023 r. </w:t>
      </w:r>
      <w:r w:rsidRPr="00100EC6">
        <w:rPr>
          <w:b/>
          <w:bCs/>
          <w:lang w:val="pl-PL"/>
        </w:rPr>
        <w:t xml:space="preserve">pozycja finansowa netto </w:t>
      </w:r>
      <w:r w:rsidRPr="00100EC6">
        <w:rPr>
          <w:lang w:val="pl-PL"/>
        </w:rPr>
        <w:t xml:space="preserve">wyniosła -1 311 mln euro (31 grudnia 2022 r.: -1 267 mln euro). </w:t>
      </w:r>
    </w:p>
    <w:p w14:paraId="1EF5DF2D" w14:textId="77777777" w:rsidR="00F806CF" w:rsidRPr="00100EC6" w:rsidRDefault="00C04129">
      <w:pPr>
        <w:spacing w:after="20" w:line="259" w:lineRule="auto"/>
        <w:ind w:left="0" w:firstLine="0"/>
        <w:jc w:val="left"/>
        <w:rPr>
          <w:lang w:val="pl-PL"/>
        </w:rPr>
      </w:pPr>
      <w:r w:rsidRPr="00100EC6">
        <w:rPr>
          <w:color w:val="3B3B3B"/>
          <w:lang w:val="pl-PL"/>
        </w:rPr>
        <w:t xml:space="preserve"> </w:t>
      </w:r>
    </w:p>
    <w:p w14:paraId="597F71FA" w14:textId="77777777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 xml:space="preserve">W dniu 20 kwietnia 2023 r. Henkel ogłosił podpisanie umowy w sprawie </w:t>
      </w:r>
      <w:r w:rsidRPr="00100EC6">
        <w:rPr>
          <w:b/>
          <w:bCs/>
          <w:lang w:val="pl-PL"/>
        </w:rPr>
        <w:t>sprzedaży działalności w Rosji</w:t>
      </w:r>
      <w:r w:rsidRPr="00100EC6">
        <w:rPr>
          <w:lang w:val="pl-PL"/>
        </w:rPr>
        <w:t xml:space="preserve"> na rzecz konsorcjum lokalnych inwestorów finansowych. Spółka ogło</w:t>
      </w:r>
      <w:r w:rsidRPr="00100EC6">
        <w:rPr>
          <w:lang w:val="pl-PL"/>
        </w:rPr>
        <w:t xml:space="preserve">siła zakończenie </w:t>
      </w:r>
      <w:r w:rsidRPr="00100EC6">
        <w:rPr>
          <w:lang w:val="pl-PL"/>
        </w:rPr>
        <w:lastRenderedPageBreak/>
        <w:t xml:space="preserve">działalności w Rosji po napaści Rosji na Ukrainę w zeszłym roku. Transakcja została zrealizowana, a cena sprzedaży wyniosła 54 mld rubli (około 600 mln euro). </w:t>
      </w:r>
    </w:p>
    <w:p w14:paraId="0944593E" w14:textId="77777777" w:rsidR="00F806CF" w:rsidRPr="00100EC6" w:rsidRDefault="00C04129">
      <w:pPr>
        <w:spacing w:after="158" w:line="259" w:lineRule="auto"/>
        <w:ind w:left="0" w:firstLine="0"/>
        <w:jc w:val="left"/>
        <w:rPr>
          <w:lang w:val="pl-PL"/>
        </w:rPr>
      </w:pPr>
      <w:r w:rsidRPr="00100EC6">
        <w:rPr>
          <w:b/>
          <w:bCs/>
          <w:lang w:val="pl-PL"/>
        </w:rPr>
        <w:t xml:space="preserve"> </w:t>
      </w:r>
    </w:p>
    <w:p w14:paraId="1E2055B3" w14:textId="77777777" w:rsidR="00F806CF" w:rsidRPr="00100EC6" w:rsidRDefault="00C04129">
      <w:pPr>
        <w:spacing w:line="259" w:lineRule="auto"/>
        <w:ind w:left="0" w:firstLine="0"/>
        <w:jc w:val="left"/>
        <w:rPr>
          <w:lang w:val="pl-PL"/>
        </w:rPr>
      </w:pPr>
      <w:r w:rsidRPr="00100EC6">
        <w:rPr>
          <w:b/>
          <w:bCs/>
          <w:lang w:val="pl-PL"/>
        </w:rPr>
        <w:t xml:space="preserve"> </w:t>
      </w:r>
      <w:r w:rsidRPr="00100EC6">
        <w:rPr>
          <w:b/>
          <w:bCs/>
          <w:lang w:val="pl-PL"/>
        </w:rPr>
        <w:tab/>
        <w:t xml:space="preserve"> </w:t>
      </w:r>
    </w:p>
    <w:p w14:paraId="59847404" w14:textId="77777777" w:rsidR="00F806CF" w:rsidRPr="00100EC6" w:rsidRDefault="00C04129">
      <w:pPr>
        <w:spacing w:after="114" w:line="267" w:lineRule="auto"/>
        <w:ind w:left="-5"/>
        <w:jc w:val="left"/>
        <w:rPr>
          <w:lang w:val="pl-PL"/>
        </w:rPr>
      </w:pPr>
      <w:r w:rsidRPr="00100EC6">
        <w:rPr>
          <w:b/>
          <w:bCs/>
          <w:lang w:val="pl-PL"/>
        </w:rPr>
        <w:t xml:space="preserve">Rozwój sektorów biznesowych w pierwszym półroczu 2023 r. </w:t>
      </w:r>
    </w:p>
    <w:p w14:paraId="49639BF0" w14:textId="487B97D4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>W ciągu pierwsz</w:t>
      </w:r>
      <w:r w:rsidRPr="00100EC6">
        <w:rPr>
          <w:lang w:val="pl-PL"/>
        </w:rPr>
        <w:t xml:space="preserve">ego półrocza 2023 r. odnotowano stabilny wzrost </w:t>
      </w:r>
      <w:r w:rsidRPr="00100EC6">
        <w:rPr>
          <w:b/>
          <w:bCs/>
          <w:lang w:val="pl-PL"/>
        </w:rPr>
        <w:t xml:space="preserve">sprzedaży </w:t>
      </w:r>
      <w:r w:rsidRPr="00100EC6">
        <w:rPr>
          <w:lang w:val="pl-PL"/>
        </w:rPr>
        <w:t>w</w:t>
      </w:r>
      <w:r w:rsidRPr="00100EC6">
        <w:rPr>
          <w:b/>
          <w:bCs/>
          <w:lang w:val="pl-PL"/>
        </w:rPr>
        <w:t xml:space="preserve"> </w:t>
      </w:r>
      <w:r w:rsidRPr="00100EC6">
        <w:rPr>
          <w:lang w:val="pl-PL"/>
        </w:rPr>
        <w:t xml:space="preserve">sektorze biznesowym </w:t>
      </w:r>
      <w:proofErr w:type="spellStart"/>
      <w:r w:rsidRPr="00100EC6">
        <w:rPr>
          <w:b/>
          <w:bCs/>
          <w:lang w:val="pl-PL"/>
        </w:rPr>
        <w:t>Adhesive</w:t>
      </w:r>
      <w:proofErr w:type="spellEnd"/>
      <w:r w:rsidRPr="00100EC6">
        <w:rPr>
          <w:b/>
          <w:bCs/>
          <w:lang w:val="pl-PL"/>
        </w:rPr>
        <w:t xml:space="preserve"> Technologies </w:t>
      </w:r>
      <w:r w:rsidRPr="00100EC6">
        <w:rPr>
          <w:lang w:val="pl-PL"/>
        </w:rPr>
        <w:t>(kleje budowlane i konsumenckie oraz kleje i technologie dla przemysłu) w ujęciu nominalnym o 0,1%, do 5 475 mln euro, przy spadku o 5,4% (do 2 683 mln eu</w:t>
      </w:r>
      <w:r w:rsidRPr="00100EC6">
        <w:rPr>
          <w:lang w:val="pl-PL"/>
        </w:rPr>
        <w:t xml:space="preserve">ro) w drugim kwartale br. </w:t>
      </w:r>
      <w:r w:rsidRPr="00100EC6">
        <w:rPr>
          <w:b/>
          <w:bCs/>
          <w:lang w:val="pl-PL"/>
        </w:rPr>
        <w:t xml:space="preserve">W ujęciu organicznym </w:t>
      </w:r>
      <w:r w:rsidRPr="00100EC6">
        <w:rPr>
          <w:lang w:val="pl-PL"/>
        </w:rPr>
        <w:t xml:space="preserve">sprzedaż wzrosła o </w:t>
      </w:r>
      <w:r w:rsidRPr="00100EC6">
        <w:rPr>
          <w:lang w:val="pl-PL"/>
        </w:rPr>
        <w:t xml:space="preserve">4,7% (w II kwartale: o </w:t>
      </w:r>
      <w:r w:rsidRPr="00100EC6">
        <w:rPr>
          <w:lang w:val="pl-PL"/>
        </w:rPr>
        <w:t>2,7%) dzięki dwucyfrowemu wzrostowi cen, podczas gdy wolumen kształtował się poniżej poziomu z poprzedniego roku ze względu na mniejszy popyt na niektórych istotnych</w:t>
      </w:r>
      <w:r w:rsidRPr="00100EC6">
        <w:rPr>
          <w:lang w:val="pl-PL"/>
        </w:rPr>
        <w:t xml:space="preserve"> rynkach końcowych. W obszarze </w:t>
      </w:r>
      <w:proofErr w:type="spellStart"/>
      <w:r w:rsidRPr="00100EC6">
        <w:rPr>
          <w:lang w:val="pl-PL"/>
        </w:rPr>
        <w:t>Mobility</w:t>
      </w:r>
      <w:proofErr w:type="spellEnd"/>
      <w:r w:rsidRPr="00100EC6">
        <w:rPr>
          <w:lang w:val="pl-PL"/>
        </w:rPr>
        <w:t xml:space="preserve"> &amp; Electronics (produkty dla branży mobilności i branży elektronicznej) odnotowano dwucyfrowy wzrost przychodów ze sprzedaży w ujęciu organicznym w wysokości 10,9% (w II kwartale: 9,2%). W obszarze </w:t>
      </w:r>
      <w:proofErr w:type="spellStart"/>
      <w:r w:rsidRPr="00100EC6">
        <w:rPr>
          <w:lang w:val="pl-PL"/>
        </w:rPr>
        <w:t>Packaging</w:t>
      </w:r>
      <w:proofErr w:type="spellEnd"/>
      <w:r w:rsidRPr="00100EC6">
        <w:rPr>
          <w:lang w:val="pl-PL"/>
        </w:rPr>
        <w:t xml:space="preserve"> &amp; Consume</w:t>
      </w:r>
      <w:r w:rsidRPr="00100EC6">
        <w:rPr>
          <w:lang w:val="pl-PL"/>
        </w:rPr>
        <w:t xml:space="preserve">r </w:t>
      </w:r>
      <w:proofErr w:type="spellStart"/>
      <w:r w:rsidRPr="00100EC6">
        <w:rPr>
          <w:lang w:val="pl-PL"/>
        </w:rPr>
        <w:t>Goods</w:t>
      </w:r>
      <w:proofErr w:type="spellEnd"/>
      <w:r w:rsidRPr="00100EC6">
        <w:rPr>
          <w:lang w:val="pl-PL"/>
        </w:rPr>
        <w:t xml:space="preserve"> (produkty dla branży opakowań i towarów konsumpcyjnych) przychody ze sprzedaży w ujęciu organicznym spadły o </w:t>
      </w:r>
      <w:r w:rsidRPr="00100EC6">
        <w:rPr>
          <w:lang w:val="pl-PL"/>
        </w:rPr>
        <w:t xml:space="preserve">1,5% (w II kwartale: o </w:t>
      </w:r>
      <w:r w:rsidRPr="00100EC6">
        <w:rPr>
          <w:lang w:val="pl-PL"/>
        </w:rPr>
        <w:t xml:space="preserve">3,7%). Sprzedaż w obszarze </w:t>
      </w:r>
      <w:proofErr w:type="spellStart"/>
      <w:r w:rsidRPr="00100EC6">
        <w:rPr>
          <w:lang w:val="pl-PL"/>
        </w:rPr>
        <w:t>Craftsmen</w:t>
      </w:r>
      <w:proofErr w:type="spellEnd"/>
      <w:r w:rsidRPr="00100EC6">
        <w:rPr>
          <w:lang w:val="pl-PL"/>
        </w:rPr>
        <w:t xml:space="preserve">, Construction &amp; Professional (produkty dla branży rzemieślniczej, budowlanej </w:t>
      </w:r>
      <w:r w:rsidRPr="00100EC6">
        <w:rPr>
          <w:lang w:val="pl-PL"/>
        </w:rPr>
        <w:t xml:space="preserve">i klientów profesjonalnych) zwiększyła się w ujęciu organicznym o 4,9% (w II kwartale: o 2,9%). </w:t>
      </w:r>
      <w:r w:rsidRPr="00100EC6">
        <w:rPr>
          <w:b/>
          <w:bCs/>
          <w:lang w:val="pl-PL"/>
        </w:rPr>
        <w:t>Skorygowany zysk operacyjny</w:t>
      </w:r>
      <w:r w:rsidRPr="00100EC6">
        <w:rPr>
          <w:lang w:val="pl-PL"/>
        </w:rPr>
        <w:t xml:space="preserve"> w pierwszej połowie 2023 r. zwiększył się o 3,0% i wyniósł 766 mln euro w porównaniu z 743 mln euro w analogicznym okresie poprzedni</w:t>
      </w:r>
      <w:r w:rsidRPr="00100EC6">
        <w:rPr>
          <w:lang w:val="pl-PL"/>
        </w:rPr>
        <w:t xml:space="preserve">ego roku. </w:t>
      </w:r>
      <w:r w:rsidRPr="00100EC6">
        <w:rPr>
          <w:b/>
          <w:bCs/>
          <w:lang w:val="pl-PL"/>
        </w:rPr>
        <w:t>Skorygowana rentowność sprzedaży</w:t>
      </w:r>
      <w:r w:rsidRPr="00100EC6">
        <w:rPr>
          <w:lang w:val="pl-PL"/>
        </w:rPr>
        <w:t xml:space="preserve"> wzrosła do 14,0% wobec 13,6% w analogicznym okresie poprzedniego roku. W tym przypadku pozytywny wpływ miał w szczególności wzrost cen.</w:t>
      </w:r>
      <w:r w:rsidRPr="00100EC6">
        <w:rPr>
          <w:b/>
          <w:bCs/>
          <w:lang w:val="pl-PL"/>
        </w:rPr>
        <w:t xml:space="preserve"> </w:t>
      </w:r>
    </w:p>
    <w:p w14:paraId="0D6221E7" w14:textId="77777777" w:rsidR="00F806CF" w:rsidRPr="00100EC6" w:rsidRDefault="00C04129">
      <w:pPr>
        <w:spacing w:after="19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08BB5AFC" w14:textId="565A9475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 xml:space="preserve">W pierwszej połowie 2023 r. sektor biznesowy </w:t>
      </w:r>
      <w:r w:rsidRPr="00100EC6">
        <w:rPr>
          <w:b/>
          <w:bCs/>
          <w:lang w:val="pl-PL"/>
        </w:rPr>
        <w:t xml:space="preserve">Consumer </w:t>
      </w:r>
      <w:proofErr w:type="spellStart"/>
      <w:r w:rsidRPr="00100EC6">
        <w:rPr>
          <w:b/>
          <w:bCs/>
          <w:lang w:val="pl-PL"/>
        </w:rPr>
        <w:t>Brands</w:t>
      </w:r>
      <w:proofErr w:type="spellEnd"/>
      <w:r w:rsidRPr="00100EC6">
        <w:rPr>
          <w:lang w:val="pl-PL"/>
        </w:rPr>
        <w:t xml:space="preserve"> (marki konsum</w:t>
      </w:r>
      <w:r w:rsidRPr="00100EC6">
        <w:rPr>
          <w:lang w:val="pl-PL"/>
        </w:rPr>
        <w:t xml:space="preserve">enckie) wygenerował </w:t>
      </w:r>
      <w:r w:rsidRPr="00100EC6">
        <w:rPr>
          <w:b/>
          <w:bCs/>
          <w:lang w:val="pl-PL"/>
        </w:rPr>
        <w:t>przychody ze sprzedaży</w:t>
      </w:r>
      <w:r w:rsidRPr="00100EC6">
        <w:rPr>
          <w:lang w:val="pl-PL"/>
        </w:rPr>
        <w:t xml:space="preserve"> w wysokości 5 365 mln euro (w II kwartale: 2 594 mln euro), co oznacza wzrost w ujęciu nominalnym o 0,6% (w II kwartale spadek o </w:t>
      </w:r>
      <w:r w:rsidRPr="00100EC6">
        <w:rPr>
          <w:lang w:val="pl-PL"/>
        </w:rPr>
        <w:t xml:space="preserve">5,7%). </w:t>
      </w:r>
      <w:r w:rsidRPr="00100EC6">
        <w:rPr>
          <w:b/>
          <w:bCs/>
          <w:lang w:val="pl-PL"/>
        </w:rPr>
        <w:t xml:space="preserve">W ujęciu organicznym </w:t>
      </w:r>
      <w:r w:rsidRPr="00100EC6">
        <w:rPr>
          <w:lang w:val="pl-PL"/>
        </w:rPr>
        <w:t>sprzedaż wzrosła o 5,7% za sprawą cen (w II kwartale: o</w:t>
      </w:r>
      <w:r w:rsidRPr="00100EC6">
        <w:rPr>
          <w:lang w:val="pl-PL"/>
        </w:rPr>
        <w:t xml:space="preserve"> 4,5%), przy jednoczesnym spadku wolumenów sprzedaży, częściowo na skutek działań podjętych w celu optymalizacji portfolio. </w:t>
      </w:r>
      <w:r w:rsidR="00FB061C">
        <w:rPr>
          <w:lang w:val="pl-PL"/>
        </w:rPr>
        <w:t>Dział</w:t>
      </w:r>
      <w:r w:rsidRPr="00100EC6">
        <w:rPr>
          <w:lang w:val="pl-PL"/>
        </w:rPr>
        <w:t xml:space="preserve"> </w:t>
      </w:r>
      <w:proofErr w:type="spellStart"/>
      <w:r w:rsidRPr="00100EC6">
        <w:rPr>
          <w:lang w:val="pl-PL"/>
        </w:rPr>
        <w:t>Laundry</w:t>
      </w:r>
      <w:proofErr w:type="spellEnd"/>
      <w:r w:rsidRPr="00100EC6">
        <w:rPr>
          <w:lang w:val="pl-PL"/>
        </w:rPr>
        <w:t xml:space="preserve"> &amp; Home </w:t>
      </w:r>
      <w:proofErr w:type="spellStart"/>
      <w:r w:rsidRPr="00100EC6">
        <w:rPr>
          <w:lang w:val="pl-PL"/>
        </w:rPr>
        <w:t>Care</w:t>
      </w:r>
      <w:proofErr w:type="spellEnd"/>
      <w:r w:rsidRPr="00100EC6">
        <w:rPr>
          <w:lang w:val="pl-PL"/>
        </w:rPr>
        <w:t xml:space="preserve"> (środków piorących i czystości) osiągnął bardzo duży wzrost przychodów ze sprzedaży w ujęciu or</w:t>
      </w:r>
      <w:r w:rsidRPr="00100EC6">
        <w:rPr>
          <w:lang w:val="pl-PL"/>
        </w:rPr>
        <w:t xml:space="preserve">ganicznym, wynoszący 5,3% (w II kwartale: 4,4%). W pierwszym półroczu 2023 r. łączny wzrost sprzedaży w ujęciu organicznym w </w:t>
      </w:r>
      <w:r w:rsidR="00FB061C">
        <w:rPr>
          <w:lang w:val="pl-PL"/>
        </w:rPr>
        <w:t>dziale</w:t>
      </w:r>
      <w:r w:rsidRPr="00100EC6">
        <w:rPr>
          <w:lang w:val="pl-PL"/>
        </w:rPr>
        <w:t xml:space="preserve"> </w:t>
      </w:r>
      <w:proofErr w:type="spellStart"/>
      <w:r w:rsidRPr="00100EC6">
        <w:rPr>
          <w:lang w:val="pl-PL"/>
        </w:rPr>
        <w:t>Hair</w:t>
      </w:r>
      <w:proofErr w:type="spellEnd"/>
      <w:r w:rsidRPr="00100EC6">
        <w:rPr>
          <w:lang w:val="pl-PL"/>
        </w:rPr>
        <w:t xml:space="preserve"> (kosmetyki do pielęgnacji włosów) wyniósł 7,9% (w II kwartale: 6,1%). Poziom sprzedaży w sektorze Pozostał</w:t>
      </w:r>
      <w:r w:rsidRPr="00100EC6">
        <w:rPr>
          <w:lang w:val="pl-PL"/>
        </w:rPr>
        <w:t xml:space="preserve">e </w:t>
      </w:r>
      <w:r w:rsidR="00FB061C">
        <w:rPr>
          <w:lang w:val="pl-PL"/>
        </w:rPr>
        <w:t xml:space="preserve">Konsumenckie </w:t>
      </w:r>
      <w:r w:rsidRPr="00100EC6">
        <w:rPr>
          <w:lang w:val="pl-PL"/>
        </w:rPr>
        <w:t xml:space="preserve">Obszary Biznesowe </w:t>
      </w:r>
      <w:r w:rsidRPr="00100EC6">
        <w:rPr>
          <w:lang w:val="pl-PL"/>
        </w:rPr>
        <w:t xml:space="preserve">nie uległ zmianie w pierwszej połowie roku (0,0%, w II kwartale spadek o </w:t>
      </w:r>
      <w:r w:rsidRPr="00100EC6">
        <w:rPr>
          <w:lang w:val="pl-PL"/>
        </w:rPr>
        <w:t xml:space="preserve">1,4%). </w:t>
      </w:r>
      <w:r w:rsidRPr="00100EC6">
        <w:rPr>
          <w:b/>
          <w:bCs/>
          <w:lang w:val="pl-PL"/>
        </w:rPr>
        <w:t>Skorygowany zysk operacyjny</w:t>
      </w:r>
      <w:r w:rsidRPr="00100EC6">
        <w:rPr>
          <w:lang w:val="pl-PL"/>
        </w:rPr>
        <w:t xml:space="preserve"> wyniósł 559 mln euro i był wyższy o 15,9% w porównaniu z rokiem poprzednim za sprawą kształtowania cen sprzedaż</w:t>
      </w:r>
      <w:r w:rsidRPr="00100EC6">
        <w:rPr>
          <w:lang w:val="pl-PL"/>
        </w:rPr>
        <w:t xml:space="preserve">y z myślą o dalszym kompensowaniu wciąż wysokich bezpośrednich kosztów materiałów, oszczędności wynikających z integracji obszarów biznesowych towarów konsumpcyjnych w nowym sektorze biznesowym Consumer </w:t>
      </w:r>
      <w:proofErr w:type="spellStart"/>
      <w:r w:rsidRPr="00100EC6">
        <w:rPr>
          <w:lang w:val="pl-PL"/>
        </w:rPr>
        <w:t>Brands</w:t>
      </w:r>
      <w:proofErr w:type="spellEnd"/>
      <w:r w:rsidRPr="00100EC6">
        <w:rPr>
          <w:lang w:val="pl-PL"/>
        </w:rPr>
        <w:t xml:space="preserve"> (marki konsumenckie) oraz działań podjętych w </w:t>
      </w:r>
      <w:r w:rsidRPr="00100EC6">
        <w:rPr>
          <w:lang w:val="pl-PL"/>
        </w:rPr>
        <w:t xml:space="preserve">celu optymalizacji portfolio. </w:t>
      </w:r>
      <w:r w:rsidRPr="00100EC6">
        <w:rPr>
          <w:b/>
          <w:bCs/>
          <w:lang w:val="pl-PL"/>
        </w:rPr>
        <w:t>Skorygowana rentowność sprzedaży</w:t>
      </w:r>
      <w:r w:rsidRPr="00100EC6">
        <w:rPr>
          <w:lang w:val="pl-PL"/>
        </w:rPr>
        <w:t xml:space="preserve"> wzrosła do poziomu 10,4%. </w:t>
      </w:r>
    </w:p>
    <w:p w14:paraId="169E34A4" w14:textId="77777777" w:rsidR="00F806CF" w:rsidRPr="00100EC6" w:rsidRDefault="00C04129">
      <w:pPr>
        <w:spacing w:line="259" w:lineRule="auto"/>
        <w:ind w:left="0" w:firstLine="0"/>
        <w:jc w:val="left"/>
        <w:rPr>
          <w:lang w:val="pl-PL"/>
        </w:rPr>
      </w:pPr>
      <w:r w:rsidRPr="00100EC6">
        <w:rPr>
          <w:b/>
          <w:bCs/>
          <w:lang w:val="pl-PL"/>
        </w:rPr>
        <w:lastRenderedPageBreak/>
        <w:t xml:space="preserve"> </w:t>
      </w:r>
    </w:p>
    <w:p w14:paraId="4E5628CE" w14:textId="77777777" w:rsidR="00F806CF" w:rsidRPr="00100EC6" w:rsidRDefault="00C04129">
      <w:pPr>
        <w:spacing w:after="114" w:line="267" w:lineRule="auto"/>
        <w:ind w:left="-5"/>
        <w:jc w:val="left"/>
        <w:rPr>
          <w:lang w:val="pl-PL"/>
        </w:rPr>
      </w:pPr>
      <w:r w:rsidRPr="00100EC6">
        <w:rPr>
          <w:b/>
          <w:bCs/>
          <w:lang w:val="pl-PL"/>
        </w:rPr>
        <w:t>Konsekwentna realizacja programu wzrostu</w:t>
      </w:r>
      <w:r w:rsidRPr="00100EC6">
        <w:rPr>
          <w:lang w:val="pl-PL"/>
        </w:rPr>
        <w:t xml:space="preserve"> </w:t>
      </w:r>
    </w:p>
    <w:p w14:paraId="5A684DA3" w14:textId="77777777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 xml:space="preserve">W pierwszej połowie 2023 r. Henkel konsekwentnie realizował strategiczne priorytety swojego programu ukierunkowanego rozwoju i osiągnął znaczne postępy we wszystkich obszarach. </w:t>
      </w:r>
    </w:p>
    <w:p w14:paraId="6E774825" w14:textId="77777777" w:rsidR="00F806CF" w:rsidRPr="00100EC6" w:rsidRDefault="00C04129">
      <w:pPr>
        <w:spacing w:after="19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71179CCA" w14:textId="505F261A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 xml:space="preserve">W pierwszej połowie 2023 r. </w:t>
      </w:r>
      <w:r w:rsidRPr="00100EC6">
        <w:rPr>
          <w:b/>
          <w:bCs/>
          <w:lang w:val="pl-PL"/>
        </w:rPr>
        <w:t>połączenie</w:t>
      </w:r>
      <w:r w:rsidRPr="00100EC6">
        <w:rPr>
          <w:lang w:val="pl-PL"/>
        </w:rPr>
        <w:t xml:space="preserve"> dawnych sektorów biznesowych </w:t>
      </w:r>
      <w:proofErr w:type="spellStart"/>
      <w:r w:rsidRPr="00100EC6">
        <w:rPr>
          <w:lang w:val="pl-PL"/>
        </w:rPr>
        <w:t>Laundry</w:t>
      </w:r>
      <w:proofErr w:type="spellEnd"/>
      <w:r w:rsidRPr="00100EC6">
        <w:rPr>
          <w:lang w:val="pl-PL"/>
        </w:rPr>
        <w:t xml:space="preserve"> </w:t>
      </w:r>
      <w:r w:rsidRPr="00100EC6">
        <w:rPr>
          <w:lang w:val="pl-PL"/>
        </w:rPr>
        <w:t xml:space="preserve">&amp; Home </w:t>
      </w:r>
      <w:proofErr w:type="spellStart"/>
      <w:r w:rsidRPr="00100EC6">
        <w:rPr>
          <w:lang w:val="pl-PL"/>
        </w:rPr>
        <w:t>Care</w:t>
      </w:r>
      <w:proofErr w:type="spellEnd"/>
      <w:r w:rsidRPr="00100EC6">
        <w:rPr>
          <w:lang w:val="pl-PL"/>
        </w:rPr>
        <w:t xml:space="preserve"> (środki piorące i czystości) oraz </w:t>
      </w:r>
      <w:proofErr w:type="spellStart"/>
      <w:r w:rsidRPr="00100EC6">
        <w:rPr>
          <w:lang w:val="pl-PL"/>
        </w:rPr>
        <w:t>Beauty</w:t>
      </w:r>
      <w:proofErr w:type="spellEnd"/>
      <w:r w:rsidRPr="00100EC6">
        <w:rPr>
          <w:lang w:val="pl-PL"/>
        </w:rPr>
        <w:t xml:space="preserve"> </w:t>
      </w:r>
      <w:proofErr w:type="spellStart"/>
      <w:r w:rsidRPr="00100EC6">
        <w:rPr>
          <w:lang w:val="pl-PL"/>
        </w:rPr>
        <w:t>Care</w:t>
      </w:r>
      <w:proofErr w:type="spellEnd"/>
      <w:r w:rsidRPr="00100EC6">
        <w:rPr>
          <w:lang w:val="pl-PL"/>
        </w:rPr>
        <w:t xml:space="preserve"> (kosmetyki) w sektor biznesowy </w:t>
      </w:r>
      <w:r w:rsidRPr="00100EC6">
        <w:rPr>
          <w:b/>
          <w:bCs/>
          <w:lang w:val="pl-PL"/>
        </w:rPr>
        <w:t xml:space="preserve">Consumer </w:t>
      </w:r>
      <w:proofErr w:type="spellStart"/>
      <w:r w:rsidRPr="00100EC6">
        <w:rPr>
          <w:b/>
          <w:bCs/>
          <w:lang w:val="pl-PL"/>
        </w:rPr>
        <w:t>Brands</w:t>
      </w:r>
      <w:proofErr w:type="spellEnd"/>
      <w:r w:rsidRPr="00100EC6">
        <w:rPr>
          <w:lang w:val="pl-PL"/>
        </w:rPr>
        <w:t xml:space="preserve"> (marki konsumenckie) zostało zrealizowane szybciej niż planowano. Pozwoliło to </w:t>
      </w:r>
      <w:r w:rsidR="00FB061C">
        <w:rPr>
          <w:lang w:val="pl-PL"/>
        </w:rPr>
        <w:t xml:space="preserve">firmie </w:t>
      </w:r>
      <w:r w:rsidRPr="00100EC6">
        <w:rPr>
          <w:lang w:val="pl-PL"/>
        </w:rPr>
        <w:t>Henkel na osiągnięcie dalszych oszczędności – spółka oczekuje, że działa</w:t>
      </w:r>
      <w:r w:rsidRPr="00100EC6">
        <w:rPr>
          <w:lang w:val="pl-PL"/>
        </w:rPr>
        <w:t>ni</w:t>
      </w:r>
      <w:r w:rsidR="00FB061C">
        <w:rPr>
          <w:lang w:val="pl-PL"/>
        </w:rPr>
        <w:t>a</w:t>
      </w:r>
      <w:r w:rsidRPr="00100EC6">
        <w:rPr>
          <w:lang w:val="pl-PL"/>
        </w:rPr>
        <w:t xml:space="preserve"> te przyniosą oszczędności netto (przed reinwestycją) w wysokości co najmniej 400 mln euro do końca 2026 r. Ponadto Henkel nadal koncentrował swoje działania na portfolio sektora biznesowego Consumer </w:t>
      </w:r>
      <w:proofErr w:type="spellStart"/>
      <w:r w:rsidRPr="00100EC6">
        <w:rPr>
          <w:lang w:val="pl-PL"/>
        </w:rPr>
        <w:t>Brands</w:t>
      </w:r>
      <w:proofErr w:type="spellEnd"/>
      <w:r w:rsidRPr="00100EC6">
        <w:rPr>
          <w:lang w:val="pl-PL"/>
        </w:rPr>
        <w:t xml:space="preserve"> (marki konsumenckie). Od czasu zapowiedzi połą</w:t>
      </w:r>
      <w:r w:rsidRPr="00100EC6">
        <w:rPr>
          <w:lang w:val="pl-PL"/>
        </w:rPr>
        <w:t xml:space="preserve">czenia sektorów konsumenckich sprzedano lub wycofano marki </w:t>
      </w:r>
      <w:r w:rsidRPr="00100EC6">
        <w:rPr>
          <w:lang w:val="pl-PL"/>
        </w:rPr>
        <w:t xml:space="preserve">o łącznej wartości przychodów ze sprzedaży wynoszącej ok. 0,5 miliarda euro. Jednocześnie Henkel wzmocnił swoje portfolio poprzez nabycie marki </w:t>
      </w:r>
      <w:proofErr w:type="spellStart"/>
      <w:r w:rsidRPr="00100EC6">
        <w:rPr>
          <w:lang w:val="pl-PL"/>
        </w:rPr>
        <w:t>Earthwise</w:t>
      </w:r>
      <w:proofErr w:type="spellEnd"/>
      <w:r w:rsidRPr="00100EC6">
        <w:rPr>
          <w:lang w:val="pl-PL"/>
        </w:rPr>
        <w:t xml:space="preserve"> </w:t>
      </w:r>
      <w:r w:rsidR="00FB061C">
        <w:rPr>
          <w:lang w:val="pl-PL"/>
        </w:rPr>
        <w:t xml:space="preserve">z </w:t>
      </w:r>
      <w:r w:rsidRPr="00100EC6">
        <w:rPr>
          <w:lang w:val="pl-PL"/>
        </w:rPr>
        <w:t xml:space="preserve">obszaru </w:t>
      </w:r>
      <w:proofErr w:type="spellStart"/>
      <w:r w:rsidRPr="00100EC6">
        <w:rPr>
          <w:lang w:val="pl-PL"/>
        </w:rPr>
        <w:t>Laundry</w:t>
      </w:r>
      <w:proofErr w:type="spellEnd"/>
      <w:r w:rsidRPr="00100EC6">
        <w:rPr>
          <w:lang w:val="pl-PL"/>
        </w:rPr>
        <w:t xml:space="preserve"> &amp; Home Care (</w:t>
      </w:r>
      <w:r w:rsidRPr="00100EC6">
        <w:rPr>
          <w:lang w:val="pl-PL"/>
        </w:rPr>
        <w:t xml:space="preserve">środki piorące i środki czystości) w Nowej Zelandii. Integracja nabytego przez Henkel w ubiegłym roku obszaru </w:t>
      </w:r>
      <w:proofErr w:type="spellStart"/>
      <w:r w:rsidRPr="00100EC6">
        <w:rPr>
          <w:lang w:val="pl-PL"/>
        </w:rPr>
        <w:t>Hair</w:t>
      </w:r>
      <w:proofErr w:type="spellEnd"/>
      <w:r w:rsidRPr="00100EC6">
        <w:rPr>
          <w:lang w:val="pl-PL"/>
        </w:rPr>
        <w:t xml:space="preserve"> Professional (profesjonalnych produktów do włosów) </w:t>
      </w:r>
      <w:proofErr w:type="spellStart"/>
      <w:r w:rsidRPr="00100EC6">
        <w:rPr>
          <w:lang w:val="pl-PL"/>
        </w:rPr>
        <w:t>Shiseido</w:t>
      </w:r>
      <w:proofErr w:type="spellEnd"/>
      <w:r w:rsidRPr="00100EC6">
        <w:rPr>
          <w:lang w:val="pl-PL"/>
        </w:rPr>
        <w:t xml:space="preserve"> w regionie Azji i Pacyfiku przebiega zgodnie z planem, a działalność ta notuje do</w:t>
      </w:r>
      <w:r w:rsidRPr="00100EC6">
        <w:rPr>
          <w:lang w:val="pl-PL"/>
        </w:rPr>
        <w:t xml:space="preserve">bre wyniki. </w:t>
      </w:r>
    </w:p>
    <w:p w14:paraId="31E6DA35" w14:textId="77777777" w:rsidR="00F806CF" w:rsidRPr="00100EC6" w:rsidRDefault="00C04129">
      <w:pPr>
        <w:spacing w:after="20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004E0198" w14:textId="77777777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 xml:space="preserve">Wdrożono wstępne środki w ramach zainicjowanego na początku br. drugiego etapu integracji, która koncentruje się na doskonaleniu łańcucha dostaw. Obejmują one między innymi konsolidację sieci produkcyjnej dla sektorów biznesowych </w:t>
      </w:r>
      <w:proofErr w:type="spellStart"/>
      <w:r w:rsidRPr="00100EC6">
        <w:rPr>
          <w:lang w:val="pl-PL"/>
        </w:rPr>
        <w:t>European</w:t>
      </w:r>
      <w:proofErr w:type="spellEnd"/>
      <w:r w:rsidRPr="00100EC6">
        <w:rPr>
          <w:lang w:val="pl-PL"/>
        </w:rPr>
        <w:t xml:space="preserve"> </w:t>
      </w:r>
      <w:proofErr w:type="spellStart"/>
      <w:r w:rsidRPr="00100EC6">
        <w:rPr>
          <w:lang w:val="pl-PL"/>
        </w:rPr>
        <w:t>Ha</w:t>
      </w:r>
      <w:r w:rsidRPr="00100EC6">
        <w:rPr>
          <w:lang w:val="pl-PL"/>
        </w:rPr>
        <w:t>ir</w:t>
      </w:r>
      <w:proofErr w:type="spellEnd"/>
      <w:r w:rsidRPr="00100EC6">
        <w:rPr>
          <w:lang w:val="pl-PL"/>
        </w:rPr>
        <w:t xml:space="preserve"> (produkty do włosów na rynek europejski) i Body Care (kosmetyki do pielęgnacji ciała). Ponadto w pierwszych krajach wprowadzono tzw. zasadę 1-1-1. Wiąże się to z dalszą integracją na poziomie komercyjnym poprzez optymalizację procesów logistycznych zgod</w:t>
      </w:r>
      <w:r w:rsidRPr="00100EC6">
        <w:rPr>
          <w:lang w:val="pl-PL"/>
        </w:rPr>
        <w:t xml:space="preserve">nie z zasadą „one face to the </w:t>
      </w:r>
      <w:proofErr w:type="spellStart"/>
      <w:r w:rsidRPr="00100EC6">
        <w:rPr>
          <w:lang w:val="pl-PL"/>
        </w:rPr>
        <w:t>customer</w:t>
      </w:r>
      <w:proofErr w:type="spellEnd"/>
      <w:r w:rsidRPr="00100EC6">
        <w:rPr>
          <w:lang w:val="pl-PL"/>
        </w:rPr>
        <w:t xml:space="preserve">” (jedno zamówienie, jedna dostawa, jedna faktura). </w:t>
      </w:r>
    </w:p>
    <w:p w14:paraId="4B9FCBA1" w14:textId="77777777" w:rsidR="00F806CF" w:rsidRPr="00100EC6" w:rsidRDefault="00C04129">
      <w:pPr>
        <w:spacing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4C53CE29" w14:textId="77777777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 xml:space="preserve">W pierwszym półroczu 2023 r. Henkel zoptymalizował </w:t>
      </w:r>
      <w:r w:rsidRPr="00100EC6">
        <w:rPr>
          <w:b/>
          <w:bCs/>
          <w:lang w:val="pl-PL"/>
        </w:rPr>
        <w:t xml:space="preserve">strukturę organizacyjną </w:t>
      </w:r>
      <w:r w:rsidRPr="00100EC6">
        <w:rPr>
          <w:lang w:val="pl-PL"/>
        </w:rPr>
        <w:t xml:space="preserve">sektora biznesowego </w:t>
      </w:r>
      <w:proofErr w:type="spellStart"/>
      <w:r w:rsidRPr="00100EC6">
        <w:rPr>
          <w:b/>
          <w:bCs/>
          <w:lang w:val="pl-PL"/>
        </w:rPr>
        <w:t>Adhesive</w:t>
      </w:r>
      <w:proofErr w:type="spellEnd"/>
      <w:r w:rsidRPr="00100EC6">
        <w:rPr>
          <w:b/>
          <w:bCs/>
          <w:lang w:val="pl-PL"/>
        </w:rPr>
        <w:t xml:space="preserve"> Technologies </w:t>
      </w:r>
      <w:r w:rsidRPr="00100EC6">
        <w:rPr>
          <w:lang w:val="pl-PL"/>
        </w:rPr>
        <w:t xml:space="preserve">(kleje budowlane i konsumenckie oraz kleje i technologie dla przemysłu). Umożliwi to jeszcze bardziej skuteczne wykorzystanie korzyści skali i posiadanych kompetencji w trzech obszarach biznesowych: </w:t>
      </w:r>
      <w:proofErr w:type="spellStart"/>
      <w:r w:rsidRPr="00100EC6">
        <w:rPr>
          <w:lang w:val="pl-PL"/>
        </w:rPr>
        <w:t>Mobility</w:t>
      </w:r>
      <w:proofErr w:type="spellEnd"/>
      <w:r w:rsidRPr="00100EC6">
        <w:rPr>
          <w:lang w:val="pl-PL"/>
        </w:rPr>
        <w:t xml:space="preserve"> &amp; Electronics (produkty dla branży mobilności i </w:t>
      </w:r>
      <w:r w:rsidRPr="00100EC6">
        <w:rPr>
          <w:lang w:val="pl-PL"/>
        </w:rPr>
        <w:t xml:space="preserve">branży elektronicznej), </w:t>
      </w:r>
      <w:proofErr w:type="spellStart"/>
      <w:r w:rsidRPr="00100EC6">
        <w:rPr>
          <w:lang w:val="pl-PL"/>
        </w:rPr>
        <w:t>Packaging</w:t>
      </w:r>
      <w:proofErr w:type="spellEnd"/>
      <w:r w:rsidRPr="00100EC6">
        <w:rPr>
          <w:lang w:val="pl-PL"/>
        </w:rPr>
        <w:t xml:space="preserve"> &amp; Consumer </w:t>
      </w:r>
      <w:proofErr w:type="spellStart"/>
      <w:r w:rsidRPr="00100EC6">
        <w:rPr>
          <w:lang w:val="pl-PL"/>
        </w:rPr>
        <w:t>Goods</w:t>
      </w:r>
      <w:proofErr w:type="spellEnd"/>
      <w:r w:rsidRPr="00100EC6">
        <w:rPr>
          <w:lang w:val="pl-PL"/>
        </w:rPr>
        <w:t xml:space="preserve"> (produkty dla branży opakowań i towarów konsumpcyjnych) oraz </w:t>
      </w:r>
      <w:proofErr w:type="spellStart"/>
      <w:r w:rsidRPr="00100EC6">
        <w:rPr>
          <w:lang w:val="pl-PL"/>
        </w:rPr>
        <w:t>Craftsmen</w:t>
      </w:r>
      <w:proofErr w:type="spellEnd"/>
      <w:r w:rsidRPr="00100EC6">
        <w:rPr>
          <w:lang w:val="pl-PL"/>
        </w:rPr>
        <w:t>, Construction &amp; Professional (produkty dla branży rzemieślniczej, budowlanej i klientów profesjonalnych), przy jednoczesnym zapewnieni</w:t>
      </w:r>
      <w:r w:rsidRPr="00100EC6">
        <w:rPr>
          <w:lang w:val="pl-PL"/>
        </w:rPr>
        <w:t xml:space="preserve">u bliskości do klientów i rynków. </w:t>
      </w:r>
    </w:p>
    <w:p w14:paraId="4618C79F" w14:textId="77777777" w:rsidR="00F806CF" w:rsidRPr="00100EC6" w:rsidRDefault="00C04129">
      <w:pPr>
        <w:spacing w:after="20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3FAEF89A" w14:textId="77777777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 xml:space="preserve">W celu dalszego zwiększenia </w:t>
      </w:r>
      <w:r w:rsidRPr="00100EC6">
        <w:rPr>
          <w:b/>
          <w:bCs/>
          <w:lang w:val="pl-PL"/>
        </w:rPr>
        <w:t>konkurencyjności</w:t>
      </w:r>
      <w:r w:rsidRPr="00100EC6">
        <w:rPr>
          <w:lang w:val="pl-PL"/>
        </w:rPr>
        <w:t xml:space="preserve">, Henkel koncentruje się na </w:t>
      </w:r>
      <w:r w:rsidRPr="00100EC6">
        <w:rPr>
          <w:b/>
          <w:bCs/>
          <w:lang w:val="pl-PL"/>
        </w:rPr>
        <w:t>innowacyjnych</w:t>
      </w:r>
      <w:r w:rsidRPr="00100EC6">
        <w:rPr>
          <w:lang w:val="pl-PL"/>
        </w:rPr>
        <w:t xml:space="preserve"> </w:t>
      </w:r>
      <w:r w:rsidRPr="00100EC6">
        <w:rPr>
          <w:b/>
          <w:bCs/>
          <w:lang w:val="pl-PL"/>
        </w:rPr>
        <w:t>rozwiązaniach</w:t>
      </w:r>
      <w:r w:rsidRPr="00100EC6">
        <w:rPr>
          <w:lang w:val="pl-PL"/>
        </w:rPr>
        <w:t xml:space="preserve"> w atrakcyjnych obszarach biznesowych, które po raz kolejny przyczyniły się do wzrostu w obu sektorach biznesowych w pie</w:t>
      </w:r>
      <w:r w:rsidRPr="00100EC6">
        <w:rPr>
          <w:lang w:val="pl-PL"/>
        </w:rPr>
        <w:t xml:space="preserve">rwszej połowie 2023 r. Przykładowo, w sektorze biznesowym </w:t>
      </w:r>
      <w:proofErr w:type="spellStart"/>
      <w:r w:rsidRPr="00100EC6">
        <w:rPr>
          <w:b/>
          <w:bCs/>
          <w:lang w:val="pl-PL"/>
        </w:rPr>
        <w:t>Adhesive</w:t>
      </w:r>
      <w:proofErr w:type="spellEnd"/>
      <w:r w:rsidRPr="00100EC6">
        <w:rPr>
          <w:b/>
          <w:bCs/>
          <w:lang w:val="pl-PL"/>
        </w:rPr>
        <w:t xml:space="preserve"> Technologies </w:t>
      </w:r>
      <w:r w:rsidRPr="00100EC6">
        <w:rPr>
          <w:lang w:val="pl-PL"/>
        </w:rPr>
        <w:t xml:space="preserve">(kleje budowlane i konsumenckie oraz kleje i technologie </w:t>
      </w:r>
      <w:r w:rsidRPr="00100EC6">
        <w:rPr>
          <w:lang w:val="pl-PL"/>
        </w:rPr>
        <w:lastRenderedPageBreak/>
        <w:t>dla przemysłu), w zakresie innowacyjnych rozwiązań firmy Henkel wykorzystywanych w produkcji pojazdów elektrycznych odn</w:t>
      </w:r>
      <w:r w:rsidRPr="00100EC6">
        <w:rPr>
          <w:lang w:val="pl-PL"/>
        </w:rPr>
        <w:t xml:space="preserve">otowano wzrost sprzedaży w ujęciu organicznym o ok. 70% w pierwszej połowie br. w porównaniu z analogicznym okresem ubiegłego roku. W sektorze biznesowym Consumer </w:t>
      </w:r>
      <w:proofErr w:type="spellStart"/>
      <w:r w:rsidRPr="00100EC6">
        <w:rPr>
          <w:lang w:val="pl-PL"/>
        </w:rPr>
        <w:t>Brands</w:t>
      </w:r>
      <w:proofErr w:type="spellEnd"/>
      <w:r w:rsidRPr="00100EC6">
        <w:rPr>
          <w:lang w:val="pl-PL"/>
        </w:rPr>
        <w:t xml:space="preserve"> (marki konsumenckie) osiągnięto dwucyfrowy wzrost sprzedaży marki Persil w ujęciu orga</w:t>
      </w:r>
      <w:r w:rsidRPr="00100EC6">
        <w:rPr>
          <w:lang w:val="pl-PL"/>
        </w:rPr>
        <w:t xml:space="preserve">nicznym dzięki ponownemu wprowadzeniu na rynki 30 krajów produktów tej marki zawierających unikalną nową technologię enzymatyczną. </w:t>
      </w:r>
    </w:p>
    <w:p w14:paraId="3683FD9E" w14:textId="77777777" w:rsidR="00F806CF" w:rsidRPr="00100EC6" w:rsidRDefault="00C04129">
      <w:pPr>
        <w:spacing w:after="19" w:line="259" w:lineRule="auto"/>
        <w:ind w:left="0" w:firstLine="0"/>
        <w:jc w:val="left"/>
        <w:rPr>
          <w:lang w:val="pl-PL"/>
        </w:rPr>
      </w:pPr>
      <w:r w:rsidRPr="00100EC6">
        <w:rPr>
          <w:b/>
          <w:bCs/>
          <w:lang w:val="pl-PL"/>
        </w:rPr>
        <w:t xml:space="preserve"> </w:t>
      </w:r>
    </w:p>
    <w:p w14:paraId="00A56FCB" w14:textId="77777777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 xml:space="preserve">Henkel dokonał również istotnych postępów w dziedzinie </w:t>
      </w:r>
      <w:r w:rsidRPr="00100EC6">
        <w:rPr>
          <w:b/>
          <w:bCs/>
          <w:lang w:val="pl-PL"/>
        </w:rPr>
        <w:t>zrównoważonego rozwoju</w:t>
      </w:r>
      <w:r w:rsidRPr="00100EC6">
        <w:rPr>
          <w:lang w:val="pl-PL"/>
        </w:rPr>
        <w:t>. Przykładowo, w celu zmniejszenia śladu węgl</w:t>
      </w:r>
      <w:r w:rsidRPr="00100EC6">
        <w:rPr>
          <w:lang w:val="pl-PL"/>
        </w:rPr>
        <w:t>owego zakładów produkcyjnych do 2030 r., w pierwszej połowie 2023 r. w dziesięciu kolejnych zakładach Henkel wprowadził zmiany pozwalające na osiągnięcie w procesach produkcyjnych neutralności pod względem emisji CO</w:t>
      </w:r>
      <w:r w:rsidRPr="00100EC6">
        <w:rPr>
          <w:vertAlign w:val="subscript"/>
          <w:lang w:val="pl-PL"/>
        </w:rPr>
        <w:t>2</w:t>
      </w:r>
      <w:r w:rsidRPr="00100EC6">
        <w:rPr>
          <w:lang w:val="pl-PL"/>
        </w:rPr>
        <w:t>. Henkel kontynuuje również realizację w</w:t>
      </w:r>
      <w:r w:rsidRPr="00100EC6">
        <w:rPr>
          <w:lang w:val="pl-PL"/>
        </w:rPr>
        <w:t xml:space="preserve">ażnych inicjatyw w obszarze </w:t>
      </w:r>
      <w:r w:rsidRPr="00100EC6">
        <w:rPr>
          <w:b/>
          <w:bCs/>
          <w:lang w:val="pl-PL"/>
        </w:rPr>
        <w:t>cyfryzacji</w:t>
      </w:r>
      <w:r w:rsidRPr="00100EC6">
        <w:rPr>
          <w:lang w:val="pl-PL"/>
        </w:rPr>
        <w:t xml:space="preserve">, gdzie coraz większą rolę odgrywa wykorzystanie sztucznej inteligencji. </w:t>
      </w:r>
    </w:p>
    <w:p w14:paraId="65BE669B" w14:textId="77777777" w:rsidR="00F806CF" w:rsidRPr="00100EC6" w:rsidRDefault="00C04129">
      <w:pPr>
        <w:spacing w:after="20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54733A6D" w14:textId="77777777" w:rsidR="00F806CF" w:rsidRPr="00100EC6" w:rsidRDefault="00C04129">
      <w:pPr>
        <w:ind w:left="-5" w:right="-10"/>
        <w:rPr>
          <w:lang w:val="pl-PL"/>
        </w:rPr>
      </w:pPr>
      <w:r w:rsidRPr="00100EC6">
        <w:rPr>
          <w:lang w:val="pl-PL"/>
        </w:rPr>
        <w:t>– Ogólnie rzecz biorąc jesteśmy dumni z wyników osiągniętych w pierwszym półroczu i znacznych postępów, jakie poczyniliśmy w realizacji naszeg</w:t>
      </w:r>
      <w:r w:rsidRPr="00100EC6">
        <w:rPr>
          <w:lang w:val="pl-PL"/>
        </w:rPr>
        <w:t xml:space="preserve">o strategicznego planu pomimo utrzymującego się niesprzyjającego otoczenia gospodarczego – powiedział </w:t>
      </w:r>
      <w:proofErr w:type="spellStart"/>
      <w:r w:rsidRPr="00100EC6">
        <w:rPr>
          <w:lang w:val="pl-PL"/>
        </w:rPr>
        <w:t>Carsten</w:t>
      </w:r>
      <w:proofErr w:type="spellEnd"/>
      <w:r w:rsidRPr="00100EC6">
        <w:rPr>
          <w:lang w:val="pl-PL"/>
        </w:rPr>
        <w:t xml:space="preserve"> </w:t>
      </w:r>
      <w:proofErr w:type="spellStart"/>
      <w:r w:rsidRPr="00100EC6">
        <w:rPr>
          <w:lang w:val="pl-PL"/>
        </w:rPr>
        <w:t>Knobel</w:t>
      </w:r>
      <w:proofErr w:type="spellEnd"/>
      <w:r w:rsidRPr="00100EC6">
        <w:rPr>
          <w:lang w:val="pl-PL"/>
        </w:rPr>
        <w:t>. – Jesteśmy przekonani, że z powodzeniem będziemy kształtować przyszłość firmy Henkel. Razem, jako wysoce zmotywowany zespół z jasno określ</w:t>
      </w:r>
      <w:r w:rsidRPr="00100EC6">
        <w:rPr>
          <w:lang w:val="pl-PL"/>
        </w:rPr>
        <w:t xml:space="preserve">oną strategią rozwoju, połączony silną kulturą korporacyjną. W sektorze </w:t>
      </w:r>
      <w:proofErr w:type="spellStart"/>
      <w:r w:rsidRPr="00100EC6">
        <w:rPr>
          <w:lang w:val="pl-PL"/>
        </w:rPr>
        <w:t>Adhesive</w:t>
      </w:r>
      <w:proofErr w:type="spellEnd"/>
      <w:r w:rsidRPr="00100EC6">
        <w:rPr>
          <w:lang w:val="pl-PL"/>
        </w:rPr>
        <w:t xml:space="preserve"> Technologies zajmujemy pozycję globalnego lidera oferującego innowacyjne rozwiązania koncentrujące się na trendach przyszłości, takich jak mobilność, łączność czy zrównoważony</w:t>
      </w:r>
      <w:r w:rsidRPr="00100EC6">
        <w:rPr>
          <w:lang w:val="pl-PL"/>
        </w:rPr>
        <w:t xml:space="preserve"> rozwój, natomiast powstanie nowego sektora biznesowego Consumer </w:t>
      </w:r>
      <w:proofErr w:type="spellStart"/>
      <w:r w:rsidRPr="00100EC6">
        <w:rPr>
          <w:lang w:val="pl-PL"/>
        </w:rPr>
        <w:t>Brands</w:t>
      </w:r>
      <w:proofErr w:type="spellEnd"/>
      <w:r w:rsidRPr="00100EC6">
        <w:rPr>
          <w:lang w:val="pl-PL"/>
        </w:rPr>
        <w:t xml:space="preserve"> położyło podwaliny pod dalszy rentowny wzrost naszej działalności w obszarze towarów konsumenckich. </w:t>
      </w:r>
    </w:p>
    <w:p w14:paraId="63953F0A" w14:textId="77777777" w:rsidR="00F806CF" w:rsidRPr="00100EC6" w:rsidRDefault="00C04129">
      <w:pPr>
        <w:spacing w:line="259" w:lineRule="auto"/>
        <w:ind w:left="0" w:firstLine="0"/>
        <w:jc w:val="left"/>
        <w:rPr>
          <w:lang w:val="pl-PL"/>
        </w:rPr>
      </w:pPr>
      <w:r w:rsidRPr="00100EC6">
        <w:rPr>
          <w:b/>
          <w:bCs/>
          <w:sz w:val="18"/>
          <w:lang w:val="pl-PL"/>
        </w:rPr>
        <w:t xml:space="preserve"> </w:t>
      </w:r>
    </w:p>
    <w:p w14:paraId="6FA03B7F" w14:textId="77777777" w:rsidR="00F806CF" w:rsidRPr="00100EC6" w:rsidRDefault="00C04129">
      <w:pPr>
        <w:spacing w:after="16" w:line="259" w:lineRule="auto"/>
        <w:ind w:left="0" w:firstLine="0"/>
        <w:jc w:val="left"/>
        <w:rPr>
          <w:lang w:val="pl-PL"/>
        </w:rPr>
      </w:pPr>
      <w:r w:rsidRPr="00100EC6">
        <w:rPr>
          <w:b/>
          <w:bCs/>
          <w:sz w:val="18"/>
          <w:lang w:val="pl-PL"/>
        </w:rPr>
        <w:t xml:space="preserve"> </w:t>
      </w:r>
    </w:p>
    <w:p w14:paraId="7117614F" w14:textId="77777777" w:rsidR="00F806CF" w:rsidRPr="00100EC6" w:rsidRDefault="00C04129">
      <w:pPr>
        <w:spacing w:after="15" w:line="259" w:lineRule="auto"/>
        <w:ind w:left="0" w:firstLine="0"/>
        <w:jc w:val="left"/>
        <w:rPr>
          <w:lang w:val="pl-PL"/>
        </w:rPr>
      </w:pPr>
      <w:r w:rsidRPr="00100EC6">
        <w:rPr>
          <w:b/>
          <w:bCs/>
          <w:sz w:val="18"/>
          <w:lang w:val="pl-PL"/>
        </w:rPr>
        <w:t xml:space="preserve"> </w:t>
      </w:r>
    </w:p>
    <w:p w14:paraId="28FCFC60" w14:textId="77777777" w:rsidR="00F806CF" w:rsidRPr="00100EC6" w:rsidRDefault="00C04129">
      <w:pPr>
        <w:pStyle w:val="Nagwek2"/>
        <w:ind w:left="-5"/>
        <w:rPr>
          <w:lang w:val="pl-PL"/>
        </w:rPr>
      </w:pPr>
      <w:r w:rsidRPr="00100EC6">
        <w:rPr>
          <w:bCs/>
          <w:lang w:val="pl-PL"/>
        </w:rPr>
        <w:t>O Henkel</w:t>
      </w:r>
      <w:r w:rsidRPr="00100EC6">
        <w:rPr>
          <w:b w:val="0"/>
          <w:lang w:val="pl-PL"/>
        </w:rPr>
        <w:t xml:space="preserve"> </w:t>
      </w:r>
    </w:p>
    <w:p w14:paraId="0C6ABF47" w14:textId="05F8D266" w:rsidR="00F806CF" w:rsidRPr="00100EC6" w:rsidRDefault="00C04129">
      <w:pPr>
        <w:spacing w:after="44" w:line="274" w:lineRule="auto"/>
        <w:ind w:left="0" w:right="3" w:firstLine="0"/>
        <w:rPr>
          <w:lang w:val="pl-PL"/>
        </w:rPr>
      </w:pPr>
      <w:r w:rsidRPr="00100EC6">
        <w:rPr>
          <w:sz w:val="18"/>
          <w:lang w:val="pl-PL"/>
        </w:rPr>
        <w:t>Dzięki swoim markom, innowacyjności i posiadanym technologiom, Henk</w:t>
      </w:r>
      <w:r w:rsidRPr="00100EC6">
        <w:rPr>
          <w:sz w:val="18"/>
          <w:lang w:val="pl-PL"/>
        </w:rPr>
        <w:t xml:space="preserve">el zajmuje czołową pozycję na świecie zarówno w segmencie klientów przemysłowych, jak i konsumentów indywidualnych. Sektor biznesowy </w:t>
      </w:r>
      <w:proofErr w:type="spellStart"/>
      <w:r w:rsidRPr="00100EC6">
        <w:rPr>
          <w:sz w:val="18"/>
          <w:lang w:val="pl-PL"/>
        </w:rPr>
        <w:t>Adhesive</w:t>
      </w:r>
      <w:proofErr w:type="spellEnd"/>
      <w:r w:rsidRPr="00100EC6">
        <w:rPr>
          <w:sz w:val="18"/>
          <w:lang w:val="pl-PL"/>
        </w:rPr>
        <w:t xml:space="preserve"> Technologies jest globalnym liderem rynku klejów, uszczelniaczy oraz powłok funkcyjnych. Dzięki sektorowi Consumer</w:t>
      </w:r>
      <w:r w:rsidRPr="00100EC6">
        <w:rPr>
          <w:sz w:val="18"/>
          <w:lang w:val="pl-PL"/>
        </w:rPr>
        <w:t xml:space="preserve"> </w:t>
      </w:r>
      <w:proofErr w:type="spellStart"/>
      <w:r w:rsidRPr="00100EC6">
        <w:rPr>
          <w:sz w:val="18"/>
          <w:lang w:val="pl-PL"/>
        </w:rPr>
        <w:t>Brands</w:t>
      </w:r>
      <w:proofErr w:type="spellEnd"/>
      <w:r w:rsidRPr="00100EC6">
        <w:rPr>
          <w:sz w:val="18"/>
          <w:lang w:val="pl-PL"/>
        </w:rPr>
        <w:t>, spółka zajmuje czołową pozycję zwłaszcza w segmentach produktów do pielęgnacji włosów oraz środków piorących i czystości na wielu rynkach i w wielu kategoriach na całym świecie. Trzy najsilniejsze marki należące do Henkel to Loctite, Persil i Schw</w:t>
      </w:r>
      <w:r w:rsidRPr="00100EC6">
        <w:rPr>
          <w:sz w:val="18"/>
          <w:lang w:val="pl-PL"/>
        </w:rPr>
        <w:t>arzkopf. W roku obrotowym 2022 Henkel osiągnął przychody ze sprzedaży na poziomie ponad 22 mld euro oraz skorygowany zysk z działalności operacyjnej w wysokości około 2,3 mld euro. Akcje uprzywilejowane spółki wchodzą w skład niemieckiego indeksu giełdoweg</w:t>
      </w:r>
      <w:r w:rsidRPr="00100EC6">
        <w:rPr>
          <w:sz w:val="18"/>
          <w:lang w:val="pl-PL"/>
        </w:rPr>
        <w:t>o DAX. Od wielu lat kwestie zrównoważonego rozwoju zajmują ważne miejsce w strategii Henkel, która obejmuje jasno określone cele w tym obszarze. Firma Henkel została założona w 1876 roku i obecnie zatrudnia na całym świecie ponad 50.000 pracowników, tworzą</w:t>
      </w:r>
      <w:r w:rsidRPr="00100EC6">
        <w:rPr>
          <w:sz w:val="18"/>
          <w:lang w:val="pl-PL"/>
        </w:rPr>
        <w:t>cych zaangażowany i zróżnicowany zespół, który łączy silna kultura korporacyjna, wspólny system wartości oraz jeden cel:</w:t>
      </w:r>
      <w:r w:rsidR="00570DAC" w:rsidRPr="00100EC6">
        <w:rPr>
          <w:sz w:val="18"/>
          <w:lang w:val="pl-PL"/>
        </w:rPr>
        <w:t xml:space="preserve"> </w:t>
      </w:r>
      <w:r w:rsidRPr="00100EC6">
        <w:rPr>
          <w:sz w:val="18"/>
          <w:lang w:val="pl-PL"/>
        </w:rPr>
        <w:t xml:space="preserve">„Pionierski duch dla dobra pokoleń”. Więcej informacji znajduje się na stronie </w:t>
      </w:r>
      <w:r w:rsidRPr="00100EC6">
        <w:rPr>
          <w:color w:val="0000FF"/>
          <w:sz w:val="18"/>
          <w:u w:val="single"/>
          <w:lang w:val="pl-PL"/>
        </w:rPr>
        <w:t>www.henkel.com</w:t>
      </w:r>
      <w:r w:rsidR="00570DAC" w:rsidRPr="00100EC6">
        <w:rPr>
          <w:sz w:val="18"/>
          <w:lang w:val="pl-PL"/>
        </w:rPr>
        <w:t xml:space="preserve"> </w:t>
      </w:r>
    </w:p>
    <w:p w14:paraId="7638B672" w14:textId="77777777" w:rsidR="00F806CF" w:rsidRPr="00100EC6" w:rsidRDefault="00C04129">
      <w:pPr>
        <w:spacing w:after="19"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78BC2155" w14:textId="77777777" w:rsidR="00F806CF" w:rsidRPr="00100EC6" w:rsidRDefault="00C04129">
      <w:pPr>
        <w:spacing w:line="259" w:lineRule="auto"/>
        <w:ind w:left="0" w:firstLine="0"/>
        <w:jc w:val="left"/>
        <w:rPr>
          <w:lang w:val="pl-PL"/>
        </w:rPr>
      </w:pPr>
      <w:r w:rsidRPr="00100EC6">
        <w:rPr>
          <w:lang w:val="pl-PL"/>
        </w:rPr>
        <w:t xml:space="preserve"> </w:t>
      </w:r>
    </w:p>
    <w:p w14:paraId="6457A5B3" w14:textId="2CCD0492" w:rsidR="00F806CF" w:rsidRPr="00100EC6" w:rsidRDefault="00C04129">
      <w:pPr>
        <w:spacing w:after="159" w:line="239" w:lineRule="auto"/>
        <w:ind w:left="-5"/>
        <w:jc w:val="left"/>
        <w:rPr>
          <w:lang w:val="pl-PL"/>
        </w:rPr>
      </w:pPr>
      <w:r w:rsidRPr="00100EC6">
        <w:rPr>
          <w:sz w:val="14"/>
          <w:lang w:val="pl-PL"/>
        </w:rPr>
        <w:lastRenderedPageBreak/>
        <w:t>Niniejszy dokument zawiera stwierdzenia dotyczące przyszłego rozwoju działalności, wyników finansowych i innych zdarzeń mających znaczenie dla Henkel, które mogą stanowić stwierdzenia dotyczące przyszłości. Stwierdzenia odnoszące się do przyszłości charakt</w:t>
      </w:r>
      <w:r w:rsidRPr="00100EC6">
        <w:rPr>
          <w:sz w:val="14"/>
          <w:lang w:val="pl-PL"/>
        </w:rPr>
        <w:t xml:space="preserve">eryzują się użyciem słów takich, jak „oczekiwać”, „zamierzać”, „planować”, „przewidywać”, „uważać”, „szacować” i podobnych wyrażeń. Stwierdzenia te sformułowane są na podstawie aktualnych założeń i szacunków zarządu Henkel AG &amp; Co. </w:t>
      </w:r>
      <w:proofErr w:type="spellStart"/>
      <w:r w:rsidRPr="00100EC6">
        <w:rPr>
          <w:sz w:val="14"/>
          <w:lang w:val="pl-PL"/>
        </w:rPr>
        <w:t>KGaA</w:t>
      </w:r>
      <w:proofErr w:type="spellEnd"/>
      <w:r w:rsidRPr="00100EC6">
        <w:rPr>
          <w:sz w:val="14"/>
          <w:lang w:val="pl-PL"/>
        </w:rPr>
        <w:t>.</w:t>
      </w:r>
      <w:r w:rsidR="00570DAC" w:rsidRPr="00100EC6">
        <w:rPr>
          <w:sz w:val="14"/>
          <w:lang w:val="pl-PL"/>
        </w:rPr>
        <w:t xml:space="preserve"> </w:t>
      </w:r>
      <w:r w:rsidRPr="00100EC6">
        <w:rPr>
          <w:sz w:val="14"/>
          <w:lang w:val="pl-PL"/>
        </w:rPr>
        <w:t>Stwierdzeń dotyczą</w:t>
      </w:r>
      <w:r w:rsidRPr="00100EC6">
        <w:rPr>
          <w:sz w:val="14"/>
          <w:lang w:val="pl-PL"/>
        </w:rPr>
        <w:t xml:space="preserve">cych przyszłości nie należy jednak traktować jako gwarancji, że określone założenia czy oczekiwania okażą się trafne. Faktyczne przyszłe wyniki spółki Henkel AG &amp; Co. </w:t>
      </w:r>
      <w:proofErr w:type="spellStart"/>
      <w:r w:rsidRPr="00100EC6">
        <w:rPr>
          <w:sz w:val="14"/>
          <w:lang w:val="pl-PL"/>
        </w:rPr>
        <w:t>KGaA</w:t>
      </w:r>
      <w:proofErr w:type="spellEnd"/>
      <w:r w:rsidRPr="00100EC6">
        <w:rPr>
          <w:sz w:val="14"/>
          <w:lang w:val="pl-PL"/>
        </w:rPr>
        <w:t xml:space="preserve"> i jej podmiotów powiązanych uzależnione są od szeregu czynników ryzyka i niepewności</w:t>
      </w:r>
      <w:r w:rsidRPr="00100EC6">
        <w:rPr>
          <w:sz w:val="14"/>
          <w:lang w:val="pl-PL"/>
        </w:rPr>
        <w:t>, w związku z czym mogą one istotnie odbiegać (in plus lub in minus) od wyników wskazanych w stwierdzeniach dotyczących przyszłości. Na wiele z tych czynników, np. przyszłą sytuację gospodarczą czy działania konkurencji i innych uczestników rynku, Henkel n</w:t>
      </w:r>
      <w:r w:rsidRPr="00100EC6">
        <w:rPr>
          <w:sz w:val="14"/>
          <w:lang w:val="pl-PL"/>
        </w:rPr>
        <w:t xml:space="preserve">ie ma wpływu, a ich dokładne przewidzenie nie jest możliwe. Henkel nie zamierza ani nie podejmuje się aktualizować stwierdzeń dotyczących przyszłości. </w:t>
      </w:r>
    </w:p>
    <w:p w14:paraId="117CAC8E" w14:textId="77777777" w:rsidR="00F806CF" w:rsidRPr="00100EC6" w:rsidRDefault="00C04129">
      <w:pPr>
        <w:spacing w:after="159" w:line="238" w:lineRule="auto"/>
        <w:ind w:left="0" w:right="79" w:firstLine="0"/>
        <w:rPr>
          <w:lang w:val="pl-PL"/>
        </w:rPr>
      </w:pPr>
      <w:r w:rsidRPr="00100EC6">
        <w:rPr>
          <w:sz w:val="14"/>
          <w:lang w:val="pl-PL"/>
        </w:rPr>
        <w:t>Niniejszy dokument zawiera dodatkowe wskaźniki finansowe, które nie zostały zdefiniowane wyraźnie w obow</w:t>
      </w:r>
      <w:r w:rsidRPr="00100EC6">
        <w:rPr>
          <w:sz w:val="14"/>
          <w:lang w:val="pl-PL"/>
        </w:rPr>
        <w:t xml:space="preserve">iązujących zasadach sprawozdawczości finansowej i które stanowią lub mogą stanowić alternatywne mierniki wyników. Takie dodatkowe wskaźniki finansowe nie powinny być analizowane w oderwaniu od wskaźników prezentujących aktywa netto, sytuację finansową lub </w:t>
      </w:r>
      <w:r w:rsidRPr="00100EC6">
        <w:rPr>
          <w:sz w:val="14"/>
          <w:lang w:val="pl-PL"/>
        </w:rPr>
        <w:t>wyniki działalności Henkel, które zostały przedstawione zgodnie z obowiązującymi zasadami sprawozdawczości finansowej w skonsolidowanym sprawozdaniu finansowym spółki, ani traktowane jako alternatywa dla tych wskaźników. Podobnie nazwane Alternatywne Pomia</w:t>
      </w:r>
      <w:r w:rsidRPr="00100EC6">
        <w:rPr>
          <w:sz w:val="14"/>
          <w:lang w:val="pl-PL"/>
        </w:rPr>
        <w:t xml:space="preserve">ry Wyników podawane lub opisywane przez inne spółki mogą być obliczane w inny sposób. </w:t>
      </w:r>
    </w:p>
    <w:p w14:paraId="76F485F8" w14:textId="77777777" w:rsidR="00F806CF" w:rsidRPr="00100EC6" w:rsidRDefault="00C04129">
      <w:pPr>
        <w:spacing w:after="201" w:line="239" w:lineRule="auto"/>
        <w:ind w:left="-5"/>
        <w:jc w:val="left"/>
        <w:rPr>
          <w:lang w:val="pl-PL"/>
        </w:rPr>
      </w:pPr>
      <w:r w:rsidRPr="00100EC6">
        <w:rPr>
          <w:sz w:val="14"/>
          <w:lang w:val="pl-PL"/>
        </w:rPr>
        <w:t>Niniejszy dokument ma charakter wyłącznie informacyjny i nie stanowi porady inwestycyjnej ani oferty sprzedaży lub zaproszenia do składania ofert nabycia jakichkolwiek p</w:t>
      </w:r>
      <w:r w:rsidRPr="00100EC6">
        <w:rPr>
          <w:sz w:val="14"/>
          <w:lang w:val="pl-PL"/>
        </w:rPr>
        <w:t xml:space="preserve">apierów wartościowych. </w:t>
      </w:r>
    </w:p>
    <w:p w14:paraId="1DC478C0" w14:textId="77777777" w:rsidR="00F806CF" w:rsidRPr="00100EC6" w:rsidRDefault="00C04129">
      <w:pPr>
        <w:spacing w:line="259" w:lineRule="auto"/>
        <w:ind w:left="0" w:firstLine="0"/>
        <w:jc w:val="left"/>
        <w:rPr>
          <w:lang w:val="pl-PL"/>
        </w:rPr>
      </w:pPr>
      <w:r w:rsidRPr="00100EC6">
        <w:rPr>
          <w:b/>
          <w:bCs/>
          <w:sz w:val="18"/>
          <w:lang w:val="pl-PL"/>
        </w:rPr>
        <w:t xml:space="preserve"> </w:t>
      </w:r>
    </w:p>
    <w:p w14:paraId="155928C2" w14:textId="77777777" w:rsidR="00F806CF" w:rsidRPr="00100EC6" w:rsidRDefault="00C04129">
      <w:pPr>
        <w:spacing w:line="259" w:lineRule="auto"/>
        <w:ind w:left="0" w:firstLine="0"/>
        <w:jc w:val="left"/>
        <w:rPr>
          <w:lang w:val="pl-PL"/>
        </w:rPr>
      </w:pPr>
      <w:r w:rsidRPr="00100EC6">
        <w:rPr>
          <w:b/>
          <w:bCs/>
          <w:sz w:val="18"/>
          <w:lang w:val="pl-PL"/>
        </w:rPr>
        <w:t xml:space="preserve"> </w:t>
      </w:r>
      <w:r w:rsidRPr="00100EC6">
        <w:rPr>
          <w:b/>
          <w:bCs/>
          <w:sz w:val="18"/>
          <w:lang w:val="pl-PL"/>
        </w:rPr>
        <w:tab/>
        <w:t xml:space="preserve"> </w:t>
      </w:r>
    </w:p>
    <w:p w14:paraId="187D4723" w14:textId="77777777" w:rsidR="00F806CF" w:rsidRPr="00100EC6" w:rsidRDefault="00C04129">
      <w:pPr>
        <w:pStyle w:val="Nagwek2"/>
        <w:ind w:left="-5"/>
        <w:rPr>
          <w:lang w:val="pl-PL"/>
        </w:rPr>
      </w:pPr>
      <w:r w:rsidRPr="00100EC6">
        <w:rPr>
          <w:bCs/>
          <w:lang w:val="pl-PL"/>
        </w:rPr>
        <w:t xml:space="preserve">Kontakt: </w:t>
      </w:r>
    </w:p>
    <w:p w14:paraId="191EC715" w14:textId="77777777" w:rsidR="00F806CF" w:rsidRPr="00100EC6" w:rsidRDefault="00C04129">
      <w:pPr>
        <w:spacing w:line="259" w:lineRule="auto"/>
        <w:ind w:left="0" w:firstLine="0"/>
        <w:jc w:val="left"/>
        <w:rPr>
          <w:lang w:val="pl-PL"/>
        </w:rPr>
      </w:pPr>
      <w:r w:rsidRPr="00100EC6">
        <w:rPr>
          <w:b/>
          <w:bCs/>
          <w:sz w:val="18"/>
          <w:lang w:val="pl-PL"/>
        </w:rPr>
        <w:t xml:space="preserve"> </w:t>
      </w:r>
    </w:p>
    <w:tbl>
      <w:tblPr>
        <w:tblStyle w:val="TableGrid"/>
        <w:tblW w:w="7756" w:type="dxa"/>
        <w:tblInd w:w="0" w:type="dxa"/>
        <w:tblLook w:val="04A0" w:firstRow="1" w:lastRow="0" w:firstColumn="1" w:lastColumn="0" w:noHBand="0" w:noVBand="1"/>
      </w:tblPr>
      <w:tblGrid>
        <w:gridCol w:w="4500"/>
        <w:gridCol w:w="3256"/>
      </w:tblGrid>
      <w:tr w:rsidR="00F806CF" w:rsidRPr="00100EC6" w14:paraId="421A8769" w14:textId="77777777">
        <w:trPr>
          <w:trHeight w:val="48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CC84167" w14:textId="77777777" w:rsidR="00F806CF" w:rsidRPr="00100EC6" w:rsidRDefault="00C04129">
            <w:pPr>
              <w:spacing w:after="3"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b/>
                <w:bCs/>
                <w:sz w:val="18"/>
                <w:lang w:val="pl-PL"/>
              </w:rPr>
              <w:t>Inwestorzy i analitycy</w:t>
            </w:r>
            <w:r w:rsidRPr="00100EC6">
              <w:rPr>
                <w:sz w:val="18"/>
                <w:lang w:val="pl-PL"/>
              </w:rPr>
              <w:t xml:space="preserve"> </w:t>
            </w:r>
          </w:p>
          <w:p w14:paraId="3981DEEA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b/>
                <w:bCs/>
                <w:sz w:val="18"/>
                <w:lang w:val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6519053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b/>
                <w:bCs/>
                <w:sz w:val="18"/>
                <w:lang w:val="pl-PL"/>
              </w:rPr>
              <w:t xml:space="preserve">Prasa i media </w:t>
            </w:r>
          </w:p>
        </w:tc>
      </w:tr>
      <w:tr w:rsidR="00F806CF" w:rsidRPr="00100EC6" w14:paraId="0B6CFB47" w14:textId="77777777">
        <w:trPr>
          <w:trHeight w:val="26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EC99705" w14:textId="22B066C9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proofErr w:type="spellStart"/>
            <w:r w:rsidRPr="00100EC6">
              <w:rPr>
                <w:b/>
                <w:bCs/>
                <w:sz w:val="18"/>
                <w:lang w:val="pl-PL"/>
              </w:rPr>
              <w:t>Leslie</w:t>
            </w:r>
            <w:proofErr w:type="spellEnd"/>
            <w:r w:rsidRPr="00100EC6">
              <w:rPr>
                <w:b/>
                <w:bCs/>
                <w:sz w:val="18"/>
                <w:lang w:val="pl-PL"/>
              </w:rPr>
              <w:t xml:space="preserve"> </w:t>
            </w:r>
            <w:proofErr w:type="spellStart"/>
            <w:r w:rsidRPr="00100EC6">
              <w:rPr>
                <w:b/>
                <w:bCs/>
                <w:sz w:val="18"/>
                <w:lang w:val="pl-PL"/>
              </w:rPr>
              <w:t>Iltgen</w:t>
            </w:r>
            <w:proofErr w:type="spellEnd"/>
            <w:r w:rsidR="00570DAC" w:rsidRPr="00100EC6">
              <w:rPr>
                <w:b/>
                <w:bCs/>
                <w:sz w:val="18"/>
                <w:lang w:val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6B3666B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b/>
                <w:bCs/>
                <w:sz w:val="18"/>
                <w:lang w:val="pl-PL"/>
              </w:rPr>
              <w:t xml:space="preserve">Lars </w:t>
            </w:r>
            <w:proofErr w:type="spellStart"/>
            <w:r w:rsidRPr="00100EC6">
              <w:rPr>
                <w:b/>
                <w:bCs/>
                <w:sz w:val="18"/>
                <w:lang w:val="pl-PL"/>
              </w:rPr>
              <w:t>Witteck</w:t>
            </w:r>
            <w:proofErr w:type="spellEnd"/>
            <w:r w:rsidRPr="00100EC6">
              <w:rPr>
                <w:b/>
                <w:bCs/>
                <w:sz w:val="18"/>
                <w:lang w:val="pl-PL"/>
              </w:rPr>
              <w:t xml:space="preserve"> </w:t>
            </w:r>
          </w:p>
        </w:tc>
      </w:tr>
      <w:tr w:rsidR="00F806CF" w:rsidRPr="00100EC6" w14:paraId="6A664BE4" w14:textId="77777777">
        <w:trPr>
          <w:trHeight w:val="26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EF0958D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 xml:space="preserve">Telefon: +49 211 797 - 1631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EA63C5C" w14:textId="77777777" w:rsidR="00F806CF" w:rsidRPr="00100EC6" w:rsidRDefault="00C04129">
            <w:pPr>
              <w:tabs>
                <w:tab w:val="center" w:pos="1525"/>
              </w:tabs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 xml:space="preserve">Telefon: </w:t>
            </w:r>
            <w:r w:rsidRPr="00100EC6">
              <w:rPr>
                <w:sz w:val="18"/>
                <w:lang w:val="pl-PL"/>
              </w:rPr>
              <w:tab/>
              <w:t xml:space="preserve">+49 211 797 - 2606 </w:t>
            </w:r>
          </w:p>
        </w:tc>
      </w:tr>
      <w:tr w:rsidR="00F806CF" w:rsidRPr="00100EC6" w14:paraId="4E0EE31A" w14:textId="77777777">
        <w:trPr>
          <w:trHeight w:val="52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17A6C0D" w14:textId="674C126F" w:rsidR="00F806CF" w:rsidRPr="00100EC6" w:rsidRDefault="00C04129">
            <w:pPr>
              <w:spacing w:after="3"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>Email:</w:t>
            </w:r>
            <w:r w:rsidR="00570DAC" w:rsidRPr="00100EC6">
              <w:rPr>
                <w:sz w:val="18"/>
                <w:lang w:val="pl-PL"/>
              </w:rPr>
              <w:t xml:space="preserve"> </w:t>
            </w:r>
            <w:r w:rsidRPr="00100EC6">
              <w:rPr>
                <w:color w:val="0000FF"/>
                <w:sz w:val="18"/>
                <w:u w:val="single"/>
                <w:lang w:val="pl-PL"/>
              </w:rPr>
              <w:t>leslie.iltgen@henkel.com</w:t>
            </w:r>
            <w:r w:rsidRPr="00100EC6">
              <w:rPr>
                <w:sz w:val="18"/>
                <w:lang w:val="pl-PL"/>
              </w:rPr>
              <w:t xml:space="preserve"> </w:t>
            </w:r>
          </w:p>
          <w:p w14:paraId="00902317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49EE047" w14:textId="77777777" w:rsidR="00F806CF" w:rsidRPr="000712D7" w:rsidRDefault="00C04129">
            <w:pPr>
              <w:tabs>
                <w:tab w:val="center" w:pos="1723"/>
              </w:tabs>
              <w:spacing w:line="259" w:lineRule="auto"/>
              <w:ind w:left="0" w:firstLine="0"/>
              <w:jc w:val="left"/>
            </w:pPr>
            <w:r w:rsidRPr="000712D7">
              <w:rPr>
                <w:sz w:val="18"/>
              </w:rPr>
              <w:t xml:space="preserve">Email: </w:t>
            </w:r>
            <w:r w:rsidRPr="000712D7">
              <w:rPr>
                <w:sz w:val="18"/>
              </w:rPr>
              <w:tab/>
            </w:r>
            <w:r w:rsidRPr="000712D7">
              <w:rPr>
                <w:color w:val="0000FF"/>
                <w:sz w:val="18"/>
                <w:u w:val="single"/>
              </w:rPr>
              <w:t>lars.witteck@henkel.com</w:t>
            </w:r>
            <w:r w:rsidRPr="000712D7">
              <w:rPr>
                <w:sz w:val="18"/>
              </w:rPr>
              <w:t xml:space="preserve"> </w:t>
            </w:r>
          </w:p>
        </w:tc>
      </w:tr>
      <w:tr w:rsidR="00F806CF" w:rsidRPr="00100EC6" w14:paraId="4E20ECB8" w14:textId="77777777">
        <w:trPr>
          <w:trHeight w:val="26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C2B4396" w14:textId="0C2EB1A4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b/>
                <w:bCs/>
                <w:sz w:val="18"/>
                <w:lang w:val="pl-PL"/>
              </w:rPr>
              <w:t xml:space="preserve">Jennifer </w:t>
            </w:r>
            <w:proofErr w:type="spellStart"/>
            <w:r w:rsidRPr="00100EC6">
              <w:rPr>
                <w:b/>
                <w:bCs/>
                <w:sz w:val="18"/>
                <w:lang w:val="pl-PL"/>
              </w:rPr>
              <w:t>Ott</w:t>
            </w:r>
            <w:proofErr w:type="spellEnd"/>
            <w:r w:rsidR="00570DAC" w:rsidRPr="00100EC6">
              <w:rPr>
                <w:b/>
                <w:bCs/>
                <w:sz w:val="18"/>
                <w:lang w:val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2CC9947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proofErr w:type="spellStart"/>
            <w:r w:rsidRPr="00100EC6">
              <w:rPr>
                <w:b/>
                <w:bCs/>
                <w:sz w:val="18"/>
                <w:lang w:val="pl-PL"/>
              </w:rPr>
              <w:t>Wulf</w:t>
            </w:r>
            <w:proofErr w:type="spellEnd"/>
            <w:r w:rsidRPr="00100EC6">
              <w:rPr>
                <w:b/>
                <w:bCs/>
                <w:sz w:val="18"/>
                <w:lang w:val="pl-PL"/>
              </w:rPr>
              <w:t xml:space="preserve"> </w:t>
            </w:r>
            <w:proofErr w:type="spellStart"/>
            <w:r w:rsidRPr="00100EC6">
              <w:rPr>
                <w:b/>
                <w:bCs/>
                <w:sz w:val="18"/>
                <w:lang w:val="pl-PL"/>
              </w:rPr>
              <w:t>Klüppelholz</w:t>
            </w:r>
            <w:proofErr w:type="spellEnd"/>
            <w:r w:rsidRPr="00100EC6">
              <w:rPr>
                <w:sz w:val="18"/>
                <w:lang w:val="pl-PL"/>
              </w:rPr>
              <w:t xml:space="preserve"> </w:t>
            </w:r>
          </w:p>
        </w:tc>
      </w:tr>
      <w:tr w:rsidR="00F806CF" w:rsidRPr="00100EC6" w14:paraId="2210A22B" w14:textId="77777777">
        <w:trPr>
          <w:trHeight w:val="26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2623F6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 xml:space="preserve">Telefon: +49 211 797 - 2756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323E7B65" w14:textId="77777777" w:rsidR="00F806CF" w:rsidRPr="00100EC6" w:rsidRDefault="00C04129">
            <w:pPr>
              <w:tabs>
                <w:tab w:val="center" w:pos="1525"/>
              </w:tabs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 xml:space="preserve">Telefon: </w:t>
            </w:r>
            <w:r w:rsidRPr="00100EC6">
              <w:rPr>
                <w:sz w:val="18"/>
                <w:lang w:val="pl-PL"/>
              </w:rPr>
              <w:tab/>
              <w:t xml:space="preserve">+49 211 797 - 1875 </w:t>
            </w:r>
          </w:p>
        </w:tc>
      </w:tr>
      <w:tr w:rsidR="00F806CF" w:rsidRPr="00100EC6" w14:paraId="5D6AE79A" w14:textId="77777777">
        <w:trPr>
          <w:trHeight w:val="52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32A023E" w14:textId="1AC9D41F" w:rsidR="00F806CF" w:rsidRPr="00100EC6" w:rsidRDefault="00C04129">
            <w:pPr>
              <w:spacing w:after="3"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>Email:</w:t>
            </w:r>
            <w:r w:rsidR="00570DAC" w:rsidRPr="00100EC6">
              <w:rPr>
                <w:sz w:val="18"/>
                <w:lang w:val="pl-PL"/>
              </w:rPr>
              <w:t xml:space="preserve"> </w:t>
            </w:r>
            <w:r w:rsidRPr="00100EC6">
              <w:rPr>
                <w:color w:val="0000FF"/>
                <w:sz w:val="18"/>
                <w:u w:val="single"/>
                <w:lang w:val="pl-PL"/>
              </w:rPr>
              <w:t>jennifer.ott@henkel.com</w:t>
            </w:r>
            <w:r w:rsidRPr="00100EC6">
              <w:rPr>
                <w:sz w:val="18"/>
                <w:lang w:val="pl-PL"/>
              </w:rPr>
              <w:t xml:space="preserve"> </w:t>
            </w:r>
          </w:p>
          <w:p w14:paraId="2DA4EE53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B57ABEA" w14:textId="77777777" w:rsidR="00F806CF" w:rsidRPr="000712D7" w:rsidRDefault="00C04129">
            <w:pPr>
              <w:tabs>
                <w:tab w:val="right" w:pos="3256"/>
              </w:tabs>
              <w:spacing w:line="259" w:lineRule="auto"/>
              <w:ind w:left="0" w:firstLine="0"/>
              <w:jc w:val="left"/>
            </w:pPr>
            <w:r w:rsidRPr="000712D7">
              <w:rPr>
                <w:sz w:val="18"/>
              </w:rPr>
              <w:t xml:space="preserve">Email: </w:t>
            </w:r>
            <w:r w:rsidRPr="000712D7">
              <w:rPr>
                <w:sz w:val="18"/>
              </w:rPr>
              <w:tab/>
            </w:r>
            <w:r w:rsidRPr="000712D7">
              <w:rPr>
                <w:color w:val="0000FF"/>
                <w:sz w:val="18"/>
                <w:u w:val="single"/>
              </w:rPr>
              <w:t>wulf.klueppelholz@henkel.com</w:t>
            </w:r>
            <w:r w:rsidRPr="000712D7">
              <w:rPr>
                <w:sz w:val="18"/>
              </w:rPr>
              <w:t xml:space="preserve"> </w:t>
            </w:r>
          </w:p>
        </w:tc>
      </w:tr>
      <w:tr w:rsidR="00F806CF" w:rsidRPr="00100EC6" w14:paraId="2F95C82D" w14:textId="77777777">
        <w:trPr>
          <w:trHeight w:val="26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943F69B" w14:textId="38B299A5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b/>
                <w:bCs/>
                <w:sz w:val="18"/>
                <w:lang w:val="pl-PL"/>
              </w:rPr>
              <w:t xml:space="preserve">Dr </w:t>
            </w:r>
            <w:proofErr w:type="spellStart"/>
            <w:r w:rsidRPr="00100EC6">
              <w:rPr>
                <w:b/>
                <w:bCs/>
                <w:sz w:val="18"/>
                <w:lang w:val="pl-PL"/>
              </w:rPr>
              <w:t>Dennis</w:t>
            </w:r>
            <w:proofErr w:type="spellEnd"/>
            <w:r w:rsidRPr="00100EC6">
              <w:rPr>
                <w:b/>
                <w:bCs/>
                <w:sz w:val="18"/>
                <w:lang w:val="pl-PL"/>
              </w:rPr>
              <w:t xml:space="preserve"> </w:t>
            </w:r>
            <w:proofErr w:type="spellStart"/>
            <w:r w:rsidRPr="00100EC6">
              <w:rPr>
                <w:b/>
                <w:bCs/>
                <w:sz w:val="18"/>
                <w:lang w:val="pl-PL"/>
              </w:rPr>
              <w:t>Starke</w:t>
            </w:r>
            <w:proofErr w:type="spellEnd"/>
            <w:r w:rsidR="00570DAC" w:rsidRPr="00100EC6">
              <w:rPr>
                <w:b/>
                <w:bCs/>
                <w:sz w:val="18"/>
                <w:lang w:val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F587538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b/>
                <w:bCs/>
                <w:sz w:val="18"/>
                <w:lang w:val="pl-PL"/>
              </w:rPr>
              <w:t xml:space="preserve">Hanna </w:t>
            </w:r>
            <w:proofErr w:type="spellStart"/>
            <w:r w:rsidRPr="00100EC6">
              <w:rPr>
                <w:b/>
                <w:bCs/>
                <w:sz w:val="18"/>
                <w:lang w:val="pl-PL"/>
              </w:rPr>
              <w:t>Philipps</w:t>
            </w:r>
            <w:proofErr w:type="spellEnd"/>
            <w:r w:rsidRPr="00100EC6">
              <w:rPr>
                <w:sz w:val="18"/>
                <w:lang w:val="pl-PL"/>
              </w:rPr>
              <w:t xml:space="preserve"> </w:t>
            </w:r>
          </w:p>
        </w:tc>
      </w:tr>
      <w:tr w:rsidR="00F806CF" w:rsidRPr="00100EC6" w14:paraId="033FB1BF" w14:textId="77777777">
        <w:trPr>
          <w:trHeight w:val="26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02D304E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 xml:space="preserve">Telefon: +49 211 797 - 5601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0A2DE88" w14:textId="77777777" w:rsidR="00F806CF" w:rsidRPr="00100EC6" w:rsidRDefault="00C04129">
            <w:pPr>
              <w:tabs>
                <w:tab w:val="center" w:pos="1525"/>
              </w:tabs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 xml:space="preserve">Telefon: </w:t>
            </w:r>
            <w:r w:rsidRPr="00100EC6">
              <w:rPr>
                <w:sz w:val="18"/>
                <w:lang w:val="pl-PL"/>
              </w:rPr>
              <w:tab/>
              <w:t xml:space="preserve">+49 211 797 - 3626 </w:t>
            </w:r>
          </w:p>
        </w:tc>
      </w:tr>
      <w:tr w:rsidR="00F806CF" w:rsidRPr="00100EC6" w14:paraId="5BEDA20B" w14:textId="77777777">
        <w:trPr>
          <w:trHeight w:val="52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D92918E" w14:textId="103A24B2" w:rsidR="00F806CF" w:rsidRPr="00100EC6" w:rsidRDefault="00C04129">
            <w:pPr>
              <w:spacing w:after="4"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>Email:</w:t>
            </w:r>
            <w:r w:rsidR="00570DAC" w:rsidRPr="00100EC6">
              <w:rPr>
                <w:sz w:val="18"/>
                <w:lang w:val="pl-PL"/>
              </w:rPr>
              <w:t xml:space="preserve"> </w:t>
            </w:r>
            <w:r w:rsidRPr="00100EC6">
              <w:rPr>
                <w:color w:val="0000FF"/>
                <w:sz w:val="18"/>
                <w:u w:val="single"/>
                <w:lang w:val="pl-PL"/>
              </w:rPr>
              <w:t>dennis.starke@henkel.com</w:t>
            </w:r>
            <w:r w:rsidRPr="00100EC6">
              <w:rPr>
                <w:sz w:val="18"/>
                <w:lang w:val="pl-PL"/>
              </w:rPr>
              <w:t xml:space="preserve"> </w:t>
            </w:r>
          </w:p>
          <w:p w14:paraId="3AE6B728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00D5E76" w14:textId="77777777" w:rsidR="00F806CF" w:rsidRPr="000712D7" w:rsidRDefault="00C04129">
            <w:pPr>
              <w:tabs>
                <w:tab w:val="center" w:pos="1862"/>
              </w:tabs>
              <w:spacing w:line="259" w:lineRule="auto"/>
              <w:ind w:left="0" w:firstLine="0"/>
              <w:jc w:val="left"/>
            </w:pPr>
            <w:r w:rsidRPr="000712D7">
              <w:rPr>
                <w:sz w:val="18"/>
              </w:rPr>
              <w:t xml:space="preserve">Email: </w:t>
            </w:r>
            <w:r w:rsidRPr="000712D7">
              <w:rPr>
                <w:sz w:val="18"/>
              </w:rPr>
              <w:tab/>
            </w:r>
            <w:r w:rsidRPr="000712D7">
              <w:rPr>
                <w:color w:val="0000FF"/>
                <w:sz w:val="18"/>
                <w:u w:val="single"/>
              </w:rPr>
              <w:t>hanna.philipps@henkel.com</w:t>
            </w:r>
            <w:r w:rsidRPr="000712D7">
              <w:rPr>
                <w:sz w:val="18"/>
              </w:rPr>
              <w:t xml:space="preserve"> </w:t>
            </w:r>
          </w:p>
        </w:tc>
      </w:tr>
      <w:tr w:rsidR="00F806CF" w:rsidRPr="00100EC6" w14:paraId="201D1ADF" w14:textId="77777777">
        <w:trPr>
          <w:trHeight w:val="26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66E5D48" w14:textId="583ECAB6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b/>
                <w:bCs/>
                <w:sz w:val="18"/>
                <w:lang w:val="pl-PL"/>
              </w:rPr>
              <w:t xml:space="preserve">Thomas </w:t>
            </w:r>
            <w:proofErr w:type="spellStart"/>
            <w:r w:rsidRPr="00100EC6">
              <w:rPr>
                <w:b/>
                <w:bCs/>
                <w:sz w:val="18"/>
                <w:lang w:val="pl-PL"/>
              </w:rPr>
              <w:t>Rosenke</w:t>
            </w:r>
            <w:proofErr w:type="spellEnd"/>
            <w:r w:rsidR="00570DAC" w:rsidRPr="00100EC6">
              <w:rPr>
                <w:b/>
                <w:bCs/>
                <w:sz w:val="18"/>
                <w:lang w:val="pl-PL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2FD7278" w14:textId="77777777" w:rsidR="00F806CF" w:rsidRPr="00100EC6" w:rsidRDefault="00C04129">
            <w:pPr>
              <w:spacing w:line="259" w:lineRule="auto"/>
              <w:ind w:left="1" w:firstLine="0"/>
              <w:jc w:val="left"/>
              <w:rPr>
                <w:lang w:val="pl-PL"/>
              </w:rPr>
            </w:pPr>
            <w:r w:rsidRPr="00100EC6">
              <w:rPr>
                <w:b/>
                <w:bCs/>
                <w:sz w:val="18"/>
                <w:lang w:val="pl-PL"/>
              </w:rPr>
              <w:t xml:space="preserve">Ricarda </w:t>
            </w:r>
            <w:proofErr w:type="spellStart"/>
            <w:r w:rsidRPr="00100EC6">
              <w:rPr>
                <w:b/>
                <w:bCs/>
                <w:sz w:val="18"/>
                <w:lang w:val="pl-PL"/>
              </w:rPr>
              <w:t>Albaum</w:t>
            </w:r>
            <w:proofErr w:type="spellEnd"/>
            <w:r w:rsidRPr="00100EC6">
              <w:rPr>
                <w:sz w:val="18"/>
                <w:lang w:val="pl-PL"/>
              </w:rPr>
              <w:t xml:space="preserve"> </w:t>
            </w:r>
          </w:p>
        </w:tc>
      </w:tr>
      <w:tr w:rsidR="00F806CF" w:rsidRPr="00100EC6" w14:paraId="03524DD2" w14:textId="77777777">
        <w:trPr>
          <w:trHeight w:val="26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79C961C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 xml:space="preserve">Telefon: +49 211 797 - 3563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6D377361" w14:textId="77777777" w:rsidR="00F806CF" w:rsidRPr="00100EC6" w:rsidRDefault="00C04129">
            <w:pPr>
              <w:tabs>
                <w:tab w:val="center" w:pos="1525"/>
              </w:tabs>
              <w:spacing w:line="259" w:lineRule="auto"/>
              <w:ind w:left="0" w:firstLine="0"/>
              <w:jc w:val="left"/>
              <w:rPr>
                <w:lang w:val="pl-PL"/>
              </w:rPr>
            </w:pPr>
            <w:r w:rsidRPr="00100EC6">
              <w:rPr>
                <w:sz w:val="18"/>
                <w:lang w:val="pl-PL"/>
              </w:rPr>
              <w:t xml:space="preserve">Telefon: </w:t>
            </w:r>
            <w:r w:rsidRPr="00100EC6">
              <w:rPr>
                <w:sz w:val="18"/>
                <w:lang w:val="pl-PL"/>
              </w:rPr>
              <w:tab/>
              <w:t xml:space="preserve">+49 211 797 - 9982 </w:t>
            </w:r>
          </w:p>
        </w:tc>
      </w:tr>
      <w:tr w:rsidR="00F806CF" w:rsidRPr="00100EC6" w14:paraId="5B5535B4" w14:textId="77777777">
        <w:trPr>
          <w:trHeight w:val="2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7803541" w14:textId="005852BC" w:rsidR="00F806CF" w:rsidRPr="000712D7" w:rsidRDefault="00C04129">
            <w:pPr>
              <w:spacing w:line="259" w:lineRule="auto"/>
              <w:ind w:left="0" w:firstLine="0"/>
              <w:jc w:val="left"/>
            </w:pPr>
            <w:r w:rsidRPr="000712D7">
              <w:rPr>
                <w:sz w:val="18"/>
              </w:rPr>
              <w:t>Email:</w:t>
            </w:r>
            <w:r w:rsidR="00570DAC" w:rsidRPr="000712D7">
              <w:rPr>
                <w:sz w:val="18"/>
              </w:rPr>
              <w:t xml:space="preserve"> </w:t>
            </w:r>
            <w:r w:rsidRPr="000712D7">
              <w:rPr>
                <w:color w:val="0000FF"/>
                <w:sz w:val="18"/>
                <w:u w:val="single"/>
              </w:rPr>
              <w:t>thomas.rosenke@henkel.com</w:t>
            </w:r>
            <w:r w:rsidR="00570DAC" w:rsidRPr="000712D7">
              <w:rPr>
                <w:color w:val="0000FF"/>
                <w:sz w:val="18"/>
              </w:rPr>
              <w:t xml:space="preserve">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C87A86D" w14:textId="33645291" w:rsidR="00F806CF" w:rsidRPr="000712D7" w:rsidRDefault="00C04129">
            <w:pPr>
              <w:tabs>
                <w:tab w:val="center" w:pos="1870"/>
              </w:tabs>
              <w:spacing w:line="259" w:lineRule="auto"/>
              <w:ind w:left="0" w:firstLine="0"/>
              <w:jc w:val="left"/>
            </w:pPr>
            <w:r w:rsidRPr="000712D7">
              <w:rPr>
                <w:sz w:val="18"/>
              </w:rPr>
              <w:t>Email:</w:t>
            </w:r>
            <w:r w:rsidR="00570DAC" w:rsidRPr="000712D7">
              <w:rPr>
                <w:sz w:val="18"/>
              </w:rPr>
              <w:t xml:space="preserve"> </w:t>
            </w:r>
            <w:r w:rsidRPr="000712D7">
              <w:rPr>
                <w:sz w:val="18"/>
              </w:rPr>
              <w:tab/>
            </w:r>
            <w:r w:rsidRPr="000712D7">
              <w:rPr>
                <w:color w:val="0000FF"/>
                <w:sz w:val="18"/>
                <w:u w:val="single"/>
              </w:rPr>
              <w:t>ricarda.albaum@henkel.com</w:t>
            </w:r>
            <w:r w:rsidRPr="000712D7">
              <w:rPr>
                <w:sz w:val="18"/>
              </w:rPr>
              <w:t xml:space="preserve"> </w:t>
            </w:r>
          </w:p>
        </w:tc>
      </w:tr>
    </w:tbl>
    <w:p w14:paraId="6EFA1C52" w14:textId="77777777" w:rsidR="00F806CF" w:rsidRPr="000712D7" w:rsidRDefault="00C04129">
      <w:pPr>
        <w:spacing w:after="3" w:line="259" w:lineRule="auto"/>
        <w:ind w:left="0" w:firstLine="0"/>
        <w:jc w:val="left"/>
      </w:pPr>
      <w:r w:rsidRPr="000712D7">
        <w:rPr>
          <w:sz w:val="18"/>
        </w:rPr>
        <w:t xml:space="preserve"> </w:t>
      </w:r>
    </w:p>
    <w:p w14:paraId="0C1D5F24" w14:textId="77777777" w:rsidR="00F806CF" w:rsidRPr="000712D7" w:rsidRDefault="00C04129">
      <w:pPr>
        <w:spacing w:line="263" w:lineRule="auto"/>
        <w:ind w:left="0" w:right="5704" w:firstLine="0"/>
        <w:jc w:val="left"/>
      </w:pPr>
      <w:r w:rsidRPr="000712D7">
        <w:rPr>
          <w:color w:val="0000FF"/>
          <w:sz w:val="18"/>
          <w:u w:val="single"/>
        </w:rPr>
        <w:t>www.henkel.com/press</w:t>
      </w:r>
      <w:r w:rsidRPr="000712D7">
        <w:rPr>
          <w:color w:val="0000FF"/>
          <w:sz w:val="18"/>
        </w:rPr>
        <w:t xml:space="preserve"> </w:t>
      </w:r>
      <w:r w:rsidRPr="000712D7">
        <w:rPr>
          <w:color w:val="0000FF"/>
          <w:sz w:val="18"/>
          <w:u w:val="single"/>
        </w:rPr>
        <w:t>www.henkel.com/ir</w:t>
      </w:r>
      <w:r w:rsidRPr="000712D7">
        <w:rPr>
          <w:color w:val="0000FF"/>
          <w:sz w:val="18"/>
        </w:rPr>
        <w:t xml:space="preserve"> </w:t>
      </w:r>
    </w:p>
    <w:p w14:paraId="5DD7AA8A" w14:textId="77777777" w:rsidR="00F806CF" w:rsidRPr="000712D7" w:rsidRDefault="00F806CF">
      <w:pPr>
        <w:sectPr w:rsidR="00F806CF" w:rsidRPr="000712D7">
          <w:footerReference w:type="even" r:id="rId9"/>
          <w:footerReference w:type="default" r:id="rId10"/>
          <w:footerReference w:type="first" r:id="rId11"/>
          <w:pgSz w:w="11904" w:h="16840"/>
          <w:pgMar w:top="2007" w:right="1404" w:bottom="944" w:left="1411" w:header="720" w:footer="949" w:gutter="0"/>
          <w:cols w:space="720"/>
          <w:titlePg/>
        </w:sectPr>
      </w:pPr>
    </w:p>
    <w:p w14:paraId="35B64E65" w14:textId="77777777" w:rsidR="00F806CF" w:rsidRPr="00100EC6" w:rsidRDefault="00C04129" w:rsidP="00E431C8">
      <w:pPr>
        <w:pStyle w:val="Nagwek1"/>
        <w:spacing w:after="111"/>
        <w:rPr>
          <w:sz w:val="24"/>
          <w:szCs w:val="18"/>
          <w:lang w:val="pl-PL"/>
        </w:rPr>
      </w:pPr>
      <w:r w:rsidRPr="00100EC6">
        <w:rPr>
          <w:b w:val="0"/>
          <w:noProof/>
          <w:sz w:val="24"/>
          <w:szCs w:val="18"/>
          <w:lang w:val="pl-PL"/>
        </w:rPr>
        <w:lastRenderedPageBreak/>
        <w:drawing>
          <wp:anchor distT="0" distB="0" distL="114300" distR="114300" simplePos="0" relativeHeight="251659264" behindDoc="0" locked="0" layoutInCell="1" allowOverlap="0" wp14:anchorId="772F008D" wp14:editId="22E0F001">
            <wp:simplePos x="0" y="0"/>
            <wp:positionH relativeFrom="page">
              <wp:posOffset>6126480</wp:posOffset>
            </wp:positionH>
            <wp:positionV relativeFrom="page">
              <wp:posOffset>228600</wp:posOffset>
            </wp:positionV>
            <wp:extent cx="1267968" cy="723900"/>
            <wp:effectExtent l="0" t="0" r="0" b="0"/>
            <wp:wrapSquare wrapText="bothSides"/>
            <wp:docPr id="726" name="Picture 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0EC6">
        <w:rPr>
          <w:rFonts w:ascii="Times New Roman" w:hAnsi="Times New Roman"/>
          <w:b w:val="0"/>
          <w:color w:val="FF0000"/>
          <w:szCs w:val="18"/>
          <w:lang w:val="pl-PL"/>
        </w:rPr>
        <w:t>Wybrane dane finansowe za II kwartał i za okres styczeń–czerwiec 2023 roku</w:t>
      </w:r>
    </w:p>
    <w:tbl>
      <w:tblPr>
        <w:tblStyle w:val="TableGrid"/>
        <w:tblW w:w="11386" w:type="dxa"/>
        <w:tblInd w:w="-24" w:type="dxa"/>
        <w:tblCellMar>
          <w:top w:w="48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5573"/>
        <w:gridCol w:w="1272"/>
        <w:gridCol w:w="1272"/>
        <w:gridCol w:w="1260"/>
        <w:gridCol w:w="2009"/>
      </w:tblGrid>
      <w:tr w:rsidR="00F806CF" w:rsidRPr="00100EC6" w14:paraId="2540B802" w14:textId="77777777">
        <w:trPr>
          <w:trHeight w:val="283"/>
        </w:trPr>
        <w:tc>
          <w:tcPr>
            <w:tcW w:w="5573" w:type="dxa"/>
            <w:vMerge w:val="restart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vAlign w:val="bottom"/>
          </w:tcPr>
          <w:p w14:paraId="2DEA3F80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(mln EUR)</w:t>
            </w:r>
          </w:p>
        </w:tc>
        <w:tc>
          <w:tcPr>
            <w:tcW w:w="2544" w:type="dxa"/>
            <w:gridSpan w:val="2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0E92DDEE" w14:textId="77777777" w:rsidR="00F806CF" w:rsidRPr="00100EC6" w:rsidRDefault="00C04129">
            <w:pPr>
              <w:spacing w:line="259" w:lineRule="auto"/>
              <w:ind w:left="88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Przychody ze sprzedaży</w:t>
            </w:r>
          </w:p>
        </w:tc>
        <w:tc>
          <w:tcPr>
            <w:tcW w:w="1260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3358B16E" w14:textId="77777777" w:rsidR="00F806CF" w:rsidRPr="00100EC6" w:rsidRDefault="00C04129">
            <w:pPr>
              <w:spacing w:line="259" w:lineRule="auto"/>
              <w:ind w:left="88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EBIT</w:t>
            </w:r>
          </w:p>
        </w:tc>
        <w:tc>
          <w:tcPr>
            <w:tcW w:w="2009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6C9B84C0" w14:textId="77777777" w:rsidR="00F806CF" w:rsidRPr="00100EC6" w:rsidRDefault="00C04129">
            <w:pPr>
              <w:spacing w:line="259" w:lineRule="auto"/>
              <w:ind w:left="85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Marża EBIT</w:t>
            </w:r>
          </w:p>
        </w:tc>
      </w:tr>
      <w:tr w:rsidR="00F806CF" w:rsidRPr="00100EC6" w14:paraId="3A4FEFB5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FB4B9"/>
              <w:right w:val="nil"/>
            </w:tcBorders>
          </w:tcPr>
          <w:p w14:paraId="3EDFDAC0" w14:textId="77777777" w:rsidR="00F806CF" w:rsidRPr="00100EC6" w:rsidRDefault="00F806CF">
            <w:pPr>
              <w:spacing w:after="160"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</w:p>
        </w:tc>
        <w:tc>
          <w:tcPr>
            <w:tcW w:w="1272" w:type="dxa"/>
            <w:tcBorders>
              <w:top w:val="single" w:sz="6" w:space="0" w:color="AFB4B9"/>
              <w:left w:val="single" w:sz="6" w:space="0" w:color="FFFFFF"/>
              <w:bottom w:val="single" w:sz="6" w:space="0" w:color="AFB4B9"/>
              <w:right w:val="single" w:sz="6" w:space="0" w:color="FFFFFF"/>
            </w:tcBorders>
          </w:tcPr>
          <w:p w14:paraId="2CD7D02B" w14:textId="07FB9463" w:rsidR="00F806CF" w:rsidRPr="00100EC6" w:rsidRDefault="00100EC6">
            <w:pPr>
              <w:spacing w:line="259" w:lineRule="auto"/>
              <w:ind w:left="88" w:firstLine="0"/>
              <w:jc w:val="center"/>
              <w:rPr>
                <w:sz w:val="20"/>
                <w:szCs w:val="18"/>
                <w:lang w:val="pl-PL"/>
              </w:rPr>
            </w:pPr>
            <w:r>
              <w:rPr>
                <w:sz w:val="20"/>
                <w:szCs w:val="18"/>
                <w:lang w:val="pl-PL"/>
              </w:rPr>
              <w:t>II kw.</w:t>
            </w:r>
          </w:p>
        </w:tc>
        <w:tc>
          <w:tcPr>
            <w:tcW w:w="1272" w:type="dxa"/>
            <w:tcBorders>
              <w:top w:val="single" w:sz="6" w:space="0" w:color="AFB4B9"/>
              <w:left w:val="single" w:sz="6" w:space="0" w:color="FFFFFF"/>
              <w:bottom w:val="single" w:sz="6" w:space="0" w:color="AFB4B9"/>
              <w:right w:val="single" w:sz="17" w:space="0" w:color="FFFFFF"/>
            </w:tcBorders>
          </w:tcPr>
          <w:p w14:paraId="6E59C1FB" w14:textId="77777777" w:rsidR="00F806CF" w:rsidRPr="00100EC6" w:rsidRDefault="00C04129">
            <w:pPr>
              <w:spacing w:line="259" w:lineRule="auto"/>
              <w:ind w:left="88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1-6</w:t>
            </w:r>
          </w:p>
        </w:tc>
        <w:tc>
          <w:tcPr>
            <w:tcW w:w="1260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</w:tcPr>
          <w:p w14:paraId="0473BB84" w14:textId="77777777" w:rsidR="00F806CF" w:rsidRPr="00100EC6" w:rsidRDefault="00C04129">
            <w:pPr>
              <w:spacing w:line="259" w:lineRule="auto"/>
              <w:ind w:left="85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1-6</w:t>
            </w:r>
          </w:p>
        </w:tc>
        <w:tc>
          <w:tcPr>
            <w:tcW w:w="200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</w:tcPr>
          <w:p w14:paraId="66ED57D8" w14:textId="77777777" w:rsidR="00F806CF" w:rsidRPr="00100EC6" w:rsidRDefault="00C04129">
            <w:pPr>
              <w:spacing w:line="259" w:lineRule="auto"/>
              <w:ind w:left="85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1-6</w:t>
            </w:r>
          </w:p>
        </w:tc>
      </w:tr>
      <w:tr w:rsidR="00F806CF" w:rsidRPr="00100EC6" w14:paraId="3084CDCC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27ABBE5C" w14:textId="77777777" w:rsidR="00F806CF" w:rsidRPr="00100EC6" w:rsidRDefault="00C04129">
            <w:pPr>
              <w:spacing w:line="259" w:lineRule="auto"/>
              <w:ind w:left="2" w:firstLine="0"/>
              <w:jc w:val="left"/>
              <w:rPr>
                <w:b/>
                <w:bCs/>
                <w:sz w:val="20"/>
                <w:szCs w:val="18"/>
                <w:lang w:val="pl-PL"/>
              </w:rPr>
            </w:pPr>
            <w:proofErr w:type="spellStart"/>
            <w:r w:rsidRPr="00100EC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pl-PL"/>
              </w:rPr>
              <w:t>Adhesive</w:t>
            </w:r>
            <w:proofErr w:type="spellEnd"/>
            <w:r w:rsidRPr="00100EC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pl-PL"/>
              </w:rPr>
              <w:t xml:space="preserve"> Technologies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02B28D77" w14:textId="77777777" w:rsidR="00F806CF" w:rsidRPr="00100EC6" w:rsidRDefault="00F806CF">
            <w:pPr>
              <w:spacing w:after="160"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16E9D0FF" w14:textId="77777777" w:rsidR="00F806CF" w:rsidRPr="00100EC6" w:rsidRDefault="00F806CF">
            <w:pPr>
              <w:spacing w:after="160"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</w:p>
        </w:tc>
        <w:tc>
          <w:tcPr>
            <w:tcW w:w="1260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2303740C" w14:textId="77777777" w:rsidR="00F806CF" w:rsidRPr="00100EC6" w:rsidRDefault="00F806CF">
            <w:pPr>
              <w:spacing w:after="160"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</w:p>
        </w:tc>
        <w:tc>
          <w:tcPr>
            <w:tcW w:w="2009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5687BDAF" w14:textId="77777777" w:rsidR="00F806CF" w:rsidRPr="00100EC6" w:rsidRDefault="00F806CF">
            <w:pPr>
              <w:spacing w:after="160"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</w:p>
        </w:tc>
      </w:tr>
      <w:tr w:rsidR="00F806CF" w:rsidRPr="00100EC6" w14:paraId="2E7E7AEF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71D7E22C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2023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FFFFFF"/>
          </w:tcPr>
          <w:p w14:paraId="020CB4BD" w14:textId="277EA7C9" w:rsidR="00F806CF" w:rsidRPr="00100EC6" w:rsidRDefault="00C04129">
            <w:pPr>
              <w:spacing w:line="259" w:lineRule="auto"/>
              <w:ind w:left="99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2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683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FFFFFF"/>
          </w:tcPr>
          <w:p w14:paraId="3C7E68CA" w14:textId="4994B346" w:rsidR="00F806CF" w:rsidRPr="00100EC6" w:rsidRDefault="00C04129">
            <w:pPr>
              <w:spacing w:line="259" w:lineRule="auto"/>
              <w:ind w:left="100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5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475</w:t>
            </w:r>
          </w:p>
        </w:tc>
        <w:tc>
          <w:tcPr>
            <w:tcW w:w="1260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FFFFFF"/>
          </w:tcPr>
          <w:p w14:paraId="5886D4B7" w14:textId="77777777" w:rsidR="00F806CF" w:rsidRPr="00100EC6" w:rsidRDefault="00C04129">
            <w:pPr>
              <w:spacing w:line="259" w:lineRule="auto"/>
              <w:ind w:left="98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642</w:t>
            </w:r>
          </w:p>
        </w:tc>
        <w:tc>
          <w:tcPr>
            <w:tcW w:w="2009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FFFFFF"/>
          </w:tcPr>
          <w:p w14:paraId="479B5E53" w14:textId="77777777" w:rsidR="00F806CF" w:rsidRPr="00100EC6" w:rsidRDefault="00C04129">
            <w:pPr>
              <w:spacing w:line="259" w:lineRule="auto"/>
              <w:ind w:left="93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11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7%</w:t>
            </w:r>
          </w:p>
        </w:tc>
      </w:tr>
      <w:tr w:rsidR="00F806CF" w:rsidRPr="00100EC6" w14:paraId="39F5EE9A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453EE210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2022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18736558" w14:textId="76E8C581" w:rsidR="00F806CF" w:rsidRPr="00100EC6" w:rsidRDefault="00C04129">
            <w:pPr>
              <w:spacing w:line="259" w:lineRule="auto"/>
              <w:ind w:left="99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2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836</w:t>
            </w:r>
          </w:p>
        </w:tc>
        <w:tc>
          <w:tcPr>
            <w:tcW w:w="1272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1E03992B" w14:textId="74076744" w:rsidR="00F806CF" w:rsidRPr="00100EC6" w:rsidRDefault="00C04129">
            <w:pPr>
              <w:spacing w:line="259" w:lineRule="auto"/>
              <w:ind w:left="100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5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467</w:t>
            </w:r>
          </w:p>
        </w:tc>
        <w:tc>
          <w:tcPr>
            <w:tcW w:w="1260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0B17C2F1" w14:textId="77777777" w:rsidR="00F806CF" w:rsidRPr="00100EC6" w:rsidRDefault="00C04129">
            <w:pPr>
              <w:spacing w:line="259" w:lineRule="auto"/>
              <w:ind w:left="98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714</w:t>
            </w:r>
          </w:p>
        </w:tc>
        <w:tc>
          <w:tcPr>
            <w:tcW w:w="200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  <w:shd w:val="clear" w:color="auto" w:fill="FFFFFF"/>
          </w:tcPr>
          <w:p w14:paraId="299E537F" w14:textId="77777777" w:rsidR="00F806CF" w:rsidRPr="00100EC6" w:rsidRDefault="00C04129">
            <w:pPr>
              <w:spacing w:line="259" w:lineRule="auto"/>
              <w:ind w:left="93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13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1%</w:t>
            </w:r>
          </w:p>
        </w:tc>
      </w:tr>
      <w:tr w:rsidR="00F806CF" w:rsidRPr="00100EC6" w14:paraId="617ED24A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2ACF5E04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wzrost w ujęciu organicznym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705691A6" w14:textId="77777777" w:rsidR="00F806CF" w:rsidRPr="00100EC6" w:rsidRDefault="00C04129">
            <w:pPr>
              <w:spacing w:line="259" w:lineRule="auto"/>
              <w:ind w:left="101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2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7%</w:t>
            </w:r>
          </w:p>
        </w:tc>
        <w:tc>
          <w:tcPr>
            <w:tcW w:w="1272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441E711C" w14:textId="77777777" w:rsidR="00F806CF" w:rsidRPr="00100EC6" w:rsidRDefault="00C04129">
            <w:pPr>
              <w:spacing w:line="259" w:lineRule="auto"/>
              <w:ind w:left="98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4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7%</w:t>
            </w:r>
          </w:p>
        </w:tc>
        <w:tc>
          <w:tcPr>
            <w:tcW w:w="1260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5EE616E9" w14:textId="77777777" w:rsidR="00F806CF" w:rsidRPr="00100EC6" w:rsidRDefault="00C04129">
            <w:pPr>
              <w:spacing w:line="259" w:lineRule="auto"/>
              <w:ind w:left="94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200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  <w:shd w:val="clear" w:color="auto" w:fill="FFFFFF"/>
          </w:tcPr>
          <w:p w14:paraId="3C09DD62" w14:textId="77777777" w:rsidR="00F806CF" w:rsidRPr="00100EC6" w:rsidRDefault="00C04129">
            <w:pPr>
              <w:spacing w:line="259" w:lineRule="auto"/>
              <w:ind w:left="93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</w:tr>
      <w:tr w:rsidR="00F806CF" w:rsidRPr="00100EC6" w14:paraId="26BCE4F9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59564AFB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 xml:space="preserve">Skorygowane dane za 2023 r. 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5E8760D0" w14:textId="77777777" w:rsidR="00F806CF" w:rsidRPr="00100EC6" w:rsidRDefault="00C04129">
            <w:pPr>
              <w:spacing w:line="259" w:lineRule="auto"/>
              <w:ind w:left="96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1272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0A99FF68" w14:textId="77777777" w:rsidR="00F806CF" w:rsidRPr="00100EC6" w:rsidRDefault="00C04129">
            <w:pPr>
              <w:spacing w:line="259" w:lineRule="auto"/>
              <w:ind w:left="94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1260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50E7E537" w14:textId="77777777" w:rsidR="00F806CF" w:rsidRPr="00100EC6" w:rsidRDefault="00C04129">
            <w:pPr>
              <w:spacing w:line="259" w:lineRule="auto"/>
              <w:ind w:left="97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766</w:t>
            </w:r>
          </w:p>
        </w:tc>
        <w:tc>
          <w:tcPr>
            <w:tcW w:w="200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  <w:shd w:val="clear" w:color="auto" w:fill="FFFFFF"/>
          </w:tcPr>
          <w:p w14:paraId="6B513DCD" w14:textId="77777777" w:rsidR="00F806CF" w:rsidRPr="00100EC6" w:rsidRDefault="00C04129">
            <w:pPr>
              <w:spacing w:line="259" w:lineRule="auto"/>
              <w:ind w:left="97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14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0%</w:t>
            </w:r>
          </w:p>
        </w:tc>
      </w:tr>
      <w:tr w:rsidR="00F806CF" w:rsidRPr="00100EC6" w14:paraId="7679EBD7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37A8F5E8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 xml:space="preserve">skorygowane dane za 2022 r. 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67EE89C3" w14:textId="77777777" w:rsidR="00F806CF" w:rsidRPr="00100EC6" w:rsidRDefault="00C04129">
            <w:pPr>
              <w:spacing w:line="259" w:lineRule="auto"/>
              <w:ind w:left="96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4527FECB" w14:textId="77777777" w:rsidR="00F806CF" w:rsidRPr="00100EC6" w:rsidRDefault="00C04129">
            <w:pPr>
              <w:spacing w:line="259" w:lineRule="auto"/>
              <w:ind w:left="94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1260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</w:tcPr>
          <w:p w14:paraId="2A667C60" w14:textId="77777777" w:rsidR="00F806CF" w:rsidRPr="00100EC6" w:rsidRDefault="00C04129">
            <w:pPr>
              <w:spacing w:line="259" w:lineRule="auto"/>
              <w:ind w:left="97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743</w:t>
            </w:r>
          </w:p>
        </w:tc>
        <w:tc>
          <w:tcPr>
            <w:tcW w:w="200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</w:tcPr>
          <w:p w14:paraId="38BE456B" w14:textId="77777777" w:rsidR="00F806CF" w:rsidRPr="00100EC6" w:rsidRDefault="00C04129">
            <w:pPr>
              <w:spacing w:line="259" w:lineRule="auto"/>
              <w:ind w:left="97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13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6%</w:t>
            </w:r>
          </w:p>
        </w:tc>
      </w:tr>
      <w:tr w:rsidR="00F806CF" w:rsidRPr="00100EC6" w14:paraId="046E9C0C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3E598C5E" w14:textId="77777777" w:rsidR="00F806CF" w:rsidRPr="00100EC6" w:rsidRDefault="00C04129">
            <w:pPr>
              <w:spacing w:line="259" w:lineRule="auto"/>
              <w:ind w:left="2" w:firstLine="0"/>
              <w:jc w:val="left"/>
              <w:rPr>
                <w:b/>
                <w:bCs/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pl-PL"/>
              </w:rPr>
              <w:t xml:space="preserve">Consumer </w:t>
            </w:r>
            <w:proofErr w:type="spellStart"/>
            <w:r w:rsidRPr="00100EC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pl-PL"/>
              </w:rPr>
              <w:t>Brands</w:t>
            </w:r>
            <w:proofErr w:type="spellEnd"/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0C6AD655" w14:textId="77777777" w:rsidR="00F806CF" w:rsidRPr="00100EC6" w:rsidRDefault="00F806CF">
            <w:pPr>
              <w:spacing w:after="160"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79AD28BB" w14:textId="77777777" w:rsidR="00F806CF" w:rsidRPr="00100EC6" w:rsidRDefault="00F806CF">
            <w:pPr>
              <w:spacing w:after="160"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</w:p>
        </w:tc>
        <w:tc>
          <w:tcPr>
            <w:tcW w:w="1260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0300946F" w14:textId="77777777" w:rsidR="00F806CF" w:rsidRPr="00100EC6" w:rsidRDefault="00F806CF">
            <w:pPr>
              <w:spacing w:after="160"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</w:p>
        </w:tc>
        <w:tc>
          <w:tcPr>
            <w:tcW w:w="2009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484B1B99" w14:textId="77777777" w:rsidR="00F806CF" w:rsidRPr="00100EC6" w:rsidRDefault="00F806CF">
            <w:pPr>
              <w:spacing w:after="160"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</w:p>
        </w:tc>
      </w:tr>
      <w:tr w:rsidR="00F806CF" w:rsidRPr="00100EC6" w14:paraId="0CAA00A8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22652C36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2023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FFFFFF"/>
          </w:tcPr>
          <w:p w14:paraId="1E5DE1C5" w14:textId="02AB8287" w:rsidR="00F806CF" w:rsidRPr="00100EC6" w:rsidRDefault="00C04129">
            <w:pPr>
              <w:spacing w:line="259" w:lineRule="auto"/>
              <w:ind w:left="99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2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593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FFFFFF"/>
          </w:tcPr>
          <w:p w14:paraId="12AB075B" w14:textId="445A4C4B" w:rsidR="00F806CF" w:rsidRPr="00100EC6" w:rsidRDefault="00C04129">
            <w:pPr>
              <w:spacing w:line="259" w:lineRule="auto"/>
              <w:ind w:left="100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5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365</w:t>
            </w:r>
          </w:p>
        </w:tc>
        <w:tc>
          <w:tcPr>
            <w:tcW w:w="1260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FFFFFF"/>
          </w:tcPr>
          <w:p w14:paraId="4645D7CB" w14:textId="77777777" w:rsidR="00F806CF" w:rsidRPr="00100EC6" w:rsidRDefault="00C04129">
            <w:pPr>
              <w:spacing w:line="259" w:lineRule="auto"/>
              <w:ind w:left="98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299</w:t>
            </w:r>
          </w:p>
        </w:tc>
        <w:tc>
          <w:tcPr>
            <w:tcW w:w="2009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FFFFFF"/>
          </w:tcPr>
          <w:p w14:paraId="00746742" w14:textId="77777777" w:rsidR="00F806CF" w:rsidRPr="00100EC6" w:rsidRDefault="00C04129">
            <w:pPr>
              <w:spacing w:line="259" w:lineRule="auto"/>
              <w:ind w:left="98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5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6%</w:t>
            </w:r>
          </w:p>
        </w:tc>
      </w:tr>
      <w:tr w:rsidR="00F806CF" w:rsidRPr="00100EC6" w14:paraId="75211D4F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70E7F0EA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2022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0D123C15" w14:textId="117E0BEE" w:rsidR="00F806CF" w:rsidRPr="00100EC6" w:rsidRDefault="00C04129">
            <w:pPr>
              <w:spacing w:line="259" w:lineRule="auto"/>
              <w:ind w:left="99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2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752</w:t>
            </w:r>
          </w:p>
        </w:tc>
        <w:tc>
          <w:tcPr>
            <w:tcW w:w="1272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0F979F43" w14:textId="2A3E0686" w:rsidR="00F806CF" w:rsidRPr="00100EC6" w:rsidRDefault="00C04129">
            <w:pPr>
              <w:spacing w:line="259" w:lineRule="auto"/>
              <w:ind w:left="100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5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336</w:t>
            </w:r>
          </w:p>
        </w:tc>
        <w:tc>
          <w:tcPr>
            <w:tcW w:w="1260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46C59891" w14:textId="77777777" w:rsidR="00F806CF" w:rsidRPr="00100EC6" w:rsidRDefault="00C04129">
            <w:pPr>
              <w:spacing w:line="259" w:lineRule="auto"/>
              <w:ind w:left="96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36</w:t>
            </w:r>
          </w:p>
        </w:tc>
        <w:tc>
          <w:tcPr>
            <w:tcW w:w="200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  <w:shd w:val="clear" w:color="auto" w:fill="FFFFFF"/>
          </w:tcPr>
          <w:p w14:paraId="257ADA9A" w14:textId="77777777" w:rsidR="00F806CF" w:rsidRPr="00100EC6" w:rsidRDefault="00C04129">
            <w:pPr>
              <w:spacing w:line="259" w:lineRule="auto"/>
              <w:ind w:left="98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0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7%</w:t>
            </w:r>
          </w:p>
        </w:tc>
      </w:tr>
      <w:tr w:rsidR="00F806CF" w:rsidRPr="00100EC6" w14:paraId="5E438525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126E57F6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 xml:space="preserve">wzrost w ujęciu </w:t>
            </w: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organicznym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2E314060" w14:textId="77777777" w:rsidR="00F806CF" w:rsidRPr="00100EC6" w:rsidRDefault="00C04129">
            <w:pPr>
              <w:spacing w:line="259" w:lineRule="auto"/>
              <w:ind w:left="101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4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5%</w:t>
            </w:r>
          </w:p>
        </w:tc>
        <w:tc>
          <w:tcPr>
            <w:tcW w:w="1272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327F6BB5" w14:textId="77777777" w:rsidR="00F806CF" w:rsidRPr="00100EC6" w:rsidRDefault="00C04129">
            <w:pPr>
              <w:spacing w:line="259" w:lineRule="auto"/>
              <w:ind w:left="98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5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7%</w:t>
            </w:r>
          </w:p>
        </w:tc>
        <w:tc>
          <w:tcPr>
            <w:tcW w:w="1260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5D53C782" w14:textId="77777777" w:rsidR="00F806CF" w:rsidRPr="00100EC6" w:rsidRDefault="00C04129">
            <w:pPr>
              <w:spacing w:line="259" w:lineRule="auto"/>
              <w:ind w:left="94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200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  <w:shd w:val="clear" w:color="auto" w:fill="FFFFFF"/>
          </w:tcPr>
          <w:p w14:paraId="7219AE60" w14:textId="77777777" w:rsidR="00F806CF" w:rsidRPr="00100EC6" w:rsidRDefault="00C04129">
            <w:pPr>
              <w:spacing w:line="259" w:lineRule="auto"/>
              <w:ind w:left="93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</w:tr>
      <w:tr w:rsidR="00F806CF" w:rsidRPr="00100EC6" w14:paraId="2907D519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5F57C869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 xml:space="preserve">Skorygowane dane za 2023 r. 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45B05A88" w14:textId="77777777" w:rsidR="00F806CF" w:rsidRPr="00100EC6" w:rsidRDefault="00C04129">
            <w:pPr>
              <w:spacing w:line="259" w:lineRule="auto"/>
              <w:ind w:left="96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1272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198DECF3" w14:textId="77777777" w:rsidR="00F806CF" w:rsidRPr="00100EC6" w:rsidRDefault="00C04129">
            <w:pPr>
              <w:spacing w:line="259" w:lineRule="auto"/>
              <w:ind w:left="94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1260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74C7DC13" w14:textId="77777777" w:rsidR="00F806CF" w:rsidRPr="00100EC6" w:rsidRDefault="00C04129">
            <w:pPr>
              <w:spacing w:line="259" w:lineRule="auto"/>
              <w:ind w:left="97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559</w:t>
            </w:r>
          </w:p>
        </w:tc>
        <w:tc>
          <w:tcPr>
            <w:tcW w:w="200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  <w:shd w:val="clear" w:color="auto" w:fill="FFFFFF"/>
          </w:tcPr>
          <w:p w14:paraId="3252AEC7" w14:textId="77777777" w:rsidR="00F806CF" w:rsidRPr="00100EC6" w:rsidRDefault="00C04129">
            <w:pPr>
              <w:spacing w:line="259" w:lineRule="auto"/>
              <w:ind w:left="97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10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4%</w:t>
            </w:r>
          </w:p>
        </w:tc>
      </w:tr>
      <w:tr w:rsidR="00F806CF" w:rsidRPr="00100EC6" w14:paraId="00E322B2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2C86DA87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 xml:space="preserve">skorygowane dane za 2022 r. 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4C7A3A98" w14:textId="77777777" w:rsidR="00F806CF" w:rsidRPr="00100EC6" w:rsidRDefault="00C04129">
            <w:pPr>
              <w:spacing w:line="259" w:lineRule="auto"/>
              <w:ind w:left="96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0826B2FD" w14:textId="77777777" w:rsidR="00F806CF" w:rsidRPr="00100EC6" w:rsidRDefault="00C04129">
            <w:pPr>
              <w:spacing w:line="259" w:lineRule="auto"/>
              <w:ind w:left="94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1260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</w:tcPr>
          <w:p w14:paraId="4FAD3840" w14:textId="77777777" w:rsidR="00F806CF" w:rsidRPr="00100EC6" w:rsidRDefault="00C04129">
            <w:pPr>
              <w:spacing w:line="259" w:lineRule="auto"/>
              <w:ind w:left="97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482</w:t>
            </w:r>
          </w:p>
        </w:tc>
        <w:tc>
          <w:tcPr>
            <w:tcW w:w="200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</w:tcPr>
          <w:p w14:paraId="4353CCC3" w14:textId="77777777" w:rsidR="00F806CF" w:rsidRPr="00100EC6" w:rsidRDefault="00C04129">
            <w:pPr>
              <w:spacing w:line="259" w:lineRule="auto"/>
              <w:ind w:left="97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9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0%</w:t>
            </w:r>
          </w:p>
        </w:tc>
      </w:tr>
      <w:tr w:rsidR="00F806CF" w:rsidRPr="00100EC6" w14:paraId="0DA16597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24B6AF94" w14:textId="77777777" w:rsidR="00F806CF" w:rsidRPr="00100EC6" w:rsidRDefault="00C04129">
            <w:pPr>
              <w:spacing w:line="259" w:lineRule="auto"/>
              <w:ind w:left="2" w:firstLine="0"/>
              <w:jc w:val="left"/>
              <w:rPr>
                <w:b/>
                <w:bCs/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pl-PL"/>
              </w:rPr>
              <w:t>Henkel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0F7A7AFD" w14:textId="77777777" w:rsidR="00F806CF" w:rsidRPr="00100EC6" w:rsidRDefault="00F806CF">
            <w:pPr>
              <w:spacing w:after="160"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68CD000E" w14:textId="77777777" w:rsidR="00F806CF" w:rsidRPr="00100EC6" w:rsidRDefault="00F806CF">
            <w:pPr>
              <w:spacing w:after="160"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</w:p>
        </w:tc>
        <w:tc>
          <w:tcPr>
            <w:tcW w:w="1260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1B880DDD" w14:textId="77777777" w:rsidR="00F806CF" w:rsidRPr="00100EC6" w:rsidRDefault="00F806CF">
            <w:pPr>
              <w:spacing w:after="160"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</w:p>
        </w:tc>
        <w:tc>
          <w:tcPr>
            <w:tcW w:w="2009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E7E6E6"/>
          </w:tcPr>
          <w:p w14:paraId="4D88A150" w14:textId="77777777" w:rsidR="00F806CF" w:rsidRPr="00100EC6" w:rsidRDefault="00F806CF">
            <w:pPr>
              <w:spacing w:after="160"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</w:p>
        </w:tc>
      </w:tr>
      <w:tr w:rsidR="00F806CF" w:rsidRPr="00100EC6" w14:paraId="36E40E42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03C2F813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2023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FFFFFF"/>
          </w:tcPr>
          <w:p w14:paraId="69B39670" w14:textId="2FB205FA" w:rsidR="00F806CF" w:rsidRPr="00100EC6" w:rsidRDefault="00C04129">
            <w:pPr>
              <w:spacing w:line="259" w:lineRule="auto"/>
              <w:ind w:left="99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5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316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FFFFFF"/>
          </w:tcPr>
          <w:p w14:paraId="299F46F7" w14:textId="0CFEAE6E" w:rsidR="00F806CF" w:rsidRPr="00100EC6" w:rsidRDefault="00C04129">
            <w:pPr>
              <w:spacing w:line="259" w:lineRule="auto"/>
              <w:ind w:left="105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10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926</w:t>
            </w:r>
          </w:p>
        </w:tc>
        <w:tc>
          <w:tcPr>
            <w:tcW w:w="1260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FFFFFF"/>
          </w:tcPr>
          <w:p w14:paraId="5E724A5E" w14:textId="77777777" w:rsidR="00F806CF" w:rsidRPr="00100EC6" w:rsidRDefault="00C04129">
            <w:pPr>
              <w:spacing w:line="259" w:lineRule="auto"/>
              <w:ind w:left="99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864</w:t>
            </w:r>
          </w:p>
        </w:tc>
        <w:tc>
          <w:tcPr>
            <w:tcW w:w="2009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  <w:shd w:val="clear" w:color="auto" w:fill="FFFFFF"/>
          </w:tcPr>
          <w:p w14:paraId="619BF3C7" w14:textId="77777777" w:rsidR="00F806CF" w:rsidRPr="00100EC6" w:rsidRDefault="00C04129">
            <w:pPr>
              <w:spacing w:line="259" w:lineRule="auto"/>
              <w:ind w:left="94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7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9%</w:t>
            </w:r>
          </w:p>
        </w:tc>
      </w:tr>
      <w:tr w:rsidR="00F806CF" w:rsidRPr="00100EC6" w14:paraId="31A31E7B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6603C235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2022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393E48FD" w14:textId="022158DB" w:rsidR="00F806CF" w:rsidRPr="00100EC6" w:rsidRDefault="00C04129">
            <w:pPr>
              <w:spacing w:line="259" w:lineRule="auto"/>
              <w:ind w:left="99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5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642</w:t>
            </w:r>
          </w:p>
        </w:tc>
        <w:tc>
          <w:tcPr>
            <w:tcW w:w="1272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2582F4AB" w14:textId="580135A2" w:rsidR="00F806CF" w:rsidRPr="00100EC6" w:rsidRDefault="00C04129">
            <w:pPr>
              <w:spacing w:line="259" w:lineRule="auto"/>
              <w:ind w:left="105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10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913</w:t>
            </w:r>
          </w:p>
        </w:tc>
        <w:tc>
          <w:tcPr>
            <w:tcW w:w="1260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2BF10709" w14:textId="77777777" w:rsidR="00F806CF" w:rsidRPr="00100EC6" w:rsidRDefault="00C04129">
            <w:pPr>
              <w:spacing w:line="259" w:lineRule="auto"/>
              <w:ind w:left="99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684</w:t>
            </w:r>
          </w:p>
        </w:tc>
        <w:tc>
          <w:tcPr>
            <w:tcW w:w="200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  <w:shd w:val="clear" w:color="auto" w:fill="FFFFFF"/>
          </w:tcPr>
          <w:p w14:paraId="58A79F9D" w14:textId="77777777" w:rsidR="00F806CF" w:rsidRPr="00100EC6" w:rsidRDefault="00C04129">
            <w:pPr>
              <w:spacing w:line="259" w:lineRule="auto"/>
              <w:ind w:left="94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6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3%</w:t>
            </w:r>
          </w:p>
        </w:tc>
      </w:tr>
      <w:tr w:rsidR="00F806CF" w:rsidRPr="00100EC6" w14:paraId="17717E01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59D5235B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wzrost w ujęciu organicznym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60BA4F9F" w14:textId="77777777" w:rsidR="00F806CF" w:rsidRPr="00100EC6" w:rsidRDefault="00C04129">
            <w:pPr>
              <w:spacing w:line="259" w:lineRule="auto"/>
              <w:ind w:left="101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3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2%</w:t>
            </w:r>
          </w:p>
        </w:tc>
        <w:tc>
          <w:tcPr>
            <w:tcW w:w="1272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668D6060" w14:textId="77777777" w:rsidR="00F806CF" w:rsidRPr="00100EC6" w:rsidRDefault="00C04129">
            <w:pPr>
              <w:spacing w:line="259" w:lineRule="auto"/>
              <w:ind w:left="98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4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9%</w:t>
            </w:r>
          </w:p>
        </w:tc>
        <w:tc>
          <w:tcPr>
            <w:tcW w:w="1260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58B72601" w14:textId="77777777" w:rsidR="00F806CF" w:rsidRPr="00100EC6" w:rsidRDefault="00C04129">
            <w:pPr>
              <w:spacing w:line="259" w:lineRule="auto"/>
              <w:ind w:left="94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200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  <w:shd w:val="clear" w:color="auto" w:fill="FFFFFF"/>
          </w:tcPr>
          <w:p w14:paraId="0539DA1F" w14:textId="77777777" w:rsidR="00F806CF" w:rsidRPr="00100EC6" w:rsidRDefault="00C04129">
            <w:pPr>
              <w:spacing w:line="259" w:lineRule="auto"/>
              <w:ind w:left="93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</w:tr>
      <w:tr w:rsidR="00F806CF" w:rsidRPr="00100EC6" w14:paraId="2E58DAB9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77FB9C50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 xml:space="preserve">Skorygowane dane za 2023 r. 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0AA8B2DC" w14:textId="77777777" w:rsidR="00F806CF" w:rsidRPr="00100EC6" w:rsidRDefault="00C04129">
            <w:pPr>
              <w:spacing w:line="259" w:lineRule="auto"/>
              <w:ind w:left="96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1272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04E256E6" w14:textId="77777777" w:rsidR="00F806CF" w:rsidRPr="00100EC6" w:rsidRDefault="00C04129">
            <w:pPr>
              <w:spacing w:line="259" w:lineRule="auto"/>
              <w:ind w:left="94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1260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  <w:shd w:val="clear" w:color="auto" w:fill="FFFFFF"/>
          </w:tcPr>
          <w:p w14:paraId="7A2C7923" w14:textId="0FB002FA" w:rsidR="00F806CF" w:rsidRPr="00100EC6" w:rsidRDefault="00C04129">
            <w:pPr>
              <w:spacing w:line="259" w:lineRule="auto"/>
              <w:ind w:left="103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1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254</w:t>
            </w:r>
          </w:p>
        </w:tc>
        <w:tc>
          <w:tcPr>
            <w:tcW w:w="200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  <w:shd w:val="clear" w:color="auto" w:fill="FFFFFF"/>
          </w:tcPr>
          <w:p w14:paraId="17302DC7" w14:textId="77777777" w:rsidR="00F806CF" w:rsidRPr="00100EC6" w:rsidRDefault="00C04129">
            <w:pPr>
              <w:spacing w:line="259" w:lineRule="auto"/>
              <w:ind w:left="96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11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5%</w:t>
            </w:r>
          </w:p>
        </w:tc>
      </w:tr>
      <w:tr w:rsidR="00F806CF" w:rsidRPr="00100EC6" w14:paraId="29795125" w14:textId="77777777">
        <w:trPr>
          <w:trHeight w:val="37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21CBC439" w14:textId="77777777" w:rsidR="00F806CF" w:rsidRPr="00100EC6" w:rsidRDefault="00C04129">
            <w:pPr>
              <w:spacing w:line="259" w:lineRule="auto"/>
              <w:ind w:left="0" w:firstLine="0"/>
              <w:jc w:val="left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 xml:space="preserve">skorygowane dane za 2022 r. 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21339075" w14:textId="77777777" w:rsidR="00F806CF" w:rsidRPr="00100EC6" w:rsidRDefault="00C04129">
            <w:pPr>
              <w:spacing w:line="259" w:lineRule="auto"/>
              <w:ind w:left="96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5239927F" w14:textId="77777777" w:rsidR="00F806CF" w:rsidRPr="00100EC6" w:rsidRDefault="00C04129">
            <w:pPr>
              <w:spacing w:line="259" w:lineRule="auto"/>
              <w:ind w:left="94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-</w:t>
            </w:r>
          </w:p>
        </w:tc>
        <w:tc>
          <w:tcPr>
            <w:tcW w:w="1260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</w:tcPr>
          <w:p w14:paraId="05B6029C" w14:textId="2DBABA7C" w:rsidR="00F806CF" w:rsidRPr="00100EC6" w:rsidRDefault="00C04129">
            <w:pPr>
              <w:spacing w:line="259" w:lineRule="auto"/>
              <w:ind w:left="103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1</w:t>
            </w:r>
            <w:r w:rsidR="00536A5E">
              <w:rPr>
                <w:rFonts w:ascii="Times New Roman" w:hAnsi="Times New Roman"/>
                <w:sz w:val="20"/>
                <w:szCs w:val="18"/>
                <w:lang w:val="pl-PL"/>
              </w:rPr>
              <w:t xml:space="preserve"> 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166</w:t>
            </w:r>
          </w:p>
        </w:tc>
        <w:tc>
          <w:tcPr>
            <w:tcW w:w="200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</w:tcPr>
          <w:p w14:paraId="328EC070" w14:textId="77777777" w:rsidR="00F806CF" w:rsidRPr="00100EC6" w:rsidRDefault="00C04129">
            <w:pPr>
              <w:spacing w:line="259" w:lineRule="auto"/>
              <w:ind w:left="96" w:firstLine="0"/>
              <w:jc w:val="center"/>
              <w:rPr>
                <w:sz w:val="20"/>
                <w:szCs w:val="18"/>
                <w:lang w:val="pl-PL"/>
              </w:rPr>
            </w:pP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10</w:t>
            </w:r>
            <w:r w:rsidRPr="00100EC6">
              <w:rPr>
                <w:sz w:val="20"/>
                <w:szCs w:val="18"/>
                <w:lang w:val="pl-PL"/>
              </w:rPr>
              <w:t>,</w:t>
            </w:r>
            <w:r w:rsidRPr="00100EC6">
              <w:rPr>
                <w:rFonts w:ascii="Times New Roman" w:hAnsi="Times New Roman"/>
                <w:sz w:val="20"/>
                <w:szCs w:val="18"/>
                <w:lang w:val="pl-PL"/>
              </w:rPr>
              <w:t>7%</w:t>
            </w:r>
          </w:p>
        </w:tc>
      </w:tr>
    </w:tbl>
    <w:p w14:paraId="2E2AC4B8" w14:textId="77777777" w:rsidR="00F806CF" w:rsidRPr="00100EC6" w:rsidRDefault="00C04129">
      <w:pPr>
        <w:spacing w:after="106" w:line="259" w:lineRule="auto"/>
        <w:ind w:left="-24" w:right="-2213" w:firstLine="0"/>
        <w:jc w:val="left"/>
        <w:rPr>
          <w:lang w:val="pl-PL"/>
        </w:rPr>
      </w:pPr>
      <w:r w:rsidRPr="00100EC6">
        <w:rPr>
          <w:rFonts w:ascii="Calibri" w:eastAsia="Calibri" w:hAnsi="Calibri" w:cs="Calibri"/>
          <w:noProof/>
          <w:lang w:val="pl-PL"/>
        </w:rPr>
        <mc:AlternateContent>
          <mc:Choice Requires="wpg">
            <w:drawing>
              <wp:inline distT="0" distB="0" distL="0" distR="0" wp14:anchorId="4CA3D7B0" wp14:editId="4496627D">
                <wp:extent cx="7229856" cy="9144"/>
                <wp:effectExtent l="0" t="0" r="0" b="0"/>
                <wp:docPr id="10468" name="Group 10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856" cy="9144"/>
                          <a:chOff x="0" y="0"/>
                          <a:chExt cx="7229856" cy="9144"/>
                        </a:xfrm>
                      </wpg:grpSpPr>
                      <wps:wsp>
                        <wps:cNvPr id="11210" name="Shape 11210"/>
                        <wps:cNvSpPr/>
                        <wps:spPr>
                          <a:xfrm>
                            <a:off x="0" y="0"/>
                            <a:ext cx="7229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9856" h="9144">
                                <a:moveTo>
                                  <a:pt x="0" y="0"/>
                                </a:moveTo>
                                <a:lnTo>
                                  <a:pt x="7229856" y="0"/>
                                </a:lnTo>
                                <a:lnTo>
                                  <a:pt x="7229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B4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68" style="width:569.28pt;height:0.720032pt;mso-position-horizontal-relative:char;mso-position-vertical-relative:line" coordsize="72298,91">
                <v:shape id="Shape 11211" style="position:absolute;width:72298;height:91;left:0;top:0;" coordsize="7229856,9144" path="m0,0l7229856,0l7229856,9144l0,9144l0,0">
                  <v:stroke weight="0pt" endcap="flat" joinstyle="miter" miterlimit="10" on="false" color="#000000" opacity="0"/>
                  <v:fill on="true" color="#afb4b9"/>
                </v:shape>
              </v:group>
            </w:pict>
          </mc:Fallback>
        </mc:AlternateContent>
      </w:r>
    </w:p>
    <w:p w14:paraId="39C99D3D" w14:textId="77777777" w:rsidR="00F806CF" w:rsidRPr="000712D7" w:rsidRDefault="00C04129">
      <w:pPr>
        <w:tabs>
          <w:tab w:val="center" w:pos="6590"/>
          <w:tab w:val="center" w:pos="7861"/>
        </w:tabs>
        <w:spacing w:line="265" w:lineRule="auto"/>
        <w:ind w:left="0" w:firstLine="0"/>
        <w:jc w:val="left"/>
        <w:rPr>
          <w:rFonts w:ascii="Times New Roman" w:hAnsi="Times New Roman" w:cs="Times New Roman"/>
          <w:sz w:val="20"/>
          <w:szCs w:val="20"/>
          <w:lang w:val="pl-PL"/>
        </w:rPr>
      </w:pPr>
      <w:r w:rsidRPr="000712D7"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0712D7">
        <w:rPr>
          <w:rFonts w:ascii="Times New Roman" w:hAnsi="Times New Roman" w:cs="Times New Roman"/>
          <w:szCs w:val="20"/>
          <w:lang w:val="pl-PL"/>
        </w:rPr>
        <w:t>1-6</w:t>
      </w:r>
      <w:r w:rsidRPr="000712D7">
        <w:rPr>
          <w:rFonts w:ascii="Times New Roman" w:hAnsi="Times New Roman" w:cs="Times New Roman"/>
          <w:szCs w:val="20"/>
          <w:lang w:val="pl-PL"/>
        </w:rPr>
        <w:tab/>
        <w:t>1-6</w:t>
      </w:r>
    </w:p>
    <w:tbl>
      <w:tblPr>
        <w:tblStyle w:val="TableGrid"/>
        <w:tblpPr w:vertAnchor="text" w:tblpX="-24" w:tblpY="93"/>
        <w:tblOverlap w:val="never"/>
        <w:tblW w:w="11386" w:type="dxa"/>
        <w:tblInd w:w="0" w:type="dxa"/>
        <w:tblCellMar>
          <w:top w:w="106" w:type="dxa"/>
          <w:left w:w="43" w:type="dxa"/>
          <w:right w:w="47" w:type="dxa"/>
        </w:tblCellMar>
        <w:tblLook w:val="04A0" w:firstRow="1" w:lastRow="0" w:firstColumn="1" w:lastColumn="0" w:noHBand="0" w:noVBand="1"/>
      </w:tblPr>
      <w:tblGrid>
        <w:gridCol w:w="5573"/>
        <w:gridCol w:w="1272"/>
        <w:gridCol w:w="1272"/>
        <w:gridCol w:w="3269"/>
      </w:tblGrid>
      <w:tr w:rsidR="00F806CF" w:rsidRPr="000712D7" w14:paraId="12983553" w14:textId="77777777">
        <w:trPr>
          <w:trHeight w:val="382"/>
        </w:trPr>
        <w:tc>
          <w:tcPr>
            <w:tcW w:w="5573" w:type="dxa"/>
            <w:tcBorders>
              <w:top w:val="nil"/>
              <w:left w:val="nil"/>
              <w:bottom w:val="single" w:sz="6" w:space="0" w:color="AFB4B9"/>
              <w:right w:val="single" w:sz="17" w:space="0" w:color="FFFFFF"/>
            </w:tcBorders>
          </w:tcPr>
          <w:p w14:paraId="06A1F133" w14:textId="77777777" w:rsidR="00F806CF" w:rsidRPr="000712D7" w:rsidRDefault="00C04129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pl-PL"/>
              </w:rPr>
            </w:pPr>
            <w:r w:rsidRPr="000712D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pl-PL"/>
              </w:rPr>
              <w:t>Henkel</w:t>
            </w:r>
          </w:p>
        </w:tc>
        <w:tc>
          <w:tcPr>
            <w:tcW w:w="1272" w:type="dxa"/>
            <w:tcBorders>
              <w:top w:val="nil"/>
              <w:left w:val="single" w:sz="17" w:space="0" w:color="FFFFFF"/>
              <w:bottom w:val="single" w:sz="6" w:space="0" w:color="AFB4B9"/>
              <w:right w:val="single" w:sz="17" w:space="0" w:color="FFFFFF"/>
            </w:tcBorders>
          </w:tcPr>
          <w:p w14:paraId="0DAEE24F" w14:textId="77777777" w:rsidR="00F806CF" w:rsidRPr="000712D7" w:rsidRDefault="00C04129">
            <w:pPr>
              <w:spacing w:line="259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0712D7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2022</w:t>
            </w:r>
          </w:p>
        </w:tc>
        <w:tc>
          <w:tcPr>
            <w:tcW w:w="1272" w:type="dxa"/>
            <w:tcBorders>
              <w:top w:val="nil"/>
              <w:left w:val="single" w:sz="17" w:space="0" w:color="FFFFFF"/>
              <w:bottom w:val="single" w:sz="6" w:space="0" w:color="AFB4B9"/>
              <w:right w:val="nil"/>
            </w:tcBorders>
          </w:tcPr>
          <w:p w14:paraId="092CADB2" w14:textId="77777777" w:rsidR="00F806CF" w:rsidRPr="000712D7" w:rsidRDefault="00C04129">
            <w:pPr>
              <w:spacing w:line="259" w:lineRule="auto"/>
              <w:ind w:left="0" w:right="2" w:firstLine="0"/>
              <w:jc w:val="righ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0712D7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2023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6" w:space="0" w:color="AFB4B9"/>
              <w:right w:val="nil"/>
            </w:tcBorders>
          </w:tcPr>
          <w:p w14:paraId="12103399" w14:textId="7009821A" w:rsidR="00F806CF" w:rsidRPr="000712D7" w:rsidRDefault="00E431C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0712D7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     Zmiana</w:t>
            </w:r>
          </w:p>
        </w:tc>
      </w:tr>
      <w:tr w:rsidR="00F806CF" w:rsidRPr="000712D7" w14:paraId="4617251D" w14:textId="77777777">
        <w:trPr>
          <w:trHeight w:val="38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7442623A" w14:textId="77777777" w:rsidR="00F806CF" w:rsidRPr="000712D7" w:rsidRDefault="00C0412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0712D7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Zysk na akcję uprzywilejowaną (EUR)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31BF4A4D" w14:textId="7F2F501B" w:rsidR="00F806CF" w:rsidRPr="000712D7" w:rsidRDefault="00570DAC">
            <w:pPr>
              <w:spacing w:line="259" w:lineRule="auto"/>
              <w:ind w:left="541" w:firstLine="0"/>
              <w:jc w:val="lef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0712D7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 1,04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</w:tcPr>
          <w:p w14:paraId="12922FF0" w14:textId="71BB16BA" w:rsidR="00F806CF" w:rsidRPr="000712D7" w:rsidRDefault="00570DAC">
            <w:pPr>
              <w:spacing w:line="259" w:lineRule="auto"/>
              <w:ind w:left="540" w:firstLine="0"/>
              <w:jc w:val="lef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0712D7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 1,35</w:t>
            </w:r>
          </w:p>
        </w:tc>
        <w:tc>
          <w:tcPr>
            <w:tcW w:w="326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</w:tcPr>
          <w:p w14:paraId="0D45B400" w14:textId="77777777" w:rsidR="00F806CF" w:rsidRPr="000712D7" w:rsidRDefault="00C04129">
            <w:pPr>
              <w:spacing w:line="259" w:lineRule="auto"/>
              <w:ind w:left="282" w:firstLine="0"/>
              <w:jc w:val="lef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0712D7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29,8%</w:t>
            </w:r>
          </w:p>
        </w:tc>
      </w:tr>
      <w:tr w:rsidR="00F806CF" w:rsidRPr="000712D7" w14:paraId="1F51A623" w14:textId="77777777">
        <w:trPr>
          <w:trHeight w:val="38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00F79D76" w14:textId="77777777" w:rsidR="00F806CF" w:rsidRPr="000712D7" w:rsidRDefault="00C0412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0712D7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Skorygowany zysk na akcję uprzywilejowaną (EUR)</w:t>
            </w:r>
            <w:r w:rsidRPr="000712D7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pl-PL"/>
              </w:rPr>
              <w:t>1)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nil"/>
            </w:tcBorders>
          </w:tcPr>
          <w:p w14:paraId="366055C4" w14:textId="6050DA77" w:rsidR="00F806CF" w:rsidRPr="000712D7" w:rsidRDefault="00570DAC">
            <w:pPr>
              <w:spacing w:line="259" w:lineRule="auto"/>
              <w:ind w:left="538" w:firstLine="0"/>
              <w:jc w:val="lef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0712D7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 1,95</w:t>
            </w:r>
          </w:p>
        </w:tc>
        <w:tc>
          <w:tcPr>
            <w:tcW w:w="1272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</w:tcPr>
          <w:p w14:paraId="28C705E4" w14:textId="7A73D782" w:rsidR="00F806CF" w:rsidRPr="000712D7" w:rsidRDefault="00570DAC">
            <w:pPr>
              <w:spacing w:line="259" w:lineRule="auto"/>
              <w:ind w:left="540" w:firstLine="0"/>
              <w:jc w:val="lef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0712D7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 xml:space="preserve"> 2,13</w:t>
            </w:r>
          </w:p>
        </w:tc>
        <w:tc>
          <w:tcPr>
            <w:tcW w:w="326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</w:tcPr>
          <w:p w14:paraId="7639B7EB" w14:textId="77777777" w:rsidR="00F806CF" w:rsidRPr="000712D7" w:rsidRDefault="00C04129">
            <w:pPr>
              <w:spacing w:line="259" w:lineRule="auto"/>
              <w:ind w:left="346" w:firstLine="0"/>
              <w:jc w:val="lef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0712D7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9,2%</w:t>
            </w:r>
          </w:p>
        </w:tc>
      </w:tr>
      <w:tr w:rsidR="00F806CF" w:rsidRPr="000712D7" w14:paraId="225DAFFF" w14:textId="77777777">
        <w:trPr>
          <w:trHeight w:val="382"/>
        </w:trPr>
        <w:tc>
          <w:tcPr>
            <w:tcW w:w="5573" w:type="dxa"/>
            <w:tcBorders>
              <w:top w:val="single" w:sz="6" w:space="0" w:color="AFB4B9"/>
              <w:left w:val="nil"/>
              <w:bottom w:val="single" w:sz="6" w:space="0" w:color="AFB4B9"/>
              <w:right w:val="single" w:sz="17" w:space="0" w:color="FFFFFF"/>
            </w:tcBorders>
          </w:tcPr>
          <w:p w14:paraId="1A5F589F" w14:textId="77777777" w:rsidR="00F806CF" w:rsidRPr="000712D7" w:rsidRDefault="00C04129">
            <w:pPr>
              <w:spacing w:line="259" w:lineRule="auto"/>
              <w:ind w:left="497" w:firstLine="0"/>
              <w:jc w:val="lef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0712D7"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  <w:t>wg stałych kursów wymiany</w:t>
            </w:r>
          </w:p>
        </w:tc>
        <w:tc>
          <w:tcPr>
            <w:tcW w:w="1272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</w:tcPr>
          <w:p w14:paraId="56D77F50" w14:textId="77777777" w:rsidR="00F806CF" w:rsidRPr="000712D7" w:rsidRDefault="00F806C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</w:p>
        </w:tc>
        <w:tc>
          <w:tcPr>
            <w:tcW w:w="1272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single" w:sz="17" w:space="0" w:color="FFFFFF"/>
            </w:tcBorders>
          </w:tcPr>
          <w:p w14:paraId="243BF8B4" w14:textId="77777777" w:rsidR="00F806CF" w:rsidRPr="000712D7" w:rsidRDefault="00F806C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</w:p>
        </w:tc>
        <w:tc>
          <w:tcPr>
            <w:tcW w:w="3269" w:type="dxa"/>
            <w:tcBorders>
              <w:top w:val="single" w:sz="6" w:space="0" w:color="AFB4B9"/>
              <w:left w:val="single" w:sz="17" w:space="0" w:color="FFFFFF"/>
              <w:bottom w:val="single" w:sz="6" w:space="0" w:color="AFB4B9"/>
              <w:right w:val="nil"/>
            </w:tcBorders>
          </w:tcPr>
          <w:p w14:paraId="2BC0E6A9" w14:textId="77777777" w:rsidR="00F806CF" w:rsidRPr="000712D7" w:rsidRDefault="00C04129">
            <w:pPr>
              <w:spacing w:line="259" w:lineRule="auto"/>
              <w:ind w:left="283" w:firstLine="0"/>
              <w:jc w:val="left"/>
              <w:rPr>
                <w:rFonts w:ascii="Times New Roman" w:hAnsi="Times New Roman" w:cs="Times New Roman"/>
                <w:sz w:val="20"/>
                <w:szCs w:val="18"/>
                <w:lang w:val="pl-PL"/>
              </w:rPr>
            </w:pPr>
            <w:r w:rsidRPr="000712D7">
              <w:rPr>
                <w:rFonts w:ascii="Times New Roman" w:hAnsi="Times New Roman" w:cs="Times New Roman"/>
                <w:sz w:val="20"/>
                <w:szCs w:val="18"/>
                <w:lang w:val="pl-PL"/>
              </w:rPr>
              <w:t>14,4%</w:t>
            </w:r>
          </w:p>
        </w:tc>
      </w:tr>
    </w:tbl>
    <w:p w14:paraId="4529CF62" w14:textId="77777777" w:rsidR="00F806CF" w:rsidRPr="00100EC6" w:rsidRDefault="00C04129">
      <w:pPr>
        <w:spacing w:after="3" w:line="259" w:lineRule="auto"/>
        <w:ind w:left="2"/>
        <w:jc w:val="left"/>
        <w:rPr>
          <w:sz w:val="20"/>
          <w:szCs w:val="20"/>
          <w:lang w:val="pl-PL"/>
        </w:rPr>
      </w:pPr>
      <w:r w:rsidRPr="00100EC6">
        <w:rPr>
          <w:rFonts w:ascii="Times New Roman" w:eastAsia="Times New Roman" w:hAnsi="Times New Roman" w:cs="Times New Roman"/>
          <w:sz w:val="13"/>
          <w:szCs w:val="20"/>
          <w:lang w:val="pl-PL"/>
        </w:rPr>
        <w:t>Zmiany na podstawie danych wyrażonych w tysiącach euro</w:t>
      </w:r>
    </w:p>
    <w:p w14:paraId="2873FD35" w14:textId="267C4C28" w:rsidR="00F806CF" w:rsidRPr="00100EC6" w:rsidRDefault="00C04129" w:rsidP="00E431C8">
      <w:pPr>
        <w:spacing w:after="369" w:line="259" w:lineRule="auto"/>
        <w:ind w:left="0" w:firstLine="0"/>
        <w:jc w:val="left"/>
        <w:rPr>
          <w:sz w:val="20"/>
          <w:szCs w:val="20"/>
          <w:lang w:val="pl-PL"/>
        </w:rPr>
      </w:pPr>
      <w:r w:rsidRPr="00100EC6">
        <w:rPr>
          <w:rFonts w:ascii="Times New Roman" w:eastAsia="Times New Roman" w:hAnsi="Times New Roman" w:cs="Times New Roman"/>
          <w:sz w:val="10"/>
          <w:vertAlign w:val="superscript"/>
          <w:lang w:val="pl-PL"/>
        </w:rPr>
        <w:t>1)</w:t>
      </w:r>
      <w:r w:rsidRPr="00100EC6">
        <w:rPr>
          <w:rFonts w:ascii="Times New Roman" w:eastAsia="Times New Roman" w:hAnsi="Times New Roman" w:cs="Times New Roman"/>
          <w:sz w:val="10"/>
          <w:lang w:val="pl-PL"/>
        </w:rPr>
        <w:t xml:space="preserve"> Po uwzględnieniu kosztów/zysków o charakterze jednorazowym oraz kosztów restrukturyzacji</w:t>
      </w:r>
      <w:r w:rsidR="00E431C8" w:rsidRPr="00100EC6">
        <w:rPr>
          <w:rFonts w:ascii="Times New Roman" w:eastAsia="Times New Roman" w:hAnsi="Times New Roman" w:cs="Times New Roman"/>
          <w:sz w:val="8"/>
          <w:szCs w:val="20"/>
          <w:lang w:val="pl-PL"/>
        </w:rPr>
        <w:br/>
      </w:r>
      <w:r w:rsidRPr="00100EC6">
        <w:rPr>
          <w:rFonts w:ascii="Times New Roman" w:eastAsia="Times New Roman" w:hAnsi="Times New Roman" w:cs="Times New Roman"/>
          <w:sz w:val="13"/>
          <w:szCs w:val="20"/>
          <w:lang w:val="pl-PL"/>
        </w:rPr>
        <w:t xml:space="preserve">Henkel AG &amp; Co. </w:t>
      </w:r>
      <w:proofErr w:type="spellStart"/>
      <w:r w:rsidRPr="00100EC6">
        <w:rPr>
          <w:rFonts w:ascii="Times New Roman" w:eastAsia="Times New Roman" w:hAnsi="Times New Roman" w:cs="Times New Roman"/>
          <w:sz w:val="13"/>
          <w:szCs w:val="20"/>
          <w:lang w:val="pl-PL"/>
        </w:rPr>
        <w:t>KGaA</w:t>
      </w:r>
      <w:proofErr w:type="spellEnd"/>
      <w:r w:rsidRPr="00100EC6">
        <w:rPr>
          <w:rFonts w:ascii="Times New Roman" w:eastAsia="Times New Roman" w:hAnsi="Times New Roman" w:cs="Times New Roman"/>
          <w:sz w:val="13"/>
          <w:szCs w:val="20"/>
          <w:lang w:val="pl-PL"/>
        </w:rPr>
        <w:t>, Relacje Inwestorskie</w:t>
      </w:r>
    </w:p>
    <w:sectPr w:rsidR="00F806CF" w:rsidRPr="00100EC6">
      <w:footerReference w:type="even" r:id="rId13"/>
      <w:footerReference w:type="default" r:id="rId14"/>
      <w:footerReference w:type="first" r:id="rId15"/>
      <w:pgSz w:w="12240" w:h="15840"/>
      <w:pgMar w:top="1440" w:right="2698" w:bottom="1440" w:left="3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EC1B" w14:textId="77777777" w:rsidR="00CD2BFB" w:rsidRDefault="00CD2BFB">
      <w:pPr>
        <w:spacing w:line="240" w:lineRule="auto"/>
      </w:pPr>
      <w:r>
        <w:separator/>
      </w:r>
    </w:p>
  </w:endnote>
  <w:endnote w:type="continuationSeparator" w:id="0">
    <w:p w14:paraId="4FE48B3A" w14:textId="77777777" w:rsidR="00CD2BFB" w:rsidRDefault="00CD2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5D0D" w14:textId="77777777" w:rsidR="00F806CF" w:rsidRPr="00B533CA" w:rsidRDefault="00C04129">
    <w:pPr>
      <w:tabs>
        <w:tab w:val="right" w:pos="9090"/>
      </w:tabs>
      <w:spacing w:line="259" w:lineRule="auto"/>
      <w:ind w:left="0" w:firstLine="0"/>
      <w:jc w:val="left"/>
      <w:rPr>
        <w:lang w:val="de-DE"/>
      </w:rPr>
    </w:pPr>
    <w:r w:rsidRPr="00B533CA">
      <w:rPr>
        <w:sz w:val="12"/>
        <w:lang w:val="de-DE"/>
      </w:rPr>
      <w:t>Henkel AG &amp; Co. KGaA</w:t>
    </w:r>
    <w:r w:rsidRPr="00B533CA">
      <w:rPr>
        <w:sz w:val="12"/>
        <w:lang w:val="de-DE"/>
      </w:rPr>
      <w:tab/>
    </w:r>
    <w:proofErr w:type="spellStart"/>
    <w:r w:rsidRPr="00B533CA">
      <w:rPr>
        <w:sz w:val="12"/>
        <w:lang w:val="de-DE"/>
      </w:rPr>
      <w:t>Strona</w:t>
    </w:r>
    <w:proofErr w:type="spellEnd"/>
    <w:r w:rsidRPr="00B533CA">
      <w:rPr>
        <w:sz w:val="12"/>
        <w:lang w:val="de-DE"/>
      </w:rPr>
      <w:t xml:space="preserve"> </w:t>
    </w:r>
    <w:r>
      <w:rPr>
        <w:sz w:val="12"/>
        <w:lang w:val="pl"/>
      </w:rPr>
      <w:fldChar w:fldCharType="begin"/>
    </w:r>
    <w:r w:rsidRPr="00B533CA">
      <w:rPr>
        <w:sz w:val="12"/>
        <w:lang w:val="de-DE"/>
      </w:rPr>
      <w:instrText xml:space="preserve"> PAGE   \* MERGEFORMAT </w:instrText>
    </w:r>
    <w:r>
      <w:rPr>
        <w:sz w:val="12"/>
        <w:lang w:val="pl"/>
      </w:rPr>
      <w:fldChar w:fldCharType="separate"/>
    </w:r>
    <w:r w:rsidRPr="00B533CA">
      <w:rPr>
        <w:sz w:val="12"/>
        <w:lang w:val="de-DE"/>
      </w:rPr>
      <w:t>2</w:t>
    </w:r>
    <w:r>
      <w:rPr>
        <w:sz w:val="12"/>
        <w:lang w:val="pl"/>
      </w:rPr>
      <w:fldChar w:fldCharType="end"/>
    </w:r>
    <w:r w:rsidRPr="00B533CA">
      <w:rPr>
        <w:sz w:val="12"/>
        <w:lang w:val="de-DE"/>
      </w:rPr>
      <w:t xml:space="preserve">/7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8D15" w14:textId="77777777" w:rsidR="00F806CF" w:rsidRPr="00B533CA" w:rsidRDefault="00C04129">
    <w:pPr>
      <w:tabs>
        <w:tab w:val="right" w:pos="9090"/>
      </w:tabs>
      <w:spacing w:line="259" w:lineRule="auto"/>
      <w:ind w:left="0" w:firstLine="0"/>
      <w:jc w:val="left"/>
      <w:rPr>
        <w:lang w:val="de-DE"/>
      </w:rPr>
    </w:pPr>
    <w:r w:rsidRPr="00B533CA">
      <w:rPr>
        <w:sz w:val="12"/>
        <w:lang w:val="de-DE"/>
      </w:rPr>
      <w:t>Henkel AG &amp; Co. KGaA</w:t>
    </w:r>
    <w:r w:rsidRPr="00B533CA">
      <w:rPr>
        <w:sz w:val="12"/>
        <w:lang w:val="de-DE"/>
      </w:rPr>
      <w:tab/>
    </w:r>
    <w:proofErr w:type="spellStart"/>
    <w:r w:rsidRPr="00B533CA">
      <w:rPr>
        <w:sz w:val="12"/>
        <w:lang w:val="de-DE"/>
      </w:rPr>
      <w:t>Strona</w:t>
    </w:r>
    <w:proofErr w:type="spellEnd"/>
    <w:r w:rsidRPr="00B533CA">
      <w:rPr>
        <w:sz w:val="12"/>
        <w:lang w:val="de-DE"/>
      </w:rPr>
      <w:t xml:space="preserve"> </w:t>
    </w:r>
    <w:r>
      <w:rPr>
        <w:sz w:val="12"/>
        <w:lang w:val="pl"/>
      </w:rPr>
      <w:fldChar w:fldCharType="begin"/>
    </w:r>
    <w:r w:rsidRPr="00B533CA">
      <w:rPr>
        <w:sz w:val="12"/>
        <w:lang w:val="de-DE"/>
      </w:rPr>
      <w:instrText xml:space="preserve"> PAGE   \* MERGEFORMAT </w:instrText>
    </w:r>
    <w:r>
      <w:rPr>
        <w:sz w:val="12"/>
        <w:lang w:val="pl"/>
      </w:rPr>
      <w:fldChar w:fldCharType="separate"/>
    </w:r>
    <w:r w:rsidRPr="00B533CA">
      <w:rPr>
        <w:sz w:val="12"/>
        <w:lang w:val="de-DE"/>
      </w:rPr>
      <w:t>2</w:t>
    </w:r>
    <w:r>
      <w:rPr>
        <w:sz w:val="12"/>
        <w:lang w:val="pl"/>
      </w:rPr>
      <w:fldChar w:fldCharType="end"/>
    </w:r>
    <w:r w:rsidRPr="00B533CA">
      <w:rPr>
        <w:sz w:val="12"/>
        <w:lang w:val="de-DE"/>
      </w:rPr>
      <w:t xml:space="preserve">/7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D984" w14:textId="77777777" w:rsidR="00F806CF" w:rsidRDefault="00C04129">
    <w:pPr>
      <w:spacing w:line="259" w:lineRule="auto"/>
      <w:ind w:left="0" w:right="5" w:firstLine="0"/>
      <w:jc w:val="right"/>
    </w:pPr>
    <w:r>
      <w:rPr>
        <w:sz w:val="12"/>
        <w:lang w:val="pl"/>
      </w:rPr>
      <w:t xml:space="preserve">Strona </w:t>
    </w:r>
    <w:r>
      <w:rPr>
        <w:sz w:val="12"/>
        <w:lang w:val="pl"/>
      </w:rPr>
      <w:fldChar w:fldCharType="begin"/>
    </w:r>
    <w:r>
      <w:rPr>
        <w:sz w:val="12"/>
        <w:lang w:val="pl"/>
      </w:rPr>
      <w:instrText xml:space="preserve"> PAGE   \* MERGEFORMAT </w:instrText>
    </w:r>
    <w:r>
      <w:rPr>
        <w:sz w:val="12"/>
        <w:lang w:val="pl"/>
      </w:rPr>
      <w:fldChar w:fldCharType="separate"/>
    </w:r>
    <w:r>
      <w:rPr>
        <w:sz w:val="12"/>
        <w:lang w:val="pl"/>
      </w:rPr>
      <w:t>1</w:t>
    </w:r>
    <w:r>
      <w:rPr>
        <w:sz w:val="12"/>
        <w:lang w:val="pl"/>
      </w:rPr>
      <w:fldChar w:fldCharType="end"/>
    </w:r>
    <w:r>
      <w:rPr>
        <w:sz w:val="12"/>
        <w:lang w:val="pl"/>
      </w:rPr>
      <w:t xml:space="preserve">z 7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8407" w14:textId="77777777" w:rsidR="00F806CF" w:rsidRDefault="00F806C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C5E6" w14:textId="77777777" w:rsidR="00F806CF" w:rsidRDefault="00F806C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F252" w14:textId="77777777" w:rsidR="00F806CF" w:rsidRDefault="00F806C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7AE8" w14:textId="77777777" w:rsidR="00CD2BFB" w:rsidRDefault="00CD2BFB">
      <w:pPr>
        <w:spacing w:line="240" w:lineRule="auto"/>
      </w:pPr>
      <w:r>
        <w:separator/>
      </w:r>
    </w:p>
  </w:footnote>
  <w:footnote w:type="continuationSeparator" w:id="0">
    <w:p w14:paraId="569413DE" w14:textId="77777777" w:rsidR="00CD2BFB" w:rsidRDefault="00CD2B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3AA3"/>
    <w:multiLevelType w:val="hybridMultilevel"/>
    <w:tmpl w:val="A3A0D32A"/>
    <w:lvl w:ilvl="0" w:tplc="6DE209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56D60A">
      <w:start w:val="1"/>
      <w:numFmt w:val="bullet"/>
      <w:lvlText w:val="o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34692A">
      <w:start w:val="1"/>
      <w:numFmt w:val="bullet"/>
      <w:lvlRestart w:val="0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45BEA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D28FE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237DC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CAA7F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0BD60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B0D184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B707F0"/>
    <w:multiLevelType w:val="hybridMultilevel"/>
    <w:tmpl w:val="70A61E62"/>
    <w:lvl w:ilvl="0" w:tplc="0B8C5F66">
      <w:start w:val="1"/>
      <w:numFmt w:val="bullet"/>
      <w:lvlText w:val="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E100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674C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E100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690A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E100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E0A9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E100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E532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E100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65C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E100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E3B6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E100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A0F0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E100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0E62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E100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7923709">
    <w:abstractNumId w:val="1"/>
  </w:num>
  <w:num w:numId="2" w16cid:durableId="23647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CF"/>
    <w:rsid w:val="000712D7"/>
    <w:rsid w:val="00100EC6"/>
    <w:rsid w:val="00232E8D"/>
    <w:rsid w:val="00275446"/>
    <w:rsid w:val="004629E3"/>
    <w:rsid w:val="00536A5E"/>
    <w:rsid w:val="00570DAC"/>
    <w:rsid w:val="007E04D0"/>
    <w:rsid w:val="009B763D"/>
    <w:rsid w:val="009C0BCD"/>
    <w:rsid w:val="00B533CA"/>
    <w:rsid w:val="00B83965"/>
    <w:rsid w:val="00C04129"/>
    <w:rsid w:val="00C27D59"/>
    <w:rsid w:val="00CC6938"/>
    <w:rsid w:val="00CD2BFB"/>
    <w:rsid w:val="00D06033"/>
    <w:rsid w:val="00E431C8"/>
    <w:rsid w:val="00F806CF"/>
    <w:rsid w:val="00F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1085"/>
  <w15:docId w15:val="{45476C87-BF50-4A8C-A5E2-38BBA88E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75" w:lineRule="auto"/>
      <w:ind w:left="10" w:hanging="10"/>
      <w:jc w:val="both"/>
    </w:pPr>
    <w:rPr>
      <w:rFonts w:ascii="Segoe UI" w:eastAsia="Segoe UI" w:hAnsi="Segoe UI" w:cs="Segoe U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Segoe UI" w:eastAsia="Segoe UI" w:hAnsi="Segoe UI" w:cs="Segoe UI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Segoe UI" w:eastAsia="Segoe UI" w:hAnsi="Segoe UI" w:cs="Segoe U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Segoe UI" w:eastAsia="Segoe UI" w:hAnsi="Segoe UI" w:cs="Segoe U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Segoe UI" w:eastAsia="Segoe UI" w:hAnsi="Segoe UI" w:cs="Segoe U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2900</Words>
  <Characters>17401</Characters>
  <Application>Microsoft Office Word</Application>
  <DocSecurity>4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Henkel News Release_H1_2023_EN.docx</vt:lpstr>
    </vt:vector>
  </TitlesOfParts>
  <Company/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Henkel News Release_H1_2023_EN.docx</dc:title>
  <dc:subject/>
  <dc:creator>klueppel</dc:creator>
  <cp:keywords/>
  <cp:lastModifiedBy>Klaudia Mencina</cp:lastModifiedBy>
  <cp:revision>2</cp:revision>
  <dcterms:created xsi:type="dcterms:W3CDTF">2023-08-10T15:49:00Z</dcterms:created>
  <dcterms:modified xsi:type="dcterms:W3CDTF">2023-08-10T15:49:00Z</dcterms:modified>
</cp:coreProperties>
</file>