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14F3" w14:textId="7F9AD9D1" w:rsidR="00F210C5" w:rsidRPr="00B62DAB" w:rsidRDefault="00F210C5" w:rsidP="00B350BA">
      <w:pPr>
        <w:pStyle w:val="MonthDayYear"/>
        <w:spacing w:afterLines="50" w:after="120"/>
        <w:rPr>
          <w:iCs/>
          <w:lang w:eastAsia="zh-CN"/>
        </w:rPr>
      </w:pPr>
      <w:r w:rsidRPr="00F635C6">
        <w:rPr>
          <w:highlight w:val="yellow"/>
          <w:lang w:eastAsia="zh-CN"/>
        </w:rPr>
        <w:t>2023</w:t>
      </w:r>
      <w:r w:rsidRPr="00F635C6">
        <w:rPr>
          <w:rFonts w:hint="eastAsia"/>
          <w:highlight w:val="yellow"/>
          <w:lang w:eastAsia="zh-CN"/>
        </w:rPr>
        <w:t>年</w:t>
      </w:r>
      <w:r w:rsidRPr="00F635C6">
        <w:rPr>
          <w:highlight w:val="yellow"/>
          <w:lang w:eastAsia="zh-CN"/>
        </w:rPr>
        <w:t>8</w:t>
      </w:r>
      <w:r w:rsidRPr="00F635C6">
        <w:rPr>
          <w:rFonts w:hint="eastAsia"/>
          <w:highlight w:val="yellow"/>
          <w:lang w:eastAsia="zh-CN"/>
        </w:rPr>
        <w:t>月</w:t>
      </w:r>
      <w:r w:rsidR="00F635C6" w:rsidRPr="00F635C6">
        <w:rPr>
          <w:highlight w:val="yellow"/>
          <w:lang w:eastAsia="zh-CN"/>
        </w:rPr>
        <w:t>21</w:t>
      </w:r>
      <w:r w:rsidRPr="00F635C6">
        <w:rPr>
          <w:rFonts w:hint="eastAsia"/>
          <w:highlight w:val="yellow"/>
          <w:lang w:eastAsia="zh-CN"/>
        </w:rPr>
        <w:t>日</w:t>
      </w:r>
    </w:p>
    <w:p w14:paraId="453B5C30" w14:textId="0A4F7A97" w:rsidR="00BB7240" w:rsidRPr="00B62DAB" w:rsidRDefault="00F210C5" w:rsidP="00B350BA">
      <w:pPr>
        <w:pStyle w:val="Topline"/>
        <w:spacing w:before="0" w:afterLines="50" w:after="120"/>
        <w:rPr>
          <w:rFonts w:asciiTheme="majorHAnsi" w:hAnsiTheme="majorHAnsi" w:cstheme="majorHAnsi"/>
          <w:lang w:eastAsia="zh-CN"/>
        </w:rPr>
      </w:pPr>
      <w:r w:rsidRPr="00B62DAB">
        <w:rPr>
          <w:rFonts w:asciiTheme="majorHAnsi" w:hAnsiTheme="majorHAnsi" w:cstheme="majorHAnsi" w:hint="eastAsia"/>
          <w:lang w:eastAsia="zh-CN"/>
        </w:rPr>
        <w:t>上半年保持增长态势</w:t>
      </w:r>
      <w:r w:rsidR="00BB7240" w:rsidRPr="00B62DAB">
        <w:rPr>
          <w:rFonts w:asciiTheme="majorHAnsi" w:hAnsiTheme="majorHAnsi" w:cstheme="majorHAnsi" w:hint="eastAsia"/>
          <w:lang w:eastAsia="zh-CN"/>
        </w:rPr>
        <w:t>，盈利</w:t>
      </w:r>
      <w:r w:rsidRPr="00B62DAB">
        <w:rPr>
          <w:rFonts w:asciiTheme="majorHAnsi" w:hAnsiTheme="majorHAnsi" w:cstheme="majorHAnsi" w:hint="eastAsia"/>
          <w:lang w:eastAsia="zh-CN"/>
        </w:rPr>
        <w:t>能力</w:t>
      </w:r>
      <w:r w:rsidR="00BB7240" w:rsidRPr="00B62DAB">
        <w:rPr>
          <w:rFonts w:asciiTheme="majorHAnsi" w:hAnsiTheme="majorHAnsi" w:cstheme="majorHAnsi" w:hint="eastAsia"/>
          <w:lang w:eastAsia="zh-CN"/>
        </w:rPr>
        <w:t>显著改善</w:t>
      </w:r>
    </w:p>
    <w:p w14:paraId="22393190" w14:textId="68826323" w:rsidR="00BB7240" w:rsidRPr="004F6D54" w:rsidRDefault="00BB7240" w:rsidP="00B350BA">
      <w:pPr>
        <w:spacing w:afterLines="50" w:after="120"/>
        <w:jc w:val="left"/>
        <w:rPr>
          <w:rStyle w:val="Headline"/>
          <w:rFonts w:asciiTheme="majorHAnsi" w:hAnsiTheme="majorHAnsi" w:cstheme="majorHAnsi"/>
          <w:color w:val="000000" w:themeColor="text1"/>
          <w:lang w:eastAsia="zh-CN"/>
        </w:rPr>
      </w:pPr>
      <w:r w:rsidRPr="004F6D54">
        <w:rPr>
          <w:rStyle w:val="Headline"/>
          <w:rFonts w:asciiTheme="majorHAnsi" w:hAnsiTheme="majorHAnsi" w:cstheme="majorHAnsi" w:hint="eastAsia"/>
          <w:color w:val="000000" w:themeColor="text1"/>
          <w:lang w:eastAsia="zh-CN"/>
        </w:rPr>
        <w:t>汉高上调</w:t>
      </w:r>
      <w:r w:rsidRPr="004F6D54">
        <w:rPr>
          <w:rStyle w:val="Headline"/>
          <w:rFonts w:asciiTheme="majorHAnsi" w:hAnsiTheme="majorHAnsi" w:cstheme="majorHAnsi" w:hint="eastAsia"/>
          <w:color w:val="000000" w:themeColor="text1"/>
          <w:lang w:eastAsia="zh-CN"/>
        </w:rPr>
        <w:t>2023</w:t>
      </w:r>
      <w:r w:rsidRPr="004F6D54">
        <w:rPr>
          <w:rStyle w:val="Headline"/>
          <w:rFonts w:asciiTheme="majorHAnsi" w:hAnsiTheme="majorHAnsi" w:cstheme="majorHAnsi" w:hint="eastAsia"/>
          <w:color w:val="000000" w:themeColor="text1"/>
          <w:lang w:eastAsia="zh-CN"/>
        </w:rPr>
        <w:t>年销售</w:t>
      </w:r>
      <w:r w:rsidR="00F16F3C" w:rsidRPr="004F6D54">
        <w:rPr>
          <w:rStyle w:val="Headline"/>
          <w:rFonts w:asciiTheme="majorHAnsi" w:hAnsiTheme="majorHAnsi" w:cstheme="majorHAnsi" w:hint="eastAsia"/>
          <w:color w:val="000000" w:themeColor="text1"/>
          <w:lang w:eastAsia="zh-CN"/>
        </w:rPr>
        <w:t>额</w:t>
      </w:r>
      <w:r w:rsidRPr="004F6D54">
        <w:rPr>
          <w:rStyle w:val="Headline"/>
          <w:rFonts w:asciiTheme="majorHAnsi" w:hAnsiTheme="majorHAnsi" w:cstheme="majorHAnsi" w:hint="eastAsia"/>
          <w:color w:val="000000" w:themeColor="text1"/>
          <w:lang w:eastAsia="zh-CN"/>
        </w:rPr>
        <w:t>和盈利预期</w:t>
      </w:r>
    </w:p>
    <w:p w14:paraId="4582F48C" w14:textId="1E4F6033" w:rsidR="00BB7240" w:rsidRPr="00F93BD2" w:rsidRDefault="00BB724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CN"/>
        </w:rPr>
      </w:pPr>
      <w:bookmarkStart w:id="0" w:name="_Hlk140061525"/>
      <w:bookmarkStart w:id="1" w:name="_Hlk43712519"/>
      <w:r w:rsidRPr="00F93BD2">
        <w:rPr>
          <w:rFonts w:asciiTheme="majorHAnsi" w:hAnsiTheme="majorHAnsi" w:cstheme="majorHAnsi" w:hint="eastAsia"/>
          <w:b/>
          <w:color w:val="000000" w:themeColor="text1"/>
          <w:szCs w:val="22"/>
          <w:lang w:eastAsia="zh-CN"/>
        </w:rPr>
        <w:t>上半年集团销售额有机增长</w:t>
      </w:r>
      <w:r w:rsidRPr="00F93BD2">
        <w:rPr>
          <w:rFonts w:asciiTheme="majorHAnsi" w:hAnsiTheme="majorHAnsi" w:cstheme="majorHAnsi" w:hint="eastAsia"/>
          <w:b/>
          <w:color w:val="000000" w:themeColor="text1"/>
          <w:szCs w:val="22"/>
          <w:lang w:eastAsia="zh-CN"/>
        </w:rPr>
        <w:t>4.9%</w:t>
      </w:r>
      <w:r w:rsidRPr="00F93BD2">
        <w:rPr>
          <w:rFonts w:asciiTheme="majorHAnsi" w:hAnsiTheme="majorHAnsi" w:cstheme="majorHAnsi" w:hint="eastAsia"/>
          <w:b/>
          <w:color w:val="000000" w:themeColor="text1"/>
          <w:szCs w:val="22"/>
          <w:lang w:eastAsia="zh-CN"/>
        </w:rPr>
        <w:t>，达到</w:t>
      </w:r>
      <w:r w:rsidR="00A90492" w:rsidRPr="00F93BD2">
        <w:rPr>
          <w:rFonts w:asciiTheme="majorHAnsi" w:hAnsiTheme="majorHAnsi" w:cstheme="majorHAnsi" w:hint="eastAsia"/>
          <w:b/>
          <w:color w:val="000000" w:themeColor="text1"/>
          <w:szCs w:val="22"/>
          <w:lang w:eastAsia="zh-CN"/>
        </w:rPr>
        <w:t>约</w:t>
      </w:r>
      <w:r w:rsidRPr="00F93BD2">
        <w:rPr>
          <w:rFonts w:asciiTheme="majorHAnsi" w:hAnsiTheme="majorHAnsi" w:cstheme="majorHAnsi" w:hint="eastAsia"/>
          <w:b/>
          <w:color w:val="000000" w:themeColor="text1"/>
          <w:szCs w:val="22"/>
          <w:lang w:eastAsia="zh-CN"/>
        </w:rPr>
        <w:t>109</w:t>
      </w:r>
      <w:r w:rsidRPr="00F93BD2">
        <w:rPr>
          <w:rFonts w:asciiTheme="majorHAnsi" w:hAnsiTheme="majorHAnsi" w:cstheme="majorHAnsi" w:hint="eastAsia"/>
          <w:b/>
          <w:color w:val="000000" w:themeColor="text1"/>
          <w:szCs w:val="22"/>
          <w:lang w:eastAsia="zh-CN"/>
        </w:rPr>
        <w:t>亿欧元</w:t>
      </w:r>
      <w:r w:rsidR="00A90492"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名义增长</w:t>
      </w:r>
      <w:r w:rsidRPr="00F93BD2">
        <w:rPr>
          <w:rFonts w:asciiTheme="majorHAnsi" w:hAnsiTheme="majorHAnsi" w:cstheme="majorHAnsi" w:hint="eastAsia"/>
          <w:b/>
          <w:color w:val="000000" w:themeColor="text1"/>
          <w:szCs w:val="22"/>
          <w:lang w:eastAsia="zh-CN"/>
        </w:rPr>
        <w:t>0.1%</w:t>
      </w:r>
      <w:r w:rsidR="00A90492"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，两个业务部</w:t>
      </w:r>
      <w:r w:rsidR="004C5865" w:rsidRPr="00F93BD2">
        <w:rPr>
          <w:rFonts w:asciiTheme="majorHAnsi" w:hAnsiTheme="majorHAnsi" w:cstheme="majorHAnsi" w:hint="eastAsia"/>
          <w:b/>
          <w:color w:val="000000" w:themeColor="text1"/>
          <w:szCs w:val="22"/>
          <w:lang w:eastAsia="zh-CN"/>
        </w:rPr>
        <w:t>门</w:t>
      </w:r>
      <w:r w:rsidR="00A90492" w:rsidRPr="00F93BD2">
        <w:rPr>
          <w:rFonts w:asciiTheme="majorHAnsi" w:hAnsiTheme="majorHAnsi" w:cstheme="majorHAnsi" w:hint="eastAsia"/>
          <w:b/>
          <w:color w:val="000000" w:themeColor="text1"/>
          <w:szCs w:val="22"/>
          <w:lang w:eastAsia="zh-CN"/>
        </w:rPr>
        <w:t>均实现</w:t>
      </w:r>
      <w:r w:rsidRPr="00F93BD2">
        <w:rPr>
          <w:rFonts w:asciiTheme="majorHAnsi" w:hAnsiTheme="majorHAnsi" w:cstheme="majorHAnsi" w:hint="eastAsia"/>
          <w:b/>
          <w:color w:val="000000" w:themeColor="text1"/>
          <w:szCs w:val="22"/>
          <w:lang w:eastAsia="zh-CN"/>
        </w:rPr>
        <w:t>非常强劲</w:t>
      </w:r>
      <w:r w:rsidR="00A90492" w:rsidRPr="00F93BD2">
        <w:rPr>
          <w:rFonts w:asciiTheme="majorHAnsi" w:hAnsiTheme="majorHAnsi" w:cstheme="majorHAnsi" w:hint="eastAsia"/>
          <w:b/>
          <w:color w:val="000000" w:themeColor="text1"/>
          <w:szCs w:val="22"/>
          <w:lang w:eastAsia="zh-CN"/>
        </w:rPr>
        <w:t>的增长</w:t>
      </w:r>
    </w:p>
    <w:p w14:paraId="49FC2ED9" w14:textId="7E7E77F7" w:rsidR="00BB7240" w:rsidRPr="00F93BD2" w:rsidRDefault="00A90492"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CN"/>
        </w:rPr>
      </w:pPr>
      <w:r w:rsidRPr="00F93BD2">
        <w:rPr>
          <w:rFonts w:hint="eastAsia"/>
          <w:b/>
          <w:color w:val="000000" w:themeColor="text1"/>
          <w:lang w:eastAsia="zh-CN"/>
        </w:rPr>
        <w:t>营业利润（息税前利润）</w:t>
      </w:r>
      <w:r w:rsidRPr="00F93BD2">
        <w:rPr>
          <w:b/>
          <w:color w:val="000000" w:themeColor="text1"/>
          <w:lang w:eastAsia="zh-CN"/>
        </w:rPr>
        <w:t>*</w:t>
      </w:r>
      <w:r w:rsidRPr="00F93BD2">
        <w:rPr>
          <w:rFonts w:hint="eastAsia"/>
          <w:b/>
          <w:color w:val="000000" w:themeColor="text1"/>
          <w:lang w:eastAsia="zh-CN"/>
        </w:rPr>
        <w:t>：</w:t>
      </w:r>
      <w:r w:rsidR="004C5865" w:rsidRPr="00F93BD2">
        <w:rPr>
          <w:rFonts w:asciiTheme="majorHAnsi" w:hAnsiTheme="majorHAnsi" w:cstheme="majorHAnsi" w:hint="eastAsia"/>
          <w:b/>
          <w:color w:val="000000" w:themeColor="text1"/>
          <w:szCs w:val="22"/>
          <w:lang w:eastAsia="zh-CN"/>
        </w:rPr>
        <w:t>显著</w:t>
      </w:r>
      <w:r w:rsidR="00BB7240" w:rsidRPr="00F93BD2">
        <w:rPr>
          <w:rFonts w:asciiTheme="majorHAnsi" w:hAnsiTheme="majorHAnsi" w:cstheme="majorHAnsi" w:hint="eastAsia"/>
          <w:b/>
          <w:color w:val="000000" w:themeColor="text1"/>
          <w:szCs w:val="22"/>
          <w:lang w:eastAsia="zh-CN"/>
        </w:rPr>
        <w:t>增长至</w:t>
      </w:r>
      <w:r w:rsidR="00BB7240" w:rsidRPr="00F93BD2">
        <w:rPr>
          <w:rFonts w:asciiTheme="majorHAnsi" w:hAnsiTheme="majorHAnsi" w:cstheme="majorHAnsi" w:hint="eastAsia"/>
          <w:b/>
          <w:color w:val="000000" w:themeColor="text1"/>
          <w:szCs w:val="22"/>
          <w:lang w:eastAsia="zh-CN"/>
        </w:rPr>
        <w:t>12.54</w:t>
      </w:r>
      <w:r w:rsidR="00BB7240" w:rsidRPr="00F93BD2">
        <w:rPr>
          <w:rFonts w:asciiTheme="majorHAnsi" w:hAnsiTheme="majorHAnsi" w:cstheme="majorHAnsi" w:hint="eastAsia"/>
          <w:b/>
          <w:color w:val="000000" w:themeColor="text1"/>
          <w:szCs w:val="22"/>
          <w:lang w:eastAsia="zh-CN"/>
        </w:rPr>
        <w:t>亿欧元</w:t>
      </w:r>
      <w:r w:rsidRPr="00F93BD2">
        <w:rPr>
          <w:rFonts w:asciiTheme="majorHAnsi" w:hAnsiTheme="majorHAnsi" w:cstheme="majorHAnsi" w:hint="eastAsia"/>
          <w:b/>
          <w:color w:val="000000" w:themeColor="text1"/>
          <w:szCs w:val="22"/>
          <w:lang w:eastAsia="zh-CN"/>
        </w:rPr>
        <w:t>，</w:t>
      </w:r>
      <w:r w:rsidR="004C5865" w:rsidRPr="00F93BD2">
        <w:rPr>
          <w:rFonts w:asciiTheme="majorHAnsi" w:hAnsiTheme="majorHAnsi" w:cstheme="majorHAnsi" w:hint="eastAsia"/>
          <w:b/>
          <w:color w:val="000000" w:themeColor="text1"/>
          <w:szCs w:val="22"/>
          <w:lang w:eastAsia="zh-CN"/>
        </w:rPr>
        <w:t>增幅为</w:t>
      </w:r>
      <w:r w:rsidR="00BB7240" w:rsidRPr="00F93BD2">
        <w:rPr>
          <w:rFonts w:asciiTheme="majorHAnsi" w:hAnsiTheme="majorHAnsi" w:cstheme="majorHAnsi" w:hint="eastAsia"/>
          <w:b/>
          <w:color w:val="000000" w:themeColor="text1"/>
          <w:szCs w:val="22"/>
          <w:lang w:eastAsia="zh-CN"/>
        </w:rPr>
        <w:t>7.6%</w:t>
      </w:r>
    </w:p>
    <w:p w14:paraId="1E61A12E" w14:textId="1C6B4774" w:rsidR="00BB7240" w:rsidRPr="00F93BD2" w:rsidRDefault="00BB724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CN"/>
        </w:rPr>
      </w:pPr>
      <w:r w:rsidRPr="00F93BD2">
        <w:rPr>
          <w:rFonts w:asciiTheme="majorHAnsi" w:hAnsiTheme="majorHAnsi" w:cstheme="majorHAnsi" w:hint="eastAsia"/>
          <w:b/>
          <w:color w:val="000000" w:themeColor="text1"/>
          <w:szCs w:val="22"/>
          <w:lang w:eastAsia="zh-CN"/>
        </w:rPr>
        <w:t>息税前利润率</w:t>
      </w:r>
      <w:r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强劲增长至</w:t>
      </w:r>
      <w:r w:rsidRPr="00F93BD2">
        <w:rPr>
          <w:rFonts w:asciiTheme="majorHAnsi" w:hAnsiTheme="majorHAnsi" w:cstheme="majorHAnsi" w:hint="eastAsia"/>
          <w:b/>
          <w:color w:val="000000" w:themeColor="text1"/>
          <w:szCs w:val="22"/>
          <w:lang w:eastAsia="zh-CN"/>
        </w:rPr>
        <w:t>11.5%</w:t>
      </w:r>
      <w:r w:rsidR="00A90492" w:rsidRPr="00F93BD2">
        <w:rPr>
          <w:rFonts w:asciiTheme="majorHAnsi" w:hAnsiTheme="majorHAnsi" w:cstheme="majorHAnsi" w:hint="eastAsia"/>
          <w:b/>
          <w:color w:val="000000" w:themeColor="text1"/>
          <w:szCs w:val="22"/>
          <w:lang w:eastAsia="zh-CN"/>
        </w:rPr>
        <w:t>，上浮</w:t>
      </w:r>
      <w:r w:rsidRPr="00F93BD2">
        <w:rPr>
          <w:rFonts w:asciiTheme="majorHAnsi" w:hAnsiTheme="majorHAnsi" w:cstheme="majorHAnsi" w:hint="eastAsia"/>
          <w:b/>
          <w:color w:val="000000" w:themeColor="text1"/>
          <w:szCs w:val="22"/>
          <w:lang w:eastAsia="zh-CN"/>
        </w:rPr>
        <w:t>80</w:t>
      </w:r>
      <w:r w:rsidRPr="00F93BD2">
        <w:rPr>
          <w:rFonts w:asciiTheme="majorHAnsi" w:hAnsiTheme="majorHAnsi" w:cstheme="majorHAnsi" w:hint="eastAsia"/>
          <w:b/>
          <w:color w:val="000000" w:themeColor="text1"/>
          <w:szCs w:val="22"/>
          <w:lang w:eastAsia="zh-CN"/>
        </w:rPr>
        <w:t>个基点</w:t>
      </w:r>
    </w:p>
    <w:p w14:paraId="445BF711" w14:textId="615A31ED" w:rsidR="00BB7240" w:rsidRPr="00F93BD2" w:rsidRDefault="00BB724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CN"/>
        </w:rPr>
      </w:pPr>
      <w:r w:rsidRPr="00F93BD2">
        <w:rPr>
          <w:rFonts w:asciiTheme="majorHAnsi" w:hAnsiTheme="majorHAnsi" w:cstheme="majorHAnsi" w:hint="eastAsia"/>
          <w:b/>
          <w:color w:val="000000" w:themeColor="text1"/>
          <w:szCs w:val="22"/>
          <w:lang w:eastAsia="zh-CN"/>
        </w:rPr>
        <w:t>优先股每股收益</w:t>
      </w:r>
      <w:r w:rsidR="00A90492" w:rsidRPr="00F93BD2">
        <w:rPr>
          <w:rFonts w:hint="eastAsia"/>
          <w:b/>
          <w:color w:val="000000" w:themeColor="text1"/>
          <w:lang w:eastAsia="zh-CN"/>
        </w:rPr>
        <w:t>（</w:t>
      </w:r>
      <w:r w:rsidR="00A90492" w:rsidRPr="00F93BD2">
        <w:rPr>
          <w:b/>
          <w:color w:val="000000" w:themeColor="text1"/>
          <w:lang w:eastAsia="zh-CN"/>
        </w:rPr>
        <w:t>EPS</w:t>
      </w:r>
      <w:r w:rsidR="00A90492" w:rsidRPr="00F93BD2">
        <w:rPr>
          <w:rFonts w:hint="eastAsia"/>
          <w:b/>
          <w:color w:val="000000" w:themeColor="text1"/>
          <w:lang w:eastAsia="zh-CN"/>
        </w:rPr>
        <w:t>）</w:t>
      </w:r>
      <w:r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增</w:t>
      </w:r>
      <w:r w:rsidR="00A90492" w:rsidRPr="00F93BD2">
        <w:rPr>
          <w:rFonts w:asciiTheme="majorHAnsi" w:hAnsiTheme="majorHAnsi" w:cstheme="majorHAnsi" w:hint="eastAsia"/>
          <w:b/>
          <w:color w:val="000000" w:themeColor="text1"/>
          <w:szCs w:val="22"/>
          <w:lang w:eastAsia="zh-CN"/>
        </w:rPr>
        <w:t>长至</w:t>
      </w:r>
      <w:r w:rsidRPr="00F93BD2">
        <w:rPr>
          <w:rFonts w:asciiTheme="majorHAnsi" w:hAnsiTheme="majorHAnsi" w:cstheme="majorHAnsi" w:hint="eastAsia"/>
          <w:b/>
          <w:color w:val="000000" w:themeColor="text1"/>
          <w:szCs w:val="22"/>
          <w:lang w:eastAsia="zh-CN"/>
        </w:rPr>
        <w:t>2.13</w:t>
      </w:r>
      <w:r w:rsidRPr="00F93BD2">
        <w:rPr>
          <w:rFonts w:asciiTheme="majorHAnsi" w:hAnsiTheme="majorHAnsi" w:cstheme="majorHAnsi" w:hint="eastAsia"/>
          <w:b/>
          <w:color w:val="000000" w:themeColor="text1"/>
          <w:szCs w:val="22"/>
          <w:lang w:eastAsia="zh-CN"/>
        </w:rPr>
        <w:t>欧元</w:t>
      </w:r>
      <w:r w:rsidR="00F16F3C"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按固定汇率计算，</w:t>
      </w:r>
      <w:r w:rsidR="00A90492" w:rsidRPr="00F93BD2">
        <w:rPr>
          <w:rFonts w:asciiTheme="majorHAnsi" w:hAnsiTheme="majorHAnsi" w:cstheme="majorHAnsi" w:hint="eastAsia"/>
          <w:b/>
          <w:color w:val="000000" w:themeColor="text1"/>
          <w:szCs w:val="22"/>
          <w:lang w:eastAsia="zh-CN"/>
        </w:rPr>
        <w:t>实现</w:t>
      </w:r>
      <w:r w:rsidR="00A90492" w:rsidRPr="00F93BD2">
        <w:rPr>
          <w:rFonts w:asciiTheme="majorHAnsi" w:hAnsiTheme="majorHAnsi" w:cstheme="majorHAnsi" w:hint="eastAsia"/>
          <w:b/>
          <w:color w:val="000000" w:themeColor="text1"/>
          <w:szCs w:val="22"/>
          <w:lang w:eastAsia="zh-CN"/>
        </w:rPr>
        <w:t>14.4%</w:t>
      </w:r>
      <w:r w:rsidR="00F16F3C" w:rsidRPr="00F93BD2">
        <w:rPr>
          <w:rFonts w:asciiTheme="majorHAnsi" w:hAnsiTheme="majorHAnsi" w:cstheme="majorHAnsi" w:hint="eastAsia"/>
          <w:b/>
          <w:color w:val="000000" w:themeColor="text1"/>
          <w:szCs w:val="22"/>
          <w:lang w:eastAsia="zh-CN"/>
        </w:rPr>
        <w:t>的</w:t>
      </w:r>
      <w:r w:rsidRPr="00F93BD2">
        <w:rPr>
          <w:rFonts w:asciiTheme="majorHAnsi" w:hAnsiTheme="majorHAnsi" w:cstheme="majorHAnsi" w:hint="eastAsia"/>
          <w:b/>
          <w:color w:val="000000" w:themeColor="text1"/>
          <w:szCs w:val="22"/>
          <w:lang w:eastAsia="zh-CN"/>
        </w:rPr>
        <w:t>两位数增长</w:t>
      </w:r>
    </w:p>
    <w:bookmarkEnd w:id="0"/>
    <w:p w14:paraId="45DCE0BE" w14:textId="732CB10C" w:rsidR="00BB7240" w:rsidRPr="00F93BD2" w:rsidRDefault="00BB724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CN"/>
        </w:rPr>
      </w:pPr>
      <w:r w:rsidRPr="00F93BD2">
        <w:rPr>
          <w:rFonts w:asciiTheme="majorHAnsi" w:hAnsiTheme="majorHAnsi" w:cstheme="majorHAnsi" w:hint="eastAsia"/>
          <w:b/>
          <w:color w:val="000000" w:themeColor="text1"/>
          <w:szCs w:val="22"/>
          <w:lang w:eastAsia="zh-CN"/>
        </w:rPr>
        <w:t>持续推进战略增长议程的实施</w:t>
      </w:r>
    </w:p>
    <w:p w14:paraId="1EA82E63" w14:textId="6D223085" w:rsidR="00BB7240" w:rsidRPr="00F93BD2" w:rsidRDefault="00BB7240" w:rsidP="00F93BD2">
      <w:pPr>
        <w:pStyle w:val="aa"/>
        <w:numPr>
          <w:ilvl w:val="0"/>
          <w:numId w:val="12"/>
        </w:numPr>
        <w:spacing w:afterLines="50" w:after="120"/>
        <w:ind w:right="-108"/>
        <w:contextualSpacing w:val="0"/>
        <w:rPr>
          <w:rFonts w:asciiTheme="majorHAnsi" w:hAnsiTheme="majorHAnsi" w:cstheme="majorHAnsi"/>
          <w:b/>
          <w:color w:val="000000" w:themeColor="text1"/>
          <w:szCs w:val="22"/>
          <w:lang w:eastAsia="zh-CN"/>
        </w:rPr>
      </w:pPr>
      <w:r w:rsidRPr="00F93BD2">
        <w:rPr>
          <w:rFonts w:asciiTheme="majorHAnsi" w:hAnsiTheme="majorHAnsi" w:cstheme="majorHAnsi" w:hint="eastAsia"/>
          <w:b/>
          <w:color w:val="000000" w:themeColor="text1"/>
          <w:szCs w:val="22"/>
          <w:lang w:eastAsia="zh-CN"/>
        </w:rPr>
        <w:t>上调</w:t>
      </w:r>
      <w:r w:rsidRPr="00F93BD2">
        <w:rPr>
          <w:rFonts w:asciiTheme="majorHAnsi" w:hAnsiTheme="majorHAnsi" w:cstheme="majorHAnsi" w:hint="eastAsia"/>
          <w:b/>
          <w:color w:val="000000" w:themeColor="text1"/>
          <w:szCs w:val="22"/>
          <w:lang w:eastAsia="zh-CN"/>
        </w:rPr>
        <w:t>2023</w:t>
      </w:r>
      <w:r w:rsidRPr="00F93BD2">
        <w:rPr>
          <w:rFonts w:asciiTheme="majorHAnsi" w:hAnsiTheme="majorHAnsi" w:cstheme="majorHAnsi" w:hint="eastAsia"/>
          <w:b/>
          <w:color w:val="000000" w:themeColor="text1"/>
          <w:szCs w:val="22"/>
          <w:lang w:eastAsia="zh-CN"/>
        </w:rPr>
        <w:t>财年销售</w:t>
      </w:r>
      <w:r w:rsidR="00F16F3C" w:rsidRPr="00F93BD2">
        <w:rPr>
          <w:rFonts w:asciiTheme="majorHAnsi" w:hAnsiTheme="majorHAnsi" w:cstheme="majorHAnsi" w:hint="eastAsia"/>
          <w:b/>
          <w:color w:val="000000" w:themeColor="text1"/>
          <w:szCs w:val="22"/>
          <w:lang w:eastAsia="zh-CN"/>
        </w:rPr>
        <w:t>额</w:t>
      </w:r>
      <w:r w:rsidRPr="00F93BD2">
        <w:rPr>
          <w:rFonts w:asciiTheme="majorHAnsi" w:hAnsiTheme="majorHAnsi" w:cstheme="majorHAnsi" w:hint="eastAsia"/>
          <w:b/>
          <w:color w:val="000000" w:themeColor="text1"/>
          <w:szCs w:val="22"/>
          <w:lang w:eastAsia="zh-CN"/>
        </w:rPr>
        <w:t>和盈利</w:t>
      </w:r>
      <w:r w:rsidR="00A90492" w:rsidRPr="00F93BD2">
        <w:rPr>
          <w:rFonts w:asciiTheme="majorHAnsi" w:hAnsiTheme="majorHAnsi" w:cstheme="majorHAnsi" w:hint="eastAsia"/>
          <w:b/>
          <w:color w:val="000000" w:themeColor="text1"/>
          <w:szCs w:val="22"/>
          <w:lang w:eastAsia="zh-CN"/>
        </w:rPr>
        <w:t>预期：</w:t>
      </w:r>
    </w:p>
    <w:p w14:paraId="00EB595B" w14:textId="5EB251DF" w:rsidR="00BB7240" w:rsidRPr="00F93BD2" w:rsidRDefault="00BB7240" w:rsidP="00C00075">
      <w:pPr>
        <w:pStyle w:val="aa"/>
        <w:numPr>
          <w:ilvl w:val="1"/>
          <w:numId w:val="13"/>
        </w:numPr>
        <w:spacing w:afterLines="50" w:after="120"/>
        <w:ind w:right="-108"/>
        <w:rPr>
          <w:rFonts w:asciiTheme="majorHAnsi" w:hAnsiTheme="majorHAnsi" w:cstheme="majorHAnsi"/>
          <w:b/>
          <w:color w:val="000000" w:themeColor="text1"/>
          <w:szCs w:val="22"/>
          <w:lang w:eastAsia="zh-CN"/>
        </w:rPr>
      </w:pPr>
      <w:r w:rsidRPr="00F93BD2">
        <w:rPr>
          <w:rFonts w:asciiTheme="majorHAnsi" w:hAnsiTheme="majorHAnsi" w:cstheme="majorHAnsi" w:hint="eastAsia"/>
          <w:b/>
          <w:color w:val="000000" w:themeColor="text1"/>
          <w:szCs w:val="22"/>
          <w:lang w:eastAsia="zh-CN"/>
        </w:rPr>
        <w:t>有机销售</w:t>
      </w:r>
      <w:r w:rsidR="00A90492" w:rsidRPr="00F93BD2">
        <w:rPr>
          <w:rFonts w:asciiTheme="majorHAnsi" w:hAnsiTheme="majorHAnsi" w:cstheme="majorHAnsi" w:hint="eastAsia"/>
          <w:b/>
          <w:color w:val="000000" w:themeColor="text1"/>
          <w:szCs w:val="22"/>
          <w:lang w:eastAsia="zh-CN"/>
        </w:rPr>
        <w:t>额</w:t>
      </w:r>
      <w:r w:rsidRPr="00F93BD2">
        <w:rPr>
          <w:rFonts w:asciiTheme="majorHAnsi" w:hAnsiTheme="majorHAnsi" w:cstheme="majorHAnsi" w:hint="eastAsia"/>
          <w:b/>
          <w:color w:val="000000" w:themeColor="text1"/>
          <w:szCs w:val="22"/>
          <w:lang w:eastAsia="zh-CN"/>
        </w:rPr>
        <w:t>增长</w:t>
      </w:r>
      <w:r w:rsidR="00A90492" w:rsidRPr="00F93BD2">
        <w:rPr>
          <w:rFonts w:asciiTheme="majorHAnsi" w:hAnsiTheme="majorHAnsi" w:cstheme="majorHAnsi" w:hint="eastAsia"/>
          <w:b/>
          <w:color w:val="000000" w:themeColor="text1"/>
          <w:szCs w:val="22"/>
          <w:lang w:eastAsia="zh-CN"/>
        </w:rPr>
        <w:t>：</w:t>
      </w:r>
      <w:r w:rsidR="004C5865" w:rsidRPr="00F93BD2">
        <w:rPr>
          <w:rFonts w:asciiTheme="majorHAnsi" w:hAnsiTheme="majorHAnsi" w:cstheme="majorHAnsi" w:hint="eastAsia"/>
          <w:b/>
          <w:color w:val="000000" w:themeColor="text1"/>
          <w:szCs w:val="22"/>
          <w:lang w:eastAsia="zh-CN"/>
        </w:rPr>
        <w:t>调</w:t>
      </w:r>
      <w:r w:rsidRPr="00F93BD2">
        <w:rPr>
          <w:rFonts w:asciiTheme="majorHAnsi" w:hAnsiTheme="majorHAnsi" w:cstheme="majorHAnsi" w:hint="eastAsia"/>
          <w:b/>
          <w:color w:val="000000" w:themeColor="text1"/>
          <w:szCs w:val="22"/>
          <w:lang w:eastAsia="zh-CN"/>
        </w:rPr>
        <w:t>至</w:t>
      </w:r>
      <w:r w:rsidRPr="00F93BD2">
        <w:rPr>
          <w:rFonts w:asciiTheme="majorHAnsi" w:hAnsiTheme="majorHAnsi" w:cstheme="majorHAnsi" w:hint="eastAsia"/>
          <w:b/>
          <w:color w:val="000000" w:themeColor="text1"/>
          <w:szCs w:val="22"/>
          <w:lang w:eastAsia="zh-CN"/>
        </w:rPr>
        <w:t>2.5%</w:t>
      </w:r>
      <w:r w:rsidRPr="00F93BD2">
        <w:rPr>
          <w:rFonts w:asciiTheme="majorHAnsi" w:hAnsiTheme="majorHAnsi" w:cstheme="majorHAnsi" w:hint="eastAsia"/>
          <w:b/>
          <w:color w:val="000000" w:themeColor="text1"/>
          <w:szCs w:val="22"/>
          <w:lang w:eastAsia="zh-CN"/>
        </w:rPr>
        <w:t>至</w:t>
      </w:r>
      <w:r w:rsidRPr="00F93BD2">
        <w:rPr>
          <w:rFonts w:asciiTheme="majorHAnsi" w:hAnsiTheme="majorHAnsi" w:cstheme="majorHAnsi" w:hint="eastAsia"/>
          <w:b/>
          <w:color w:val="000000" w:themeColor="text1"/>
          <w:szCs w:val="22"/>
          <w:lang w:eastAsia="zh-CN"/>
        </w:rPr>
        <w:t>4.5%</w:t>
      </w:r>
    </w:p>
    <w:p w14:paraId="6DFA7888" w14:textId="4D124AB1" w:rsidR="00BB7240" w:rsidRPr="00F93BD2" w:rsidRDefault="00BB7240" w:rsidP="00C00075">
      <w:pPr>
        <w:pStyle w:val="aa"/>
        <w:numPr>
          <w:ilvl w:val="1"/>
          <w:numId w:val="13"/>
        </w:numPr>
        <w:spacing w:afterLines="50" w:after="120"/>
        <w:ind w:right="-108"/>
        <w:rPr>
          <w:rFonts w:asciiTheme="majorHAnsi" w:hAnsiTheme="majorHAnsi" w:cstheme="majorHAnsi"/>
          <w:b/>
          <w:color w:val="000000" w:themeColor="text1"/>
          <w:szCs w:val="22"/>
          <w:lang w:eastAsia="zh-CN"/>
        </w:rPr>
      </w:pPr>
      <w:r w:rsidRPr="00F93BD2">
        <w:rPr>
          <w:rFonts w:asciiTheme="majorHAnsi" w:hAnsiTheme="majorHAnsi" w:cstheme="majorHAnsi" w:hint="eastAsia"/>
          <w:b/>
          <w:color w:val="000000" w:themeColor="text1"/>
          <w:szCs w:val="22"/>
          <w:lang w:eastAsia="zh-CN"/>
        </w:rPr>
        <w:t>销售回报率</w:t>
      </w:r>
      <w:r w:rsidR="00A90492"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息税前利润率</w:t>
      </w:r>
      <w:r w:rsidR="00A90492"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w:t>
      </w:r>
      <w:r w:rsidR="00A90492" w:rsidRPr="00F93BD2">
        <w:rPr>
          <w:rFonts w:asciiTheme="majorHAnsi" w:hAnsiTheme="majorHAnsi" w:cstheme="majorHAnsi" w:hint="eastAsia"/>
          <w:b/>
          <w:color w:val="000000" w:themeColor="text1"/>
          <w:szCs w:val="22"/>
          <w:lang w:eastAsia="zh-CN"/>
        </w:rPr>
        <w:t>：</w:t>
      </w:r>
      <w:r w:rsidR="004C5865" w:rsidRPr="00F93BD2">
        <w:rPr>
          <w:rFonts w:asciiTheme="majorHAnsi" w:hAnsiTheme="majorHAnsi" w:cstheme="majorHAnsi" w:hint="eastAsia"/>
          <w:b/>
          <w:color w:val="000000" w:themeColor="text1"/>
          <w:szCs w:val="22"/>
          <w:lang w:eastAsia="zh-CN"/>
        </w:rPr>
        <w:t>调</w:t>
      </w:r>
      <w:r w:rsidRPr="00F93BD2">
        <w:rPr>
          <w:rFonts w:asciiTheme="majorHAnsi" w:hAnsiTheme="majorHAnsi" w:cstheme="majorHAnsi" w:hint="eastAsia"/>
          <w:b/>
          <w:color w:val="000000" w:themeColor="text1"/>
          <w:szCs w:val="22"/>
          <w:lang w:eastAsia="zh-CN"/>
        </w:rPr>
        <w:t>至</w:t>
      </w:r>
      <w:r w:rsidRPr="00F93BD2">
        <w:rPr>
          <w:rFonts w:asciiTheme="majorHAnsi" w:hAnsiTheme="majorHAnsi" w:cstheme="majorHAnsi" w:hint="eastAsia"/>
          <w:b/>
          <w:color w:val="000000" w:themeColor="text1"/>
          <w:szCs w:val="22"/>
          <w:lang w:eastAsia="zh-CN"/>
        </w:rPr>
        <w:t>11.0%</w:t>
      </w:r>
      <w:r w:rsidRPr="00F93BD2">
        <w:rPr>
          <w:rFonts w:asciiTheme="majorHAnsi" w:hAnsiTheme="majorHAnsi" w:cstheme="majorHAnsi" w:hint="eastAsia"/>
          <w:b/>
          <w:color w:val="000000" w:themeColor="text1"/>
          <w:szCs w:val="22"/>
          <w:lang w:eastAsia="zh-CN"/>
        </w:rPr>
        <w:t>至</w:t>
      </w:r>
      <w:r w:rsidRPr="00F93BD2">
        <w:rPr>
          <w:rFonts w:asciiTheme="majorHAnsi" w:hAnsiTheme="majorHAnsi" w:cstheme="majorHAnsi" w:hint="eastAsia"/>
          <w:b/>
          <w:color w:val="000000" w:themeColor="text1"/>
          <w:szCs w:val="22"/>
          <w:lang w:eastAsia="zh-CN"/>
        </w:rPr>
        <w:t>12.5%</w:t>
      </w:r>
    </w:p>
    <w:p w14:paraId="4D358D8D" w14:textId="3EE63801" w:rsidR="00BB7240" w:rsidRPr="00F93BD2" w:rsidRDefault="00BB7240" w:rsidP="00C00075">
      <w:pPr>
        <w:pStyle w:val="aa"/>
        <w:numPr>
          <w:ilvl w:val="1"/>
          <w:numId w:val="13"/>
        </w:numPr>
        <w:spacing w:afterLines="50" w:after="120"/>
        <w:ind w:right="-108"/>
        <w:rPr>
          <w:rFonts w:asciiTheme="majorHAnsi" w:hAnsiTheme="majorHAnsi" w:cstheme="majorHAnsi"/>
          <w:b/>
          <w:color w:val="000000" w:themeColor="text1"/>
          <w:szCs w:val="22"/>
          <w:lang w:eastAsia="zh-CN"/>
        </w:rPr>
      </w:pPr>
      <w:r w:rsidRPr="00F93BD2">
        <w:rPr>
          <w:rFonts w:asciiTheme="majorHAnsi" w:hAnsiTheme="majorHAnsi" w:cstheme="majorHAnsi" w:hint="eastAsia"/>
          <w:b/>
          <w:color w:val="000000" w:themeColor="text1"/>
          <w:szCs w:val="22"/>
          <w:lang w:eastAsia="zh-CN"/>
        </w:rPr>
        <w:t>优先股每股收益</w:t>
      </w:r>
      <w:r w:rsidR="003B3C91" w:rsidRPr="00F93BD2">
        <w:rPr>
          <w:rFonts w:hint="eastAsia"/>
          <w:b/>
          <w:color w:val="000000" w:themeColor="text1"/>
          <w:lang w:eastAsia="zh-CN"/>
        </w:rPr>
        <w:t>（</w:t>
      </w:r>
      <w:r w:rsidR="003B3C91" w:rsidRPr="00F93BD2">
        <w:rPr>
          <w:b/>
          <w:color w:val="000000" w:themeColor="text1"/>
          <w:lang w:eastAsia="zh-CN"/>
        </w:rPr>
        <w:t>EPS</w:t>
      </w:r>
      <w:r w:rsidR="003B3C91" w:rsidRPr="00F93BD2">
        <w:rPr>
          <w:rFonts w:hint="eastAsia"/>
          <w:b/>
          <w:color w:val="000000" w:themeColor="text1"/>
          <w:lang w:eastAsia="zh-CN"/>
        </w:rPr>
        <w:t>）</w:t>
      </w:r>
      <w:r w:rsidRPr="00F93BD2">
        <w:rPr>
          <w:rFonts w:asciiTheme="majorHAnsi" w:hAnsiTheme="majorHAnsi" w:cstheme="majorHAnsi" w:hint="eastAsia"/>
          <w:b/>
          <w:color w:val="000000" w:themeColor="text1"/>
          <w:szCs w:val="22"/>
          <w:lang w:eastAsia="zh-CN"/>
        </w:rPr>
        <w:t>*</w:t>
      </w:r>
      <w:r w:rsidRPr="00F93BD2">
        <w:rPr>
          <w:rFonts w:asciiTheme="majorHAnsi" w:hAnsiTheme="majorHAnsi" w:cstheme="majorHAnsi" w:hint="eastAsia"/>
          <w:b/>
          <w:color w:val="000000" w:themeColor="text1"/>
          <w:szCs w:val="22"/>
          <w:lang w:eastAsia="zh-CN"/>
        </w:rPr>
        <w:t>：按固定汇率</w:t>
      </w:r>
      <w:r w:rsidR="003B3C91" w:rsidRPr="00F93BD2">
        <w:rPr>
          <w:rFonts w:asciiTheme="majorHAnsi" w:hAnsiTheme="majorHAnsi" w:cstheme="majorHAnsi" w:hint="eastAsia"/>
          <w:b/>
          <w:color w:val="000000" w:themeColor="text1"/>
          <w:szCs w:val="22"/>
          <w:lang w:eastAsia="zh-CN"/>
        </w:rPr>
        <w:t>计算，</w:t>
      </w:r>
      <w:r w:rsidR="0096143C" w:rsidRPr="00F93BD2">
        <w:rPr>
          <w:rFonts w:asciiTheme="majorHAnsi" w:hAnsiTheme="majorHAnsi" w:cstheme="majorHAnsi" w:hint="eastAsia"/>
          <w:b/>
          <w:color w:val="000000" w:themeColor="text1"/>
          <w:szCs w:val="22"/>
          <w:lang w:eastAsia="zh-CN"/>
        </w:rPr>
        <w:t>增幅在</w:t>
      </w:r>
      <w:r w:rsidRPr="00F93BD2">
        <w:rPr>
          <w:rFonts w:asciiTheme="majorHAnsi" w:hAnsiTheme="majorHAnsi" w:cstheme="majorHAnsi" w:hint="eastAsia"/>
          <w:b/>
          <w:color w:val="000000" w:themeColor="text1"/>
          <w:szCs w:val="22"/>
          <w:lang w:eastAsia="zh-CN"/>
        </w:rPr>
        <w:t>5%</w:t>
      </w:r>
      <w:r w:rsidRPr="00F93BD2">
        <w:rPr>
          <w:rFonts w:asciiTheme="majorHAnsi" w:hAnsiTheme="majorHAnsi" w:cstheme="majorHAnsi" w:hint="eastAsia"/>
          <w:b/>
          <w:color w:val="000000" w:themeColor="text1"/>
          <w:szCs w:val="22"/>
          <w:lang w:eastAsia="zh-CN"/>
        </w:rPr>
        <w:t>至</w:t>
      </w:r>
      <w:r w:rsidRPr="00F93BD2">
        <w:rPr>
          <w:rFonts w:asciiTheme="majorHAnsi" w:hAnsiTheme="majorHAnsi" w:cstheme="majorHAnsi" w:hint="eastAsia"/>
          <w:b/>
          <w:color w:val="000000" w:themeColor="text1"/>
          <w:szCs w:val="22"/>
          <w:lang w:eastAsia="zh-CN"/>
        </w:rPr>
        <w:t>20%</w:t>
      </w:r>
      <w:r w:rsidR="0096143C" w:rsidRPr="00F93BD2">
        <w:rPr>
          <w:rFonts w:asciiTheme="majorHAnsi" w:hAnsiTheme="majorHAnsi" w:cstheme="majorHAnsi" w:hint="eastAsia"/>
          <w:b/>
          <w:color w:val="000000" w:themeColor="text1"/>
          <w:szCs w:val="22"/>
          <w:lang w:eastAsia="zh-CN"/>
        </w:rPr>
        <w:t>之间</w:t>
      </w:r>
    </w:p>
    <w:p w14:paraId="34CDF95F" w14:textId="77777777" w:rsidR="0001002C" w:rsidRPr="00B62DAB" w:rsidRDefault="0001002C" w:rsidP="00B350BA">
      <w:pPr>
        <w:spacing w:afterLines="50" w:after="120"/>
        <w:rPr>
          <w:rFonts w:cs="Segoe UI"/>
          <w:szCs w:val="22"/>
          <w:lang w:eastAsia="zh-CN"/>
        </w:rPr>
      </w:pPr>
    </w:p>
    <w:bookmarkEnd w:id="1"/>
    <w:p w14:paraId="4A77CB63" w14:textId="186A368D" w:rsidR="00BD73FF" w:rsidRDefault="003B3C91" w:rsidP="00E454C6">
      <w:pPr>
        <w:pStyle w:val="MonthDayYear"/>
        <w:spacing w:before="0"/>
        <w:jc w:val="left"/>
        <w:rPr>
          <w:rFonts w:cs="Segoe UI"/>
          <w:szCs w:val="22"/>
          <w:lang w:eastAsia="zh-CN"/>
        </w:rPr>
      </w:pPr>
      <w:r w:rsidRPr="00A00AF2">
        <w:rPr>
          <w:rFonts w:cs="Segoe UI" w:hint="eastAsia"/>
          <w:szCs w:val="22"/>
          <w:highlight w:val="yellow"/>
          <w:lang w:eastAsia="zh-CN"/>
        </w:rPr>
        <w:t>杜塞尔多夫</w:t>
      </w:r>
      <w:r w:rsidR="00E454C6">
        <w:rPr>
          <w:rFonts w:cs="Segoe UI" w:hint="eastAsia"/>
          <w:szCs w:val="22"/>
          <w:highlight w:val="yellow"/>
          <w:lang w:eastAsia="zh-CN"/>
        </w:rPr>
        <w:t>，</w:t>
      </w:r>
      <w:r w:rsidR="00E454C6" w:rsidRPr="00E454C6">
        <w:rPr>
          <w:highlight w:val="yellow"/>
          <w:lang w:eastAsia="zh-CN"/>
        </w:rPr>
        <w:t>2023</w:t>
      </w:r>
      <w:r w:rsidR="00E454C6" w:rsidRPr="00E454C6">
        <w:rPr>
          <w:rFonts w:hint="eastAsia"/>
          <w:highlight w:val="yellow"/>
          <w:lang w:eastAsia="zh-CN"/>
        </w:rPr>
        <w:t>年</w:t>
      </w:r>
      <w:r w:rsidR="00E454C6" w:rsidRPr="00E454C6">
        <w:rPr>
          <w:highlight w:val="yellow"/>
          <w:lang w:eastAsia="zh-CN"/>
        </w:rPr>
        <w:t>8</w:t>
      </w:r>
      <w:r w:rsidR="00E454C6" w:rsidRPr="00E454C6">
        <w:rPr>
          <w:rFonts w:hint="eastAsia"/>
          <w:highlight w:val="yellow"/>
          <w:lang w:eastAsia="zh-CN"/>
        </w:rPr>
        <w:t>月</w:t>
      </w:r>
      <w:r w:rsidR="00E454C6" w:rsidRPr="00E454C6">
        <w:rPr>
          <w:highlight w:val="yellow"/>
          <w:lang w:eastAsia="zh-CN"/>
        </w:rPr>
        <w:t>21</w:t>
      </w:r>
      <w:r w:rsidR="00E454C6" w:rsidRPr="00E454C6">
        <w:rPr>
          <w:rFonts w:hint="eastAsia"/>
          <w:highlight w:val="yellow"/>
          <w:lang w:eastAsia="zh-CN"/>
        </w:rPr>
        <w:t>日</w:t>
      </w:r>
      <w:r w:rsidRPr="00B62DAB">
        <w:rPr>
          <w:rFonts w:cs="Segoe UI" w:hint="eastAsia"/>
          <w:szCs w:val="22"/>
          <w:lang w:eastAsia="zh-CN"/>
        </w:rPr>
        <w:t xml:space="preserve"> </w:t>
      </w:r>
      <w:r w:rsidRPr="00B62DAB">
        <w:rPr>
          <w:rFonts w:cs="Segoe UI" w:hint="eastAsia"/>
          <w:szCs w:val="22"/>
          <w:lang w:eastAsia="zh-CN"/>
        </w:rPr>
        <w:t>–</w:t>
      </w:r>
      <w:r w:rsidR="00525A94" w:rsidRPr="00B62DAB">
        <w:rPr>
          <w:rFonts w:cs="Segoe UI" w:hint="eastAsia"/>
          <w:szCs w:val="22"/>
          <w:lang w:eastAsia="zh-CN"/>
        </w:rPr>
        <w:t xml:space="preserve"> </w:t>
      </w:r>
      <w:r w:rsidR="0017153B" w:rsidRPr="00B62DAB">
        <w:rPr>
          <w:rFonts w:cs="Segoe UI" w:hint="eastAsia"/>
          <w:szCs w:val="22"/>
          <w:lang w:eastAsia="zh-CN"/>
        </w:rPr>
        <w:t>尽管经济环境存在持续性的挑战</w:t>
      </w:r>
      <w:r w:rsidR="00D60841" w:rsidRPr="00B62DAB">
        <w:rPr>
          <w:rFonts w:cs="Segoe UI" w:hint="eastAsia"/>
          <w:szCs w:val="22"/>
          <w:lang w:eastAsia="zh-CN"/>
        </w:rPr>
        <w:t>，汉高</w:t>
      </w:r>
      <w:r w:rsidR="0017153B" w:rsidRPr="00B62DAB">
        <w:rPr>
          <w:rFonts w:cs="Segoe UI" w:hint="eastAsia"/>
          <w:szCs w:val="22"/>
          <w:lang w:eastAsia="zh-CN"/>
        </w:rPr>
        <w:t>2023</w:t>
      </w:r>
      <w:r w:rsidR="0017153B" w:rsidRPr="00B62DAB">
        <w:rPr>
          <w:rFonts w:cs="Segoe UI" w:hint="eastAsia"/>
          <w:szCs w:val="22"/>
          <w:lang w:eastAsia="zh-CN"/>
        </w:rPr>
        <w:t>年上半年的</w:t>
      </w:r>
      <w:r w:rsidR="00BB7240" w:rsidRPr="00B62DAB">
        <w:rPr>
          <w:rFonts w:cs="Segoe UI" w:hint="eastAsia"/>
          <w:szCs w:val="22"/>
          <w:lang w:eastAsia="zh-CN"/>
        </w:rPr>
        <w:t>销售额和</w:t>
      </w:r>
      <w:r w:rsidR="00D60841" w:rsidRPr="00B62DAB">
        <w:rPr>
          <w:rFonts w:cs="Segoe UI" w:hint="eastAsia"/>
          <w:szCs w:val="22"/>
          <w:lang w:eastAsia="zh-CN"/>
        </w:rPr>
        <w:t>盈利均实现</w:t>
      </w:r>
      <w:r w:rsidR="00BB7240" w:rsidRPr="00B62DAB">
        <w:rPr>
          <w:rFonts w:cs="Segoe UI" w:hint="eastAsia"/>
          <w:szCs w:val="22"/>
          <w:lang w:eastAsia="zh-CN"/>
        </w:rPr>
        <w:t>大幅增长。</w:t>
      </w:r>
    </w:p>
    <w:p w14:paraId="3E1F813E" w14:textId="77777777" w:rsidR="00E454C6" w:rsidRPr="00E454C6" w:rsidRDefault="00E454C6" w:rsidP="00E454C6">
      <w:pPr>
        <w:pStyle w:val="MonthDayYear"/>
        <w:spacing w:before="0"/>
        <w:jc w:val="left"/>
        <w:rPr>
          <w:iCs/>
          <w:lang w:eastAsia="zh-CN"/>
        </w:rPr>
      </w:pPr>
    </w:p>
    <w:p w14:paraId="0802E31B" w14:textId="0D782C6F" w:rsidR="00E454C6" w:rsidRDefault="003B3C91" w:rsidP="00B350BA">
      <w:pPr>
        <w:spacing w:afterLines="50" w:after="120"/>
        <w:rPr>
          <w:rFonts w:cs="Segoe UI"/>
          <w:szCs w:val="22"/>
          <w:lang w:eastAsia="zh-CN"/>
        </w:rPr>
      </w:pPr>
      <w:r w:rsidRPr="00B62DAB">
        <w:rPr>
          <w:rFonts w:cs="Segoe UI" w:hint="eastAsia"/>
          <w:szCs w:val="22"/>
          <w:lang w:eastAsia="zh-CN"/>
        </w:rPr>
        <w:t>汉高首席执行官卡斯滕·诺贝尔（</w:t>
      </w:r>
      <w:r w:rsidRPr="00B62DAB">
        <w:rPr>
          <w:rFonts w:cs="Segoe UI" w:hint="eastAsia"/>
          <w:szCs w:val="22"/>
          <w:lang w:eastAsia="zh-CN"/>
        </w:rPr>
        <w:t>Carsten Knobel</w:t>
      </w:r>
      <w:r w:rsidRPr="00B62DAB">
        <w:rPr>
          <w:rFonts w:cs="Segoe UI" w:hint="eastAsia"/>
          <w:szCs w:val="22"/>
          <w:lang w:eastAsia="zh-CN"/>
        </w:rPr>
        <w:t>）表示：“</w:t>
      </w:r>
      <w:r w:rsidR="00BB7240" w:rsidRPr="00B62DAB">
        <w:rPr>
          <w:rFonts w:cs="Segoe UI" w:hint="eastAsia"/>
          <w:szCs w:val="22"/>
          <w:lang w:eastAsia="zh-CN"/>
        </w:rPr>
        <w:t>两个业务部</w:t>
      </w:r>
      <w:r w:rsidR="008100E4">
        <w:rPr>
          <w:rFonts w:cs="Segoe UI" w:hint="eastAsia"/>
          <w:szCs w:val="22"/>
          <w:lang w:eastAsia="zh-CN"/>
        </w:rPr>
        <w:t>门</w:t>
      </w:r>
      <w:r w:rsidR="0017153B" w:rsidRPr="00B62DAB">
        <w:rPr>
          <w:rFonts w:cs="Segoe UI" w:hint="eastAsia"/>
          <w:szCs w:val="22"/>
          <w:lang w:eastAsia="zh-CN"/>
        </w:rPr>
        <w:t>均</w:t>
      </w:r>
      <w:r w:rsidR="00BB7240" w:rsidRPr="00B62DAB">
        <w:rPr>
          <w:rFonts w:cs="Segoe UI" w:hint="eastAsia"/>
          <w:szCs w:val="22"/>
          <w:lang w:eastAsia="zh-CN"/>
        </w:rPr>
        <w:t>取得非常强劲的增长。与此同时，</w:t>
      </w:r>
      <w:r w:rsidR="00A66636" w:rsidRPr="00B62DAB">
        <w:rPr>
          <w:rFonts w:cs="Segoe UI" w:hint="eastAsia"/>
          <w:szCs w:val="22"/>
          <w:lang w:eastAsia="zh-CN"/>
        </w:rPr>
        <w:t>尽管原材料和物流</w:t>
      </w:r>
      <w:r w:rsidR="006F2E17">
        <w:rPr>
          <w:rFonts w:cs="Segoe UI" w:hint="eastAsia"/>
          <w:szCs w:val="22"/>
          <w:lang w:eastAsia="zh-CN"/>
        </w:rPr>
        <w:t>成本高涨</w:t>
      </w:r>
      <w:r w:rsidR="00A66636" w:rsidRPr="00B62DAB">
        <w:rPr>
          <w:rFonts w:cs="Segoe UI" w:hint="eastAsia"/>
          <w:szCs w:val="22"/>
          <w:lang w:eastAsia="zh-CN"/>
        </w:rPr>
        <w:t>的不利因素持续存在，</w:t>
      </w:r>
      <w:r w:rsidR="00BB7240" w:rsidRPr="00B62DAB">
        <w:rPr>
          <w:rFonts w:cs="Segoe UI" w:hint="eastAsia"/>
          <w:szCs w:val="22"/>
          <w:lang w:eastAsia="zh-CN"/>
        </w:rPr>
        <w:t>我们仍成功实现了</w:t>
      </w:r>
      <w:r w:rsidR="00A66636" w:rsidRPr="00B62DAB">
        <w:rPr>
          <w:rFonts w:cs="Segoe UI" w:hint="eastAsia"/>
          <w:szCs w:val="22"/>
          <w:lang w:eastAsia="zh-CN"/>
        </w:rPr>
        <w:t>盈利能力</w:t>
      </w:r>
      <w:r w:rsidR="00BB7240" w:rsidRPr="00B62DAB">
        <w:rPr>
          <w:rFonts w:cs="Segoe UI" w:hint="eastAsia"/>
          <w:szCs w:val="22"/>
          <w:lang w:eastAsia="zh-CN"/>
        </w:rPr>
        <w:t>的显著提升。</w:t>
      </w:r>
      <w:r w:rsidR="00D60841" w:rsidRPr="00B62DAB">
        <w:rPr>
          <w:rFonts w:cs="Segoe UI" w:hint="eastAsia"/>
          <w:szCs w:val="22"/>
          <w:lang w:eastAsia="zh-CN"/>
        </w:rPr>
        <w:t>基于</w:t>
      </w:r>
      <w:r w:rsidR="00BB7240" w:rsidRPr="00B62DAB">
        <w:rPr>
          <w:rFonts w:cs="Segoe UI" w:hint="eastAsia"/>
          <w:szCs w:val="22"/>
          <w:lang w:eastAsia="zh-CN"/>
        </w:rPr>
        <w:t>上半年的强劲</w:t>
      </w:r>
      <w:r w:rsidR="00D60841" w:rsidRPr="00B62DAB">
        <w:rPr>
          <w:rFonts w:cs="Segoe UI" w:hint="eastAsia"/>
          <w:szCs w:val="22"/>
          <w:lang w:eastAsia="zh-CN"/>
        </w:rPr>
        <w:t>业绩</w:t>
      </w:r>
      <w:r w:rsidR="00BB7240" w:rsidRPr="00B62DAB">
        <w:rPr>
          <w:rFonts w:cs="Segoe UI" w:hint="eastAsia"/>
          <w:szCs w:val="22"/>
          <w:lang w:eastAsia="zh-CN"/>
        </w:rPr>
        <w:t>表现，我们对今年余下时间充满信心，并</w:t>
      </w:r>
      <w:r w:rsidR="0017153B" w:rsidRPr="00B62DAB">
        <w:rPr>
          <w:rFonts w:cs="Segoe UI" w:hint="eastAsia"/>
          <w:szCs w:val="22"/>
          <w:lang w:eastAsia="zh-CN"/>
        </w:rPr>
        <w:t>大幅上调了</w:t>
      </w:r>
      <w:r w:rsidR="001869C4">
        <w:rPr>
          <w:rFonts w:cs="Segoe UI" w:hint="eastAsia"/>
          <w:szCs w:val="22"/>
          <w:lang w:eastAsia="zh-CN"/>
        </w:rPr>
        <w:t>对</w:t>
      </w:r>
      <w:r w:rsidR="0017153B" w:rsidRPr="00B62DAB">
        <w:rPr>
          <w:rFonts w:cs="Segoe UI" w:hint="eastAsia"/>
          <w:szCs w:val="22"/>
          <w:lang w:eastAsia="zh-CN"/>
        </w:rPr>
        <w:t>销售</w:t>
      </w:r>
      <w:r w:rsidR="00F16F3C" w:rsidRPr="00B62DAB">
        <w:rPr>
          <w:rFonts w:cs="Segoe UI" w:hint="eastAsia"/>
          <w:szCs w:val="22"/>
          <w:lang w:eastAsia="zh-CN"/>
        </w:rPr>
        <w:t>额</w:t>
      </w:r>
      <w:r w:rsidR="0017153B" w:rsidRPr="00B62DAB">
        <w:rPr>
          <w:rFonts w:cs="Segoe UI" w:hint="eastAsia"/>
          <w:szCs w:val="22"/>
          <w:lang w:eastAsia="zh-CN"/>
        </w:rPr>
        <w:t>和盈利</w:t>
      </w:r>
      <w:r w:rsidR="001869C4">
        <w:rPr>
          <w:rFonts w:cs="Segoe UI" w:hint="eastAsia"/>
          <w:szCs w:val="22"/>
          <w:lang w:eastAsia="zh-CN"/>
        </w:rPr>
        <w:t>的</w:t>
      </w:r>
      <w:r w:rsidR="001869C4" w:rsidRPr="00B62DAB">
        <w:rPr>
          <w:rFonts w:cs="Segoe UI" w:hint="eastAsia"/>
          <w:b/>
          <w:bCs/>
          <w:szCs w:val="22"/>
          <w:lang w:eastAsia="zh-CN"/>
        </w:rPr>
        <w:t>全年</w:t>
      </w:r>
      <w:r w:rsidR="0017153B" w:rsidRPr="00B62DAB">
        <w:rPr>
          <w:rFonts w:cs="Segoe UI" w:hint="eastAsia"/>
          <w:b/>
          <w:bCs/>
          <w:szCs w:val="22"/>
          <w:lang w:eastAsia="zh-CN"/>
        </w:rPr>
        <w:t>预期</w:t>
      </w:r>
      <w:r w:rsidR="0017153B" w:rsidRPr="00B62DAB">
        <w:rPr>
          <w:rFonts w:cs="Segoe UI" w:hint="eastAsia"/>
          <w:szCs w:val="22"/>
          <w:lang w:eastAsia="zh-CN"/>
        </w:rPr>
        <w:t>。</w:t>
      </w:r>
      <w:r w:rsidR="00525A94" w:rsidRPr="00B62DAB">
        <w:rPr>
          <w:rFonts w:cs="Segoe UI" w:hint="eastAsia"/>
          <w:szCs w:val="22"/>
          <w:lang w:eastAsia="zh-CN"/>
        </w:rPr>
        <w:t>”</w:t>
      </w:r>
    </w:p>
    <w:p w14:paraId="6D9BAA69" w14:textId="77777777" w:rsidR="00E454C6" w:rsidRPr="00B62DAB" w:rsidRDefault="00E454C6" w:rsidP="00B350BA">
      <w:pPr>
        <w:spacing w:afterLines="50" w:after="120"/>
        <w:rPr>
          <w:rFonts w:cs="Segoe UI"/>
          <w:szCs w:val="22"/>
          <w:lang w:eastAsia="zh-CN"/>
        </w:rPr>
      </w:pPr>
    </w:p>
    <w:p w14:paraId="2EDD812C" w14:textId="717F081C" w:rsidR="00F210C5" w:rsidRPr="00B62DAB" w:rsidRDefault="001B05CA" w:rsidP="00B350BA">
      <w:pPr>
        <w:spacing w:afterLines="50" w:after="120"/>
        <w:rPr>
          <w:rFonts w:cs="Segoe UI"/>
          <w:szCs w:val="22"/>
          <w:lang w:eastAsia="zh-CN"/>
        </w:rPr>
      </w:pPr>
      <w:r w:rsidRPr="00B62DAB">
        <w:rPr>
          <w:rFonts w:cs="Segoe UI" w:hint="eastAsia"/>
          <w:szCs w:val="22"/>
          <w:lang w:eastAsia="zh-CN"/>
        </w:rPr>
        <w:t>卡斯滕·诺贝尔解释道：“</w:t>
      </w:r>
      <w:r w:rsidR="00F210C5" w:rsidRPr="00B62DAB">
        <w:rPr>
          <w:rFonts w:cs="Segoe UI" w:hint="eastAsia"/>
          <w:szCs w:val="22"/>
          <w:lang w:eastAsia="zh-CN"/>
        </w:rPr>
        <w:t>今年上半年，我们在</w:t>
      </w:r>
      <w:r w:rsidRPr="00B62DAB">
        <w:rPr>
          <w:rFonts w:cs="Segoe UI" w:hint="eastAsia"/>
          <w:szCs w:val="22"/>
          <w:lang w:eastAsia="zh-CN"/>
        </w:rPr>
        <w:t>实施</w:t>
      </w:r>
      <w:r w:rsidR="00F210C5" w:rsidRPr="00B62DAB">
        <w:rPr>
          <w:rFonts w:cs="Segoe UI" w:hint="eastAsia"/>
          <w:b/>
          <w:bCs/>
          <w:szCs w:val="22"/>
          <w:lang w:eastAsia="zh-CN"/>
        </w:rPr>
        <w:t>战略增长议程</w:t>
      </w:r>
      <w:r w:rsidR="00F210C5" w:rsidRPr="00B62DAB">
        <w:rPr>
          <w:rFonts w:cs="Segoe UI" w:hint="eastAsia"/>
          <w:szCs w:val="22"/>
          <w:lang w:eastAsia="zh-CN"/>
        </w:rPr>
        <w:t>方面也取得了良好进展。</w:t>
      </w:r>
      <w:r w:rsidR="00BC0F86" w:rsidRPr="00B62DAB">
        <w:rPr>
          <w:rFonts w:cs="Segoe UI" w:hint="eastAsia"/>
          <w:szCs w:val="22"/>
          <w:lang w:eastAsia="zh-CN"/>
        </w:rPr>
        <w:t>消费品牌业务部的整合工作比原计划推进得更快</w:t>
      </w:r>
      <w:r w:rsidR="00F210C5" w:rsidRPr="00B62DAB">
        <w:rPr>
          <w:rFonts w:cs="Segoe UI" w:hint="eastAsia"/>
          <w:szCs w:val="22"/>
          <w:lang w:eastAsia="zh-CN"/>
        </w:rPr>
        <w:t>。</w:t>
      </w:r>
      <w:r w:rsidR="0090219E" w:rsidRPr="00B62DAB">
        <w:rPr>
          <w:rFonts w:cs="Segoe UI" w:hint="eastAsia"/>
          <w:szCs w:val="22"/>
          <w:lang w:eastAsia="zh-CN"/>
        </w:rPr>
        <w:t>与此同时，我们不断完善产品组合，</w:t>
      </w:r>
      <w:r w:rsidR="008412FE" w:rsidRPr="00B62DAB">
        <w:rPr>
          <w:rFonts w:cs="Segoe UI" w:hint="eastAsia"/>
          <w:szCs w:val="22"/>
          <w:lang w:eastAsia="zh-CN"/>
        </w:rPr>
        <w:t>持续</w:t>
      </w:r>
      <w:r w:rsidR="0090219E" w:rsidRPr="00B62DAB">
        <w:rPr>
          <w:rFonts w:cs="Segoe UI" w:hint="eastAsia"/>
          <w:szCs w:val="22"/>
          <w:lang w:eastAsia="zh-CN"/>
        </w:rPr>
        <w:t>向高利润、高增长的品牌和产品靠拢。</w:t>
      </w:r>
      <w:r w:rsidR="00F210C5" w:rsidRPr="00B62DAB">
        <w:rPr>
          <w:rFonts w:cs="Segoe UI" w:hint="eastAsia"/>
          <w:szCs w:val="22"/>
          <w:lang w:eastAsia="zh-CN"/>
        </w:rPr>
        <w:t>这也体现在该业务部</w:t>
      </w:r>
      <w:r w:rsidR="006F2E17">
        <w:rPr>
          <w:rFonts w:cs="Segoe UI" w:hint="eastAsia"/>
          <w:szCs w:val="22"/>
          <w:lang w:eastAsia="zh-CN"/>
        </w:rPr>
        <w:t>门</w:t>
      </w:r>
      <w:r w:rsidR="00F210C5" w:rsidRPr="00B62DAB">
        <w:rPr>
          <w:rFonts w:cs="Segoe UI" w:hint="eastAsia"/>
          <w:szCs w:val="22"/>
          <w:lang w:eastAsia="zh-CN"/>
        </w:rPr>
        <w:t>的</w:t>
      </w:r>
      <w:r w:rsidR="0090219E" w:rsidRPr="00B62DAB">
        <w:rPr>
          <w:rFonts w:cs="Segoe UI" w:hint="eastAsia"/>
          <w:szCs w:val="22"/>
          <w:lang w:eastAsia="zh-CN"/>
        </w:rPr>
        <w:t>盈利</w:t>
      </w:r>
      <w:r w:rsidR="00F210C5" w:rsidRPr="00B62DAB">
        <w:rPr>
          <w:rFonts w:cs="Segoe UI" w:hint="eastAsia"/>
          <w:szCs w:val="22"/>
          <w:lang w:eastAsia="zh-CN"/>
        </w:rPr>
        <w:t>上。</w:t>
      </w:r>
      <w:r w:rsidR="0090219E" w:rsidRPr="00B62DAB">
        <w:rPr>
          <w:rFonts w:cs="Segoe UI"/>
          <w:szCs w:val="22"/>
          <w:lang w:eastAsia="zh-CN"/>
        </w:rPr>
        <w:t>我们正在调整粘合剂技术业务部的组织架构，使其更加贴近我们的客户群，</w:t>
      </w:r>
      <w:r w:rsidR="00F210C5" w:rsidRPr="00B62DAB">
        <w:rPr>
          <w:rFonts w:cs="Segoe UI" w:hint="eastAsia"/>
          <w:szCs w:val="22"/>
          <w:lang w:eastAsia="zh-CN"/>
        </w:rPr>
        <w:t>以扩大我们的全球领先地位</w:t>
      </w:r>
      <w:r w:rsidR="008412FE" w:rsidRPr="00B62DAB">
        <w:rPr>
          <w:rFonts w:cs="Segoe UI" w:hint="eastAsia"/>
          <w:szCs w:val="22"/>
          <w:lang w:eastAsia="zh-CN"/>
        </w:rPr>
        <w:t>，并</w:t>
      </w:r>
      <w:r w:rsidR="0090219E" w:rsidRPr="00B62DAB">
        <w:rPr>
          <w:rFonts w:cs="Segoe UI" w:hint="eastAsia"/>
          <w:szCs w:val="22"/>
          <w:lang w:eastAsia="zh-CN"/>
        </w:rPr>
        <w:t>进一步</w:t>
      </w:r>
      <w:r w:rsidR="008412FE" w:rsidRPr="00B62DAB">
        <w:rPr>
          <w:rFonts w:cs="Segoe UI" w:hint="eastAsia"/>
          <w:szCs w:val="22"/>
          <w:lang w:eastAsia="zh-CN"/>
        </w:rPr>
        <w:t>巩固</w:t>
      </w:r>
      <w:r w:rsidR="0090219E" w:rsidRPr="00B62DAB">
        <w:rPr>
          <w:rFonts w:cs="Segoe UI" w:hint="eastAsia"/>
          <w:szCs w:val="22"/>
          <w:lang w:eastAsia="zh-CN"/>
        </w:rPr>
        <w:lastRenderedPageBreak/>
        <w:t>增长势头</w:t>
      </w:r>
      <w:r w:rsidR="00F210C5" w:rsidRPr="00B62DAB">
        <w:rPr>
          <w:rFonts w:cs="Segoe UI" w:hint="eastAsia"/>
          <w:szCs w:val="22"/>
          <w:lang w:eastAsia="zh-CN"/>
        </w:rPr>
        <w:t>。</w:t>
      </w:r>
      <w:r w:rsidR="0090219E" w:rsidRPr="00B62DAB">
        <w:rPr>
          <w:rFonts w:cs="Segoe UI" w:hint="eastAsia"/>
          <w:szCs w:val="22"/>
          <w:lang w:eastAsia="zh-CN"/>
        </w:rPr>
        <w:t>此外，我们正在</w:t>
      </w:r>
      <w:r w:rsidR="008412FE" w:rsidRPr="00B62DAB">
        <w:rPr>
          <w:rFonts w:cs="Segoe UI" w:hint="eastAsia"/>
          <w:szCs w:val="22"/>
          <w:lang w:eastAsia="zh-CN"/>
        </w:rPr>
        <w:t>积极</w:t>
      </w:r>
      <w:r w:rsidR="0090219E" w:rsidRPr="00B62DAB">
        <w:rPr>
          <w:rFonts w:cs="Segoe UI" w:hint="eastAsia"/>
          <w:szCs w:val="22"/>
          <w:lang w:eastAsia="zh-CN"/>
        </w:rPr>
        <w:t>推进可持续发展和数字化领域的重要举措，以进一步增强我们的竞争</w:t>
      </w:r>
      <w:r w:rsidR="008412FE" w:rsidRPr="00B62DAB">
        <w:rPr>
          <w:rFonts w:cs="Segoe UI" w:hint="eastAsia"/>
          <w:szCs w:val="22"/>
          <w:lang w:eastAsia="zh-CN"/>
        </w:rPr>
        <w:t>优势</w:t>
      </w:r>
      <w:r w:rsidR="0090219E" w:rsidRPr="00B62DAB">
        <w:rPr>
          <w:rFonts w:cs="Segoe UI" w:hint="eastAsia"/>
          <w:szCs w:val="22"/>
          <w:lang w:eastAsia="zh-CN"/>
        </w:rPr>
        <w:t>。”</w:t>
      </w:r>
    </w:p>
    <w:p w14:paraId="7C1E5D01" w14:textId="77777777" w:rsidR="00CD25D3" w:rsidRDefault="00CD25D3" w:rsidP="00B350BA">
      <w:pPr>
        <w:spacing w:afterLines="50" w:after="120"/>
        <w:ind w:right="-108"/>
        <w:jc w:val="left"/>
        <w:rPr>
          <w:b/>
          <w:lang w:eastAsia="zh-CN"/>
        </w:rPr>
      </w:pPr>
    </w:p>
    <w:p w14:paraId="079BEF04" w14:textId="7A71D5A7" w:rsidR="0009628B" w:rsidRPr="00E454C6" w:rsidRDefault="0009628B" w:rsidP="00B350BA">
      <w:pPr>
        <w:spacing w:afterLines="50" w:after="120"/>
        <w:ind w:right="-108"/>
        <w:jc w:val="left"/>
        <w:rPr>
          <w:rFonts w:cs="Segoe UI"/>
          <w:b/>
          <w:bCs/>
          <w:sz w:val="28"/>
          <w:szCs w:val="28"/>
          <w:lang w:eastAsia="zh-CN"/>
        </w:rPr>
      </w:pPr>
      <w:r w:rsidRPr="00E454C6">
        <w:rPr>
          <w:rFonts w:hint="eastAsia"/>
          <w:b/>
          <w:sz w:val="28"/>
          <w:szCs w:val="28"/>
          <w:lang w:eastAsia="zh-CN"/>
        </w:rPr>
        <w:t>汉高上调</w:t>
      </w:r>
      <w:r w:rsidRPr="00E454C6">
        <w:rPr>
          <w:rFonts w:hint="eastAsia"/>
          <w:b/>
          <w:sz w:val="28"/>
          <w:szCs w:val="28"/>
          <w:lang w:eastAsia="zh-CN"/>
        </w:rPr>
        <w:t>2023</w:t>
      </w:r>
      <w:r w:rsidRPr="00E454C6">
        <w:rPr>
          <w:rFonts w:hint="eastAsia"/>
          <w:b/>
          <w:sz w:val="28"/>
          <w:szCs w:val="28"/>
          <w:lang w:eastAsia="zh-CN"/>
        </w:rPr>
        <w:t>财年展望</w:t>
      </w:r>
    </w:p>
    <w:p w14:paraId="50181730" w14:textId="10DC633F" w:rsidR="0009628B" w:rsidRPr="00B62DAB" w:rsidRDefault="0009628B" w:rsidP="00B350BA">
      <w:pPr>
        <w:spacing w:afterLines="50" w:after="120"/>
        <w:rPr>
          <w:rFonts w:cs="Segoe UI"/>
          <w:szCs w:val="22"/>
          <w:lang w:eastAsia="zh-CN"/>
        </w:rPr>
      </w:pPr>
      <w:r w:rsidRPr="00B62DAB">
        <w:rPr>
          <w:rFonts w:hint="eastAsia"/>
          <w:lang w:eastAsia="zh-CN"/>
        </w:rPr>
        <w:t>在集团层面，汉高现在预计</w:t>
      </w:r>
      <w:r w:rsidRPr="00B62DAB">
        <w:rPr>
          <w:rFonts w:hint="eastAsia"/>
          <w:lang w:eastAsia="zh-CN"/>
        </w:rPr>
        <w:t>2023</w:t>
      </w:r>
      <w:r w:rsidRPr="00B62DAB">
        <w:rPr>
          <w:rFonts w:hint="eastAsia"/>
          <w:lang w:eastAsia="zh-CN"/>
        </w:rPr>
        <w:t>财年</w:t>
      </w:r>
      <w:r w:rsidRPr="00B62DAB">
        <w:rPr>
          <w:rFonts w:hint="eastAsia"/>
          <w:b/>
          <w:bCs/>
          <w:lang w:eastAsia="zh-CN"/>
        </w:rPr>
        <w:t>有机销售额增长</w:t>
      </w:r>
      <w:r w:rsidRPr="00B62DAB">
        <w:rPr>
          <w:rFonts w:hint="eastAsia"/>
          <w:lang w:eastAsia="zh-CN"/>
        </w:rPr>
        <w:t>2.5%</w:t>
      </w:r>
      <w:r w:rsidRPr="00B62DAB">
        <w:rPr>
          <w:rFonts w:hint="eastAsia"/>
          <w:lang w:eastAsia="zh-CN"/>
        </w:rPr>
        <w:t>至</w:t>
      </w:r>
      <w:r w:rsidRPr="00B62DAB">
        <w:rPr>
          <w:rFonts w:hint="eastAsia"/>
          <w:lang w:eastAsia="zh-CN"/>
        </w:rPr>
        <w:t>4.5%</w:t>
      </w:r>
      <w:r w:rsidRPr="00B62DAB">
        <w:rPr>
          <w:rFonts w:hint="eastAsia"/>
          <w:lang w:eastAsia="zh-CN"/>
        </w:rPr>
        <w:t>（此前为：</w:t>
      </w:r>
      <w:r w:rsidRPr="00B62DAB">
        <w:rPr>
          <w:rFonts w:hint="eastAsia"/>
          <w:lang w:eastAsia="zh-CN"/>
        </w:rPr>
        <w:t>1.0%</w:t>
      </w:r>
      <w:r w:rsidR="00795FB8">
        <w:rPr>
          <w:rFonts w:hint="eastAsia"/>
          <w:lang w:eastAsia="zh-CN"/>
        </w:rPr>
        <w:t>至</w:t>
      </w:r>
      <w:r w:rsidRPr="00B62DAB">
        <w:rPr>
          <w:rFonts w:hint="eastAsia"/>
          <w:lang w:eastAsia="zh-CN"/>
        </w:rPr>
        <w:t>3.0%</w:t>
      </w:r>
      <w:r w:rsidRPr="00B62DAB">
        <w:rPr>
          <w:rFonts w:hint="eastAsia"/>
          <w:lang w:eastAsia="zh-CN"/>
        </w:rPr>
        <w:t>）。对于</w:t>
      </w:r>
      <w:r w:rsidRPr="00B14B02">
        <w:rPr>
          <w:rFonts w:hint="eastAsia"/>
          <w:lang w:eastAsia="zh-CN"/>
        </w:rPr>
        <w:t>粘合剂技术</w:t>
      </w:r>
      <w:r w:rsidRPr="00B62DAB">
        <w:rPr>
          <w:rFonts w:hint="eastAsia"/>
          <w:lang w:eastAsia="zh-CN"/>
        </w:rPr>
        <w:t>业务部，汉高预计有机销售额增长</w:t>
      </w:r>
      <w:r w:rsidRPr="00B62DAB">
        <w:rPr>
          <w:rFonts w:hint="eastAsia"/>
          <w:lang w:eastAsia="zh-CN"/>
        </w:rPr>
        <w:t>2.0%</w:t>
      </w:r>
      <w:r w:rsidRPr="00B62DAB">
        <w:rPr>
          <w:rFonts w:hint="eastAsia"/>
          <w:lang w:eastAsia="zh-CN"/>
        </w:rPr>
        <w:t>至</w:t>
      </w:r>
      <w:r w:rsidRPr="00B62DAB">
        <w:rPr>
          <w:rFonts w:hint="eastAsia"/>
          <w:lang w:eastAsia="zh-CN"/>
        </w:rPr>
        <w:t>4.0%</w:t>
      </w:r>
      <w:r w:rsidRPr="00B62DAB">
        <w:rPr>
          <w:rFonts w:hint="eastAsia"/>
          <w:lang w:eastAsia="zh-CN"/>
        </w:rPr>
        <w:t>（此前为：</w:t>
      </w:r>
      <w:r w:rsidRPr="00B62DAB">
        <w:rPr>
          <w:rFonts w:hint="eastAsia"/>
          <w:lang w:eastAsia="zh-CN"/>
        </w:rPr>
        <w:t>1.0%</w:t>
      </w:r>
      <w:r w:rsidR="00795FB8">
        <w:rPr>
          <w:rFonts w:hint="eastAsia"/>
          <w:lang w:eastAsia="zh-CN"/>
        </w:rPr>
        <w:t>至</w:t>
      </w:r>
      <w:r w:rsidRPr="00B62DAB">
        <w:rPr>
          <w:rFonts w:hint="eastAsia"/>
          <w:lang w:eastAsia="zh-CN"/>
        </w:rPr>
        <w:t>3.0%</w:t>
      </w:r>
      <w:r w:rsidRPr="00B62DAB">
        <w:rPr>
          <w:rFonts w:hint="eastAsia"/>
          <w:lang w:eastAsia="zh-CN"/>
        </w:rPr>
        <w:t>），而</w:t>
      </w:r>
      <w:r w:rsidR="00D12FB4">
        <w:rPr>
          <w:rFonts w:hint="eastAsia"/>
          <w:lang w:eastAsia="zh-CN"/>
        </w:rPr>
        <w:t>对于</w:t>
      </w:r>
      <w:r w:rsidRPr="00B62DAB">
        <w:rPr>
          <w:rFonts w:hint="eastAsia"/>
          <w:lang w:eastAsia="zh-CN"/>
        </w:rPr>
        <w:t>消费品牌业务部</w:t>
      </w:r>
      <w:r w:rsidR="00D12FB4">
        <w:rPr>
          <w:rFonts w:hint="eastAsia"/>
          <w:lang w:eastAsia="zh-CN"/>
        </w:rPr>
        <w:t>，</w:t>
      </w:r>
      <w:r w:rsidR="00D12FB4" w:rsidRPr="00B62DAB">
        <w:rPr>
          <w:rFonts w:hint="eastAsia"/>
          <w:lang w:eastAsia="zh-CN"/>
        </w:rPr>
        <w:t>预计有机销售额增长</w:t>
      </w:r>
      <w:r w:rsidRPr="00B62DAB">
        <w:rPr>
          <w:rFonts w:hint="eastAsia"/>
          <w:lang w:eastAsia="zh-CN"/>
        </w:rPr>
        <w:t>3.0%</w:t>
      </w:r>
      <w:r w:rsidRPr="00B62DAB">
        <w:rPr>
          <w:rFonts w:hint="eastAsia"/>
          <w:lang w:eastAsia="zh-CN"/>
        </w:rPr>
        <w:t>至</w:t>
      </w:r>
      <w:r w:rsidRPr="00B62DAB">
        <w:rPr>
          <w:rFonts w:hint="eastAsia"/>
          <w:lang w:eastAsia="zh-CN"/>
        </w:rPr>
        <w:t>5.0%</w:t>
      </w:r>
      <w:r w:rsidRPr="00B62DAB">
        <w:rPr>
          <w:rFonts w:hint="eastAsia"/>
          <w:lang w:eastAsia="zh-CN"/>
        </w:rPr>
        <w:t>（此前为：</w:t>
      </w:r>
      <w:r w:rsidRPr="00B62DAB">
        <w:rPr>
          <w:rFonts w:hint="eastAsia"/>
          <w:lang w:eastAsia="zh-CN"/>
        </w:rPr>
        <w:t>1.0%</w:t>
      </w:r>
      <w:r w:rsidR="00795FB8">
        <w:rPr>
          <w:rFonts w:hint="eastAsia"/>
          <w:lang w:eastAsia="zh-CN"/>
        </w:rPr>
        <w:t>至</w:t>
      </w:r>
      <w:r w:rsidRPr="00B62DAB">
        <w:rPr>
          <w:rFonts w:hint="eastAsia"/>
          <w:lang w:eastAsia="zh-CN"/>
        </w:rPr>
        <w:t>3.0%</w:t>
      </w:r>
      <w:r w:rsidRPr="00B62DAB">
        <w:rPr>
          <w:rFonts w:hint="eastAsia"/>
          <w:lang w:eastAsia="zh-CN"/>
        </w:rPr>
        <w:t>）。在集团层面，</w:t>
      </w:r>
      <w:r w:rsidRPr="00B62DAB">
        <w:rPr>
          <w:rFonts w:hint="eastAsia"/>
          <w:b/>
          <w:bCs/>
          <w:lang w:eastAsia="zh-CN"/>
        </w:rPr>
        <w:t>调整后的销售回报率（息税前利润率）</w:t>
      </w:r>
      <w:r w:rsidRPr="00B62DAB">
        <w:rPr>
          <w:rFonts w:hint="eastAsia"/>
          <w:lang w:eastAsia="zh-CN"/>
        </w:rPr>
        <w:t>预计为</w:t>
      </w:r>
      <w:r w:rsidRPr="00B62DAB">
        <w:rPr>
          <w:rFonts w:hint="eastAsia"/>
          <w:lang w:eastAsia="zh-CN"/>
        </w:rPr>
        <w:t>11.0%</w:t>
      </w:r>
      <w:r w:rsidRPr="00B62DAB">
        <w:rPr>
          <w:rFonts w:hint="eastAsia"/>
          <w:lang w:eastAsia="zh-CN"/>
        </w:rPr>
        <w:t>至</w:t>
      </w:r>
      <w:r w:rsidRPr="00B62DAB">
        <w:rPr>
          <w:rFonts w:hint="eastAsia"/>
          <w:lang w:eastAsia="zh-CN"/>
        </w:rPr>
        <w:t>12.5%</w:t>
      </w:r>
      <w:r w:rsidRPr="00B62DAB">
        <w:rPr>
          <w:rFonts w:hint="eastAsia"/>
          <w:lang w:eastAsia="zh-CN"/>
        </w:rPr>
        <w:t>（此前为：</w:t>
      </w:r>
      <w:r w:rsidRPr="00B62DAB">
        <w:rPr>
          <w:rFonts w:hint="eastAsia"/>
          <w:lang w:eastAsia="zh-CN"/>
        </w:rPr>
        <w:t>10.0%</w:t>
      </w:r>
      <w:r w:rsidRPr="00B62DAB">
        <w:rPr>
          <w:rFonts w:hint="eastAsia"/>
          <w:lang w:eastAsia="zh-CN"/>
        </w:rPr>
        <w:t>至</w:t>
      </w:r>
      <w:r w:rsidRPr="00B62DAB">
        <w:rPr>
          <w:rFonts w:hint="eastAsia"/>
          <w:lang w:eastAsia="zh-CN"/>
        </w:rPr>
        <w:t>12.0%</w:t>
      </w:r>
      <w:r w:rsidRPr="00B62DAB">
        <w:rPr>
          <w:rFonts w:hint="eastAsia"/>
          <w:lang w:eastAsia="zh-CN"/>
        </w:rPr>
        <w:t>）。对于粘合剂技术业务部，汉高预计调整后的销售回报率为</w:t>
      </w:r>
      <w:r w:rsidRPr="00B62DAB">
        <w:rPr>
          <w:rFonts w:hint="eastAsia"/>
          <w:lang w:eastAsia="zh-CN"/>
        </w:rPr>
        <w:t>13.5%</w:t>
      </w:r>
      <w:r w:rsidRPr="00B62DAB">
        <w:rPr>
          <w:rFonts w:hint="eastAsia"/>
          <w:lang w:eastAsia="zh-CN"/>
        </w:rPr>
        <w:t>至</w:t>
      </w:r>
      <w:r w:rsidRPr="00B62DAB">
        <w:rPr>
          <w:rFonts w:hint="eastAsia"/>
          <w:lang w:eastAsia="zh-CN"/>
        </w:rPr>
        <w:t>15.0%</w:t>
      </w:r>
      <w:r w:rsidRPr="00B62DAB">
        <w:rPr>
          <w:rFonts w:hint="eastAsia"/>
          <w:lang w:eastAsia="zh-CN"/>
        </w:rPr>
        <w:t>（此前为：</w:t>
      </w:r>
      <w:r w:rsidRPr="00B62DAB">
        <w:rPr>
          <w:rFonts w:hint="eastAsia"/>
          <w:lang w:eastAsia="zh-CN"/>
        </w:rPr>
        <w:t>13.0%</w:t>
      </w:r>
      <w:r w:rsidRPr="00B62DAB">
        <w:rPr>
          <w:rFonts w:hint="eastAsia"/>
          <w:lang w:eastAsia="zh-CN"/>
        </w:rPr>
        <w:t>至</w:t>
      </w:r>
      <w:r w:rsidRPr="00B62DAB">
        <w:rPr>
          <w:rFonts w:hint="eastAsia"/>
          <w:lang w:eastAsia="zh-CN"/>
        </w:rPr>
        <w:t>15.0%</w:t>
      </w:r>
      <w:r w:rsidRPr="00B62DAB">
        <w:rPr>
          <w:rFonts w:hint="eastAsia"/>
          <w:lang w:eastAsia="zh-CN"/>
        </w:rPr>
        <w:t>），而</w:t>
      </w:r>
      <w:r w:rsidR="00D12FB4">
        <w:rPr>
          <w:rFonts w:hint="eastAsia"/>
          <w:lang w:eastAsia="zh-CN"/>
        </w:rPr>
        <w:t>对于</w:t>
      </w:r>
      <w:r w:rsidRPr="00B62DAB">
        <w:rPr>
          <w:rFonts w:hint="eastAsia"/>
          <w:lang w:eastAsia="zh-CN"/>
        </w:rPr>
        <w:t>消费品牌业务部</w:t>
      </w:r>
      <w:r w:rsidR="00D12FB4">
        <w:rPr>
          <w:rFonts w:hint="eastAsia"/>
          <w:lang w:eastAsia="zh-CN"/>
        </w:rPr>
        <w:t>，</w:t>
      </w:r>
      <w:r w:rsidR="00D12FB4" w:rsidRPr="00B62DAB">
        <w:rPr>
          <w:rFonts w:hint="eastAsia"/>
          <w:lang w:eastAsia="zh-CN"/>
        </w:rPr>
        <w:t>预计调整后的销售回报率</w:t>
      </w:r>
      <w:r w:rsidRPr="00B62DAB">
        <w:rPr>
          <w:rFonts w:hint="eastAsia"/>
          <w:lang w:eastAsia="zh-CN"/>
        </w:rPr>
        <w:t>为</w:t>
      </w:r>
      <w:r w:rsidRPr="00B62DAB">
        <w:rPr>
          <w:rFonts w:hint="eastAsia"/>
          <w:lang w:eastAsia="zh-CN"/>
        </w:rPr>
        <w:t>9.5%</w:t>
      </w:r>
      <w:r w:rsidRPr="00B62DAB">
        <w:rPr>
          <w:rFonts w:hint="eastAsia"/>
          <w:lang w:eastAsia="zh-CN"/>
        </w:rPr>
        <w:t>至</w:t>
      </w:r>
      <w:r w:rsidRPr="00B62DAB">
        <w:rPr>
          <w:rFonts w:hint="eastAsia"/>
          <w:lang w:eastAsia="zh-CN"/>
        </w:rPr>
        <w:t>11.0%</w:t>
      </w:r>
      <w:r w:rsidRPr="00B62DAB">
        <w:rPr>
          <w:rFonts w:hint="eastAsia"/>
          <w:lang w:eastAsia="zh-CN"/>
        </w:rPr>
        <w:t>（此前为：</w:t>
      </w:r>
      <w:r w:rsidRPr="00B62DAB">
        <w:rPr>
          <w:rFonts w:hint="eastAsia"/>
          <w:lang w:eastAsia="zh-CN"/>
        </w:rPr>
        <w:t>7.5%</w:t>
      </w:r>
      <w:r w:rsidRPr="00B62DAB">
        <w:rPr>
          <w:rFonts w:hint="eastAsia"/>
          <w:lang w:eastAsia="zh-CN"/>
        </w:rPr>
        <w:t>至</w:t>
      </w:r>
      <w:r w:rsidRPr="00B62DAB">
        <w:rPr>
          <w:rFonts w:hint="eastAsia"/>
          <w:lang w:eastAsia="zh-CN"/>
        </w:rPr>
        <w:t>9.5%</w:t>
      </w:r>
      <w:r w:rsidRPr="00B62DAB">
        <w:rPr>
          <w:rFonts w:hint="eastAsia"/>
          <w:lang w:eastAsia="zh-CN"/>
        </w:rPr>
        <w:t>）。对于按固定汇率计算的</w:t>
      </w:r>
      <w:r w:rsidRPr="00B62DAB">
        <w:rPr>
          <w:rFonts w:hint="eastAsia"/>
          <w:b/>
          <w:bCs/>
          <w:lang w:eastAsia="zh-CN"/>
        </w:rPr>
        <w:t>调整后优先股每股收益（</w:t>
      </w:r>
      <w:r w:rsidRPr="00B62DAB">
        <w:rPr>
          <w:rFonts w:hint="eastAsia"/>
          <w:b/>
          <w:bCs/>
          <w:lang w:eastAsia="zh-CN"/>
        </w:rPr>
        <w:t>EPS</w:t>
      </w:r>
      <w:r w:rsidRPr="00B62DAB">
        <w:rPr>
          <w:rFonts w:hint="eastAsia"/>
          <w:b/>
          <w:bCs/>
          <w:lang w:eastAsia="zh-CN"/>
        </w:rPr>
        <w:t>）</w:t>
      </w:r>
      <w:r w:rsidRPr="00B62DAB">
        <w:rPr>
          <w:rFonts w:hint="eastAsia"/>
          <w:lang w:eastAsia="zh-CN"/>
        </w:rPr>
        <w:t>，汉高现在预计增长幅度为</w:t>
      </w:r>
      <w:r w:rsidRPr="00B62DAB">
        <w:rPr>
          <w:rFonts w:hint="eastAsia"/>
          <w:lang w:eastAsia="zh-CN"/>
        </w:rPr>
        <w:t>5%</w:t>
      </w:r>
      <w:r w:rsidRPr="00B62DAB">
        <w:rPr>
          <w:rFonts w:hint="eastAsia"/>
          <w:lang w:eastAsia="zh-CN"/>
        </w:rPr>
        <w:t>至</w:t>
      </w:r>
      <w:r w:rsidRPr="00B62DAB">
        <w:rPr>
          <w:rFonts w:hint="eastAsia"/>
          <w:lang w:eastAsia="zh-CN"/>
        </w:rPr>
        <w:t>20%</w:t>
      </w:r>
      <w:r w:rsidRPr="00B62DAB">
        <w:rPr>
          <w:rFonts w:hint="eastAsia"/>
          <w:lang w:eastAsia="zh-CN"/>
        </w:rPr>
        <w:t>（此前为：</w:t>
      </w:r>
      <w:r w:rsidRPr="00B62DAB">
        <w:rPr>
          <w:rFonts w:hint="eastAsia"/>
          <w:lang w:eastAsia="zh-CN"/>
        </w:rPr>
        <w:t>-10%</w:t>
      </w:r>
      <w:r w:rsidRPr="00B62DAB">
        <w:rPr>
          <w:rFonts w:hint="eastAsia"/>
          <w:lang w:eastAsia="zh-CN"/>
        </w:rPr>
        <w:t>至</w:t>
      </w:r>
      <w:r w:rsidRPr="00B62DAB">
        <w:rPr>
          <w:rFonts w:hint="eastAsia"/>
          <w:lang w:eastAsia="zh-CN"/>
        </w:rPr>
        <w:t>10%</w:t>
      </w:r>
      <w:r w:rsidRPr="00B62DAB">
        <w:rPr>
          <w:rFonts w:hint="eastAsia"/>
          <w:lang w:eastAsia="zh-CN"/>
        </w:rPr>
        <w:t>）。</w:t>
      </w:r>
    </w:p>
    <w:p w14:paraId="2BC91BDA" w14:textId="77777777" w:rsidR="00C00075" w:rsidRDefault="00C00075" w:rsidP="00B350BA">
      <w:pPr>
        <w:spacing w:afterLines="50" w:after="120"/>
        <w:jc w:val="left"/>
        <w:rPr>
          <w:b/>
          <w:lang w:eastAsia="zh-CN"/>
        </w:rPr>
      </w:pPr>
    </w:p>
    <w:p w14:paraId="24E7A75F" w14:textId="7BC410E5" w:rsidR="0009628B" w:rsidRPr="00E454C6" w:rsidRDefault="0009628B" w:rsidP="00B350BA">
      <w:pPr>
        <w:spacing w:afterLines="50" w:after="120"/>
        <w:jc w:val="left"/>
        <w:rPr>
          <w:rFonts w:cs="Segoe UI"/>
          <w:b/>
          <w:bCs/>
          <w:sz w:val="28"/>
          <w:szCs w:val="28"/>
          <w:lang w:eastAsia="zh-CN"/>
        </w:rPr>
      </w:pPr>
      <w:r w:rsidRPr="00E454C6">
        <w:rPr>
          <w:rFonts w:hint="eastAsia"/>
          <w:b/>
          <w:sz w:val="28"/>
          <w:szCs w:val="28"/>
          <w:lang w:eastAsia="zh-CN"/>
        </w:rPr>
        <w:t>2023</w:t>
      </w:r>
      <w:r w:rsidRPr="00E454C6">
        <w:rPr>
          <w:rFonts w:hint="eastAsia"/>
          <w:b/>
          <w:sz w:val="28"/>
          <w:szCs w:val="28"/>
          <w:lang w:eastAsia="zh-CN"/>
        </w:rPr>
        <w:t>年上半年的销售额和盈利情况</w:t>
      </w:r>
    </w:p>
    <w:p w14:paraId="0FBEE9C3" w14:textId="711A2A65" w:rsidR="0009628B" w:rsidRDefault="0009628B" w:rsidP="00B350BA">
      <w:pPr>
        <w:spacing w:afterLines="50" w:after="120"/>
        <w:rPr>
          <w:lang w:eastAsia="zh-CN"/>
        </w:rPr>
      </w:pPr>
      <w:r w:rsidRPr="00B62DAB">
        <w:rPr>
          <w:rFonts w:hint="eastAsia"/>
          <w:lang w:eastAsia="zh-CN"/>
        </w:rPr>
        <w:t>2023</w:t>
      </w:r>
      <w:r w:rsidRPr="00B62DAB">
        <w:rPr>
          <w:rFonts w:hint="eastAsia"/>
          <w:lang w:eastAsia="zh-CN"/>
        </w:rPr>
        <w:t>年上半年，</w:t>
      </w:r>
      <w:r w:rsidRPr="00B62DAB">
        <w:rPr>
          <w:rFonts w:hint="eastAsia"/>
          <w:b/>
          <w:bCs/>
          <w:lang w:eastAsia="zh-CN"/>
        </w:rPr>
        <w:t>集团销售额</w:t>
      </w:r>
      <w:r w:rsidRPr="00B62DAB">
        <w:rPr>
          <w:rFonts w:hint="eastAsia"/>
          <w:lang w:eastAsia="zh-CN"/>
        </w:rPr>
        <w:t>为</w:t>
      </w:r>
      <w:r w:rsidRPr="00B62DAB">
        <w:rPr>
          <w:rFonts w:hint="eastAsia"/>
          <w:lang w:eastAsia="zh-CN"/>
        </w:rPr>
        <w:t>109.26</w:t>
      </w:r>
      <w:r w:rsidRPr="00B62DAB">
        <w:rPr>
          <w:rFonts w:hint="eastAsia"/>
          <w:lang w:eastAsia="zh-CN"/>
        </w:rPr>
        <w:t>亿欧元，比去年同期增长</w:t>
      </w:r>
      <w:r w:rsidRPr="00B62DAB">
        <w:rPr>
          <w:rFonts w:hint="eastAsia"/>
          <w:lang w:eastAsia="zh-CN"/>
        </w:rPr>
        <w:t>0.1%</w:t>
      </w:r>
      <w:r w:rsidRPr="00B62DAB">
        <w:rPr>
          <w:rFonts w:hint="eastAsia"/>
          <w:lang w:eastAsia="zh-CN"/>
        </w:rPr>
        <w:t>（第二季度：</w:t>
      </w:r>
      <w:r w:rsidRPr="00B62DAB">
        <w:rPr>
          <w:rFonts w:hint="eastAsia"/>
          <w:lang w:eastAsia="zh-CN"/>
        </w:rPr>
        <w:t>53.16</w:t>
      </w:r>
      <w:r w:rsidRPr="00B62DAB">
        <w:rPr>
          <w:rFonts w:hint="eastAsia"/>
          <w:lang w:eastAsia="zh-CN"/>
        </w:rPr>
        <w:t>亿欧元，下降</w:t>
      </w:r>
      <w:r w:rsidRPr="00B62DAB">
        <w:rPr>
          <w:rFonts w:hint="eastAsia"/>
          <w:lang w:eastAsia="zh-CN"/>
        </w:rPr>
        <w:t>5.8%</w:t>
      </w:r>
      <w:r w:rsidRPr="00B62DAB">
        <w:rPr>
          <w:rFonts w:hint="eastAsia"/>
          <w:lang w:eastAsia="zh-CN"/>
        </w:rPr>
        <w:t>）。</w:t>
      </w:r>
      <w:r w:rsidR="00153409">
        <w:rPr>
          <w:rFonts w:hint="eastAsia"/>
          <w:lang w:eastAsia="zh-CN"/>
        </w:rPr>
        <w:t>相应的</w:t>
      </w:r>
      <w:r w:rsidRPr="00B62DAB">
        <w:rPr>
          <w:rFonts w:hint="eastAsia"/>
          <w:lang w:eastAsia="zh-CN"/>
        </w:rPr>
        <w:t>，</w:t>
      </w:r>
      <w:r w:rsidRPr="00B62DAB">
        <w:rPr>
          <w:rFonts w:hint="eastAsia"/>
          <w:b/>
          <w:bCs/>
          <w:lang w:eastAsia="zh-CN"/>
        </w:rPr>
        <w:t>有机销售额增长</w:t>
      </w:r>
      <w:r w:rsidRPr="00B62DAB">
        <w:rPr>
          <w:rFonts w:hint="eastAsia"/>
          <w:lang w:eastAsia="zh-CN"/>
        </w:rPr>
        <w:t>4.9%</w:t>
      </w:r>
      <w:r w:rsidRPr="00B62DAB">
        <w:rPr>
          <w:rFonts w:hint="eastAsia"/>
          <w:lang w:eastAsia="zh-CN"/>
        </w:rPr>
        <w:t>（第二季度：</w:t>
      </w:r>
      <w:r w:rsidR="00153409">
        <w:rPr>
          <w:rFonts w:hint="eastAsia"/>
          <w:lang w:eastAsia="zh-CN"/>
        </w:rPr>
        <w:t>增长</w:t>
      </w:r>
      <w:r w:rsidRPr="00B62DAB">
        <w:rPr>
          <w:rFonts w:hint="eastAsia"/>
          <w:lang w:eastAsia="zh-CN"/>
        </w:rPr>
        <w:t>3.2%</w:t>
      </w:r>
      <w:r w:rsidRPr="00B62DAB">
        <w:rPr>
          <w:rFonts w:hint="eastAsia"/>
          <w:lang w:eastAsia="zh-CN"/>
        </w:rPr>
        <w:t>）。汇率因素导致销售额下降</w:t>
      </w:r>
      <w:r w:rsidRPr="00B62DAB">
        <w:rPr>
          <w:rFonts w:hint="eastAsia"/>
          <w:lang w:eastAsia="zh-CN"/>
        </w:rPr>
        <w:t>2.5%</w:t>
      </w:r>
      <w:r w:rsidRPr="00B62DAB">
        <w:rPr>
          <w:rFonts w:hint="eastAsia"/>
          <w:lang w:eastAsia="zh-CN"/>
        </w:rPr>
        <w:t>（第二季度：</w:t>
      </w:r>
      <w:r w:rsidR="00153409">
        <w:rPr>
          <w:rFonts w:hint="eastAsia"/>
          <w:lang w:eastAsia="zh-CN"/>
        </w:rPr>
        <w:t>下降</w:t>
      </w:r>
      <w:r w:rsidRPr="00B62DAB">
        <w:rPr>
          <w:rFonts w:hint="eastAsia"/>
          <w:lang w:eastAsia="zh-CN"/>
        </w:rPr>
        <w:t>5.8%</w:t>
      </w:r>
      <w:r w:rsidRPr="00B62DAB">
        <w:rPr>
          <w:rFonts w:hint="eastAsia"/>
          <w:lang w:eastAsia="zh-CN"/>
        </w:rPr>
        <w:t>）。收购和撤资导致销售额下降</w:t>
      </w:r>
      <w:r w:rsidRPr="00B62DAB">
        <w:rPr>
          <w:rFonts w:hint="eastAsia"/>
          <w:lang w:eastAsia="zh-CN"/>
        </w:rPr>
        <w:t>2.2%</w:t>
      </w:r>
      <w:r w:rsidRPr="00B62DAB">
        <w:rPr>
          <w:rFonts w:hint="eastAsia"/>
          <w:lang w:eastAsia="zh-CN"/>
        </w:rPr>
        <w:t>（第二季度：</w:t>
      </w:r>
      <w:r w:rsidR="00153409">
        <w:rPr>
          <w:rFonts w:hint="eastAsia"/>
          <w:lang w:eastAsia="zh-CN"/>
        </w:rPr>
        <w:t>下降</w:t>
      </w:r>
      <w:r w:rsidRPr="00B62DAB">
        <w:rPr>
          <w:rFonts w:hint="eastAsia"/>
          <w:lang w:eastAsia="zh-CN"/>
        </w:rPr>
        <w:t>3.2%</w:t>
      </w:r>
      <w:r w:rsidRPr="00B62DAB">
        <w:rPr>
          <w:rFonts w:hint="eastAsia"/>
          <w:lang w:eastAsia="zh-CN"/>
        </w:rPr>
        <w:t>）。</w:t>
      </w:r>
    </w:p>
    <w:p w14:paraId="0A244E65" w14:textId="77777777" w:rsidR="00E454C6" w:rsidRPr="00B62DAB" w:rsidRDefault="00E454C6" w:rsidP="00B350BA">
      <w:pPr>
        <w:spacing w:afterLines="50" w:after="120"/>
        <w:rPr>
          <w:rFonts w:cs="Segoe UI"/>
          <w:szCs w:val="22"/>
          <w:lang w:eastAsia="zh-CN"/>
        </w:rPr>
      </w:pPr>
    </w:p>
    <w:p w14:paraId="4523AB76" w14:textId="13D94B0C" w:rsidR="0009628B" w:rsidRDefault="0009628B" w:rsidP="00B350BA">
      <w:pPr>
        <w:spacing w:afterLines="50" w:after="120"/>
        <w:rPr>
          <w:lang w:eastAsia="zh-CN"/>
        </w:rPr>
      </w:pPr>
      <w:r w:rsidRPr="00B62DAB">
        <w:rPr>
          <w:rFonts w:hint="eastAsia"/>
          <w:lang w:eastAsia="zh-CN"/>
        </w:rPr>
        <w:t>上半年的销售额增长由两个业务部</w:t>
      </w:r>
      <w:r w:rsidR="00153409">
        <w:rPr>
          <w:rFonts w:hint="eastAsia"/>
          <w:lang w:eastAsia="zh-CN"/>
        </w:rPr>
        <w:t>门</w:t>
      </w:r>
      <w:r w:rsidRPr="00B62DAB">
        <w:rPr>
          <w:rFonts w:hint="eastAsia"/>
          <w:lang w:eastAsia="zh-CN"/>
        </w:rPr>
        <w:t>共同推动。在移动和电子业务以及工匠、建筑和专业业务领域的推动下，</w:t>
      </w:r>
      <w:r w:rsidRPr="00B62DAB">
        <w:rPr>
          <w:rFonts w:hint="eastAsia"/>
          <w:b/>
          <w:bCs/>
          <w:lang w:eastAsia="zh-CN"/>
        </w:rPr>
        <w:t>粘合剂技术</w:t>
      </w:r>
      <w:r w:rsidRPr="00B62DAB">
        <w:rPr>
          <w:rFonts w:hint="eastAsia"/>
          <w:lang w:eastAsia="zh-CN"/>
        </w:rPr>
        <w:t>业务部实现了非常强劲的有机销售额增长，达</w:t>
      </w:r>
      <w:r w:rsidRPr="00B62DAB">
        <w:rPr>
          <w:rFonts w:hint="eastAsia"/>
          <w:lang w:eastAsia="zh-CN"/>
        </w:rPr>
        <w:t>4.7%</w:t>
      </w:r>
      <w:r w:rsidRPr="00B62DAB">
        <w:rPr>
          <w:rFonts w:hint="eastAsia"/>
          <w:lang w:eastAsia="zh-CN"/>
        </w:rPr>
        <w:t>。在洗涤剂及家用护理和美发业务领域的推动下，</w:t>
      </w:r>
      <w:r w:rsidRPr="00B62DAB">
        <w:rPr>
          <w:rFonts w:hint="eastAsia"/>
          <w:b/>
          <w:bCs/>
          <w:lang w:eastAsia="zh-CN"/>
        </w:rPr>
        <w:t>消费品牌</w:t>
      </w:r>
      <w:r w:rsidRPr="00B62DAB">
        <w:rPr>
          <w:rFonts w:hint="eastAsia"/>
          <w:lang w:eastAsia="zh-CN"/>
        </w:rPr>
        <w:t>业务部实现了</w:t>
      </w:r>
      <w:r w:rsidRPr="00B62DAB">
        <w:rPr>
          <w:rFonts w:hint="eastAsia"/>
          <w:lang w:eastAsia="zh-CN"/>
        </w:rPr>
        <w:t>5.7%</w:t>
      </w:r>
      <w:r w:rsidRPr="00B62DAB">
        <w:rPr>
          <w:rFonts w:hint="eastAsia"/>
          <w:lang w:eastAsia="zh-CN"/>
        </w:rPr>
        <w:t>的强劲有机销售额增长。</w:t>
      </w:r>
    </w:p>
    <w:p w14:paraId="0DD44ABC" w14:textId="77777777" w:rsidR="00E454C6" w:rsidRPr="00B62DAB" w:rsidRDefault="00E454C6" w:rsidP="00B350BA">
      <w:pPr>
        <w:spacing w:afterLines="50" w:after="120"/>
        <w:rPr>
          <w:rFonts w:cs="Segoe UI"/>
          <w:szCs w:val="22"/>
          <w:lang w:eastAsia="zh-CN"/>
        </w:rPr>
      </w:pPr>
    </w:p>
    <w:p w14:paraId="584312DC" w14:textId="1220C3A2" w:rsidR="0009628B" w:rsidRDefault="0009628B" w:rsidP="00B350BA">
      <w:pPr>
        <w:spacing w:afterLines="50" w:after="120"/>
        <w:rPr>
          <w:lang w:eastAsia="zh-CN"/>
        </w:rPr>
      </w:pPr>
      <w:r w:rsidRPr="00B62DAB">
        <w:rPr>
          <w:rFonts w:hint="eastAsia"/>
          <w:lang w:eastAsia="zh-CN"/>
        </w:rPr>
        <w:t>今年上半年，</w:t>
      </w:r>
      <w:r w:rsidRPr="00B62DAB">
        <w:rPr>
          <w:rFonts w:hint="eastAsia"/>
          <w:b/>
          <w:bCs/>
          <w:lang w:eastAsia="zh-CN"/>
        </w:rPr>
        <w:t>欧洲</w:t>
      </w:r>
      <w:r w:rsidRPr="00B62DAB">
        <w:rPr>
          <w:rFonts w:hint="eastAsia"/>
          <w:lang w:eastAsia="zh-CN"/>
        </w:rPr>
        <w:t>地区的有机销售额增长率达到</w:t>
      </w:r>
      <w:r w:rsidRPr="00B62DAB">
        <w:rPr>
          <w:rFonts w:hint="eastAsia"/>
          <w:lang w:eastAsia="zh-CN"/>
        </w:rPr>
        <w:t>2.4%</w:t>
      </w:r>
      <w:r w:rsidRPr="00B62DAB">
        <w:rPr>
          <w:rFonts w:hint="eastAsia"/>
          <w:lang w:eastAsia="zh-CN"/>
        </w:rPr>
        <w:t>（第二季度：</w:t>
      </w:r>
      <w:r w:rsidR="006F53D0">
        <w:rPr>
          <w:rFonts w:hint="eastAsia"/>
          <w:lang w:eastAsia="zh-CN"/>
        </w:rPr>
        <w:t>增长</w:t>
      </w:r>
      <w:r w:rsidRPr="00B62DAB">
        <w:rPr>
          <w:rFonts w:hint="eastAsia"/>
          <w:lang w:eastAsia="zh-CN"/>
        </w:rPr>
        <w:t>0.8%</w:t>
      </w:r>
      <w:r w:rsidRPr="00B62DAB">
        <w:rPr>
          <w:rFonts w:hint="eastAsia"/>
          <w:lang w:eastAsia="zh-CN"/>
        </w:rPr>
        <w:t>）。在</w:t>
      </w:r>
      <w:r w:rsidRPr="00B62DAB">
        <w:rPr>
          <w:rFonts w:hint="eastAsia"/>
          <w:b/>
          <w:bCs/>
          <w:lang w:eastAsia="zh-CN"/>
        </w:rPr>
        <w:t>印度、中东及非洲</w:t>
      </w:r>
      <w:r w:rsidRPr="00B62DAB">
        <w:rPr>
          <w:rFonts w:hint="eastAsia"/>
          <w:lang w:eastAsia="zh-CN"/>
        </w:rPr>
        <w:t>地区，有机销售额增长</w:t>
      </w:r>
      <w:r w:rsidRPr="00B62DAB">
        <w:rPr>
          <w:rFonts w:hint="eastAsia"/>
          <w:lang w:eastAsia="zh-CN"/>
        </w:rPr>
        <w:t>25.7%</w:t>
      </w:r>
      <w:r w:rsidRPr="00B62DAB">
        <w:rPr>
          <w:rFonts w:hint="eastAsia"/>
          <w:lang w:eastAsia="zh-CN"/>
        </w:rPr>
        <w:t>（第二季度：</w:t>
      </w:r>
      <w:r w:rsidR="006F53D0">
        <w:rPr>
          <w:rFonts w:hint="eastAsia"/>
          <w:lang w:eastAsia="zh-CN"/>
        </w:rPr>
        <w:t>增长</w:t>
      </w:r>
      <w:r w:rsidRPr="00B62DAB">
        <w:rPr>
          <w:rFonts w:hint="eastAsia"/>
          <w:lang w:eastAsia="zh-CN"/>
        </w:rPr>
        <w:t>23.6%</w:t>
      </w:r>
      <w:r w:rsidRPr="00B62DAB">
        <w:rPr>
          <w:rFonts w:hint="eastAsia"/>
          <w:lang w:eastAsia="zh-CN"/>
        </w:rPr>
        <w:t>）。</w:t>
      </w:r>
      <w:r w:rsidRPr="00B62DAB">
        <w:rPr>
          <w:rFonts w:hint="eastAsia"/>
          <w:b/>
          <w:bCs/>
          <w:lang w:eastAsia="zh-CN"/>
        </w:rPr>
        <w:t>北美</w:t>
      </w:r>
      <w:r w:rsidRPr="00B62DAB">
        <w:rPr>
          <w:rFonts w:hint="eastAsia"/>
          <w:lang w:eastAsia="zh-CN"/>
        </w:rPr>
        <w:t>地区实现了</w:t>
      </w:r>
      <w:r w:rsidRPr="00B62DAB">
        <w:rPr>
          <w:rFonts w:hint="eastAsia"/>
          <w:lang w:eastAsia="zh-CN"/>
        </w:rPr>
        <w:t>3.8%</w:t>
      </w:r>
      <w:r w:rsidRPr="00B62DAB">
        <w:rPr>
          <w:rFonts w:hint="eastAsia"/>
          <w:lang w:eastAsia="zh-CN"/>
        </w:rPr>
        <w:t>的有机销售额增长（第二季度：</w:t>
      </w:r>
      <w:r w:rsidR="006F53D0">
        <w:rPr>
          <w:rFonts w:hint="eastAsia"/>
          <w:lang w:eastAsia="zh-CN"/>
        </w:rPr>
        <w:t>增长</w:t>
      </w:r>
      <w:r w:rsidRPr="00B62DAB">
        <w:rPr>
          <w:rFonts w:hint="eastAsia"/>
          <w:lang w:eastAsia="zh-CN"/>
        </w:rPr>
        <w:t>0.9%</w:t>
      </w:r>
      <w:r w:rsidRPr="00B62DAB">
        <w:rPr>
          <w:rFonts w:hint="eastAsia"/>
          <w:lang w:eastAsia="zh-CN"/>
        </w:rPr>
        <w:t>）。</w:t>
      </w:r>
      <w:r w:rsidRPr="00B62DAB">
        <w:rPr>
          <w:rFonts w:hint="eastAsia"/>
          <w:b/>
          <w:bCs/>
          <w:lang w:eastAsia="zh-CN"/>
        </w:rPr>
        <w:t>拉美</w:t>
      </w:r>
      <w:r w:rsidRPr="00B62DAB">
        <w:rPr>
          <w:rFonts w:hint="eastAsia"/>
          <w:lang w:eastAsia="zh-CN"/>
        </w:rPr>
        <w:t>地区实现了</w:t>
      </w:r>
      <w:r w:rsidRPr="00B62DAB">
        <w:rPr>
          <w:rFonts w:hint="eastAsia"/>
          <w:lang w:eastAsia="zh-CN"/>
        </w:rPr>
        <w:t>13.2%</w:t>
      </w:r>
      <w:r w:rsidRPr="00B62DAB">
        <w:rPr>
          <w:rFonts w:hint="eastAsia"/>
          <w:lang w:eastAsia="zh-CN"/>
        </w:rPr>
        <w:t>的有机销售额增长（第二季度：</w:t>
      </w:r>
      <w:r w:rsidR="006F53D0">
        <w:rPr>
          <w:rFonts w:hint="eastAsia"/>
          <w:lang w:eastAsia="zh-CN"/>
        </w:rPr>
        <w:t>增长</w:t>
      </w:r>
      <w:r w:rsidRPr="00B62DAB">
        <w:rPr>
          <w:rFonts w:hint="eastAsia"/>
          <w:lang w:eastAsia="zh-CN"/>
        </w:rPr>
        <w:t>9.4%</w:t>
      </w:r>
      <w:r w:rsidRPr="00B62DAB">
        <w:rPr>
          <w:rFonts w:hint="eastAsia"/>
          <w:lang w:eastAsia="zh-CN"/>
        </w:rPr>
        <w:t>）。相比之下，</w:t>
      </w:r>
      <w:r w:rsidRPr="00B62DAB">
        <w:rPr>
          <w:rFonts w:hint="eastAsia"/>
          <w:b/>
          <w:bCs/>
          <w:lang w:eastAsia="zh-CN"/>
        </w:rPr>
        <w:t>亚太</w:t>
      </w:r>
      <w:r w:rsidRPr="00B62DAB">
        <w:rPr>
          <w:rFonts w:hint="eastAsia"/>
          <w:lang w:eastAsia="zh-CN"/>
        </w:rPr>
        <w:t>地区的有机销售额下降</w:t>
      </w:r>
      <w:r w:rsidRPr="00B62DAB">
        <w:rPr>
          <w:rFonts w:hint="eastAsia"/>
          <w:lang w:eastAsia="zh-CN"/>
        </w:rPr>
        <w:t>2.7%</w:t>
      </w:r>
      <w:r w:rsidRPr="00B62DAB">
        <w:rPr>
          <w:rFonts w:hint="eastAsia"/>
          <w:lang w:eastAsia="zh-CN"/>
        </w:rPr>
        <w:t>（第二季度：</w:t>
      </w:r>
      <w:r w:rsidR="006F53D0">
        <w:rPr>
          <w:rFonts w:hint="eastAsia"/>
          <w:lang w:eastAsia="zh-CN"/>
        </w:rPr>
        <w:t>下降</w:t>
      </w:r>
      <w:r w:rsidRPr="00B62DAB">
        <w:rPr>
          <w:rFonts w:hint="eastAsia"/>
          <w:lang w:eastAsia="zh-CN"/>
        </w:rPr>
        <w:t>0.6%</w:t>
      </w:r>
      <w:r w:rsidRPr="00B62DAB">
        <w:rPr>
          <w:rFonts w:hint="eastAsia"/>
          <w:lang w:eastAsia="zh-CN"/>
        </w:rPr>
        <w:t>），主要原因是中国市场环境持续严峻。</w:t>
      </w:r>
    </w:p>
    <w:p w14:paraId="55E680AE" w14:textId="77777777" w:rsidR="00E454C6" w:rsidRPr="00B62DAB" w:rsidRDefault="00E454C6" w:rsidP="00B350BA">
      <w:pPr>
        <w:spacing w:afterLines="50" w:after="120"/>
        <w:rPr>
          <w:rFonts w:cs="Segoe UI"/>
          <w:szCs w:val="22"/>
          <w:lang w:eastAsia="zh-CN"/>
        </w:rPr>
      </w:pPr>
    </w:p>
    <w:p w14:paraId="7AB4524E" w14:textId="70B368D5" w:rsidR="0009628B" w:rsidRPr="00B62DAB" w:rsidRDefault="0009628B" w:rsidP="00B350BA">
      <w:pPr>
        <w:spacing w:afterLines="50" w:after="120"/>
        <w:rPr>
          <w:rFonts w:cs="Segoe UI"/>
          <w:bCs/>
          <w:szCs w:val="22"/>
          <w:lang w:eastAsia="zh-CN"/>
        </w:rPr>
      </w:pPr>
      <w:bookmarkStart w:id="2" w:name="_Hlk109402106"/>
      <w:r w:rsidRPr="00B62DAB">
        <w:rPr>
          <w:rFonts w:hint="eastAsia"/>
          <w:lang w:eastAsia="zh-CN"/>
        </w:rPr>
        <w:t>上半年</w:t>
      </w:r>
      <w:r w:rsidRPr="00B62DAB">
        <w:rPr>
          <w:rFonts w:hint="eastAsia"/>
          <w:b/>
          <w:bCs/>
          <w:lang w:eastAsia="zh-CN"/>
        </w:rPr>
        <w:t>调整后的营业利润（调整后的息税前利润）</w:t>
      </w:r>
      <w:r w:rsidRPr="00B62DAB">
        <w:rPr>
          <w:rFonts w:hint="eastAsia"/>
          <w:lang w:eastAsia="zh-CN"/>
        </w:rPr>
        <w:t>达</w:t>
      </w:r>
      <w:r w:rsidRPr="00B62DAB">
        <w:rPr>
          <w:rFonts w:hint="eastAsia"/>
          <w:lang w:eastAsia="zh-CN"/>
        </w:rPr>
        <w:t>12.54</w:t>
      </w:r>
      <w:r w:rsidRPr="00B62DAB">
        <w:rPr>
          <w:rFonts w:hint="eastAsia"/>
          <w:lang w:eastAsia="zh-CN"/>
        </w:rPr>
        <w:t>亿欧元，</w:t>
      </w:r>
      <w:r w:rsidR="006F53D0">
        <w:rPr>
          <w:rFonts w:hint="eastAsia"/>
          <w:lang w:eastAsia="zh-CN"/>
        </w:rPr>
        <w:t>较</w:t>
      </w:r>
      <w:r w:rsidRPr="00B62DAB">
        <w:rPr>
          <w:rFonts w:hint="eastAsia"/>
          <w:lang w:eastAsia="zh-CN"/>
        </w:rPr>
        <w:t>去年同期</w:t>
      </w:r>
      <w:r w:rsidR="006F53D0">
        <w:rPr>
          <w:rFonts w:hint="eastAsia"/>
          <w:lang w:eastAsia="zh-CN"/>
        </w:rPr>
        <w:t>的</w:t>
      </w:r>
      <w:r w:rsidRPr="00B62DAB">
        <w:rPr>
          <w:rFonts w:hint="eastAsia"/>
          <w:lang w:eastAsia="zh-CN"/>
        </w:rPr>
        <w:t>11.66</w:t>
      </w:r>
      <w:r w:rsidRPr="00B62DAB">
        <w:rPr>
          <w:rFonts w:hint="eastAsia"/>
          <w:lang w:eastAsia="zh-CN"/>
        </w:rPr>
        <w:t>亿欧元</w:t>
      </w:r>
      <w:r w:rsidR="006F53D0" w:rsidRPr="00B62DAB">
        <w:rPr>
          <w:rFonts w:hint="eastAsia"/>
          <w:lang w:eastAsia="zh-CN"/>
        </w:rPr>
        <w:t>增长</w:t>
      </w:r>
      <w:r w:rsidR="006F53D0" w:rsidRPr="00B62DAB">
        <w:rPr>
          <w:rFonts w:hint="eastAsia"/>
          <w:lang w:eastAsia="zh-CN"/>
        </w:rPr>
        <w:t>7.6%</w:t>
      </w:r>
      <w:r w:rsidRPr="00B62DAB">
        <w:rPr>
          <w:rFonts w:hint="eastAsia"/>
          <w:lang w:eastAsia="zh-CN"/>
        </w:rPr>
        <w:t>。这一增长得益于销售价格的提</w:t>
      </w:r>
      <w:r w:rsidR="006F53D0">
        <w:rPr>
          <w:rFonts w:hint="eastAsia"/>
          <w:lang w:eastAsia="zh-CN"/>
        </w:rPr>
        <w:t>升</w:t>
      </w:r>
      <w:r w:rsidR="00AB6761">
        <w:rPr>
          <w:rFonts w:hint="eastAsia"/>
          <w:lang w:eastAsia="zh-CN"/>
        </w:rPr>
        <w:t>、</w:t>
      </w:r>
      <w:r w:rsidRPr="00B62DAB">
        <w:rPr>
          <w:rFonts w:hint="eastAsia"/>
          <w:lang w:eastAsia="zh-CN"/>
        </w:rPr>
        <w:t>整合消费品牌业务部</w:t>
      </w:r>
      <w:r w:rsidR="00AB6761">
        <w:rPr>
          <w:rFonts w:hint="eastAsia"/>
          <w:lang w:eastAsia="zh-CN"/>
        </w:rPr>
        <w:t>所节省的成本，</w:t>
      </w:r>
      <w:r w:rsidRPr="00B62DAB">
        <w:rPr>
          <w:rFonts w:hint="eastAsia"/>
          <w:lang w:eastAsia="zh-CN"/>
        </w:rPr>
        <w:t>以及产品组合优化措施所带来的成本节省。</w:t>
      </w:r>
    </w:p>
    <w:bookmarkEnd w:id="2"/>
    <w:p w14:paraId="605933C2" w14:textId="390A567E" w:rsidR="0009628B" w:rsidRPr="00B62DAB" w:rsidRDefault="0009628B" w:rsidP="00B350BA">
      <w:pPr>
        <w:spacing w:afterLines="50" w:after="120"/>
        <w:rPr>
          <w:rFonts w:cs="Segoe UI"/>
          <w:szCs w:val="22"/>
          <w:lang w:eastAsia="zh-CN"/>
        </w:rPr>
      </w:pPr>
      <w:r w:rsidRPr="00B62DAB">
        <w:rPr>
          <w:rFonts w:hint="eastAsia"/>
          <w:b/>
          <w:bCs/>
          <w:lang w:eastAsia="zh-CN"/>
        </w:rPr>
        <w:t>调整后的销售回报率（调整后的息税前利润率）</w:t>
      </w:r>
      <w:r w:rsidRPr="00B62DAB">
        <w:rPr>
          <w:rFonts w:hint="eastAsia"/>
          <w:lang w:eastAsia="zh-CN"/>
        </w:rPr>
        <w:t>上浮</w:t>
      </w:r>
      <w:r w:rsidRPr="00B62DAB">
        <w:rPr>
          <w:rFonts w:hint="eastAsia"/>
          <w:lang w:eastAsia="zh-CN"/>
        </w:rPr>
        <w:t>80</w:t>
      </w:r>
      <w:r w:rsidRPr="00B62DAB">
        <w:rPr>
          <w:rFonts w:hint="eastAsia"/>
          <w:lang w:eastAsia="zh-CN"/>
        </w:rPr>
        <w:t>个基点，达到</w:t>
      </w:r>
      <w:r w:rsidRPr="00B62DAB">
        <w:rPr>
          <w:rFonts w:hint="eastAsia"/>
          <w:lang w:eastAsia="zh-CN"/>
        </w:rPr>
        <w:t>11.5%</w:t>
      </w:r>
      <w:r w:rsidRPr="00B62DAB">
        <w:rPr>
          <w:rFonts w:hint="eastAsia"/>
          <w:lang w:eastAsia="zh-CN"/>
        </w:rPr>
        <w:t>。</w:t>
      </w:r>
    </w:p>
    <w:p w14:paraId="2AE9783E" w14:textId="77777777" w:rsidR="0009628B" w:rsidRPr="00B62DAB" w:rsidRDefault="0009628B" w:rsidP="00B350BA">
      <w:pPr>
        <w:spacing w:afterLines="50" w:after="120"/>
        <w:rPr>
          <w:rFonts w:cs="Segoe UI"/>
          <w:bCs/>
          <w:szCs w:val="22"/>
          <w:lang w:eastAsia="zh-CN"/>
        </w:rPr>
      </w:pPr>
      <w:r w:rsidRPr="00B62DAB">
        <w:rPr>
          <w:rFonts w:hint="eastAsia"/>
          <w:lang w:eastAsia="zh-CN"/>
        </w:rPr>
        <w:lastRenderedPageBreak/>
        <w:t>2023</w:t>
      </w:r>
      <w:r w:rsidRPr="00B62DAB">
        <w:rPr>
          <w:rFonts w:hint="eastAsia"/>
          <w:lang w:eastAsia="zh-CN"/>
        </w:rPr>
        <w:t>年上半年，</w:t>
      </w:r>
      <w:r w:rsidRPr="00B62DAB">
        <w:rPr>
          <w:rFonts w:hint="eastAsia"/>
          <w:b/>
          <w:bCs/>
          <w:lang w:eastAsia="zh-CN"/>
        </w:rPr>
        <w:t>调整后的优先股每股收益</w:t>
      </w:r>
      <w:r w:rsidRPr="00B62DAB">
        <w:rPr>
          <w:rFonts w:hint="eastAsia"/>
          <w:lang w:eastAsia="zh-CN"/>
        </w:rPr>
        <w:t>增至</w:t>
      </w:r>
      <w:proofErr w:type="gramStart"/>
      <w:r w:rsidRPr="00B62DAB">
        <w:rPr>
          <w:rFonts w:hint="eastAsia"/>
          <w:lang w:eastAsia="zh-CN"/>
        </w:rPr>
        <w:t>2.13</w:t>
      </w:r>
      <w:r w:rsidRPr="00B62DAB">
        <w:rPr>
          <w:rFonts w:hint="eastAsia"/>
          <w:lang w:eastAsia="zh-CN"/>
        </w:rPr>
        <w:t>欧元。按固定汇率计算</w:t>
      </w:r>
      <w:proofErr w:type="gramEnd"/>
      <w:r w:rsidRPr="00B62DAB">
        <w:rPr>
          <w:rFonts w:hint="eastAsia"/>
          <w:lang w:eastAsia="zh-CN"/>
        </w:rPr>
        <w:t>，较上年同期增长</w:t>
      </w:r>
      <w:r w:rsidRPr="00B62DAB">
        <w:rPr>
          <w:rFonts w:hint="eastAsia"/>
          <w:lang w:eastAsia="zh-CN"/>
        </w:rPr>
        <w:t>14.4%</w:t>
      </w:r>
      <w:r w:rsidRPr="00B62DAB">
        <w:rPr>
          <w:rFonts w:hint="eastAsia"/>
          <w:lang w:eastAsia="zh-CN"/>
        </w:rPr>
        <w:t>。</w:t>
      </w:r>
    </w:p>
    <w:p w14:paraId="7CB018A8" w14:textId="5CA4ECB9" w:rsidR="0009628B" w:rsidRPr="00B62DAB" w:rsidRDefault="0009628B" w:rsidP="00B350BA">
      <w:pPr>
        <w:spacing w:afterLines="50" w:after="120"/>
        <w:rPr>
          <w:rFonts w:cs="Segoe UI"/>
          <w:szCs w:val="22"/>
          <w:lang w:eastAsia="zh-CN"/>
        </w:rPr>
      </w:pPr>
      <w:r w:rsidRPr="00B62DAB">
        <w:rPr>
          <w:rFonts w:hint="eastAsia"/>
          <w:b/>
          <w:bCs/>
          <w:lang w:eastAsia="zh-CN"/>
        </w:rPr>
        <w:t>净流动资本</w:t>
      </w:r>
      <w:r w:rsidRPr="00B62DAB">
        <w:rPr>
          <w:rFonts w:hint="eastAsia"/>
          <w:lang w:eastAsia="zh-CN"/>
        </w:rPr>
        <w:t>增长</w:t>
      </w:r>
      <w:r w:rsidRPr="00B62DAB">
        <w:rPr>
          <w:rFonts w:hint="eastAsia"/>
          <w:lang w:eastAsia="zh-CN"/>
        </w:rPr>
        <w:t>0.8%</w:t>
      </w:r>
      <w:r w:rsidRPr="00B62DAB">
        <w:rPr>
          <w:rFonts w:hint="eastAsia"/>
          <w:lang w:eastAsia="zh-CN"/>
        </w:rPr>
        <w:t>，占销售额的</w:t>
      </w:r>
      <w:r w:rsidRPr="00B62DAB">
        <w:rPr>
          <w:rFonts w:hint="eastAsia"/>
          <w:lang w:eastAsia="zh-CN"/>
        </w:rPr>
        <w:t>6.1%</w:t>
      </w:r>
      <w:r w:rsidRPr="00B62DAB">
        <w:rPr>
          <w:rFonts w:hint="eastAsia"/>
          <w:lang w:eastAsia="zh-CN"/>
        </w:rPr>
        <w:t>（去年同期：</w:t>
      </w:r>
      <w:r w:rsidRPr="00B62DAB">
        <w:rPr>
          <w:rFonts w:hint="eastAsia"/>
          <w:lang w:eastAsia="zh-CN"/>
        </w:rPr>
        <w:t>5.2%</w:t>
      </w:r>
      <w:r w:rsidRPr="00B62DAB">
        <w:rPr>
          <w:rFonts w:hint="eastAsia"/>
          <w:lang w:eastAsia="zh-CN"/>
        </w:rPr>
        <w:t>）。</w:t>
      </w:r>
    </w:p>
    <w:p w14:paraId="39808C96" w14:textId="77777777" w:rsidR="0009628B" w:rsidRPr="00B62DAB" w:rsidRDefault="0009628B" w:rsidP="00B350BA">
      <w:pPr>
        <w:autoSpaceDE w:val="0"/>
        <w:autoSpaceDN w:val="0"/>
        <w:adjustRightInd w:val="0"/>
        <w:spacing w:afterLines="50" w:after="120"/>
        <w:rPr>
          <w:rFonts w:cs="Segoe UI"/>
          <w:szCs w:val="22"/>
          <w:lang w:eastAsia="zh-CN"/>
        </w:rPr>
      </w:pPr>
      <w:r w:rsidRPr="00B62DAB">
        <w:rPr>
          <w:rFonts w:hint="eastAsia"/>
          <w:b/>
          <w:bCs/>
          <w:lang w:eastAsia="zh-CN"/>
        </w:rPr>
        <w:t>自由现金流</w:t>
      </w:r>
      <w:r w:rsidRPr="00B62DAB">
        <w:rPr>
          <w:rFonts w:hint="eastAsia"/>
          <w:lang w:eastAsia="zh-CN"/>
        </w:rPr>
        <w:t>达到</w:t>
      </w:r>
      <w:r w:rsidRPr="00B62DAB">
        <w:rPr>
          <w:rFonts w:hint="eastAsia"/>
          <w:lang w:eastAsia="zh-CN"/>
        </w:rPr>
        <w:t>7.49</w:t>
      </w:r>
      <w:r w:rsidRPr="00B62DAB">
        <w:rPr>
          <w:rFonts w:hint="eastAsia"/>
          <w:lang w:eastAsia="zh-CN"/>
        </w:rPr>
        <w:t>亿欧元，远超</w:t>
      </w:r>
      <w:r w:rsidRPr="00B62DAB">
        <w:rPr>
          <w:rFonts w:hint="eastAsia"/>
          <w:lang w:eastAsia="zh-CN"/>
        </w:rPr>
        <w:t>2022</w:t>
      </w:r>
      <w:r w:rsidRPr="00B62DAB">
        <w:rPr>
          <w:rFonts w:hint="eastAsia"/>
          <w:lang w:eastAsia="zh-CN"/>
        </w:rPr>
        <w:t>年上半年水平（</w:t>
      </w:r>
      <w:r w:rsidRPr="00B62DAB">
        <w:rPr>
          <w:rFonts w:hint="eastAsia"/>
          <w:lang w:eastAsia="zh-CN"/>
        </w:rPr>
        <w:t>4600</w:t>
      </w:r>
      <w:r w:rsidRPr="00B62DAB">
        <w:rPr>
          <w:rFonts w:hint="eastAsia"/>
          <w:lang w:eastAsia="zh-CN"/>
        </w:rPr>
        <w:t>万欧元），这主要归功于本财年经营活动产生的较大现金流。</w:t>
      </w:r>
    </w:p>
    <w:p w14:paraId="576A4EA9" w14:textId="77777777" w:rsidR="0009628B" w:rsidRPr="00B62DAB" w:rsidRDefault="0009628B" w:rsidP="00B350BA">
      <w:pPr>
        <w:spacing w:afterLines="50" w:after="120"/>
        <w:rPr>
          <w:lang w:eastAsia="zh-CN"/>
        </w:rPr>
      </w:pPr>
      <w:r w:rsidRPr="00B62DAB">
        <w:rPr>
          <w:rFonts w:hint="eastAsia"/>
          <w:lang w:eastAsia="zh-CN"/>
        </w:rPr>
        <w:t>截至</w:t>
      </w:r>
      <w:r w:rsidRPr="00B62DAB">
        <w:rPr>
          <w:rFonts w:hint="eastAsia"/>
          <w:lang w:eastAsia="zh-CN"/>
        </w:rPr>
        <w:t>2023</w:t>
      </w:r>
      <w:r w:rsidRPr="00B62DAB">
        <w:rPr>
          <w:rFonts w:hint="eastAsia"/>
          <w:lang w:eastAsia="zh-CN"/>
        </w:rPr>
        <w:t>年</w:t>
      </w:r>
      <w:r w:rsidRPr="00B62DAB">
        <w:rPr>
          <w:rFonts w:hint="eastAsia"/>
          <w:lang w:eastAsia="zh-CN"/>
        </w:rPr>
        <w:t>6</w:t>
      </w:r>
      <w:r w:rsidRPr="00B62DAB">
        <w:rPr>
          <w:rFonts w:hint="eastAsia"/>
          <w:lang w:eastAsia="zh-CN"/>
        </w:rPr>
        <w:t>月</w:t>
      </w:r>
      <w:r w:rsidRPr="00B62DAB">
        <w:rPr>
          <w:rFonts w:hint="eastAsia"/>
          <w:lang w:eastAsia="zh-CN"/>
        </w:rPr>
        <w:t>30</w:t>
      </w:r>
      <w:r w:rsidRPr="00B62DAB">
        <w:rPr>
          <w:rFonts w:hint="eastAsia"/>
          <w:lang w:eastAsia="zh-CN"/>
        </w:rPr>
        <w:t>日，</w:t>
      </w:r>
      <w:r w:rsidRPr="00B62DAB">
        <w:rPr>
          <w:rFonts w:hint="eastAsia"/>
          <w:b/>
          <w:lang w:eastAsia="zh-CN"/>
        </w:rPr>
        <w:t>净财务状况</w:t>
      </w:r>
      <w:r w:rsidRPr="00B62DAB">
        <w:rPr>
          <w:rFonts w:hint="eastAsia"/>
          <w:lang w:eastAsia="zh-CN"/>
        </w:rPr>
        <w:t>为</w:t>
      </w:r>
      <w:r w:rsidRPr="00B62DAB">
        <w:rPr>
          <w:rFonts w:hint="eastAsia"/>
          <w:lang w:eastAsia="zh-CN"/>
        </w:rPr>
        <w:t>-13.11</w:t>
      </w:r>
      <w:r w:rsidRPr="00B62DAB">
        <w:rPr>
          <w:rFonts w:hint="eastAsia"/>
          <w:lang w:eastAsia="zh-CN"/>
        </w:rPr>
        <w:t>亿欧元（</w:t>
      </w:r>
      <w:r w:rsidRPr="00B62DAB">
        <w:rPr>
          <w:rFonts w:hint="eastAsia"/>
          <w:lang w:eastAsia="zh-CN"/>
        </w:rPr>
        <w:t>2022</w:t>
      </w:r>
      <w:r w:rsidRPr="00B62DAB">
        <w:rPr>
          <w:rFonts w:hint="eastAsia"/>
          <w:lang w:eastAsia="zh-CN"/>
        </w:rPr>
        <w:t>年</w:t>
      </w:r>
      <w:r w:rsidRPr="00B62DAB">
        <w:rPr>
          <w:rFonts w:hint="eastAsia"/>
          <w:lang w:eastAsia="zh-CN"/>
        </w:rPr>
        <w:t>12</w:t>
      </w:r>
      <w:r w:rsidRPr="00B62DAB">
        <w:rPr>
          <w:rFonts w:hint="eastAsia"/>
          <w:lang w:eastAsia="zh-CN"/>
        </w:rPr>
        <w:t>月</w:t>
      </w:r>
      <w:r w:rsidRPr="00B62DAB">
        <w:rPr>
          <w:rFonts w:hint="eastAsia"/>
          <w:lang w:eastAsia="zh-CN"/>
        </w:rPr>
        <w:t>31</w:t>
      </w:r>
      <w:r w:rsidRPr="00B62DAB">
        <w:rPr>
          <w:rFonts w:hint="eastAsia"/>
          <w:lang w:eastAsia="zh-CN"/>
        </w:rPr>
        <w:t>日：</w:t>
      </w:r>
      <w:r w:rsidRPr="00B62DAB">
        <w:rPr>
          <w:rFonts w:hint="eastAsia"/>
          <w:lang w:eastAsia="zh-CN"/>
        </w:rPr>
        <w:t>-12.67</w:t>
      </w:r>
      <w:r w:rsidRPr="00B62DAB">
        <w:rPr>
          <w:rFonts w:hint="eastAsia"/>
          <w:lang w:eastAsia="zh-CN"/>
        </w:rPr>
        <w:t>亿欧元）。</w:t>
      </w:r>
    </w:p>
    <w:p w14:paraId="36102C41" w14:textId="5F583A99" w:rsidR="0009628B" w:rsidRDefault="0009628B" w:rsidP="00B350BA">
      <w:pPr>
        <w:spacing w:afterLines="50" w:after="120"/>
        <w:rPr>
          <w:shd w:val="clear" w:color="auto" w:fill="FFFFFF"/>
          <w:lang w:eastAsia="zh-CN"/>
        </w:rPr>
      </w:pPr>
      <w:r w:rsidRPr="00B62DAB">
        <w:rPr>
          <w:rFonts w:hint="eastAsia"/>
          <w:shd w:val="clear" w:color="auto" w:fill="FFFFFF"/>
          <w:lang w:eastAsia="zh-CN"/>
        </w:rPr>
        <w:t>2023</w:t>
      </w:r>
      <w:r w:rsidRPr="00B62DAB">
        <w:rPr>
          <w:rFonts w:hint="eastAsia"/>
          <w:shd w:val="clear" w:color="auto" w:fill="FFFFFF"/>
          <w:lang w:eastAsia="zh-CN"/>
        </w:rPr>
        <w:t>年</w:t>
      </w:r>
      <w:r w:rsidRPr="00B62DAB">
        <w:rPr>
          <w:rFonts w:hint="eastAsia"/>
          <w:shd w:val="clear" w:color="auto" w:fill="FFFFFF"/>
          <w:lang w:eastAsia="zh-CN"/>
        </w:rPr>
        <w:t>4</w:t>
      </w:r>
      <w:r w:rsidRPr="00B62DAB">
        <w:rPr>
          <w:rFonts w:hint="eastAsia"/>
          <w:shd w:val="clear" w:color="auto" w:fill="FFFFFF"/>
          <w:lang w:eastAsia="zh-CN"/>
        </w:rPr>
        <w:t>月</w:t>
      </w:r>
      <w:r w:rsidRPr="00B62DAB">
        <w:rPr>
          <w:rFonts w:hint="eastAsia"/>
          <w:shd w:val="clear" w:color="auto" w:fill="FFFFFF"/>
          <w:lang w:eastAsia="zh-CN"/>
        </w:rPr>
        <w:t>20</w:t>
      </w:r>
      <w:r w:rsidRPr="00B62DAB">
        <w:rPr>
          <w:rFonts w:hint="eastAsia"/>
          <w:shd w:val="clear" w:color="auto" w:fill="FFFFFF"/>
          <w:lang w:eastAsia="zh-CN"/>
        </w:rPr>
        <w:t>日，汉高宣布签署了一项关于将其在</w:t>
      </w:r>
      <w:r w:rsidRPr="00B62DAB">
        <w:rPr>
          <w:rFonts w:hint="eastAsia"/>
          <w:b/>
          <w:bCs/>
          <w:shd w:val="clear" w:color="auto" w:fill="FFFFFF"/>
          <w:lang w:eastAsia="zh-CN"/>
        </w:rPr>
        <w:t>俄罗斯的业务出售</w:t>
      </w:r>
      <w:r w:rsidRPr="00B62DAB">
        <w:rPr>
          <w:rFonts w:hint="eastAsia"/>
          <w:shd w:val="clear" w:color="auto" w:fill="FFFFFF"/>
          <w:lang w:eastAsia="zh-CN"/>
        </w:rPr>
        <w:t>给当地金融投资者财团的协议。去年</w:t>
      </w:r>
      <w:r w:rsidR="0091387F">
        <w:rPr>
          <w:rFonts w:hint="eastAsia"/>
          <w:shd w:val="clear" w:color="auto" w:fill="FFFFFF"/>
          <w:lang w:eastAsia="zh-CN"/>
        </w:rPr>
        <w:t>俄乌冲突</w:t>
      </w:r>
      <w:r w:rsidRPr="00B62DAB">
        <w:rPr>
          <w:rFonts w:hint="eastAsia"/>
          <w:shd w:val="clear" w:color="auto" w:fill="FFFFFF"/>
          <w:lang w:eastAsia="zh-CN"/>
        </w:rPr>
        <w:t>后，公司宣布退出俄罗斯业务。该交易已经完成，出售价格达到</w:t>
      </w:r>
      <w:r w:rsidRPr="00B62DAB">
        <w:rPr>
          <w:rFonts w:hint="eastAsia"/>
          <w:shd w:val="clear" w:color="auto" w:fill="FFFFFF"/>
          <w:lang w:eastAsia="zh-CN"/>
        </w:rPr>
        <w:t>540</w:t>
      </w:r>
      <w:r w:rsidRPr="00B62DAB">
        <w:rPr>
          <w:rFonts w:hint="eastAsia"/>
          <w:shd w:val="clear" w:color="auto" w:fill="FFFFFF"/>
          <w:lang w:eastAsia="zh-CN"/>
        </w:rPr>
        <w:t>亿卢布（约</w:t>
      </w:r>
      <w:r w:rsidRPr="00B62DAB">
        <w:rPr>
          <w:rFonts w:hint="eastAsia"/>
          <w:shd w:val="clear" w:color="auto" w:fill="FFFFFF"/>
          <w:lang w:eastAsia="zh-CN"/>
        </w:rPr>
        <w:t>6</w:t>
      </w:r>
      <w:r w:rsidRPr="00B62DAB">
        <w:rPr>
          <w:rFonts w:hint="eastAsia"/>
          <w:shd w:val="clear" w:color="auto" w:fill="FFFFFF"/>
          <w:lang w:eastAsia="zh-CN"/>
        </w:rPr>
        <w:t>亿欧元）。</w:t>
      </w:r>
    </w:p>
    <w:p w14:paraId="40F7ED4A" w14:textId="77777777" w:rsidR="00BF60CD" w:rsidRPr="00B62DAB" w:rsidRDefault="00BF60CD" w:rsidP="00B350BA">
      <w:pPr>
        <w:spacing w:afterLines="50" w:after="120"/>
        <w:rPr>
          <w:rFonts w:cs="Segoe UI"/>
          <w:szCs w:val="22"/>
          <w:lang w:eastAsia="zh-CN"/>
        </w:rPr>
      </w:pPr>
    </w:p>
    <w:p w14:paraId="49527D4D" w14:textId="65BAB18E" w:rsidR="0009628B" w:rsidRPr="00E454C6" w:rsidRDefault="0009628B" w:rsidP="00B350BA">
      <w:pPr>
        <w:spacing w:afterLines="50" w:after="120"/>
        <w:rPr>
          <w:rFonts w:cs="Segoe UI"/>
          <w:b/>
          <w:bCs/>
          <w:sz w:val="28"/>
          <w:szCs w:val="28"/>
          <w:lang w:eastAsia="zh-CN"/>
        </w:rPr>
      </w:pPr>
      <w:r w:rsidRPr="00E454C6">
        <w:rPr>
          <w:rFonts w:hint="eastAsia"/>
          <w:b/>
          <w:sz w:val="28"/>
          <w:szCs w:val="28"/>
          <w:lang w:eastAsia="zh-CN"/>
        </w:rPr>
        <w:t>2023</w:t>
      </w:r>
      <w:r w:rsidRPr="00E454C6">
        <w:rPr>
          <w:rFonts w:hint="eastAsia"/>
          <w:b/>
          <w:sz w:val="28"/>
          <w:szCs w:val="28"/>
          <w:lang w:eastAsia="zh-CN"/>
        </w:rPr>
        <w:t>年上半年各业务部的增长情况</w:t>
      </w:r>
      <w:bookmarkStart w:id="3" w:name="SNAMD_dc825768bfb2420dbdc0e075b6c733f3"/>
      <w:bookmarkStart w:id="4" w:name="SNERR_085cbfa1dc5245baabab2f6ce609ab4b"/>
      <w:r w:rsidRPr="00E454C6">
        <w:rPr>
          <w:rFonts w:hint="eastAsia"/>
          <w:color w:val="000000" w:themeColor="text1"/>
          <w:sz w:val="28"/>
          <w:szCs w:val="28"/>
        </w:rPr>
        <w:fldChar w:fldCharType="begin"/>
      </w:r>
      <w:r w:rsidRPr="00E454C6">
        <w:rPr>
          <w:rFonts w:hint="eastAsia"/>
          <w:color w:val="000000" w:themeColor="text1"/>
          <w:sz w:val="28"/>
          <w:szCs w:val="28"/>
          <w:lang w:eastAsia="zh-CN"/>
        </w:rPr>
        <w:instrText xml:space="preserve"> DOCVARIABLE WORDVALUE-7c2eb70d-9d14-4f70-93d9-1f388a1f5be7 \* CHARFORMAT </w:instrText>
      </w:r>
      <w:r w:rsidRPr="00E454C6">
        <w:rPr>
          <w:rFonts w:hint="eastAsia"/>
          <w:color w:val="000000" w:themeColor="text1"/>
          <w:sz w:val="28"/>
          <w:szCs w:val="28"/>
        </w:rPr>
        <w:fldChar w:fldCharType="end"/>
      </w:r>
      <w:bookmarkEnd w:id="3"/>
      <w:bookmarkEnd w:id="4"/>
      <w:r w:rsidRPr="00E454C6">
        <w:rPr>
          <w:rFonts w:hint="eastAsia"/>
          <w:color w:val="000000" w:themeColor="text1"/>
          <w:sz w:val="28"/>
          <w:szCs w:val="28"/>
        </w:rPr>
        <w:fldChar w:fldCharType="begin"/>
      </w:r>
      <w:r w:rsidRPr="00E454C6">
        <w:rPr>
          <w:rFonts w:hint="eastAsia"/>
          <w:color w:val="000000" w:themeColor="text1"/>
          <w:sz w:val="28"/>
          <w:szCs w:val="28"/>
          <w:lang w:eastAsia="zh-CN"/>
        </w:rPr>
        <w:instrText xml:space="preserve"> DOCVARIABLE WORDVALUE-b5592f6a-a403-4cc8-a105-1f388a58258f \* CHARFORMAT </w:instrText>
      </w:r>
      <w:r w:rsidRPr="00E454C6">
        <w:rPr>
          <w:rFonts w:hint="eastAsia"/>
          <w:color w:val="000000" w:themeColor="text1"/>
          <w:sz w:val="28"/>
          <w:szCs w:val="28"/>
        </w:rPr>
        <w:fldChar w:fldCharType="end"/>
      </w:r>
    </w:p>
    <w:p w14:paraId="7C9DCA09" w14:textId="743464CD" w:rsidR="0009628B" w:rsidRDefault="0009628B" w:rsidP="00B350BA">
      <w:pPr>
        <w:spacing w:afterLines="50" w:after="120"/>
        <w:rPr>
          <w:color w:val="000000" w:themeColor="text1"/>
          <w:lang w:eastAsia="zh-CN"/>
        </w:rPr>
      </w:pPr>
      <w:r w:rsidRPr="00B62DAB">
        <w:rPr>
          <w:rFonts w:hint="eastAsia"/>
          <w:color w:val="000000" w:themeColor="text1"/>
        </w:rPr>
        <w:fldChar w:fldCharType="begin"/>
      </w:r>
      <w:r w:rsidRPr="00B62DAB">
        <w:rPr>
          <w:rFonts w:hint="eastAsia"/>
          <w:color w:val="000000" w:themeColor="text1"/>
          <w:lang w:eastAsia="zh-CN"/>
        </w:rPr>
        <w:instrText xml:space="preserve"> DOCVARIABLE WORDVALUE-7c2eb70d-9d14-4f70-93d9-1f388a1f5be7 \* CHARFORMAT </w:instrText>
      </w:r>
      <w:r w:rsidRPr="00B62DAB">
        <w:rPr>
          <w:rFonts w:hint="eastAsia"/>
          <w:color w:val="000000" w:themeColor="text1"/>
        </w:rPr>
        <w:fldChar w:fldCharType="end"/>
      </w:r>
      <w:r w:rsidRPr="00B62DAB">
        <w:rPr>
          <w:rFonts w:hint="eastAsia"/>
          <w:color w:val="000000" w:themeColor="text1"/>
        </w:rPr>
        <w:fldChar w:fldCharType="begin"/>
      </w:r>
      <w:r w:rsidRPr="00B62DAB">
        <w:rPr>
          <w:rFonts w:hint="eastAsia"/>
          <w:color w:val="000000" w:themeColor="text1"/>
          <w:lang w:eastAsia="zh-CN"/>
        </w:rPr>
        <w:instrText xml:space="preserve"> DOCVARIABLE WORDVALUE-b5592f6a-a403-4cc8-a105-1f388a58258f \* CHARFORMAT </w:instrText>
      </w:r>
      <w:r w:rsidRPr="00B62DAB">
        <w:rPr>
          <w:rFonts w:hint="eastAsia"/>
          <w:color w:val="000000" w:themeColor="text1"/>
        </w:rPr>
        <w:fldChar w:fldCharType="end"/>
      </w:r>
      <w:r w:rsidRPr="00B62DAB">
        <w:rPr>
          <w:rFonts w:hint="eastAsia"/>
          <w:lang w:eastAsia="zh-CN"/>
        </w:rPr>
        <w:t>2023</w:t>
      </w:r>
      <w:r w:rsidRPr="00B62DAB">
        <w:rPr>
          <w:rFonts w:hint="eastAsia"/>
          <w:lang w:eastAsia="zh-CN"/>
        </w:rPr>
        <w:t>年上半年，</w:t>
      </w:r>
      <w:r w:rsidRPr="00B62DAB">
        <w:rPr>
          <w:rFonts w:hint="eastAsia"/>
          <w:b/>
          <w:bCs/>
          <w:lang w:eastAsia="zh-CN"/>
        </w:rPr>
        <w:t>粘合剂技术</w:t>
      </w:r>
      <w:r w:rsidRPr="00B62DAB">
        <w:rPr>
          <w:rFonts w:hint="eastAsia"/>
          <w:lang w:eastAsia="zh-CN"/>
        </w:rPr>
        <w:t>业务部的</w:t>
      </w:r>
      <w:r w:rsidRPr="00B62DAB">
        <w:rPr>
          <w:rFonts w:hint="eastAsia"/>
          <w:b/>
          <w:bCs/>
          <w:lang w:eastAsia="zh-CN"/>
        </w:rPr>
        <w:t>销售额</w:t>
      </w:r>
      <w:r w:rsidRPr="00B62DAB">
        <w:rPr>
          <w:rFonts w:hint="eastAsia"/>
          <w:lang w:eastAsia="zh-CN"/>
        </w:rPr>
        <w:t>名义增长</w:t>
      </w:r>
      <w:r w:rsidRPr="00B62DAB">
        <w:rPr>
          <w:rFonts w:hint="eastAsia"/>
          <w:lang w:eastAsia="zh-CN"/>
        </w:rPr>
        <w:t>0.1%</w:t>
      </w:r>
      <w:r w:rsidRPr="00B62DAB">
        <w:rPr>
          <w:rFonts w:hint="eastAsia"/>
          <w:lang w:eastAsia="zh-CN"/>
        </w:rPr>
        <w:t>，达到</w:t>
      </w:r>
      <w:r w:rsidRPr="00B62DAB">
        <w:rPr>
          <w:rFonts w:hint="eastAsia"/>
          <w:lang w:eastAsia="zh-CN"/>
        </w:rPr>
        <w:t>54.75</w:t>
      </w:r>
      <w:r w:rsidRPr="00B62DAB">
        <w:rPr>
          <w:rFonts w:hint="eastAsia"/>
          <w:lang w:eastAsia="zh-CN"/>
        </w:rPr>
        <w:t>亿欧元（第二季度：</w:t>
      </w:r>
      <w:r w:rsidRPr="00B62DAB">
        <w:rPr>
          <w:rFonts w:hint="eastAsia"/>
          <w:lang w:eastAsia="zh-CN"/>
        </w:rPr>
        <w:t>26.83</w:t>
      </w:r>
      <w:r w:rsidRPr="00B62DAB">
        <w:rPr>
          <w:rFonts w:hint="eastAsia"/>
          <w:lang w:eastAsia="zh-CN"/>
        </w:rPr>
        <w:t>亿欧元，下降</w:t>
      </w:r>
      <w:r w:rsidRPr="00B62DAB">
        <w:rPr>
          <w:rFonts w:hint="eastAsia"/>
          <w:lang w:eastAsia="zh-CN"/>
        </w:rPr>
        <w:t>5.4%</w:t>
      </w:r>
      <w:r w:rsidRPr="00B62DAB">
        <w:rPr>
          <w:rFonts w:hint="eastAsia"/>
          <w:lang w:eastAsia="zh-CN"/>
        </w:rPr>
        <w:t>）。</w:t>
      </w:r>
      <w:r w:rsidRPr="00B62DAB">
        <w:rPr>
          <w:rFonts w:hint="eastAsia"/>
          <w:b/>
          <w:bCs/>
          <w:lang w:eastAsia="zh-CN"/>
        </w:rPr>
        <w:t>有机销售额</w:t>
      </w:r>
      <w:r w:rsidRPr="00B62DAB">
        <w:rPr>
          <w:rFonts w:hint="eastAsia"/>
          <w:lang w:eastAsia="zh-CN"/>
        </w:rPr>
        <w:t>增长</w:t>
      </w:r>
      <w:r w:rsidRPr="00B62DAB">
        <w:rPr>
          <w:rFonts w:hint="eastAsia"/>
          <w:lang w:eastAsia="zh-CN"/>
        </w:rPr>
        <w:t>4.7%</w:t>
      </w:r>
      <w:r w:rsidRPr="00B62DAB">
        <w:rPr>
          <w:rFonts w:hint="eastAsia"/>
          <w:lang w:eastAsia="zh-CN"/>
        </w:rPr>
        <w:t>（第二季度：</w:t>
      </w:r>
      <w:r w:rsidR="0091387F">
        <w:rPr>
          <w:rFonts w:hint="eastAsia"/>
          <w:lang w:eastAsia="zh-CN"/>
        </w:rPr>
        <w:t>增长</w:t>
      </w:r>
      <w:r w:rsidRPr="00B62DAB">
        <w:rPr>
          <w:rFonts w:hint="eastAsia"/>
          <w:lang w:eastAsia="zh-CN"/>
        </w:rPr>
        <w:t>2.7%</w:t>
      </w:r>
      <w:r w:rsidRPr="00B62DAB">
        <w:rPr>
          <w:rFonts w:hint="eastAsia"/>
          <w:lang w:eastAsia="zh-CN"/>
        </w:rPr>
        <w:t>）。这一增长是通过两位数的价格增长幅度实现的，而由于</w:t>
      </w:r>
      <w:r w:rsidR="0091387F">
        <w:rPr>
          <w:rFonts w:hint="eastAsia"/>
          <w:lang w:eastAsia="zh-CN"/>
        </w:rPr>
        <w:t>一些</w:t>
      </w:r>
      <w:r w:rsidRPr="00B62DAB">
        <w:rPr>
          <w:rFonts w:hint="eastAsia"/>
          <w:lang w:eastAsia="zh-CN"/>
        </w:rPr>
        <w:t>相关终端市场的需求疲软，销量低于去年同期水平。移动和电子业务领域实现了</w:t>
      </w:r>
      <w:r w:rsidRPr="00B62DAB">
        <w:rPr>
          <w:rFonts w:hint="eastAsia"/>
          <w:lang w:eastAsia="zh-CN"/>
        </w:rPr>
        <w:t>10.9%</w:t>
      </w:r>
      <w:r w:rsidRPr="00B62DAB">
        <w:rPr>
          <w:rFonts w:hint="eastAsia"/>
          <w:lang w:eastAsia="zh-CN"/>
        </w:rPr>
        <w:t>的两位数有机销售额增长（第二季度：</w:t>
      </w:r>
      <w:r w:rsidR="0091387F">
        <w:rPr>
          <w:rFonts w:hint="eastAsia"/>
          <w:lang w:eastAsia="zh-CN"/>
        </w:rPr>
        <w:t>增长</w:t>
      </w:r>
      <w:r w:rsidRPr="00B62DAB">
        <w:rPr>
          <w:rFonts w:hint="eastAsia"/>
          <w:lang w:eastAsia="zh-CN"/>
        </w:rPr>
        <w:t>9.2%</w:t>
      </w:r>
      <w:r w:rsidRPr="00B62DAB">
        <w:rPr>
          <w:rFonts w:hint="eastAsia"/>
          <w:lang w:eastAsia="zh-CN"/>
        </w:rPr>
        <w:t>）。包装和消费品业务领域的有机销售额下降</w:t>
      </w:r>
      <w:r w:rsidRPr="00B62DAB">
        <w:rPr>
          <w:rFonts w:hint="eastAsia"/>
          <w:lang w:eastAsia="zh-CN"/>
        </w:rPr>
        <w:t>1.5%</w:t>
      </w:r>
      <w:r w:rsidRPr="00B62DAB">
        <w:rPr>
          <w:rFonts w:hint="eastAsia"/>
          <w:lang w:eastAsia="zh-CN"/>
        </w:rPr>
        <w:t>（第二季度：</w:t>
      </w:r>
      <w:r w:rsidR="0091387F">
        <w:rPr>
          <w:rFonts w:hint="eastAsia"/>
          <w:lang w:eastAsia="zh-CN"/>
        </w:rPr>
        <w:t>下降</w:t>
      </w:r>
      <w:r w:rsidRPr="00B62DAB">
        <w:rPr>
          <w:rFonts w:hint="eastAsia"/>
          <w:lang w:eastAsia="zh-CN"/>
        </w:rPr>
        <w:t>3.7%</w:t>
      </w:r>
      <w:r w:rsidRPr="00B62DAB">
        <w:rPr>
          <w:rFonts w:hint="eastAsia"/>
          <w:lang w:eastAsia="zh-CN"/>
        </w:rPr>
        <w:t>）。工匠、建筑和专业业务领域有机销售额增长</w:t>
      </w:r>
      <w:r w:rsidRPr="00B62DAB">
        <w:rPr>
          <w:rFonts w:hint="eastAsia"/>
          <w:lang w:eastAsia="zh-CN"/>
        </w:rPr>
        <w:t>4.9%</w:t>
      </w:r>
      <w:r w:rsidRPr="00B62DAB">
        <w:rPr>
          <w:rFonts w:hint="eastAsia"/>
          <w:lang w:eastAsia="zh-CN"/>
        </w:rPr>
        <w:t>（第二季度：</w:t>
      </w:r>
      <w:r w:rsidR="0091387F">
        <w:rPr>
          <w:rFonts w:hint="eastAsia"/>
          <w:lang w:eastAsia="zh-CN"/>
        </w:rPr>
        <w:t>增长</w:t>
      </w:r>
      <w:r w:rsidRPr="00B62DAB">
        <w:rPr>
          <w:rFonts w:hint="eastAsia"/>
          <w:lang w:eastAsia="zh-CN"/>
        </w:rPr>
        <w:t>2.9%</w:t>
      </w:r>
      <w:r w:rsidRPr="00B62DAB">
        <w:rPr>
          <w:rFonts w:hint="eastAsia"/>
          <w:lang w:eastAsia="zh-CN"/>
        </w:rPr>
        <w:t>）。</w:t>
      </w:r>
      <w:r w:rsidRPr="00B62DAB">
        <w:rPr>
          <w:rFonts w:hint="eastAsia"/>
          <w:color w:val="000000" w:themeColor="text1"/>
          <w:lang w:eastAsia="zh-CN"/>
        </w:rPr>
        <w:t>2023</w:t>
      </w:r>
      <w:r w:rsidRPr="00B62DAB">
        <w:rPr>
          <w:rFonts w:hint="eastAsia"/>
          <w:color w:val="000000" w:themeColor="text1"/>
          <w:lang w:eastAsia="zh-CN"/>
        </w:rPr>
        <w:t>年上半年</w:t>
      </w:r>
      <w:r w:rsidRPr="00B62DAB">
        <w:rPr>
          <w:rFonts w:hint="eastAsia"/>
          <w:b/>
          <w:bCs/>
          <w:color w:val="000000" w:themeColor="text1"/>
          <w:lang w:eastAsia="zh-CN"/>
        </w:rPr>
        <w:t>调整后的营业利润</w:t>
      </w:r>
      <w:r w:rsidRPr="00B62DAB">
        <w:rPr>
          <w:rFonts w:hint="eastAsia"/>
          <w:color w:val="000000" w:themeColor="text1"/>
          <w:lang w:eastAsia="zh-CN"/>
        </w:rPr>
        <w:t>增长</w:t>
      </w:r>
      <w:r w:rsidRPr="00B62DAB">
        <w:rPr>
          <w:rFonts w:hint="eastAsia"/>
          <w:color w:val="000000" w:themeColor="text1"/>
          <w:lang w:eastAsia="zh-CN"/>
        </w:rPr>
        <w:t>3.0%</w:t>
      </w:r>
      <w:r w:rsidRPr="00B62DAB">
        <w:rPr>
          <w:rFonts w:hint="eastAsia"/>
          <w:color w:val="000000" w:themeColor="text1"/>
          <w:lang w:eastAsia="zh-CN"/>
        </w:rPr>
        <w:t>，达到</w:t>
      </w:r>
      <w:r w:rsidRPr="00B62DAB">
        <w:rPr>
          <w:rFonts w:hint="eastAsia"/>
          <w:color w:val="000000" w:themeColor="text1"/>
          <w:lang w:eastAsia="zh-CN"/>
        </w:rPr>
        <w:t>7.66</w:t>
      </w:r>
      <w:r w:rsidRPr="00B62DAB">
        <w:rPr>
          <w:rFonts w:hint="eastAsia"/>
          <w:color w:val="000000" w:themeColor="text1"/>
          <w:lang w:eastAsia="zh-CN"/>
        </w:rPr>
        <w:t>亿欧元，去年同期为</w:t>
      </w:r>
      <w:r w:rsidRPr="00B62DAB">
        <w:rPr>
          <w:rFonts w:hint="eastAsia"/>
          <w:color w:val="000000" w:themeColor="text1"/>
          <w:lang w:eastAsia="zh-CN"/>
        </w:rPr>
        <w:t>7.43</w:t>
      </w:r>
      <w:r w:rsidRPr="00B62DAB">
        <w:rPr>
          <w:rFonts w:hint="eastAsia"/>
          <w:color w:val="000000" w:themeColor="text1"/>
          <w:lang w:eastAsia="zh-CN"/>
        </w:rPr>
        <w:t>亿欧元。</w:t>
      </w:r>
      <w:r w:rsidRPr="00B62DAB">
        <w:rPr>
          <w:rFonts w:hint="eastAsia"/>
          <w:b/>
          <w:color w:val="000000" w:themeColor="text1"/>
          <w:lang w:eastAsia="zh-CN"/>
        </w:rPr>
        <w:t>调整后的销售回报率</w:t>
      </w:r>
      <w:r w:rsidR="0091387F">
        <w:rPr>
          <w:rFonts w:hint="eastAsia"/>
          <w:bCs/>
          <w:color w:val="000000" w:themeColor="text1"/>
          <w:lang w:eastAsia="zh-CN"/>
        </w:rPr>
        <w:t>从去年同期的</w:t>
      </w:r>
      <w:r w:rsidR="0091387F">
        <w:rPr>
          <w:rFonts w:hint="eastAsia"/>
          <w:bCs/>
          <w:color w:val="000000" w:themeColor="text1"/>
          <w:lang w:eastAsia="zh-CN"/>
        </w:rPr>
        <w:t>1</w:t>
      </w:r>
      <w:r w:rsidR="0091387F">
        <w:rPr>
          <w:bCs/>
          <w:color w:val="000000" w:themeColor="text1"/>
          <w:lang w:eastAsia="zh-CN"/>
        </w:rPr>
        <w:t>3</w:t>
      </w:r>
      <w:r w:rsidR="0091387F">
        <w:rPr>
          <w:rFonts w:hint="eastAsia"/>
          <w:bCs/>
          <w:color w:val="000000" w:themeColor="text1"/>
          <w:lang w:eastAsia="zh-CN"/>
        </w:rPr>
        <w:t>.</w:t>
      </w:r>
      <w:r w:rsidR="0091387F">
        <w:rPr>
          <w:bCs/>
          <w:color w:val="000000" w:themeColor="text1"/>
          <w:lang w:eastAsia="zh-CN"/>
        </w:rPr>
        <w:t>6%</w:t>
      </w:r>
      <w:r w:rsidR="0091387F">
        <w:rPr>
          <w:rFonts w:hint="eastAsia"/>
          <w:bCs/>
          <w:color w:val="000000" w:themeColor="text1"/>
          <w:lang w:eastAsia="zh-CN"/>
        </w:rPr>
        <w:t>增长</w:t>
      </w:r>
      <w:r w:rsidRPr="00B62DAB">
        <w:rPr>
          <w:rFonts w:hint="eastAsia"/>
          <w:color w:val="000000" w:themeColor="text1"/>
          <w:lang w:eastAsia="zh-CN"/>
        </w:rPr>
        <w:t>到</w:t>
      </w:r>
      <w:r w:rsidRPr="00B62DAB">
        <w:rPr>
          <w:rFonts w:hint="eastAsia"/>
          <w:color w:val="000000" w:themeColor="text1"/>
          <w:lang w:eastAsia="zh-CN"/>
        </w:rPr>
        <w:t>14.0%</w:t>
      </w:r>
      <w:r w:rsidRPr="00B62DAB">
        <w:rPr>
          <w:rFonts w:hint="eastAsia"/>
          <w:color w:val="000000" w:themeColor="text1"/>
          <w:lang w:eastAsia="zh-CN"/>
        </w:rPr>
        <w:t>。这</w:t>
      </w:r>
      <w:r w:rsidR="0091387F">
        <w:rPr>
          <w:rFonts w:hint="eastAsia"/>
          <w:color w:val="000000" w:themeColor="text1"/>
          <w:lang w:eastAsia="zh-CN"/>
        </w:rPr>
        <w:t>一增长</w:t>
      </w:r>
      <w:r w:rsidRPr="00B62DAB">
        <w:rPr>
          <w:rFonts w:hint="eastAsia"/>
          <w:color w:val="000000" w:themeColor="text1"/>
          <w:lang w:eastAsia="zh-CN"/>
        </w:rPr>
        <w:t>尤其受到价格上涨的积极影响。</w:t>
      </w:r>
    </w:p>
    <w:p w14:paraId="5E11FAF0" w14:textId="77777777" w:rsidR="00E454C6" w:rsidRPr="00B62DAB" w:rsidRDefault="00E454C6" w:rsidP="00B350BA">
      <w:pPr>
        <w:spacing w:afterLines="50" w:after="120"/>
        <w:rPr>
          <w:rFonts w:cs="Segoe UI"/>
          <w:b/>
          <w:szCs w:val="22"/>
          <w:lang w:eastAsia="zh-CN"/>
        </w:rPr>
      </w:pPr>
    </w:p>
    <w:p w14:paraId="22B00408" w14:textId="0DC51401" w:rsidR="0009628B" w:rsidRDefault="00CA7AC0" w:rsidP="00B350BA">
      <w:pPr>
        <w:spacing w:afterLines="50" w:after="120"/>
        <w:rPr>
          <w:rFonts w:cs="Segoe UI"/>
          <w:szCs w:val="22"/>
          <w:lang w:eastAsia="zh-CN"/>
        </w:rPr>
      </w:pPr>
      <w:bookmarkStart w:id="5" w:name="_Hlk78300139"/>
      <w:r w:rsidRPr="00B62DAB">
        <w:rPr>
          <w:rFonts w:cs="Segoe UI" w:hint="eastAsia"/>
          <w:szCs w:val="22"/>
          <w:lang w:eastAsia="zh-CN"/>
        </w:rPr>
        <w:t>2023</w:t>
      </w:r>
      <w:r w:rsidRPr="00B62DAB">
        <w:rPr>
          <w:rFonts w:cs="Segoe UI" w:hint="eastAsia"/>
          <w:szCs w:val="22"/>
          <w:lang w:eastAsia="zh-CN"/>
        </w:rPr>
        <w:t>年上半年，</w:t>
      </w:r>
      <w:r w:rsidRPr="00B62DAB">
        <w:rPr>
          <w:rFonts w:cs="Segoe UI" w:hint="eastAsia"/>
          <w:b/>
          <w:szCs w:val="22"/>
          <w:lang w:eastAsia="zh-CN"/>
        </w:rPr>
        <w:t>消费品牌</w:t>
      </w:r>
      <w:r w:rsidRPr="00B62DAB">
        <w:rPr>
          <w:rFonts w:cs="Segoe UI" w:hint="eastAsia"/>
          <w:szCs w:val="22"/>
          <w:lang w:eastAsia="zh-CN"/>
        </w:rPr>
        <w:t>业务部的</w:t>
      </w:r>
      <w:r w:rsidRPr="00B62DAB">
        <w:rPr>
          <w:rFonts w:cs="Segoe UI" w:hint="eastAsia"/>
          <w:b/>
          <w:szCs w:val="22"/>
          <w:lang w:eastAsia="zh-CN"/>
        </w:rPr>
        <w:t>销售额</w:t>
      </w:r>
      <w:r w:rsidRPr="00B62DAB">
        <w:rPr>
          <w:rFonts w:cs="Segoe UI" w:hint="eastAsia"/>
          <w:szCs w:val="22"/>
          <w:lang w:eastAsia="zh-CN"/>
        </w:rPr>
        <w:t>为</w:t>
      </w:r>
      <w:r w:rsidRPr="00B62DAB">
        <w:rPr>
          <w:rFonts w:cs="Segoe UI" w:hint="eastAsia"/>
          <w:szCs w:val="22"/>
          <w:lang w:eastAsia="zh-CN"/>
        </w:rPr>
        <w:t>53.65</w:t>
      </w:r>
      <w:r w:rsidRPr="00B62DAB">
        <w:rPr>
          <w:rFonts w:cs="Segoe UI" w:hint="eastAsia"/>
          <w:szCs w:val="22"/>
          <w:lang w:eastAsia="zh-CN"/>
        </w:rPr>
        <w:t>亿欧元（第二季度：</w:t>
      </w:r>
      <w:r w:rsidRPr="00B62DAB">
        <w:rPr>
          <w:rFonts w:cs="Segoe UI" w:hint="eastAsia"/>
          <w:szCs w:val="22"/>
          <w:lang w:eastAsia="zh-CN"/>
        </w:rPr>
        <w:t>25.94</w:t>
      </w:r>
      <w:r w:rsidRPr="00B62DAB">
        <w:rPr>
          <w:rFonts w:cs="Segoe UI" w:hint="eastAsia"/>
          <w:szCs w:val="22"/>
          <w:lang w:eastAsia="zh-CN"/>
        </w:rPr>
        <w:t>亿欧元）。</w:t>
      </w:r>
      <w:r w:rsidR="0091387F">
        <w:rPr>
          <w:rFonts w:cs="Segoe UI" w:hint="eastAsia"/>
          <w:szCs w:val="22"/>
          <w:lang w:eastAsia="zh-CN"/>
        </w:rPr>
        <w:t>相应的，</w:t>
      </w:r>
      <w:r w:rsidRPr="00B62DAB">
        <w:rPr>
          <w:rFonts w:cs="Segoe UI" w:hint="eastAsia"/>
          <w:szCs w:val="22"/>
          <w:lang w:eastAsia="zh-CN"/>
        </w:rPr>
        <w:t>名义增长</w:t>
      </w:r>
      <w:r w:rsidRPr="00B62DAB">
        <w:rPr>
          <w:rFonts w:cs="Segoe UI" w:hint="eastAsia"/>
          <w:szCs w:val="22"/>
          <w:lang w:eastAsia="zh-CN"/>
        </w:rPr>
        <w:t>0.6%</w:t>
      </w:r>
      <w:r w:rsidRPr="00B62DAB">
        <w:rPr>
          <w:rFonts w:cs="Segoe UI" w:hint="eastAsia"/>
          <w:szCs w:val="22"/>
          <w:lang w:eastAsia="zh-CN"/>
        </w:rPr>
        <w:t>（第二季度：下降</w:t>
      </w:r>
      <w:r w:rsidRPr="00B62DAB">
        <w:rPr>
          <w:rFonts w:cs="Segoe UI" w:hint="eastAsia"/>
          <w:szCs w:val="22"/>
          <w:lang w:eastAsia="zh-CN"/>
        </w:rPr>
        <w:t>5.7%</w:t>
      </w:r>
      <w:r w:rsidRPr="00B62DAB">
        <w:rPr>
          <w:rFonts w:cs="Segoe UI" w:hint="eastAsia"/>
          <w:szCs w:val="22"/>
          <w:lang w:eastAsia="zh-CN"/>
        </w:rPr>
        <w:t>）。</w:t>
      </w:r>
      <w:r w:rsidRPr="00B62DAB">
        <w:rPr>
          <w:rFonts w:cs="Segoe UI" w:hint="eastAsia"/>
          <w:b/>
          <w:szCs w:val="22"/>
          <w:lang w:eastAsia="zh-CN"/>
        </w:rPr>
        <w:t>有机</w:t>
      </w:r>
      <w:r w:rsidRPr="00B62DAB">
        <w:rPr>
          <w:rFonts w:cs="Segoe UI" w:hint="eastAsia"/>
          <w:szCs w:val="22"/>
          <w:lang w:eastAsia="zh-CN"/>
        </w:rPr>
        <w:t>销售额</w:t>
      </w:r>
      <w:r w:rsidR="00750D09" w:rsidRPr="00B62DAB">
        <w:rPr>
          <w:rFonts w:cs="Segoe UI" w:hint="eastAsia"/>
          <w:szCs w:val="22"/>
          <w:lang w:eastAsia="zh-CN"/>
        </w:rPr>
        <w:t>受价格驱动</w:t>
      </w:r>
      <w:r w:rsidRPr="00B62DAB">
        <w:rPr>
          <w:rFonts w:cs="Segoe UI" w:hint="eastAsia"/>
          <w:szCs w:val="22"/>
          <w:lang w:eastAsia="zh-CN"/>
        </w:rPr>
        <w:t>增长</w:t>
      </w:r>
      <w:r w:rsidRPr="00B62DAB">
        <w:rPr>
          <w:rFonts w:cs="Segoe UI" w:hint="eastAsia"/>
          <w:szCs w:val="22"/>
          <w:lang w:eastAsia="zh-CN"/>
        </w:rPr>
        <w:t>5.7%</w:t>
      </w:r>
      <w:r w:rsidRPr="00B62DAB">
        <w:rPr>
          <w:rFonts w:cs="Segoe UI" w:hint="eastAsia"/>
          <w:szCs w:val="22"/>
          <w:lang w:eastAsia="zh-CN"/>
        </w:rPr>
        <w:t>（第二季度：</w:t>
      </w:r>
      <w:r w:rsidR="0091387F">
        <w:rPr>
          <w:rFonts w:cs="Segoe UI" w:hint="eastAsia"/>
          <w:szCs w:val="22"/>
          <w:lang w:eastAsia="zh-CN"/>
        </w:rPr>
        <w:t>增长</w:t>
      </w:r>
      <w:r w:rsidRPr="00B62DAB">
        <w:rPr>
          <w:rFonts w:cs="Segoe UI" w:hint="eastAsia"/>
          <w:szCs w:val="22"/>
          <w:lang w:eastAsia="zh-CN"/>
        </w:rPr>
        <w:t>4.5%</w:t>
      </w:r>
      <w:r w:rsidRPr="00B62DAB">
        <w:rPr>
          <w:rFonts w:cs="Segoe UI" w:hint="eastAsia"/>
          <w:szCs w:val="22"/>
          <w:lang w:eastAsia="zh-CN"/>
        </w:rPr>
        <w:t>）。相比之下，销量有所下降，部分原因是由于正在进行的产品组合优化措施。洗涤剂及家用护理业务领域实现非常强劲的有机销售额增长，达到</w:t>
      </w:r>
      <w:r w:rsidRPr="00B62DAB">
        <w:rPr>
          <w:rFonts w:cs="Segoe UI" w:hint="eastAsia"/>
          <w:szCs w:val="22"/>
          <w:lang w:eastAsia="zh-CN"/>
        </w:rPr>
        <w:t>5.3%</w:t>
      </w:r>
      <w:r w:rsidRPr="00B62DAB">
        <w:rPr>
          <w:rFonts w:cs="Segoe UI" w:hint="eastAsia"/>
          <w:szCs w:val="22"/>
          <w:lang w:eastAsia="zh-CN"/>
        </w:rPr>
        <w:t>（第二季度：</w:t>
      </w:r>
      <w:r w:rsidR="00750D09">
        <w:rPr>
          <w:rFonts w:hint="eastAsia"/>
          <w:lang w:eastAsia="zh-CN"/>
        </w:rPr>
        <w:t>增长</w:t>
      </w:r>
      <w:r w:rsidRPr="00B62DAB">
        <w:rPr>
          <w:rFonts w:cs="Segoe UI" w:hint="eastAsia"/>
          <w:szCs w:val="22"/>
          <w:lang w:eastAsia="zh-CN"/>
        </w:rPr>
        <w:t>4.4%</w:t>
      </w:r>
      <w:r w:rsidRPr="00B62DAB">
        <w:rPr>
          <w:rFonts w:cs="Segoe UI" w:hint="eastAsia"/>
          <w:szCs w:val="22"/>
          <w:lang w:eastAsia="zh-CN"/>
        </w:rPr>
        <w:t>）。美发业务在</w:t>
      </w:r>
      <w:r w:rsidRPr="00B62DAB">
        <w:rPr>
          <w:rFonts w:cs="Segoe UI" w:hint="eastAsia"/>
          <w:szCs w:val="22"/>
          <w:lang w:eastAsia="zh-CN"/>
        </w:rPr>
        <w:t>2023</w:t>
      </w:r>
      <w:r w:rsidRPr="00B62DAB">
        <w:rPr>
          <w:rFonts w:cs="Segoe UI" w:hint="eastAsia"/>
          <w:szCs w:val="22"/>
          <w:lang w:eastAsia="zh-CN"/>
        </w:rPr>
        <w:t>年上半年实现了</w:t>
      </w:r>
      <w:r w:rsidRPr="00B62DAB">
        <w:rPr>
          <w:rFonts w:cs="Segoe UI" w:hint="eastAsia"/>
          <w:szCs w:val="22"/>
          <w:lang w:eastAsia="zh-CN"/>
        </w:rPr>
        <w:t>7.9%</w:t>
      </w:r>
      <w:r w:rsidRPr="00B62DAB">
        <w:rPr>
          <w:rFonts w:cs="Segoe UI" w:hint="eastAsia"/>
          <w:szCs w:val="22"/>
          <w:lang w:eastAsia="zh-CN"/>
        </w:rPr>
        <w:t>的整体有机销售额增长（第二季度：</w:t>
      </w:r>
      <w:r w:rsidR="00750D09">
        <w:rPr>
          <w:rFonts w:hint="eastAsia"/>
          <w:lang w:eastAsia="zh-CN"/>
        </w:rPr>
        <w:t>增长</w:t>
      </w:r>
      <w:r w:rsidRPr="00B62DAB">
        <w:rPr>
          <w:rFonts w:cs="Segoe UI" w:hint="eastAsia"/>
          <w:szCs w:val="22"/>
          <w:lang w:eastAsia="zh-CN"/>
        </w:rPr>
        <w:t>6.1%</w:t>
      </w:r>
      <w:r w:rsidRPr="00B62DAB">
        <w:rPr>
          <w:rFonts w:cs="Segoe UI" w:hint="eastAsia"/>
          <w:szCs w:val="22"/>
          <w:lang w:eastAsia="zh-CN"/>
        </w:rPr>
        <w:t>）。其他消费品业务在今年上半年的销售额增长持平（</w:t>
      </w:r>
      <w:r w:rsidRPr="00B62DAB">
        <w:rPr>
          <w:rFonts w:cs="Segoe UI" w:hint="eastAsia"/>
          <w:szCs w:val="22"/>
          <w:lang w:eastAsia="zh-CN"/>
        </w:rPr>
        <w:t>0.0%</w:t>
      </w:r>
      <w:r w:rsidRPr="00B62DAB">
        <w:rPr>
          <w:rFonts w:cs="Segoe UI" w:hint="eastAsia"/>
          <w:szCs w:val="22"/>
          <w:lang w:eastAsia="zh-CN"/>
        </w:rPr>
        <w:t>，第二季度：下降</w:t>
      </w:r>
      <w:r w:rsidRPr="00B62DAB">
        <w:rPr>
          <w:rFonts w:cs="Segoe UI" w:hint="eastAsia"/>
          <w:szCs w:val="22"/>
          <w:lang w:eastAsia="zh-CN"/>
        </w:rPr>
        <w:t>1.4%</w:t>
      </w:r>
      <w:r w:rsidRPr="00B62DAB">
        <w:rPr>
          <w:rFonts w:cs="Segoe UI" w:hint="eastAsia"/>
          <w:szCs w:val="22"/>
          <w:lang w:eastAsia="zh-CN"/>
        </w:rPr>
        <w:t>）。</w:t>
      </w:r>
      <w:r w:rsidRPr="00B62DAB">
        <w:rPr>
          <w:rFonts w:cs="Segoe UI" w:hint="eastAsia"/>
          <w:b/>
          <w:szCs w:val="22"/>
          <w:lang w:eastAsia="zh-CN"/>
        </w:rPr>
        <w:t>调整后的营业利润</w:t>
      </w:r>
      <w:r w:rsidRPr="00B62DAB">
        <w:rPr>
          <w:rFonts w:cs="Segoe UI" w:hint="eastAsia"/>
          <w:szCs w:val="22"/>
          <w:lang w:eastAsia="zh-CN"/>
        </w:rPr>
        <w:t>为</w:t>
      </w:r>
      <w:r w:rsidRPr="00B62DAB">
        <w:rPr>
          <w:rFonts w:cs="Segoe UI" w:hint="eastAsia"/>
          <w:szCs w:val="22"/>
          <w:lang w:eastAsia="zh-CN"/>
        </w:rPr>
        <w:t>5.59</w:t>
      </w:r>
      <w:r w:rsidRPr="00B62DAB">
        <w:rPr>
          <w:rFonts w:cs="Segoe UI" w:hint="eastAsia"/>
          <w:szCs w:val="22"/>
          <w:lang w:eastAsia="zh-CN"/>
        </w:rPr>
        <w:t>亿欧元，比去年同期增长</w:t>
      </w:r>
      <w:r w:rsidRPr="00B62DAB">
        <w:rPr>
          <w:rFonts w:cs="Segoe UI" w:hint="eastAsia"/>
          <w:szCs w:val="22"/>
          <w:lang w:eastAsia="zh-CN"/>
        </w:rPr>
        <w:t>15.9%</w:t>
      </w:r>
      <w:r w:rsidRPr="00B62DAB">
        <w:rPr>
          <w:rFonts w:cs="Segoe UI" w:hint="eastAsia"/>
          <w:szCs w:val="22"/>
          <w:lang w:eastAsia="zh-CN"/>
        </w:rPr>
        <w:t>。这一增长得益于为进一步弥补居高不下的直接材料价格而</w:t>
      </w:r>
      <w:r w:rsidR="00CF31C5">
        <w:rPr>
          <w:rFonts w:cs="Segoe UI" w:hint="eastAsia"/>
          <w:szCs w:val="22"/>
          <w:lang w:eastAsia="zh-CN"/>
        </w:rPr>
        <w:t>进行</w:t>
      </w:r>
      <w:r w:rsidRPr="00B62DAB">
        <w:rPr>
          <w:rFonts w:cs="Segoe UI" w:hint="eastAsia"/>
          <w:szCs w:val="22"/>
          <w:lang w:eastAsia="zh-CN"/>
        </w:rPr>
        <w:t>的销售价格调整</w:t>
      </w:r>
      <w:r w:rsidR="00CF31C5">
        <w:rPr>
          <w:rFonts w:cs="Segoe UI" w:hint="eastAsia"/>
          <w:szCs w:val="22"/>
          <w:lang w:eastAsia="zh-CN"/>
        </w:rPr>
        <w:t>、</w:t>
      </w:r>
      <w:r w:rsidRPr="00B62DAB">
        <w:rPr>
          <w:rFonts w:cs="Segoe UI" w:hint="eastAsia"/>
          <w:szCs w:val="22"/>
          <w:lang w:eastAsia="zh-CN"/>
        </w:rPr>
        <w:t>新消费品牌业务部中消费品业务整合带来的</w:t>
      </w:r>
      <w:r w:rsidR="00CF31C5">
        <w:rPr>
          <w:rFonts w:cs="Segoe UI" w:hint="eastAsia"/>
          <w:szCs w:val="22"/>
          <w:lang w:eastAsia="zh-CN"/>
        </w:rPr>
        <w:t>成本</w:t>
      </w:r>
      <w:r w:rsidRPr="00B62DAB">
        <w:rPr>
          <w:rFonts w:cs="Segoe UI" w:hint="eastAsia"/>
          <w:szCs w:val="22"/>
          <w:lang w:eastAsia="zh-CN"/>
        </w:rPr>
        <w:t>节省，以及产品组合优化措施。</w:t>
      </w:r>
      <w:r w:rsidRPr="00B62DAB">
        <w:rPr>
          <w:rFonts w:cs="Segoe UI" w:hint="eastAsia"/>
          <w:b/>
          <w:szCs w:val="22"/>
          <w:lang w:eastAsia="zh-CN"/>
        </w:rPr>
        <w:t>调整后的销售回报率</w:t>
      </w:r>
      <w:r w:rsidRPr="00B62DAB">
        <w:rPr>
          <w:rFonts w:cs="Segoe UI" w:hint="eastAsia"/>
          <w:szCs w:val="22"/>
          <w:lang w:eastAsia="zh-CN"/>
        </w:rPr>
        <w:t>增至</w:t>
      </w:r>
      <w:r w:rsidRPr="00B62DAB">
        <w:rPr>
          <w:rFonts w:cs="Segoe UI" w:hint="eastAsia"/>
          <w:szCs w:val="22"/>
          <w:lang w:eastAsia="zh-CN"/>
        </w:rPr>
        <w:t>10.4%</w:t>
      </w:r>
      <w:r w:rsidRPr="00B62DAB">
        <w:rPr>
          <w:rFonts w:cs="Segoe UI" w:hint="eastAsia"/>
          <w:szCs w:val="22"/>
          <w:lang w:eastAsia="zh-CN"/>
        </w:rPr>
        <w:t>。</w:t>
      </w:r>
    </w:p>
    <w:p w14:paraId="0C90CD3F" w14:textId="77777777" w:rsidR="00BF60CD" w:rsidRDefault="00BF60CD" w:rsidP="00B350BA">
      <w:pPr>
        <w:spacing w:afterLines="50" w:after="120"/>
        <w:rPr>
          <w:rFonts w:cs="Segoe UI"/>
          <w:szCs w:val="22"/>
          <w:lang w:eastAsia="zh-CN"/>
        </w:rPr>
      </w:pPr>
    </w:p>
    <w:bookmarkEnd w:id="5"/>
    <w:p w14:paraId="72561A36" w14:textId="77777777" w:rsidR="0009628B" w:rsidRPr="00E454C6" w:rsidRDefault="0009628B" w:rsidP="00B350BA">
      <w:pPr>
        <w:spacing w:afterLines="50" w:after="120"/>
        <w:rPr>
          <w:rFonts w:cs="Segoe UI"/>
          <w:sz w:val="28"/>
          <w:szCs w:val="28"/>
          <w:lang w:eastAsia="zh-CN"/>
        </w:rPr>
      </w:pPr>
      <w:r w:rsidRPr="00E454C6">
        <w:rPr>
          <w:rFonts w:hint="eastAsia"/>
          <w:b/>
          <w:sz w:val="28"/>
          <w:szCs w:val="28"/>
          <w:lang w:eastAsia="zh-CN"/>
        </w:rPr>
        <w:t>持续推动增长议程的实施</w:t>
      </w:r>
    </w:p>
    <w:p w14:paraId="4C0F9CDF" w14:textId="77777777" w:rsidR="0009628B" w:rsidRDefault="0009628B" w:rsidP="00B350BA">
      <w:pPr>
        <w:autoSpaceDE w:val="0"/>
        <w:autoSpaceDN w:val="0"/>
        <w:adjustRightInd w:val="0"/>
        <w:spacing w:afterLines="50" w:after="120"/>
        <w:rPr>
          <w:lang w:eastAsia="zh-CN"/>
        </w:rPr>
      </w:pPr>
      <w:bookmarkStart w:id="6" w:name="_Hlk109204398"/>
      <w:r w:rsidRPr="00B62DAB">
        <w:rPr>
          <w:rFonts w:hint="eastAsia"/>
          <w:lang w:eastAsia="zh-CN"/>
        </w:rPr>
        <w:t>2023</w:t>
      </w:r>
      <w:r w:rsidRPr="00B62DAB">
        <w:rPr>
          <w:rFonts w:hint="eastAsia"/>
          <w:lang w:eastAsia="zh-CN"/>
        </w:rPr>
        <w:t>年上半年，汉高继续坚持不懈地推进其目标性增长议程中的战略重点，并在所有业务领域都取得了良好进展。</w:t>
      </w:r>
    </w:p>
    <w:p w14:paraId="5DA25E41" w14:textId="77777777" w:rsidR="00E454C6" w:rsidRPr="00B62DAB" w:rsidRDefault="00E454C6" w:rsidP="00B350BA">
      <w:pPr>
        <w:autoSpaceDE w:val="0"/>
        <w:autoSpaceDN w:val="0"/>
        <w:adjustRightInd w:val="0"/>
        <w:spacing w:afterLines="50" w:after="120"/>
        <w:rPr>
          <w:rFonts w:cs="Segoe UI"/>
          <w:szCs w:val="22"/>
          <w:lang w:eastAsia="zh-CN"/>
        </w:rPr>
      </w:pPr>
    </w:p>
    <w:bookmarkEnd w:id="6"/>
    <w:p w14:paraId="4A6C130A" w14:textId="6891E0AD" w:rsidR="0009628B" w:rsidRDefault="0009628B" w:rsidP="00B350BA">
      <w:pPr>
        <w:autoSpaceDE w:val="0"/>
        <w:autoSpaceDN w:val="0"/>
        <w:adjustRightInd w:val="0"/>
        <w:spacing w:afterLines="50" w:after="120"/>
        <w:rPr>
          <w:lang w:eastAsia="zh-CN"/>
        </w:rPr>
      </w:pPr>
      <w:r w:rsidRPr="00B62DAB">
        <w:rPr>
          <w:rFonts w:hint="eastAsia"/>
          <w:lang w:eastAsia="zh-CN"/>
        </w:rPr>
        <w:t>2023</w:t>
      </w:r>
      <w:r w:rsidRPr="00B62DAB">
        <w:rPr>
          <w:rFonts w:hint="eastAsia"/>
          <w:lang w:eastAsia="zh-CN"/>
        </w:rPr>
        <w:t>年上半年，将原洗涤剂及家用护理业务和化妆品</w:t>
      </w:r>
      <w:r w:rsidRPr="00B62DAB">
        <w:rPr>
          <w:rFonts w:hint="eastAsia"/>
          <w:lang w:eastAsia="zh-CN"/>
        </w:rPr>
        <w:t>/</w:t>
      </w:r>
      <w:r w:rsidRPr="00B62DAB">
        <w:rPr>
          <w:rFonts w:hint="eastAsia"/>
          <w:lang w:eastAsia="zh-CN"/>
        </w:rPr>
        <w:t>美容用品业务</w:t>
      </w:r>
      <w:r w:rsidRPr="00B62DAB">
        <w:rPr>
          <w:rFonts w:hint="eastAsia"/>
          <w:b/>
          <w:bCs/>
          <w:lang w:eastAsia="zh-CN"/>
        </w:rPr>
        <w:t>合并</w:t>
      </w:r>
      <w:r w:rsidRPr="00B62DAB">
        <w:rPr>
          <w:rFonts w:hint="eastAsia"/>
          <w:lang w:eastAsia="zh-CN"/>
        </w:rPr>
        <w:t>为</w:t>
      </w:r>
      <w:r w:rsidRPr="00B62DAB">
        <w:rPr>
          <w:rFonts w:hint="eastAsia"/>
          <w:b/>
          <w:bCs/>
          <w:lang w:eastAsia="zh-CN"/>
        </w:rPr>
        <w:t>消费品牌</w:t>
      </w:r>
      <w:r w:rsidRPr="00B62DAB">
        <w:rPr>
          <w:rFonts w:hint="eastAsia"/>
          <w:lang w:eastAsia="zh-CN"/>
        </w:rPr>
        <w:t>业务部的工作比原计划推进得更快。在此过程中，汉高实现了进一步的成本节省</w:t>
      </w:r>
      <w:r w:rsidR="00CF31C5">
        <w:rPr>
          <w:rFonts w:hint="eastAsia"/>
          <w:lang w:eastAsia="zh-CN"/>
        </w:rPr>
        <w:t>——</w:t>
      </w:r>
      <w:r w:rsidRPr="00B62DAB">
        <w:rPr>
          <w:rFonts w:hint="eastAsia"/>
          <w:lang w:eastAsia="zh-CN"/>
        </w:rPr>
        <w:t>总体而言，公司的目标是到</w:t>
      </w:r>
      <w:r w:rsidRPr="00B62DAB">
        <w:rPr>
          <w:rFonts w:hint="eastAsia"/>
          <w:lang w:eastAsia="zh-CN"/>
        </w:rPr>
        <w:t>2026</w:t>
      </w:r>
      <w:r w:rsidRPr="00B62DAB">
        <w:rPr>
          <w:rFonts w:hint="eastAsia"/>
          <w:lang w:eastAsia="zh-CN"/>
        </w:rPr>
        <w:t>年底实现至少</w:t>
      </w:r>
      <w:r w:rsidRPr="00B62DAB">
        <w:rPr>
          <w:rFonts w:hint="eastAsia"/>
          <w:lang w:eastAsia="zh-CN"/>
        </w:rPr>
        <w:t>4</w:t>
      </w:r>
      <w:r w:rsidRPr="00B62DAB">
        <w:rPr>
          <w:rFonts w:hint="eastAsia"/>
          <w:lang w:eastAsia="zh-CN"/>
        </w:rPr>
        <w:t>亿欧元的净成本节省（再投资前）。汉高还进一步聚焦于其消费品牌</w:t>
      </w:r>
      <w:r w:rsidR="00CF31C5">
        <w:rPr>
          <w:rFonts w:hint="eastAsia"/>
          <w:lang w:eastAsia="zh-CN"/>
        </w:rPr>
        <w:t>产品</w:t>
      </w:r>
      <w:r w:rsidRPr="00B62DAB">
        <w:rPr>
          <w:rFonts w:hint="eastAsia"/>
          <w:lang w:eastAsia="zh-CN"/>
        </w:rPr>
        <w:t>组合。在此过程中，自宣布消费品业务合并以来，总销售额约为</w:t>
      </w:r>
      <w:r w:rsidRPr="00B62DAB">
        <w:rPr>
          <w:rFonts w:hint="eastAsia"/>
          <w:lang w:eastAsia="zh-CN"/>
        </w:rPr>
        <w:t>5</w:t>
      </w:r>
      <w:r w:rsidRPr="00B62DAB">
        <w:rPr>
          <w:rFonts w:hint="eastAsia"/>
          <w:lang w:eastAsia="zh-CN"/>
        </w:rPr>
        <w:t>亿欧元的品牌和业务已被剥离或终止。与此同时，汉高在新西兰收购了洗涤剂及家用护理品牌</w:t>
      </w:r>
      <w:r w:rsidRPr="00B62DAB">
        <w:rPr>
          <w:rFonts w:hint="eastAsia"/>
          <w:lang w:eastAsia="zh-CN"/>
        </w:rPr>
        <w:t>Earthwise</w:t>
      </w:r>
      <w:r w:rsidRPr="00B62DAB">
        <w:rPr>
          <w:rFonts w:hint="eastAsia"/>
          <w:lang w:eastAsia="zh-CN"/>
        </w:rPr>
        <w:t>，强化了其产品组合。汉高去年收购的资生堂亚太地区专业美发业务的整合工作进展顺利，业绩良好。</w:t>
      </w:r>
    </w:p>
    <w:p w14:paraId="0F8D6199" w14:textId="77777777" w:rsidR="00E454C6" w:rsidRPr="00B62DAB" w:rsidRDefault="00E454C6" w:rsidP="00B350BA">
      <w:pPr>
        <w:autoSpaceDE w:val="0"/>
        <w:autoSpaceDN w:val="0"/>
        <w:adjustRightInd w:val="0"/>
        <w:spacing w:afterLines="50" w:after="120"/>
        <w:rPr>
          <w:rFonts w:cs="Segoe UI"/>
          <w:szCs w:val="22"/>
          <w:lang w:eastAsia="zh-CN"/>
        </w:rPr>
      </w:pPr>
    </w:p>
    <w:p w14:paraId="580B2ABA" w14:textId="25E0E76E" w:rsidR="0009628B" w:rsidRDefault="0009628B" w:rsidP="00B350BA">
      <w:pPr>
        <w:autoSpaceDE w:val="0"/>
        <w:autoSpaceDN w:val="0"/>
        <w:adjustRightInd w:val="0"/>
        <w:spacing w:afterLines="50" w:after="120"/>
        <w:rPr>
          <w:lang w:eastAsia="zh-CN"/>
        </w:rPr>
      </w:pPr>
      <w:r w:rsidRPr="00B62DAB">
        <w:rPr>
          <w:rFonts w:hint="eastAsia"/>
          <w:lang w:eastAsia="zh-CN"/>
        </w:rPr>
        <w:t>整合工作的第二阶段于今年年初启动，重点是优化供应链</w:t>
      </w:r>
      <w:r w:rsidR="00B350BA">
        <w:rPr>
          <w:rFonts w:hint="eastAsia"/>
          <w:lang w:eastAsia="zh-CN"/>
        </w:rPr>
        <w:t>。其中一些初步举措</w:t>
      </w:r>
      <w:r w:rsidRPr="00B62DAB">
        <w:rPr>
          <w:rFonts w:hint="eastAsia"/>
          <w:lang w:eastAsia="zh-CN"/>
        </w:rPr>
        <w:t>已经</w:t>
      </w:r>
      <w:r w:rsidR="00B350BA">
        <w:rPr>
          <w:rFonts w:hint="eastAsia"/>
          <w:lang w:eastAsia="zh-CN"/>
        </w:rPr>
        <w:t>得以</w:t>
      </w:r>
      <w:r w:rsidRPr="00B62DAB">
        <w:rPr>
          <w:rFonts w:hint="eastAsia"/>
          <w:lang w:eastAsia="zh-CN"/>
        </w:rPr>
        <w:t>实施</w:t>
      </w:r>
      <w:r w:rsidR="00B350BA">
        <w:rPr>
          <w:rFonts w:hint="eastAsia"/>
          <w:lang w:eastAsia="zh-CN"/>
        </w:rPr>
        <w:t>，</w:t>
      </w:r>
      <w:r w:rsidRPr="00B62DAB">
        <w:rPr>
          <w:rFonts w:hint="eastAsia"/>
          <w:lang w:eastAsia="zh-CN"/>
        </w:rPr>
        <w:t>包括整合欧洲美发及身体护理业务的生产网络。此外，第一批国家还引入了所谓的</w:t>
      </w:r>
      <w:r w:rsidRPr="00B62DAB">
        <w:rPr>
          <w:rFonts w:hint="eastAsia"/>
          <w:lang w:eastAsia="zh-CN"/>
        </w:rPr>
        <w:t>1-1-1</w:t>
      </w:r>
      <w:r w:rsidRPr="00B62DAB">
        <w:rPr>
          <w:rFonts w:hint="eastAsia"/>
          <w:lang w:eastAsia="zh-CN"/>
        </w:rPr>
        <w:t>原则</w:t>
      </w:r>
      <w:r w:rsidR="00B350BA">
        <w:rPr>
          <w:rFonts w:hint="eastAsia"/>
          <w:lang w:eastAsia="zh-CN"/>
        </w:rPr>
        <w:t>。</w:t>
      </w:r>
      <w:r w:rsidR="00E65DBD">
        <w:rPr>
          <w:rFonts w:hint="eastAsia"/>
          <w:lang w:eastAsia="zh-CN"/>
        </w:rPr>
        <w:t>在</w:t>
      </w:r>
      <w:r w:rsidRPr="00B62DAB">
        <w:rPr>
          <w:rFonts w:hint="eastAsia"/>
          <w:lang w:eastAsia="zh-CN"/>
        </w:rPr>
        <w:t>“</w:t>
      </w:r>
      <w:r w:rsidR="00B350BA">
        <w:rPr>
          <w:rFonts w:hint="eastAsia"/>
          <w:lang w:eastAsia="zh-CN"/>
        </w:rPr>
        <w:t>一个客户只有一个对接窗口</w:t>
      </w:r>
      <w:r w:rsidRPr="00B62DAB">
        <w:rPr>
          <w:rFonts w:hint="eastAsia"/>
          <w:lang w:eastAsia="zh-CN"/>
        </w:rPr>
        <w:t>”的原则</w:t>
      </w:r>
      <w:r w:rsidR="00E65DBD">
        <w:rPr>
          <w:rFonts w:hint="eastAsia"/>
          <w:lang w:eastAsia="zh-CN"/>
        </w:rPr>
        <w:t>下</w:t>
      </w:r>
      <w:r w:rsidRPr="00B62DAB">
        <w:rPr>
          <w:rFonts w:hint="eastAsia"/>
          <w:lang w:eastAsia="zh-CN"/>
        </w:rPr>
        <w:t>，以优化的物流能力推动商业整合</w:t>
      </w:r>
      <w:r w:rsidR="00E65DBD">
        <w:rPr>
          <w:rFonts w:hint="eastAsia"/>
          <w:lang w:eastAsia="zh-CN"/>
        </w:rPr>
        <w:t>。</w:t>
      </w:r>
      <w:r w:rsidRPr="00B62DAB">
        <w:rPr>
          <w:rFonts w:hint="eastAsia"/>
          <w:lang w:eastAsia="zh-CN"/>
        </w:rPr>
        <w:t>这意味着：一份订单、一次交货、一张发票。</w:t>
      </w:r>
    </w:p>
    <w:p w14:paraId="0AF01C8D" w14:textId="77777777" w:rsidR="00E454C6" w:rsidRPr="00B62DAB" w:rsidRDefault="00E454C6" w:rsidP="00B350BA">
      <w:pPr>
        <w:autoSpaceDE w:val="0"/>
        <w:autoSpaceDN w:val="0"/>
        <w:adjustRightInd w:val="0"/>
        <w:spacing w:afterLines="50" w:after="120"/>
        <w:rPr>
          <w:rFonts w:cs="Segoe UI"/>
          <w:szCs w:val="22"/>
          <w:lang w:eastAsia="zh-CN"/>
        </w:rPr>
      </w:pPr>
    </w:p>
    <w:p w14:paraId="502B4D62" w14:textId="69818F67" w:rsidR="0009628B" w:rsidRDefault="0009628B" w:rsidP="00B350BA">
      <w:pPr>
        <w:autoSpaceDE w:val="0"/>
        <w:autoSpaceDN w:val="0"/>
        <w:adjustRightInd w:val="0"/>
        <w:spacing w:afterLines="50" w:after="120"/>
        <w:rPr>
          <w:lang w:eastAsia="zh-CN"/>
        </w:rPr>
      </w:pPr>
      <w:r w:rsidRPr="00B62DAB">
        <w:rPr>
          <w:rFonts w:hint="eastAsia"/>
          <w:lang w:eastAsia="zh-CN"/>
        </w:rPr>
        <w:t>在</w:t>
      </w:r>
      <w:r w:rsidRPr="00B62DAB">
        <w:rPr>
          <w:rFonts w:hint="eastAsia"/>
          <w:b/>
          <w:bCs/>
          <w:lang w:eastAsia="zh-CN"/>
        </w:rPr>
        <w:t>粘合剂技术</w:t>
      </w:r>
      <w:r w:rsidRPr="00B62DAB">
        <w:rPr>
          <w:rFonts w:hint="eastAsia"/>
          <w:lang w:eastAsia="zh-CN"/>
        </w:rPr>
        <w:t>业务部，汉高于</w:t>
      </w:r>
      <w:r w:rsidRPr="00B62DAB">
        <w:rPr>
          <w:rFonts w:hint="eastAsia"/>
          <w:lang w:eastAsia="zh-CN"/>
        </w:rPr>
        <w:t>2023</w:t>
      </w:r>
      <w:r w:rsidRPr="00B62DAB">
        <w:rPr>
          <w:rFonts w:hint="eastAsia"/>
          <w:lang w:eastAsia="zh-CN"/>
        </w:rPr>
        <w:t>年上半年建立了优化的</w:t>
      </w:r>
      <w:r w:rsidRPr="00B62DAB">
        <w:rPr>
          <w:rFonts w:hint="eastAsia"/>
          <w:b/>
          <w:bCs/>
          <w:lang w:eastAsia="zh-CN"/>
        </w:rPr>
        <w:t>组织架构</w:t>
      </w:r>
      <w:r w:rsidRPr="00B62DAB">
        <w:rPr>
          <w:rFonts w:hint="eastAsia"/>
          <w:lang w:eastAsia="zh-CN"/>
        </w:rPr>
        <w:t>。这使得该业务部能够在移动和电子、包装和消费品以及工匠、建筑和专业三大业务领域更有效地利用规模和能力优势，同时确保贴近客户和市场。</w:t>
      </w:r>
    </w:p>
    <w:p w14:paraId="3C2F9849" w14:textId="77777777" w:rsidR="00E454C6" w:rsidRPr="00B62DAB" w:rsidRDefault="00E454C6" w:rsidP="00B350BA">
      <w:pPr>
        <w:autoSpaceDE w:val="0"/>
        <w:autoSpaceDN w:val="0"/>
        <w:adjustRightInd w:val="0"/>
        <w:spacing w:afterLines="50" w:after="120"/>
        <w:rPr>
          <w:rFonts w:cs="Segoe UI"/>
          <w:szCs w:val="22"/>
          <w:lang w:eastAsia="zh-CN"/>
        </w:rPr>
      </w:pPr>
    </w:p>
    <w:p w14:paraId="7750ADDD" w14:textId="2F1CEA59" w:rsidR="0009628B" w:rsidRDefault="0009628B" w:rsidP="00B350BA">
      <w:pPr>
        <w:autoSpaceDE w:val="0"/>
        <w:autoSpaceDN w:val="0"/>
        <w:adjustRightInd w:val="0"/>
        <w:spacing w:afterLines="50" w:after="120"/>
        <w:rPr>
          <w:lang w:eastAsia="zh-CN"/>
        </w:rPr>
      </w:pPr>
      <w:bookmarkStart w:id="7" w:name="_Hlk109382178"/>
      <w:r w:rsidRPr="00B62DAB">
        <w:rPr>
          <w:rFonts w:hint="eastAsia"/>
          <w:lang w:eastAsia="zh-CN"/>
        </w:rPr>
        <w:t>为了进一步增强</w:t>
      </w:r>
      <w:r w:rsidRPr="00B62DAB">
        <w:rPr>
          <w:rFonts w:hint="eastAsia"/>
          <w:b/>
          <w:bCs/>
          <w:lang w:eastAsia="zh-CN"/>
        </w:rPr>
        <w:t>竞争力</w:t>
      </w:r>
      <w:r w:rsidRPr="00B62DAB">
        <w:rPr>
          <w:rFonts w:hint="eastAsia"/>
          <w:lang w:eastAsia="zh-CN"/>
        </w:rPr>
        <w:t>，汉高专注于在有吸引力的业务领域进行有力的</w:t>
      </w:r>
      <w:r w:rsidRPr="00B62DAB">
        <w:rPr>
          <w:rFonts w:hint="eastAsia"/>
          <w:b/>
          <w:bCs/>
          <w:lang w:eastAsia="zh-CN"/>
        </w:rPr>
        <w:t>创新</w:t>
      </w:r>
      <w:r w:rsidRPr="00B62DAB">
        <w:rPr>
          <w:rFonts w:hint="eastAsia"/>
          <w:lang w:eastAsia="zh-CN"/>
        </w:rPr>
        <w:t>。这再次促进了两个业务部</w:t>
      </w:r>
      <w:r w:rsidR="00E65DBD">
        <w:rPr>
          <w:rFonts w:hint="eastAsia"/>
          <w:lang w:eastAsia="zh-CN"/>
        </w:rPr>
        <w:t>门</w:t>
      </w:r>
      <w:r w:rsidRPr="00B62DAB">
        <w:rPr>
          <w:rFonts w:hint="eastAsia"/>
          <w:lang w:eastAsia="zh-CN"/>
        </w:rPr>
        <w:t>在</w:t>
      </w:r>
      <w:r w:rsidRPr="00B62DAB">
        <w:rPr>
          <w:rFonts w:hint="eastAsia"/>
          <w:lang w:eastAsia="zh-CN"/>
        </w:rPr>
        <w:t>2023</w:t>
      </w:r>
      <w:r w:rsidRPr="00B62DAB">
        <w:rPr>
          <w:rFonts w:hint="eastAsia"/>
          <w:lang w:eastAsia="zh-CN"/>
        </w:rPr>
        <w:t>年上半年的增长。以粘合剂技术业务部为例，汉高用于电动汽车生产的创新解决方案在今年上半年的有机销售额与去年同期相比增长了约</w:t>
      </w:r>
      <w:r w:rsidRPr="00B62DAB">
        <w:rPr>
          <w:rFonts w:hint="eastAsia"/>
          <w:lang w:eastAsia="zh-CN"/>
        </w:rPr>
        <w:t>70%</w:t>
      </w:r>
      <w:r w:rsidRPr="00B62DAB">
        <w:rPr>
          <w:rFonts w:hint="eastAsia"/>
          <w:lang w:eastAsia="zh-CN"/>
        </w:rPr>
        <w:t>。在消费品牌业务部，宝莹品牌实现了两位数的有机销售额增长，这得益于在</w:t>
      </w:r>
      <w:r w:rsidRPr="00B62DAB">
        <w:rPr>
          <w:rFonts w:hint="eastAsia"/>
          <w:lang w:eastAsia="zh-CN"/>
        </w:rPr>
        <w:t>30</w:t>
      </w:r>
      <w:r w:rsidRPr="00B62DAB">
        <w:rPr>
          <w:rFonts w:hint="eastAsia"/>
          <w:lang w:eastAsia="zh-CN"/>
        </w:rPr>
        <w:t>个国家重新推出独特的新酶技术。</w:t>
      </w:r>
    </w:p>
    <w:p w14:paraId="45742A90" w14:textId="77777777" w:rsidR="00E454C6" w:rsidRPr="00B62DAB" w:rsidRDefault="00E454C6" w:rsidP="00B350BA">
      <w:pPr>
        <w:autoSpaceDE w:val="0"/>
        <w:autoSpaceDN w:val="0"/>
        <w:adjustRightInd w:val="0"/>
        <w:spacing w:afterLines="50" w:after="120"/>
        <w:rPr>
          <w:rFonts w:cs="Segoe UI"/>
          <w:szCs w:val="22"/>
          <w:lang w:eastAsia="zh-CN"/>
        </w:rPr>
      </w:pPr>
    </w:p>
    <w:bookmarkEnd w:id="7"/>
    <w:p w14:paraId="13829041" w14:textId="45D7B3FC" w:rsidR="0009628B" w:rsidRDefault="0009628B" w:rsidP="00B350BA">
      <w:pPr>
        <w:spacing w:afterLines="50" w:after="120"/>
        <w:rPr>
          <w:lang w:eastAsia="zh-CN"/>
        </w:rPr>
      </w:pPr>
      <w:r w:rsidRPr="00B62DAB">
        <w:rPr>
          <w:rFonts w:hint="eastAsia"/>
          <w:lang w:eastAsia="zh-CN"/>
        </w:rPr>
        <w:t>汉高在</w:t>
      </w:r>
      <w:r w:rsidRPr="00B62DAB">
        <w:rPr>
          <w:rFonts w:hint="eastAsia"/>
          <w:b/>
          <w:bCs/>
          <w:lang w:eastAsia="zh-CN"/>
        </w:rPr>
        <w:t>可持续发展</w:t>
      </w:r>
      <w:r w:rsidRPr="00B62DAB">
        <w:rPr>
          <w:rFonts w:hint="eastAsia"/>
          <w:lang w:eastAsia="zh-CN"/>
        </w:rPr>
        <w:t>领域也取得了进一步</w:t>
      </w:r>
      <w:r w:rsidR="00E65DBD">
        <w:rPr>
          <w:rFonts w:hint="eastAsia"/>
          <w:lang w:eastAsia="zh-CN"/>
        </w:rPr>
        <w:t>的</w:t>
      </w:r>
      <w:r w:rsidRPr="00B62DAB">
        <w:rPr>
          <w:rFonts w:hint="eastAsia"/>
          <w:lang w:eastAsia="zh-CN"/>
        </w:rPr>
        <w:t>进展。例如，</w:t>
      </w:r>
      <w:r w:rsidR="00BB2930">
        <w:rPr>
          <w:rFonts w:hint="eastAsia"/>
          <w:lang w:eastAsia="zh-CN"/>
        </w:rPr>
        <w:t>以</w:t>
      </w:r>
      <w:r w:rsidRPr="00B62DAB">
        <w:rPr>
          <w:rFonts w:hint="eastAsia"/>
          <w:lang w:eastAsia="zh-CN"/>
        </w:rPr>
        <w:t>到</w:t>
      </w:r>
      <w:r w:rsidRPr="00B62DAB">
        <w:rPr>
          <w:rFonts w:hint="eastAsia"/>
          <w:lang w:eastAsia="zh-CN"/>
        </w:rPr>
        <w:t>2030</w:t>
      </w:r>
      <w:r w:rsidRPr="00B62DAB">
        <w:rPr>
          <w:rFonts w:hint="eastAsia"/>
          <w:lang w:eastAsia="zh-CN"/>
        </w:rPr>
        <w:t>年实现生产</w:t>
      </w:r>
      <w:r w:rsidR="00BB2930">
        <w:rPr>
          <w:rFonts w:hint="eastAsia"/>
          <w:lang w:eastAsia="zh-CN"/>
        </w:rPr>
        <w:t>基地</w:t>
      </w:r>
      <w:r w:rsidRPr="00B62DAB">
        <w:rPr>
          <w:rFonts w:hint="eastAsia"/>
          <w:lang w:eastAsia="zh-CN"/>
        </w:rPr>
        <w:t>碳足迹</w:t>
      </w:r>
      <w:r w:rsidR="00BB2930">
        <w:rPr>
          <w:rFonts w:hint="eastAsia"/>
          <w:lang w:eastAsia="zh-CN"/>
        </w:rPr>
        <w:t>的</w:t>
      </w:r>
      <w:r w:rsidRPr="00B62DAB">
        <w:rPr>
          <w:rFonts w:hint="eastAsia"/>
          <w:lang w:eastAsia="zh-CN"/>
        </w:rPr>
        <w:t>气候</w:t>
      </w:r>
      <w:r w:rsidR="00BB2930">
        <w:rPr>
          <w:rFonts w:hint="eastAsia"/>
          <w:lang w:eastAsia="zh-CN"/>
        </w:rPr>
        <w:t>正效益为目标</w:t>
      </w:r>
      <w:r w:rsidRPr="00B62DAB">
        <w:rPr>
          <w:rFonts w:hint="eastAsia"/>
          <w:lang w:eastAsia="zh-CN"/>
        </w:rPr>
        <w:t>，汉高在</w:t>
      </w:r>
      <w:r w:rsidRPr="00B62DAB">
        <w:rPr>
          <w:rFonts w:hint="eastAsia"/>
          <w:lang w:eastAsia="zh-CN"/>
        </w:rPr>
        <w:t>2023</w:t>
      </w:r>
      <w:r w:rsidRPr="00B62DAB">
        <w:rPr>
          <w:rFonts w:hint="eastAsia"/>
          <w:lang w:eastAsia="zh-CN"/>
        </w:rPr>
        <w:t>年上半年又</w:t>
      </w:r>
      <w:r w:rsidR="00BB2930">
        <w:rPr>
          <w:rFonts w:hint="eastAsia"/>
          <w:lang w:eastAsia="zh-CN"/>
        </w:rPr>
        <w:t>在</w:t>
      </w:r>
      <w:r w:rsidRPr="00B62DAB">
        <w:rPr>
          <w:rFonts w:hint="eastAsia"/>
          <w:lang w:eastAsia="zh-CN"/>
        </w:rPr>
        <w:t>另外十个生产</w:t>
      </w:r>
      <w:r w:rsidR="00BB2930">
        <w:rPr>
          <w:rFonts w:hint="eastAsia"/>
          <w:lang w:eastAsia="zh-CN"/>
        </w:rPr>
        <w:t>基地实现了</w:t>
      </w:r>
      <w:r w:rsidRPr="00B62DAB">
        <w:rPr>
          <w:rFonts w:hint="eastAsia"/>
          <w:lang w:eastAsia="zh-CN"/>
        </w:rPr>
        <w:t>碳中和生产模式。汉高还继续推进</w:t>
      </w:r>
      <w:r w:rsidRPr="00B62DAB">
        <w:rPr>
          <w:rFonts w:hint="eastAsia"/>
          <w:b/>
          <w:bCs/>
          <w:lang w:eastAsia="zh-CN"/>
        </w:rPr>
        <w:t>数字化</w:t>
      </w:r>
      <w:r w:rsidRPr="00B62DAB">
        <w:rPr>
          <w:rFonts w:hint="eastAsia"/>
          <w:lang w:eastAsia="zh-CN"/>
        </w:rPr>
        <w:t>领域的重要举措。在这方面，人工智能的应用正发挥着越来越重要的作用。</w:t>
      </w:r>
    </w:p>
    <w:p w14:paraId="635C51B5" w14:textId="77777777" w:rsidR="00E454C6" w:rsidRPr="00B62DAB" w:rsidRDefault="00E454C6" w:rsidP="00B350BA">
      <w:pPr>
        <w:spacing w:afterLines="50" w:after="120"/>
        <w:rPr>
          <w:rFonts w:cs="Segoe UI"/>
          <w:szCs w:val="22"/>
          <w:lang w:eastAsia="zh-CN"/>
        </w:rPr>
      </w:pPr>
    </w:p>
    <w:p w14:paraId="30EBA422" w14:textId="3B15B45C" w:rsidR="0009628B" w:rsidRPr="00B62DAB" w:rsidRDefault="0009628B" w:rsidP="00B350BA">
      <w:pPr>
        <w:spacing w:afterLines="50" w:after="120"/>
        <w:rPr>
          <w:rFonts w:cs="Segoe UI"/>
          <w:szCs w:val="22"/>
          <w:lang w:eastAsia="zh-CN"/>
        </w:rPr>
      </w:pPr>
      <w:bookmarkStart w:id="8" w:name="_Hlk109211145"/>
      <w:r w:rsidRPr="00B62DAB">
        <w:rPr>
          <w:rFonts w:hint="eastAsia"/>
          <w:lang w:eastAsia="zh-CN"/>
        </w:rPr>
        <w:t>“总体而言，尽管经济环境</w:t>
      </w:r>
      <w:r w:rsidR="00BB2930">
        <w:rPr>
          <w:rFonts w:hint="eastAsia"/>
          <w:lang w:eastAsia="zh-CN"/>
        </w:rPr>
        <w:t>依旧</w:t>
      </w:r>
      <w:r w:rsidRPr="00B62DAB">
        <w:rPr>
          <w:rFonts w:hint="eastAsia"/>
          <w:lang w:eastAsia="zh-CN"/>
        </w:rPr>
        <w:t>困难，但我们在上半年取得了成功的业绩</w:t>
      </w:r>
      <w:r w:rsidR="00BB2930">
        <w:rPr>
          <w:rFonts w:hint="eastAsia"/>
          <w:lang w:eastAsia="zh-CN"/>
        </w:rPr>
        <w:t>表现</w:t>
      </w:r>
      <w:r w:rsidRPr="00B62DAB">
        <w:rPr>
          <w:rFonts w:hint="eastAsia"/>
          <w:lang w:eastAsia="zh-CN"/>
        </w:rPr>
        <w:t>，并在实施我们的战略议程方面取得了良好进展，对此我们深感自豪。</w:t>
      </w:r>
      <w:r w:rsidR="00EB6B21">
        <w:rPr>
          <w:rFonts w:hint="eastAsia"/>
          <w:lang w:eastAsia="zh-CN"/>
        </w:rPr>
        <w:t>”</w:t>
      </w:r>
      <w:r w:rsidR="00EB6B21" w:rsidRPr="00EB6B21">
        <w:rPr>
          <w:rFonts w:hint="eastAsia"/>
          <w:lang w:eastAsia="zh-CN"/>
        </w:rPr>
        <w:t xml:space="preserve"> </w:t>
      </w:r>
      <w:r w:rsidR="00EB6B21" w:rsidRPr="00B62DAB">
        <w:rPr>
          <w:rFonts w:hint="eastAsia"/>
          <w:lang w:eastAsia="zh-CN"/>
        </w:rPr>
        <w:t>卡斯滕·诺贝尔表示</w:t>
      </w:r>
      <w:r w:rsidR="00EB6B21">
        <w:rPr>
          <w:rFonts w:hint="eastAsia"/>
          <w:lang w:eastAsia="zh-CN"/>
        </w:rPr>
        <w:t>，“</w:t>
      </w:r>
      <w:r w:rsidRPr="00B62DAB">
        <w:rPr>
          <w:rFonts w:hint="eastAsia"/>
          <w:lang w:eastAsia="zh-CN"/>
        </w:rPr>
        <w:t>我们对成功塑造汉高的未来充满信心。我们是一支积极进取的团队，拥有强大的企业文化和明确的发展战略。在粘合剂技术业务领域，我们成为了全球领导者，为许多重要行业提供创新解决方案，并明确关注移动性、连</w:t>
      </w:r>
      <w:r w:rsidR="00EB6B21">
        <w:rPr>
          <w:rFonts w:hint="eastAsia"/>
          <w:lang w:eastAsia="zh-CN"/>
        </w:rPr>
        <w:t>通</w:t>
      </w:r>
      <w:r w:rsidRPr="00B62DAB">
        <w:rPr>
          <w:rFonts w:hint="eastAsia"/>
          <w:lang w:eastAsia="zh-CN"/>
        </w:rPr>
        <w:t>性和可持续</w:t>
      </w:r>
      <w:r w:rsidR="00EB6B21">
        <w:rPr>
          <w:rFonts w:hint="eastAsia"/>
          <w:lang w:eastAsia="zh-CN"/>
        </w:rPr>
        <w:t>发展</w:t>
      </w:r>
      <w:r w:rsidRPr="00B62DAB">
        <w:rPr>
          <w:rFonts w:hint="eastAsia"/>
          <w:lang w:eastAsia="zh-CN"/>
        </w:rPr>
        <w:t>等未来趋势。凭借新成立的消费品牌业务部，我们为消费品业务的进一步盈利增长奠定了基础。”</w:t>
      </w:r>
    </w:p>
    <w:bookmarkEnd w:id="8"/>
    <w:p w14:paraId="34B4BF99" w14:textId="77777777" w:rsidR="00F445CA" w:rsidRDefault="00F445CA">
      <w:pPr>
        <w:spacing w:line="240" w:lineRule="auto"/>
        <w:jc w:val="left"/>
        <w:rPr>
          <w:rStyle w:val="AboutandContactHeadline"/>
          <w:lang w:eastAsia="zh-CN"/>
        </w:rPr>
      </w:pPr>
      <w:r>
        <w:rPr>
          <w:rStyle w:val="AboutandContactHeadline"/>
          <w:lang w:eastAsia="zh-CN"/>
        </w:rPr>
        <w:br w:type="page"/>
      </w:r>
    </w:p>
    <w:p w14:paraId="11B0F1C1" w14:textId="05B610F2" w:rsidR="00EB6B21" w:rsidRPr="00123FEF" w:rsidRDefault="00EB6B21" w:rsidP="00EB6B21">
      <w:pPr>
        <w:spacing w:after="160" w:line="259" w:lineRule="auto"/>
        <w:rPr>
          <w:rFonts w:cs="Segoe UI"/>
          <w:u w:val="single"/>
          <w:lang w:eastAsia="zh-CN"/>
        </w:rPr>
      </w:pPr>
      <w:r w:rsidRPr="00596CED">
        <w:rPr>
          <w:rStyle w:val="AboutandContactHeadline"/>
          <w:rFonts w:hint="eastAsia"/>
          <w:lang w:eastAsia="zh-CN"/>
        </w:rPr>
        <w:lastRenderedPageBreak/>
        <w:t>关于汉高</w:t>
      </w:r>
    </w:p>
    <w:p w14:paraId="4C372206" w14:textId="77777777" w:rsidR="00EB6B21" w:rsidRPr="00596CED" w:rsidRDefault="00EB6B21" w:rsidP="00EB6B21">
      <w:pPr>
        <w:rPr>
          <w:rStyle w:val="AboutandContactBody"/>
          <w:lang w:eastAsia="zh-CN"/>
        </w:rPr>
      </w:pPr>
      <w:r w:rsidRPr="00596CED">
        <w:rPr>
          <w:rStyle w:val="AboutandContactBody"/>
          <w:rFonts w:hint="eastAsia"/>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596CED">
        <w:rPr>
          <w:rStyle w:val="AboutandContactBody"/>
          <w:lang w:eastAsia="zh-CN"/>
        </w:rPr>
        <w:t>Loctite</w:t>
      </w:r>
      <w:r w:rsidRPr="00596CED">
        <w:rPr>
          <w:rStyle w:val="AboutandContactBody"/>
          <w:rFonts w:hint="eastAsia"/>
          <w:lang w:eastAsia="zh-CN"/>
        </w:rPr>
        <w:t>）、宝莹（</w:t>
      </w:r>
      <w:r w:rsidRPr="00596CED">
        <w:rPr>
          <w:rStyle w:val="AboutandContactBody"/>
          <w:lang w:eastAsia="zh-CN"/>
        </w:rPr>
        <w:t xml:space="preserve"> Persil</w:t>
      </w:r>
      <w:r w:rsidRPr="00596CED">
        <w:rPr>
          <w:rStyle w:val="AboutandContactBody"/>
          <w:rFonts w:hint="eastAsia"/>
          <w:lang w:eastAsia="zh-CN"/>
        </w:rPr>
        <w:t>）和施华蔻（</w:t>
      </w:r>
      <w:r w:rsidRPr="00596CED">
        <w:rPr>
          <w:rStyle w:val="AboutandContactBody"/>
          <w:lang w:eastAsia="zh-CN"/>
        </w:rPr>
        <w:t>Schwarzkopf</w:t>
      </w:r>
      <w:r w:rsidRPr="00596CED">
        <w:rPr>
          <w:rStyle w:val="AboutandContactBody"/>
          <w:rFonts w:hint="eastAsia"/>
          <w:lang w:eastAsia="zh-CN"/>
        </w:rPr>
        <w:t>）是公司的三大核心品牌。</w:t>
      </w:r>
      <w:r w:rsidRPr="00596CED">
        <w:rPr>
          <w:rStyle w:val="AboutandContactBody"/>
          <w:lang w:eastAsia="zh-CN"/>
        </w:rPr>
        <w:t>2022</w:t>
      </w:r>
      <w:r w:rsidRPr="00596CED">
        <w:rPr>
          <w:rStyle w:val="AboutandContactBody"/>
          <w:rFonts w:hint="eastAsia"/>
          <w:lang w:eastAsia="zh-CN"/>
        </w:rPr>
        <w:t>财年，汉高实现销售额逾</w:t>
      </w:r>
      <w:r w:rsidRPr="00596CED">
        <w:rPr>
          <w:rStyle w:val="AboutandContactBody"/>
          <w:lang w:eastAsia="zh-CN"/>
        </w:rPr>
        <w:t>220</w:t>
      </w:r>
      <w:r w:rsidRPr="00596CED">
        <w:rPr>
          <w:rStyle w:val="AboutandContactBody"/>
          <w:rFonts w:hint="eastAsia"/>
          <w:lang w:eastAsia="zh-CN"/>
        </w:rPr>
        <w:t>亿欧元，调整后营业利润达</w:t>
      </w:r>
      <w:r w:rsidRPr="00596CED">
        <w:rPr>
          <w:rStyle w:val="AboutandContactBody"/>
          <w:lang w:eastAsia="zh-CN"/>
        </w:rPr>
        <w:t>23</w:t>
      </w:r>
      <w:r w:rsidRPr="00596CED">
        <w:rPr>
          <w:rStyle w:val="AboutandContactBody"/>
          <w:rFonts w:hint="eastAsia"/>
          <w:lang w:eastAsia="zh-CN"/>
        </w:rPr>
        <w:t>亿欧元左右。汉高的优先股已列入德国</w:t>
      </w:r>
      <w:r w:rsidRPr="00596CED">
        <w:rPr>
          <w:rStyle w:val="AboutandContactBody"/>
          <w:lang w:eastAsia="zh-CN"/>
        </w:rPr>
        <w:t>DAX</w:t>
      </w:r>
      <w:r w:rsidRPr="00596CED">
        <w:rPr>
          <w:rStyle w:val="AboutandContactBody"/>
          <w:rFonts w:hint="eastAsia"/>
          <w:lang w:eastAsia="zh-CN"/>
        </w:rPr>
        <w:t>指数。可持续发展在汉高有着悠久的传统，公司确立有明晰的可持续发展战略和具体目标。汉高成立于</w:t>
      </w:r>
      <w:r w:rsidRPr="00596CED">
        <w:rPr>
          <w:rStyle w:val="AboutandContactBody"/>
          <w:lang w:eastAsia="zh-CN"/>
        </w:rPr>
        <w:t>1876</w:t>
      </w:r>
      <w:r w:rsidRPr="00596CED">
        <w:rPr>
          <w:rStyle w:val="AboutandContactBody"/>
          <w:rFonts w:hint="eastAsia"/>
          <w:lang w:eastAsia="zh-CN"/>
        </w:rPr>
        <w:t>年，如今，汉高在全球范围内约有</w:t>
      </w:r>
      <w:r w:rsidRPr="00596CED">
        <w:rPr>
          <w:rStyle w:val="AboutandContactBody"/>
          <w:lang w:eastAsia="zh-CN"/>
        </w:rPr>
        <w:t>5</w:t>
      </w:r>
      <w:r w:rsidRPr="00596CED">
        <w:rPr>
          <w:rStyle w:val="AboutandContactBody"/>
          <w:rFonts w:hint="eastAsia"/>
          <w:lang w:eastAsia="zh-CN"/>
        </w:rPr>
        <w:t>万名员工，在强大的企业文化、</w:t>
      </w:r>
      <w:proofErr w:type="gramStart"/>
      <w:r w:rsidRPr="00596CED">
        <w:rPr>
          <w:rStyle w:val="AboutandContactBody"/>
          <w:rFonts w:hint="eastAsia"/>
          <w:lang w:eastAsia="zh-CN"/>
        </w:rPr>
        <w:t>共同的价值观与企业目标“</w:t>
      </w:r>
      <w:proofErr w:type="gramEnd"/>
      <w:r w:rsidRPr="00596CED">
        <w:rPr>
          <w:rStyle w:val="AboutandContactBody"/>
          <w:lang w:eastAsia="zh-CN"/>
        </w:rPr>
        <w:t>Pioneers at heart for the good of generations</w:t>
      </w:r>
      <w:r w:rsidRPr="00596CED">
        <w:rPr>
          <w:rStyle w:val="AboutandContactBody"/>
          <w:rFonts w:hint="eastAsia"/>
          <w:lang w:eastAsia="zh-CN"/>
        </w:rPr>
        <w:t>”的引领下，融合为一支多元化的团队。更多资讯，敬请访问</w:t>
      </w:r>
      <w:r w:rsidRPr="00596CED">
        <w:rPr>
          <w:rStyle w:val="AboutandContactBody"/>
          <w:lang w:eastAsia="zh-CN"/>
        </w:rPr>
        <w:t xml:space="preserve"> </w:t>
      </w:r>
      <w:hyperlink r:id="rId12" w:history="1">
        <w:r w:rsidRPr="00596CED">
          <w:rPr>
            <w:rStyle w:val="a7"/>
            <w:lang w:eastAsia="zh-CN"/>
          </w:rPr>
          <w:t>www.henkel.com</w:t>
        </w:r>
      </w:hyperlink>
      <w:r w:rsidRPr="00596CED">
        <w:rPr>
          <w:rStyle w:val="AboutandContactBody"/>
          <w:lang w:eastAsia="zh-CN"/>
        </w:rPr>
        <w:t xml:space="preserve"> </w:t>
      </w:r>
    </w:p>
    <w:p w14:paraId="7A2120C2" w14:textId="77777777" w:rsidR="00EB6B21" w:rsidRPr="00596CED" w:rsidRDefault="00EB6B21" w:rsidP="00EB6B21">
      <w:pPr>
        <w:rPr>
          <w:rFonts w:cs="等线 Light"/>
          <w:bCs/>
          <w:sz w:val="14"/>
          <w:szCs w:val="14"/>
          <w:lang w:eastAsia="zh-CN"/>
        </w:rPr>
      </w:pPr>
    </w:p>
    <w:p w14:paraId="63F2B7D9" w14:textId="77777777" w:rsidR="00EB6B21" w:rsidRPr="00795FB8" w:rsidRDefault="00EB6B21" w:rsidP="00EB6B21">
      <w:pPr>
        <w:pStyle w:val="He01Flietext"/>
        <w:rPr>
          <w:sz w:val="16"/>
          <w:szCs w:val="16"/>
          <w:lang w:eastAsia="zh-CN"/>
        </w:rPr>
      </w:pPr>
      <w:r w:rsidRPr="00795FB8">
        <w:rPr>
          <w:rFonts w:hint="eastAsia"/>
          <w:sz w:val="16"/>
          <w:lang w:eastAsia="zh-CN"/>
        </w:rPr>
        <w:t>本文件所含提及未来业务发展、财务业绩及其他与汉高未来相关的事件或发展的声明，由此构成前瞻性声明。前瞻性表述的特点是使用诸如期望、打算、计划、预测、假设、相信、预计、预期、预见和类似的表述。这些表述乃汉高股份及两合公司管理层基于现有的预测和假设。该等表述在任何情况下都不应该被理解成保证该等预期的准确无误。汉高股份及两合公司及其关联公司实际实现的未来业绩和结果取决于一系列的风险和不确定性，因此可能与前瞻性表述有明显差别</w:t>
      </w:r>
      <w:r w:rsidRPr="00795FB8">
        <w:rPr>
          <w:rFonts w:hint="eastAsia"/>
          <w:sz w:val="16"/>
          <w:szCs w:val="16"/>
          <w:lang w:val="en-US" w:eastAsia="zh-CN"/>
        </w:rPr>
        <w:t>（包括正面和负面差异）</w:t>
      </w:r>
      <w:r w:rsidRPr="00795FB8">
        <w:rPr>
          <w:rFonts w:hint="eastAsia"/>
          <w:sz w:val="16"/>
          <w:lang w:eastAsia="zh-CN"/>
        </w:rPr>
        <w:t>。很多因素，例如未来的经济环境和竞争者行为以及市场上其他参与者的行为，均在汉高的控制之外，无法准确预计。汉高不计划也不承诺更新前瞻性表述。</w:t>
      </w:r>
      <w:r w:rsidRPr="00795FB8">
        <w:rPr>
          <w:sz w:val="16"/>
          <w:lang w:eastAsia="zh-CN"/>
        </w:rPr>
        <w:t xml:space="preserve"> </w:t>
      </w:r>
    </w:p>
    <w:p w14:paraId="7183E5F5" w14:textId="77777777" w:rsidR="00EB6B21" w:rsidRPr="00795FB8" w:rsidRDefault="00EB6B21" w:rsidP="00EB6B21">
      <w:pPr>
        <w:pStyle w:val="He01Flietext"/>
        <w:rPr>
          <w:sz w:val="16"/>
          <w:szCs w:val="16"/>
          <w:lang w:eastAsia="zh-CN"/>
        </w:rPr>
      </w:pPr>
      <w:r w:rsidRPr="00795FB8">
        <w:rPr>
          <w:rFonts w:hint="eastAsia"/>
          <w:sz w:val="16"/>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6C19D7F2" w14:textId="77777777" w:rsidR="00EB6B21" w:rsidRPr="00596CED" w:rsidRDefault="00EB6B21" w:rsidP="00EB6B21">
      <w:pPr>
        <w:pStyle w:val="He01Flietext"/>
        <w:rPr>
          <w:sz w:val="16"/>
          <w:szCs w:val="16"/>
          <w:lang w:eastAsia="zh-CN"/>
        </w:rPr>
      </w:pPr>
      <w:r w:rsidRPr="00795FB8">
        <w:rPr>
          <w:rFonts w:hint="eastAsia"/>
          <w:sz w:val="16"/>
          <w:lang w:val="en-US" w:eastAsia="zh-CN"/>
        </w:rPr>
        <w:t>本文件仅供参考，并不构成任何对证券的投资建议、出售要约或购买要约。</w:t>
      </w:r>
    </w:p>
    <w:p w14:paraId="7D698A80" w14:textId="288C6A4E" w:rsidR="0001450F" w:rsidRDefault="0001450F" w:rsidP="00EB6B21">
      <w:pPr>
        <w:rPr>
          <w:rStyle w:val="AboutandContactBody"/>
          <w:rFonts w:asciiTheme="majorHAnsi" w:hAnsiTheme="majorHAnsi" w:cs="Calibri Light"/>
          <w:color w:val="0000FF"/>
          <w:szCs w:val="18"/>
          <w:u w:val="single"/>
          <w:lang w:val="fr-FR" w:eastAsia="zh-CN"/>
        </w:rPr>
      </w:pPr>
    </w:p>
    <w:p w14:paraId="6EB8B1A7" w14:textId="77777777" w:rsidR="00F445CA" w:rsidRDefault="00F445CA" w:rsidP="00EB6B21">
      <w:pPr>
        <w:rPr>
          <w:rStyle w:val="AboutandContactBody"/>
          <w:rFonts w:asciiTheme="majorHAnsi" w:hAnsiTheme="majorHAnsi" w:cs="Calibri Light"/>
          <w:color w:val="0000FF"/>
          <w:szCs w:val="18"/>
          <w:u w:val="single"/>
          <w:lang w:val="fr-FR" w:eastAsia="zh-CN"/>
        </w:rPr>
      </w:pPr>
    </w:p>
    <w:p w14:paraId="16634A09" w14:textId="77777777" w:rsidR="00F445CA" w:rsidRPr="00C63920" w:rsidRDefault="00F445CA" w:rsidP="00F445CA">
      <w:pPr>
        <w:spacing w:after="160" w:line="259" w:lineRule="auto"/>
        <w:rPr>
          <w:rFonts w:cs="Segoe UI"/>
          <w:u w:val="single"/>
          <w:lang w:eastAsia="zh-CN"/>
        </w:rPr>
      </w:pPr>
      <w:r w:rsidRPr="00D014F1">
        <w:rPr>
          <w:rFonts w:cs="Arial"/>
          <w:b/>
          <w:szCs w:val="18"/>
          <w:lang w:eastAsia="zh-CN"/>
        </w:rPr>
        <w:t>媒体联系人</w:t>
      </w:r>
    </w:p>
    <w:p w14:paraId="7A1BEF57" w14:textId="77777777" w:rsidR="00F445CA" w:rsidRPr="00D014F1" w:rsidRDefault="00F445CA" w:rsidP="00F445CA">
      <w:pPr>
        <w:tabs>
          <w:tab w:val="left" w:pos="851"/>
          <w:tab w:val="left" w:pos="4536"/>
          <w:tab w:val="left" w:pos="4962"/>
          <w:tab w:val="left" w:pos="5387"/>
        </w:tabs>
        <w:spacing w:line="360" w:lineRule="auto"/>
        <w:rPr>
          <w:rFonts w:cs="Arial"/>
          <w:b/>
          <w:sz w:val="20"/>
          <w:szCs w:val="18"/>
          <w:lang w:eastAsia="zh-CN"/>
        </w:rPr>
      </w:pPr>
      <w:r w:rsidRPr="00D014F1">
        <w:rPr>
          <w:rFonts w:cs="Arial"/>
          <w:b/>
          <w:sz w:val="20"/>
          <w:szCs w:val="18"/>
          <w:lang w:val="en-CA" w:eastAsia="de-DE"/>
        </w:rPr>
        <w:t xml:space="preserve">Liki </w:t>
      </w:r>
      <w:r w:rsidRPr="00D014F1">
        <w:rPr>
          <w:rFonts w:cs="Arial"/>
          <w:b/>
          <w:sz w:val="20"/>
          <w:szCs w:val="18"/>
          <w:lang w:val="en-CA" w:eastAsia="zh-CN"/>
        </w:rPr>
        <w:t>Qin</w:t>
      </w:r>
      <w:r w:rsidRPr="00D014F1">
        <w:rPr>
          <w:rFonts w:cs="Arial" w:hint="eastAsia"/>
          <w:b/>
          <w:sz w:val="20"/>
          <w:szCs w:val="18"/>
          <w:lang w:val="en-CA" w:eastAsia="zh-CN"/>
        </w:rPr>
        <w:t>秦莉佳</w:t>
      </w:r>
      <w:r w:rsidRPr="00D014F1">
        <w:rPr>
          <w:rFonts w:cs="Arial"/>
          <w:b/>
          <w:sz w:val="20"/>
          <w:szCs w:val="18"/>
          <w:lang w:eastAsia="de-DE"/>
        </w:rPr>
        <w:tab/>
      </w:r>
    </w:p>
    <w:p w14:paraId="1CB9E607" w14:textId="77777777" w:rsidR="00F445CA" w:rsidRPr="00D014F1" w:rsidRDefault="00F445CA" w:rsidP="00F445CA">
      <w:pPr>
        <w:tabs>
          <w:tab w:val="left" w:pos="851"/>
          <w:tab w:val="left" w:pos="4536"/>
          <w:tab w:val="left" w:pos="4962"/>
          <w:tab w:val="left" w:pos="5387"/>
        </w:tabs>
        <w:spacing w:line="360" w:lineRule="auto"/>
        <w:rPr>
          <w:rFonts w:cs="Arial"/>
          <w:color w:val="000000"/>
          <w:sz w:val="20"/>
          <w:szCs w:val="18"/>
          <w:lang w:eastAsia="de-DE"/>
        </w:rPr>
      </w:pPr>
      <w:r w:rsidRPr="00D014F1">
        <w:rPr>
          <w:rFonts w:cs="Arial" w:hint="eastAsia"/>
          <w:sz w:val="20"/>
          <w:szCs w:val="18"/>
          <w:lang w:eastAsia="zh-CN"/>
        </w:rPr>
        <w:t>电话</w:t>
      </w:r>
      <w:r w:rsidRPr="00D014F1">
        <w:rPr>
          <w:rFonts w:cs="Arial"/>
          <w:sz w:val="20"/>
          <w:szCs w:val="18"/>
          <w:lang w:eastAsia="de-DE"/>
        </w:rPr>
        <w:t xml:space="preserve">: </w:t>
      </w:r>
      <w:r w:rsidRPr="00D014F1">
        <w:rPr>
          <w:rFonts w:cs="Arial"/>
          <w:sz w:val="20"/>
          <w:szCs w:val="18"/>
          <w:lang w:val="en-CA" w:eastAsia="zh-CN"/>
        </w:rPr>
        <w:t>+86 21 2891 4386</w:t>
      </w:r>
      <w:r w:rsidRPr="00D014F1">
        <w:rPr>
          <w:rFonts w:cs="Arial"/>
          <w:sz w:val="20"/>
          <w:szCs w:val="18"/>
          <w:lang w:eastAsia="de-DE"/>
        </w:rPr>
        <w:tab/>
      </w:r>
    </w:p>
    <w:p w14:paraId="22BA531E" w14:textId="77777777" w:rsidR="00F445CA" w:rsidRPr="00DB6E05" w:rsidRDefault="00F445CA" w:rsidP="00F445CA">
      <w:pPr>
        <w:tabs>
          <w:tab w:val="left" w:pos="1080"/>
          <w:tab w:val="left" w:pos="4500"/>
        </w:tabs>
        <w:rPr>
          <w:rStyle w:val="AboutandContactBody"/>
          <w:rFonts w:asciiTheme="majorHAnsi" w:hAnsiTheme="majorHAnsi" w:cstheme="majorHAnsi"/>
          <w:b/>
          <w:szCs w:val="18"/>
          <w:lang w:eastAsia="zh-CN"/>
        </w:rPr>
      </w:pPr>
      <w:r w:rsidRPr="00D014F1">
        <w:rPr>
          <w:rFonts w:cs="Arial" w:hint="eastAsia"/>
          <w:sz w:val="20"/>
          <w:szCs w:val="18"/>
          <w:lang w:eastAsia="zh-CN"/>
        </w:rPr>
        <w:t>邮件</w:t>
      </w:r>
      <w:r w:rsidRPr="00D014F1">
        <w:rPr>
          <w:rFonts w:cs="Arial"/>
          <w:sz w:val="20"/>
          <w:szCs w:val="18"/>
          <w:lang w:eastAsia="de-DE"/>
        </w:rPr>
        <w:t xml:space="preserve">: </w:t>
      </w:r>
      <w:r w:rsidRPr="00D014F1">
        <w:rPr>
          <w:rFonts w:cs="Arial"/>
          <w:sz w:val="20"/>
          <w:lang w:val="en-CA" w:eastAsia="zh-CN"/>
        </w:rPr>
        <w:t>liki.qin@henkel.com</w:t>
      </w:r>
    </w:p>
    <w:p w14:paraId="727BE73F" w14:textId="77777777" w:rsidR="00F445CA" w:rsidRPr="00F445CA" w:rsidRDefault="00F445CA" w:rsidP="00EB6B21">
      <w:pPr>
        <w:rPr>
          <w:rStyle w:val="AboutandContactBody"/>
          <w:rFonts w:asciiTheme="majorHAnsi" w:hAnsiTheme="majorHAnsi" w:cs="Calibri Light"/>
          <w:color w:val="0000FF"/>
          <w:szCs w:val="18"/>
          <w:u w:val="single"/>
          <w:lang w:eastAsia="zh-CN"/>
        </w:rPr>
      </w:pPr>
    </w:p>
    <w:sectPr w:rsidR="00F445CA" w:rsidRPr="00F445CA" w:rsidSect="00F445CA">
      <w:headerReference w:type="even" r:id="rId13"/>
      <w:footerReference w:type="default" r:id="rId14"/>
      <w:headerReference w:type="first" r:id="rId15"/>
      <w:footerReference w:type="first" r:id="rId16"/>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5D95" w14:textId="77777777" w:rsidR="000C57A1" w:rsidRDefault="000C57A1">
      <w:r>
        <w:separator/>
      </w:r>
    </w:p>
  </w:endnote>
  <w:endnote w:type="continuationSeparator" w:id="0">
    <w:p w14:paraId="5C75AFC0" w14:textId="77777777" w:rsidR="000C57A1" w:rsidRDefault="000C57A1">
      <w:r>
        <w:continuationSeparator/>
      </w:r>
    </w:p>
  </w:endnote>
  <w:endnote w:type="continuationNotice" w:id="1">
    <w:p w14:paraId="33E58BFA" w14:textId="77777777" w:rsidR="000C57A1" w:rsidRDefault="000C57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742E" w14:textId="4CA80DDC" w:rsidR="001B05CA" w:rsidRDefault="00112A28" w:rsidP="00112A28">
    <w:pPr>
      <w:pStyle w:val="a4"/>
      <w:tabs>
        <w:tab w:val="clear" w:pos="7083"/>
        <w:tab w:val="clear" w:pos="8640"/>
        <w:tab w:val="right" w:pos="9071"/>
      </w:tabs>
      <w:jc w:val="both"/>
    </w:pPr>
    <w:r w:rsidRPr="00BF6E82">
      <w:t>Henkel AG &amp; Co. KGaA</w:t>
    </w:r>
    <w:r w:rsidR="003276D5">
      <w:tab/>
      <w:t>Page</w:t>
    </w:r>
    <w:r w:rsidR="003276D5" w:rsidRPr="00BF6E82">
      <w:t xml:space="preserve"> </w:t>
    </w:r>
    <w:r w:rsidR="003276D5" w:rsidRPr="00BF6E82">
      <w:fldChar w:fldCharType="begin"/>
    </w:r>
    <w:r w:rsidR="003276D5" w:rsidRPr="00BF6E82">
      <w:instrText xml:space="preserve"> PAGE  \* Arabic  \* MERGEFORMAT </w:instrText>
    </w:r>
    <w:r w:rsidR="003276D5" w:rsidRPr="00BF6E82">
      <w:fldChar w:fldCharType="separate"/>
    </w:r>
    <w:r w:rsidR="00930BF4">
      <w:t>6</w:t>
    </w:r>
    <w:r w:rsidR="003276D5" w:rsidRPr="00BF6E82">
      <w:fldChar w:fldCharType="end"/>
    </w:r>
    <w:r w:rsidR="003276D5" w:rsidRPr="00BF6E82">
      <w:t>/</w:t>
    </w:r>
    <w:r w:rsidR="00F445CA">
      <w:fldChar w:fldCharType="begin"/>
    </w:r>
    <w:r w:rsidR="00F445CA">
      <w:instrText xml:space="preserve"> NUMPAGES  \* Arabic  \* MERGEFORMAT </w:instrText>
    </w:r>
    <w:r w:rsidR="00F445CA">
      <w:fldChar w:fldCharType="separate"/>
    </w:r>
    <w:r w:rsidR="00930BF4">
      <w:t>9</w:t>
    </w:r>
    <w:r w:rsidR="00F445CA">
      <w:fldChar w:fldCharType="end"/>
    </w:r>
  </w:p>
  <w:p w14:paraId="637D10C9" w14:textId="797B4816" w:rsidR="00CF6F33" w:rsidRPr="00112A28" w:rsidRDefault="001B05CA" w:rsidP="00112A28">
    <w:pPr>
      <w:pStyle w:val="a4"/>
      <w:tabs>
        <w:tab w:val="clear" w:pos="7083"/>
        <w:tab w:val="clear" w:pos="8640"/>
        <w:tab w:val="right" w:pos="9071"/>
      </w:tabs>
      <w:jc w:val="both"/>
      <w:rPr>
        <w:lang w:eastAsia="zh-CN"/>
      </w:rPr>
    </w:pPr>
    <w:r>
      <w:rPr>
        <w:rFonts w:hint="eastAsia"/>
        <w:lang w:eastAsia="zh-CN"/>
      </w:rPr>
      <w:t>汉高股份有限及两合公司</w:t>
    </w:r>
    <w:r w:rsidR="00112A28">
      <w:rPr>
        <w:lang w:eastAsia="zh-CN"/>
      </w:rPr>
      <w:tab/>
    </w:r>
    <w:r w:rsidR="003276D5">
      <w:rPr>
        <w:rFonts w:hint="eastAsia"/>
        <w:lang w:eastAsia="zh-CN"/>
      </w:rPr>
      <w:t>页码</w:t>
    </w:r>
    <w:r w:rsidR="003276D5" w:rsidRPr="00992A11">
      <w:fldChar w:fldCharType="begin"/>
    </w:r>
    <w:r w:rsidR="003276D5" w:rsidRPr="00992A11">
      <w:rPr>
        <w:lang w:eastAsia="zh-CN"/>
      </w:rPr>
      <w:instrText xml:space="preserve"> PAGE  \* Arabic  \* MERGEFORMAT </w:instrText>
    </w:r>
    <w:r w:rsidR="003276D5" w:rsidRPr="00992A11">
      <w:fldChar w:fldCharType="separate"/>
    </w:r>
    <w:r w:rsidR="00930BF4">
      <w:rPr>
        <w:lang w:eastAsia="zh-CN"/>
      </w:rPr>
      <w:t>6</w:t>
    </w:r>
    <w:r w:rsidR="003276D5" w:rsidRPr="00992A11">
      <w:fldChar w:fldCharType="end"/>
    </w:r>
    <w:r w:rsidR="003276D5" w:rsidRPr="00992A11">
      <w:rPr>
        <w:lang w:eastAsia="zh-CN"/>
      </w:rPr>
      <w:t>/</w:t>
    </w:r>
    <w:r w:rsidR="003276D5" w:rsidRPr="00992A11">
      <w:fldChar w:fldCharType="begin"/>
    </w:r>
    <w:r w:rsidR="003276D5" w:rsidRPr="00992A11">
      <w:rPr>
        <w:lang w:eastAsia="zh-CN"/>
      </w:rPr>
      <w:instrText xml:space="preserve"> NUMPAGES  \* Arabic  \* MERGEFORMAT </w:instrText>
    </w:r>
    <w:r w:rsidR="003276D5" w:rsidRPr="00992A11">
      <w:fldChar w:fldCharType="separate"/>
    </w:r>
    <w:r w:rsidR="00930BF4">
      <w:rPr>
        <w:lang w:eastAsia="zh-CN"/>
      </w:rPr>
      <w:t>9</w:t>
    </w:r>
    <w:r w:rsidR="003276D5" w:rsidRPr="00992A1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A475" w14:textId="77777777" w:rsidR="009830C8" w:rsidRDefault="0059722C" w:rsidP="00992A11">
    <w:pPr>
      <w:pStyle w:val="a4"/>
    </w:pPr>
    <w:bookmarkStart w:id="9" w:name="_Hlk505758583"/>
    <w:r w:rsidRPr="00992A11">
      <w:rPr>
        <w:lang w:eastAsia="zh-CN"/>
      </w:rPr>
      <w:drawing>
        <wp:inline distT="0" distB="0" distL="0" distR="0" wp14:anchorId="4BF6D73A" wp14:editId="5BFDA98B">
          <wp:extent cx="5756910" cy="38481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inline>
      </w:drawing>
    </w:r>
    <w:bookmarkEnd w:id="9"/>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701"/>
    </w:tblGrid>
    <w:tr w:rsidR="009830C8" w14:paraId="3C7813AD" w14:textId="77777777" w:rsidTr="00930BF4">
      <w:tc>
        <w:tcPr>
          <w:tcW w:w="6374" w:type="dxa"/>
          <w:tcMar>
            <w:left w:w="0" w:type="dxa"/>
            <w:right w:w="0" w:type="dxa"/>
          </w:tcMar>
        </w:tcPr>
        <w:p w14:paraId="723B3445" w14:textId="77777777" w:rsidR="009830C8" w:rsidRDefault="009830C8" w:rsidP="009830C8">
          <w:pPr>
            <w:autoSpaceDE w:val="0"/>
            <w:autoSpaceDN w:val="0"/>
            <w:adjustRightInd w:val="0"/>
            <w:spacing w:after="60" w:line="240" w:lineRule="auto"/>
            <w:rPr>
              <w:sz w:val="16"/>
              <w:szCs w:val="16"/>
            </w:rPr>
          </w:pPr>
          <w:r w:rsidRPr="00677B12">
            <w:rPr>
              <w:sz w:val="16"/>
              <w:szCs w:val="16"/>
            </w:rPr>
            <w:t>* Adjusted for one-time expenses and income, and for restructuring expenses.</w:t>
          </w:r>
        </w:p>
        <w:p w14:paraId="367E5556" w14:textId="330DB5D9" w:rsidR="009830C8" w:rsidRDefault="009830C8" w:rsidP="009830C8">
          <w:pPr>
            <w:pStyle w:val="a4"/>
            <w:jc w:val="left"/>
            <w:rPr>
              <w:lang w:eastAsia="zh-CN"/>
            </w:rPr>
          </w:pPr>
          <w:r w:rsidRPr="001B05CA">
            <w:rPr>
              <w:rFonts w:hint="eastAsia"/>
              <w:sz w:val="16"/>
              <w:szCs w:val="16"/>
              <w:lang w:eastAsia="zh-CN"/>
            </w:rPr>
            <w:t xml:space="preserve">* </w:t>
          </w:r>
          <w:r w:rsidRPr="001B05CA">
            <w:rPr>
              <w:rFonts w:hint="eastAsia"/>
              <w:sz w:val="16"/>
              <w:szCs w:val="16"/>
              <w:lang w:eastAsia="zh-CN"/>
            </w:rPr>
            <w:t>对一次性费用和收入以及重组费用进行了调整。</w:t>
          </w:r>
        </w:p>
      </w:tc>
      <w:tc>
        <w:tcPr>
          <w:tcW w:w="2701" w:type="dxa"/>
          <w:tcMar>
            <w:left w:w="0" w:type="dxa"/>
            <w:right w:w="0" w:type="dxa"/>
          </w:tcMar>
          <w:vAlign w:val="center"/>
        </w:tcPr>
        <w:p w14:paraId="66D27986" w14:textId="0E4BAE2B" w:rsidR="009830C8" w:rsidRDefault="009830C8" w:rsidP="009830C8">
          <w:pPr>
            <w:pStyle w:val="a4"/>
          </w:pPr>
          <w:r>
            <w:t>Page</w:t>
          </w:r>
          <w:r w:rsidRPr="00992A11">
            <w:t xml:space="preserve"> </w:t>
          </w:r>
          <w:r w:rsidRPr="00992A11">
            <w:fldChar w:fldCharType="begin"/>
          </w:r>
          <w:r w:rsidRPr="00992A11">
            <w:instrText xml:space="preserve"> PAGE  \* Arabic  \* MERGEFORMAT </w:instrText>
          </w:r>
          <w:r w:rsidRPr="00992A11">
            <w:fldChar w:fldCharType="separate"/>
          </w:r>
          <w:r w:rsidR="00930BF4">
            <w:t>1</w:t>
          </w:r>
          <w:r w:rsidRPr="00992A11">
            <w:fldChar w:fldCharType="end"/>
          </w:r>
          <w:r w:rsidRPr="00992A11">
            <w:t>/</w:t>
          </w:r>
          <w:r w:rsidR="00F445CA">
            <w:fldChar w:fldCharType="begin"/>
          </w:r>
          <w:r w:rsidR="00F445CA">
            <w:instrText xml:space="preserve"> NUMPAGES  \* Arabic  \* MERGEFORMAT </w:instrText>
          </w:r>
          <w:r w:rsidR="00F445CA">
            <w:fldChar w:fldCharType="separate"/>
          </w:r>
          <w:r w:rsidR="00930BF4">
            <w:t>9</w:t>
          </w:r>
          <w:r w:rsidR="00F445CA">
            <w:fldChar w:fldCharType="end"/>
          </w:r>
        </w:p>
        <w:p w14:paraId="279C911F" w14:textId="735AF74E" w:rsidR="009830C8" w:rsidRDefault="009830C8" w:rsidP="009830C8">
          <w:pPr>
            <w:pStyle w:val="a4"/>
          </w:pPr>
          <w:r>
            <w:rPr>
              <w:rFonts w:hint="eastAsia"/>
              <w:lang w:eastAsia="zh-CN"/>
            </w:rPr>
            <w:t>页码</w:t>
          </w:r>
          <w:r w:rsidRPr="00992A11">
            <w:fldChar w:fldCharType="begin"/>
          </w:r>
          <w:r w:rsidRPr="00992A11">
            <w:instrText xml:space="preserve"> PAGE  \* Arabic  \* MERGEFORMAT </w:instrText>
          </w:r>
          <w:r w:rsidRPr="00992A11">
            <w:fldChar w:fldCharType="separate"/>
          </w:r>
          <w:r w:rsidR="00930BF4">
            <w:t>1</w:t>
          </w:r>
          <w:r w:rsidRPr="00992A11">
            <w:fldChar w:fldCharType="end"/>
          </w:r>
          <w:r w:rsidRPr="00992A11">
            <w:t>/</w:t>
          </w:r>
          <w:r w:rsidR="00F445CA">
            <w:fldChar w:fldCharType="begin"/>
          </w:r>
          <w:r w:rsidR="00F445CA">
            <w:instrText xml:space="preserve"> NUMPAGES  \* Arabic  \* MERGEFORMAT </w:instrText>
          </w:r>
          <w:r w:rsidR="00F445CA">
            <w:fldChar w:fldCharType="separate"/>
          </w:r>
          <w:r w:rsidR="00930BF4">
            <w:t>9</w:t>
          </w:r>
          <w:r w:rsidR="00F445CA">
            <w:fldChar w:fldCharType="end"/>
          </w:r>
        </w:p>
      </w:tc>
    </w:tr>
  </w:tbl>
  <w:p w14:paraId="7A8912FD" w14:textId="77777777" w:rsidR="009830C8" w:rsidRPr="00930BF4" w:rsidRDefault="009830C8" w:rsidP="00930BF4">
    <w:pPr>
      <w:pStyle w:val="a4"/>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EE84" w14:textId="77777777" w:rsidR="000C57A1" w:rsidRDefault="000C57A1">
      <w:r>
        <w:separator/>
      </w:r>
    </w:p>
  </w:footnote>
  <w:footnote w:type="continuationSeparator" w:id="0">
    <w:p w14:paraId="6CB4818B" w14:textId="77777777" w:rsidR="000C57A1" w:rsidRDefault="000C57A1">
      <w:r>
        <w:continuationSeparator/>
      </w:r>
    </w:p>
  </w:footnote>
  <w:footnote w:type="continuationNotice" w:id="1">
    <w:p w14:paraId="52FAAA29" w14:textId="77777777" w:rsidR="000C57A1" w:rsidRDefault="000C57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6F2" w14:textId="23C96F0D" w:rsidR="00FE6DE5" w:rsidRDefault="0059722C" w:rsidP="00E67937">
    <w:pPr>
      <w:pStyle w:val="a3"/>
      <w:ind w:right="85"/>
      <w:contextualSpacing/>
    </w:pPr>
    <w:r w:rsidRPr="00EB46D9">
      <w:rPr>
        <w:noProof/>
        <w:lang w:eastAsia="zh-CN"/>
      </w:rPr>
      <w:drawing>
        <wp:anchor distT="0" distB="0" distL="114300" distR="114300" simplePos="0" relativeHeight="251659264" behindDoc="0" locked="0" layoutInCell="1" allowOverlap="1" wp14:anchorId="7FE073E5" wp14:editId="39B22C60">
          <wp:simplePos x="0" y="0"/>
          <wp:positionH relativeFrom="column">
            <wp:posOffset>4969254</wp:posOffset>
          </wp:positionH>
          <wp:positionV relativeFrom="paragraph">
            <wp:posOffset>-260742</wp:posOffset>
          </wp:positionV>
          <wp:extent cx="1051560" cy="603250"/>
          <wp:effectExtent l="0" t="0" r="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7A11E66"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67937">
      <w:rPr>
        <w:lang w:eastAsia="zh-CN"/>
      </w:rPr>
      <w:t xml:space="preserve">   </w:t>
    </w:r>
    <w:r w:rsidR="00E67937">
      <w:rPr>
        <w:rFonts w:hint="eastAsia"/>
        <w:lang w:eastAsia="zh-CN"/>
      </w:rPr>
      <w:t xml:space="preserve"> </w:t>
    </w:r>
    <w:r w:rsidR="00E67937">
      <w:rPr>
        <w:lang w:eastAsia="zh-CN"/>
      </w:rPr>
      <w:t xml:space="preserve">  </w:t>
    </w:r>
    <w:proofErr w:type="spellStart"/>
    <w:r w:rsidR="00FE6DE5" w:rsidRPr="00FE6DE5">
      <w:rPr>
        <w:rFonts w:hint="eastAsia"/>
      </w:rPr>
      <w:t>新闻稿</w:t>
    </w:r>
    <w:proofErr w:type="spellEnd"/>
  </w:p>
  <w:p w14:paraId="26DFA155" w14:textId="77777777" w:rsidR="004A047C" w:rsidRPr="004A047C" w:rsidRDefault="004A047C" w:rsidP="004A047C">
    <w:pPr>
      <w:pStyle w:val="a3"/>
      <w:spacing w:before="0"/>
      <w:contextualSpacing/>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17BB1CD1"/>
    <w:multiLevelType w:val="hybridMultilevel"/>
    <w:tmpl w:val="773827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0C1A7D"/>
    <w:multiLevelType w:val="hybridMultilevel"/>
    <w:tmpl w:val="11E02DF8"/>
    <w:lvl w:ilvl="0" w:tplc="FFFFFFFF">
      <w:start w:val="1"/>
      <w:numFmt w:val="bullet"/>
      <w:lvlText w:val=""/>
      <w:lvlJc w:val="left"/>
      <w:pPr>
        <w:ind w:left="720" w:hanging="360"/>
      </w:pPr>
      <w:rPr>
        <w:rFonts w:ascii="Wingdings" w:hAnsi="Wingdings" w:hint="default"/>
      </w:rPr>
    </w:lvl>
    <w:lvl w:ilvl="1" w:tplc="3F8A082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32690">
    <w:abstractNumId w:val="2"/>
  </w:num>
  <w:num w:numId="2" w16cid:durableId="410737939">
    <w:abstractNumId w:val="1"/>
  </w:num>
  <w:num w:numId="3" w16cid:durableId="1297839150">
    <w:abstractNumId w:val="12"/>
  </w:num>
  <w:num w:numId="4" w16cid:durableId="62221390">
    <w:abstractNumId w:val="8"/>
  </w:num>
  <w:num w:numId="5" w16cid:durableId="2056005372">
    <w:abstractNumId w:val="6"/>
  </w:num>
  <w:num w:numId="6" w16cid:durableId="1113286875">
    <w:abstractNumId w:val="10"/>
  </w:num>
  <w:num w:numId="7" w16cid:durableId="1961380594">
    <w:abstractNumId w:val="7"/>
  </w:num>
  <w:num w:numId="8" w16cid:durableId="1148546462">
    <w:abstractNumId w:val="0"/>
  </w:num>
  <w:num w:numId="9" w16cid:durableId="1163203982">
    <w:abstractNumId w:val="11"/>
  </w:num>
  <w:num w:numId="10" w16cid:durableId="609823308">
    <w:abstractNumId w:val="3"/>
  </w:num>
  <w:num w:numId="11" w16cid:durableId="1414353667">
    <w:abstractNumId w:val="5"/>
  </w:num>
  <w:num w:numId="12" w16cid:durableId="132869000">
    <w:abstractNumId w:val="4"/>
  </w:num>
  <w:num w:numId="13" w16cid:durableId="1555507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9CE"/>
    <w:rsid w:val="00011965"/>
    <w:rsid w:val="0001330B"/>
    <w:rsid w:val="0001450F"/>
    <w:rsid w:val="00016137"/>
    <w:rsid w:val="00021C67"/>
    <w:rsid w:val="00023871"/>
    <w:rsid w:val="000248A2"/>
    <w:rsid w:val="00027A10"/>
    <w:rsid w:val="000301F0"/>
    <w:rsid w:val="00030557"/>
    <w:rsid w:val="0003067C"/>
    <w:rsid w:val="000306D6"/>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52E9"/>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92"/>
    <w:rsid w:val="00085ABA"/>
    <w:rsid w:val="00090686"/>
    <w:rsid w:val="00091B67"/>
    <w:rsid w:val="000925EE"/>
    <w:rsid w:val="000937E1"/>
    <w:rsid w:val="00093A76"/>
    <w:rsid w:val="0009628B"/>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11EE"/>
    <w:rsid w:val="000C210A"/>
    <w:rsid w:val="000C27E5"/>
    <w:rsid w:val="000C386C"/>
    <w:rsid w:val="000C56DD"/>
    <w:rsid w:val="000C57A1"/>
    <w:rsid w:val="000C7C41"/>
    <w:rsid w:val="000D052E"/>
    <w:rsid w:val="000D10D2"/>
    <w:rsid w:val="000D1672"/>
    <w:rsid w:val="000D178A"/>
    <w:rsid w:val="000D6C67"/>
    <w:rsid w:val="000E0FB6"/>
    <w:rsid w:val="000E1B84"/>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B5F"/>
    <w:rsid w:val="001162B4"/>
    <w:rsid w:val="001210D4"/>
    <w:rsid w:val="00122CBC"/>
    <w:rsid w:val="00124903"/>
    <w:rsid w:val="00124EA9"/>
    <w:rsid w:val="00126C65"/>
    <w:rsid w:val="00126D4A"/>
    <w:rsid w:val="00127F6F"/>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9"/>
    <w:rsid w:val="0015340B"/>
    <w:rsid w:val="001577E9"/>
    <w:rsid w:val="0016124B"/>
    <w:rsid w:val="0016138C"/>
    <w:rsid w:val="00161C1B"/>
    <w:rsid w:val="00161FC1"/>
    <w:rsid w:val="00162D60"/>
    <w:rsid w:val="001640D5"/>
    <w:rsid w:val="001659FB"/>
    <w:rsid w:val="001660C5"/>
    <w:rsid w:val="001669CF"/>
    <w:rsid w:val="0017153B"/>
    <w:rsid w:val="00171F93"/>
    <w:rsid w:val="00172C99"/>
    <w:rsid w:val="00172DB2"/>
    <w:rsid w:val="001731CE"/>
    <w:rsid w:val="00175C72"/>
    <w:rsid w:val="0017764D"/>
    <w:rsid w:val="00181B06"/>
    <w:rsid w:val="00182C40"/>
    <w:rsid w:val="0018501C"/>
    <w:rsid w:val="00185167"/>
    <w:rsid w:val="001852F7"/>
    <w:rsid w:val="00186228"/>
    <w:rsid w:val="001862F7"/>
    <w:rsid w:val="001869C4"/>
    <w:rsid w:val="001869DB"/>
    <w:rsid w:val="001869F6"/>
    <w:rsid w:val="00186A75"/>
    <w:rsid w:val="00190A13"/>
    <w:rsid w:val="00191198"/>
    <w:rsid w:val="0019635E"/>
    <w:rsid w:val="00196956"/>
    <w:rsid w:val="00197E9B"/>
    <w:rsid w:val="001A382F"/>
    <w:rsid w:val="001A3D77"/>
    <w:rsid w:val="001A4417"/>
    <w:rsid w:val="001A62F7"/>
    <w:rsid w:val="001A71DA"/>
    <w:rsid w:val="001A7D44"/>
    <w:rsid w:val="001B05CA"/>
    <w:rsid w:val="001B1523"/>
    <w:rsid w:val="001B594A"/>
    <w:rsid w:val="001B5B6F"/>
    <w:rsid w:val="001B771D"/>
    <w:rsid w:val="001B7C20"/>
    <w:rsid w:val="001C0B32"/>
    <w:rsid w:val="001C158C"/>
    <w:rsid w:val="001C2D66"/>
    <w:rsid w:val="001C36F7"/>
    <w:rsid w:val="001C4530"/>
    <w:rsid w:val="001C4BE1"/>
    <w:rsid w:val="001D5E07"/>
    <w:rsid w:val="001D63E7"/>
    <w:rsid w:val="001D6FBE"/>
    <w:rsid w:val="001D7ADF"/>
    <w:rsid w:val="001E0F71"/>
    <w:rsid w:val="001E1CF5"/>
    <w:rsid w:val="001E201D"/>
    <w:rsid w:val="001E21F7"/>
    <w:rsid w:val="001E2B9B"/>
    <w:rsid w:val="001E3D73"/>
    <w:rsid w:val="001E4CCB"/>
    <w:rsid w:val="001E668B"/>
    <w:rsid w:val="001E683F"/>
    <w:rsid w:val="001E6D05"/>
    <w:rsid w:val="001E7114"/>
    <w:rsid w:val="001E73E8"/>
    <w:rsid w:val="001E7C28"/>
    <w:rsid w:val="001F13BA"/>
    <w:rsid w:val="001F1BDF"/>
    <w:rsid w:val="001F2CD0"/>
    <w:rsid w:val="001F35F8"/>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5425"/>
    <w:rsid w:val="00276B8D"/>
    <w:rsid w:val="00277A1F"/>
    <w:rsid w:val="002803C4"/>
    <w:rsid w:val="00281D14"/>
    <w:rsid w:val="00282C13"/>
    <w:rsid w:val="002833D8"/>
    <w:rsid w:val="00283ECC"/>
    <w:rsid w:val="00284BFB"/>
    <w:rsid w:val="00285FD5"/>
    <w:rsid w:val="00286134"/>
    <w:rsid w:val="00286BF6"/>
    <w:rsid w:val="00286D11"/>
    <w:rsid w:val="0028701A"/>
    <w:rsid w:val="00295D74"/>
    <w:rsid w:val="002A0DF7"/>
    <w:rsid w:val="002A1168"/>
    <w:rsid w:val="002A2975"/>
    <w:rsid w:val="002A460D"/>
    <w:rsid w:val="002A5EE9"/>
    <w:rsid w:val="002A60E0"/>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88F"/>
    <w:rsid w:val="002E7DED"/>
    <w:rsid w:val="002F1024"/>
    <w:rsid w:val="002F5997"/>
    <w:rsid w:val="002F74EB"/>
    <w:rsid w:val="002F7E11"/>
    <w:rsid w:val="00302CF9"/>
    <w:rsid w:val="00304087"/>
    <w:rsid w:val="003057B1"/>
    <w:rsid w:val="00305E30"/>
    <w:rsid w:val="003062AD"/>
    <w:rsid w:val="00310ACD"/>
    <w:rsid w:val="00312834"/>
    <w:rsid w:val="0031379F"/>
    <w:rsid w:val="00315190"/>
    <w:rsid w:val="0031621E"/>
    <w:rsid w:val="00316A16"/>
    <w:rsid w:val="00320568"/>
    <w:rsid w:val="00320A26"/>
    <w:rsid w:val="00321174"/>
    <w:rsid w:val="00321344"/>
    <w:rsid w:val="003223E6"/>
    <w:rsid w:val="00325064"/>
    <w:rsid w:val="00325EC9"/>
    <w:rsid w:val="00325EEF"/>
    <w:rsid w:val="003276D5"/>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AA1"/>
    <w:rsid w:val="00370A5B"/>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887"/>
    <w:rsid w:val="00394C6B"/>
    <w:rsid w:val="003957E0"/>
    <w:rsid w:val="00397EE6"/>
    <w:rsid w:val="003A066C"/>
    <w:rsid w:val="003A3FD5"/>
    <w:rsid w:val="003A4E2E"/>
    <w:rsid w:val="003A4E62"/>
    <w:rsid w:val="003A5A6A"/>
    <w:rsid w:val="003B0EC7"/>
    <w:rsid w:val="003B1069"/>
    <w:rsid w:val="003B1D7A"/>
    <w:rsid w:val="003B24FA"/>
    <w:rsid w:val="003B38CC"/>
    <w:rsid w:val="003B390A"/>
    <w:rsid w:val="003B3C91"/>
    <w:rsid w:val="003B4E3A"/>
    <w:rsid w:val="003B5E62"/>
    <w:rsid w:val="003C03CB"/>
    <w:rsid w:val="003C15DE"/>
    <w:rsid w:val="003C2889"/>
    <w:rsid w:val="003C342D"/>
    <w:rsid w:val="003C4EB2"/>
    <w:rsid w:val="003C52EC"/>
    <w:rsid w:val="003C5BF5"/>
    <w:rsid w:val="003C6D8F"/>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401508"/>
    <w:rsid w:val="00401688"/>
    <w:rsid w:val="0040386D"/>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39B2"/>
    <w:rsid w:val="00434DCD"/>
    <w:rsid w:val="004375F6"/>
    <w:rsid w:val="00441A3A"/>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FEC"/>
    <w:rsid w:val="004736A3"/>
    <w:rsid w:val="0047563F"/>
    <w:rsid w:val="00475CDA"/>
    <w:rsid w:val="00477F71"/>
    <w:rsid w:val="00482474"/>
    <w:rsid w:val="00483F75"/>
    <w:rsid w:val="004858E1"/>
    <w:rsid w:val="004858FC"/>
    <w:rsid w:val="004864A1"/>
    <w:rsid w:val="00486EE0"/>
    <w:rsid w:val="00490A03"/>
    <w:rsid w:val="00492B0A"/>
    <w:rsid w:val="00493327"/>
    <w:rsid w:val="0049382E"/>
    <w:rsid w:val="004947F2"/>
    <w:rsid w:val="00494DBE"/>
    <w:rsid w:val="0049579A"/>
    <w:rsid w:val="00495CE6"/>
    <w:rsid w:val="004968C3"/>
    <w:rsid w:val="004A047C"/>
    <w:rsid w:val="004A0DDD"/>
    <w:rsid w:val="004A144D"/>
    <w:rsid w:val="004A1D27"/>
    <w:rsid w:val="004A323C"/>
    <w:rsid w:val="004A42F9"/>
    <w:rsid w:val="004B0801"/>
    <w:rsid w:val="004B0AC6"/>
    <w:rsid w:val="004B0DAF"/>
    <w:rsid w:val="004B0F56"/>
    <w:rsid w:val="004B1117"/>
    <w:rsid w:val="004B1A6B"/>
    <w:rsid w:val="004B26B1"/>
    <w:rsid w:val="004B54E8"/>
    <w:rsid w:val="004B7CCC"/>
    <w:rsid w:val="004C0138"/>
    <w:rsid w:val="004C034F"/>
    <w:rsid w:val="004C12E8"/>
    <w:rsid w:val="004C1578"/>
    <w:rsid w:val="004C1871"/>
    <w:rsid w:val="004C18DD"/>
    <w:rsid w:val="004C2B18"/>
    <w:rsid w:val="004C3049"/>
    <w:rsid w:val="004C33BA"/>
    <w:rsid w:val="004C4FEB"/>
    <w:rsid w:val="004C5865"/>
    <w:rsid w:val="004C5AF1"/>
    <w:rsid w:val="004C5CA1"/>
    <w:rsid w:val="004C5EEF"/>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73CE"/>
    <w:rsid w:val="004E768A"/>
    <w:rsid w:val="004E77CD"/>
    <w:rsid w:val="004F10C1"/>
    <w:rsid w:val="004F25C7"/>
    <w:rsid w:val="004F2CFC"/>
    <w:rsid w:val="004F5AD9"/>
    <w:rsid w:val="004F6D54"/>
    <w:rsid w:val="00501A50"/>
    <w:rsid w:val="00501D3D"/>
    <w:rsid w:val="00501F2F"/>
    <w:rsid w:val="00502E62"/>
    <w:rsid w:val="0050484D"/>
    <w:rsid w:val="00505B81"/>
    <w:rsid w:val="00506B8A"/>
    <w:rsid w:val="00511B95"/>
    <w:rsid w:val="0051248E"/>
    <w:rsid w:val="005126C5"/>
    <w:rsid w:val="00512C04"/>
    <w:rsid w:val="00513973"/>
    <w:rsid w:val="005141E6"/>
    <w:rsid w:val="0052021B"/>
    <w:rsid w:val="0052212B"/>
    <w:rsid w:val="005230C7"/>
    <w:rsid w:val="00524226"/>
    <w:rsid w:val="00524C6B"/>
    <w:rsid w:val="00524E8A"/>
    <w:rsid w:val="00525A94"/>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35DF"/>
    <w:rsid w:val="0055571E"/>
    <w:rsid w:val="0055642B"/>
    <w:rsid w:val="00556CDB"/>
    <w:rsid w:val="00556F67"/>
    <w:rsid w:val="0056111A"/>
    <w:rsid w:val="005617FD"/>
    <w:rsid w:val="005652E8"/>
    <w:rsid w:val="00570BC4"/>
    <w:rsid w:val="005718D0"/>
    <w:rsid w:val="00575196"/>
    <w:rsid w:val="00575323"/>
    <w:rsid w:val="005761BA"/>
    <w:rsid w:val="0057667C"/>
    <w:rsid w:val="00576BDA"/>
    <w:rsid w:val="0057707E"/>
    <w:rsid w:val="00577C84"/>
    <w:rsid w:val="0058042D"/>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30D7"/>
    <w:rsid w:val="005A3846"/>
    <w:rsid w:val="005A4685"/>
    <w:rsid w:val="005A5444"/>
    <w:rsid w:val="005A63CE"/>
    <w:rsid w:val="005A7E97"/>
    <w:rsid w:val="005B2688"/>
    <w:rsid w:val="005B2CD2"/>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1F6"/>
    <w:rsid w:val="005E134A"/>
    <w:rsid w:val="005E3864"/>
    <w:rsid w:val="005E3EAB"/>
    <w:rsid w:val="005E3FBB"/>
    <w:rsid w:val="005E4D22"/>
    <w:rsid w:val="005E69D9"/>
    <w:rsid w:val="005F27F4"/>
    <w:rsid w:val="005F3239"/>
    <w:rsid w:val="005F5915"/>
    <w:rsid w:val="005F6567"/>
    <w:rsid w:val="005F71F8"/>
    <w:rsid w:val="005F7A8A"/>
    <w:rsid w:val="00600A5E"/>
    <w:rsid w:val="00600ACF"/>
    <w:rsid w:val="00601ED3"/>
    <w:rsid w:val="006034EA"/>
    <w:rsid w:val="00603C79"/>
    <w:rsid w:val="00604D69"/>
    <w:rsid w:val="00607094"/>
    <w:rsid w:val="00607256"/>
    <w:rsid w:val="0060790C"/>
    <w:rsid w:val="00610BF6"/>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6513"/>
    <w:rsid w:val="00660488"/>
    <w:rsid w:val="006614FF"/>
    <w:rsid w:val="0066187E"/>
    <w:rsid w:val="006626CA"/>
    <w:rsid w:val="00663166"/>
    <w:rsid w:val="00663487"/>
    <w:rsid w:val="006655D3"/>
    <w:rsid w:val="00665D65"/>
    <w:rsid w:val="00671877"/>
    <w:rsid w:val="00672382"/>
    <w:rsid w:val="00672A83"/>
    <w:rsid w:val="00676CCD"/>
    <w:rsid w:val="00677016"/>
    <w:rsid w:val="00677B12"/>
    <w:rsid w:val="006811F8"/>
    <w:rsid w:val="00681257"/>
    <w:rsid w:val="00681524"/>
    <w:rsid w:val="00682643"/>
    <w:rsid w:val="00682EB9"/>
    <w:rsid w:val="0068441A"/>
    <w:rsid w:val="00686568"/>
    <w:rsid w:val="006868A3"/>
    <w:rsid w:val="006908AC"/>
    <w:rsid w:val="00690B19"/>
    <w:rsid w:val="00690DA0"/>
    <w:rsid w:val="006959E9"/>
    <w:rsid w:val="00695EBB"/>
    <w:rsid w:val="00697921"/>
    <w:rsid w:val="00697E10"/>
    <w:rsid w:val="006A0A3C"/>
    <w:rsid w:val="006A0C4A"/>
    <w:rsid w:val="006A17C9"/>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5032"/>
    <w:rsid w:val="006E5721"/>
    <w:rsid w:val="006E5BDA"/>
    <w:rsid w:val="006F056C"/>
    <w:rsid w:val="006F0FC7"/>
    <w:rsid w:val="006F2E17"/>
    <w:rsid w:val="006F39A9"/>
    <w:rsid w:val="006F3D20"/>
    <w:rsid w:val="006F4119"/>
    <w:rsid w:val="006F53D0"/>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D09"/>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993"/>
    <w:rsid w:val="007859F0"/>
    <w:rsid w:val="007859F2"/>
    <w:rsid w:val="00785E5A"/>
    <w:rsid w:val="007866E2"/>
    <w:rsid w:val="00786BA3"/>
    <w:rsid w:val="00791B1A"/>
    <w:rsid w:val="0079202F"/>
    <w:rsid w:val="007934C3"/>
    <w:rsid w:val="00793A4C"/>
    <w:rsid w:val="00794903"/>
    <w:rsid w:val="00795AF2"/>
    <w:rsid w:val="00795E4F"/>
    <w:rsid w:val="00795FB8"/>
    <w:rsid w:val="00797060"/>
    <w:rsid w:val="007A09FC"/>
    <w:rsid w:val="007A22C8"/>
    <w:rsid w:val="007A2AAD"/>
    <w:rsid w:val="007A3400"/>
    <w:rsid w:val="007A4021"/>
    <w:rsid w:val="007A4432"/>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CA"/>
    <w:rsid w:val="007D0000"/>
    <w:rsid w:val="007D2A02"/>
    <w:rsid w:val="007D62A4"/>
    <w:rsid w:val="007D6CEB"/>
    <w:rsid w:val="007E1736"/>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00E4"/>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12FE"/>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6CDD"/>
    <w:rsid w:val="008712FE"/>
    <w:rsid w:val="0087142D"/>
    <w:rsid w:val="00872928"/>
    <w:rsid w:val="00873416"/>
    <w:rsid w:val="00873956"/>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A61"/>
    <w:rsid w:val="00891B1A"/>
    <w:rsid w:val="00893244"/>
    <w:rsid w:val="00893C31"/>
    <w:rsid w:val="00896AE5"/>
    <w:rsid w:val="0089796A"/>
    <w:rsid w:val="008A2375"/>
    <w:rsid w:val="008A2D8E"/>
    <w:rsid w:val="008A40F7"/>
    <w:rsid w:val="008A48B1"/>
    <w:rsid w:val="008A54B6"/>
    <w:rsid w:val="008B072B"/>
    <w:rsid w:val="008B119F"/>
    <w:rsid w:val="008B251E"/>
    <w:rsid w:val="008B73F3"/>
    <w:rsid w:val="008C02E6"/>
    <w:rsid w:val="008C5181"/>
    <w:rsid w:val="008C5401"/>
    <w:rsid w:val="008C6041"/>
    <w:rsid w:val="008C6257"/>
    <w:rsid w:val="008C74E3"/>
    <w:rsid w:val="008D6264"/>
    <w:rsid w:val="008D693B"/>
    <w:rsid w:val="008D76C5"/>
    <w:rsid w:val="008D7C03"/>
    <w:rsid w:val="008E0A04"/>
    <w:rsid w:val="008E0AFA"/>
    <w:rsid w:val="008E5D13"/>
    <w:rsid w:val="008E709A"/>
    <w:rsid w:val="008E72C0"/>
    <w:rsid w:val="008E75D3"/>
    <w:rsid w:val="008E7BE6"/>
    <w:rsid w:val="008F02C0"/>
    <w:rsid w:val="008F02E9"/>
    <w:rsid w:val="008F0CE4"/>
    <w:rsid w:val="008F1154"/>
    <w:rsid w:val="008F125E"/>
    <w:rsid w:val="008F1C0E"/>
    <w:rsid w:val="008F2B54"/>
    <w:rsid w:val="008F4C1E"/>
    <w:rsid w:val="008F4D2F"/>
    <w:rsid w:val="008F510A"/>
    <w:rsid w:val="008F60C7"/>
    <w:rsid w:val="008F66C9"/>
    <w:rsid w:val="00900235"/>
    <w:rsid w:val="00900440"/>
    <w:rsid w:val="00900745"/>
    <w:rsid w:val="0090219E"/>
    <w:rsid w:val="009038F5"/>
    <w:rsid w:val="00906292"/>
    <w:rsid w:val="00906C23"/>
    <w:rsid w:val="009110EF"/>
    <w:rsid w:val="009111C4"/>
    <w:rsid w:val="009129D2"/>
    <w:rsid w:val="009131D7"/>
    <w:rsid w:val="0091387F"/>
    <w:rsid w:val="00914B5B"/>
    <w:rsid w:val="00917162"/>
    <w:rsid w:val="009172B9"/>
    <w:rsid w:val="009178AA"/>
    <w:rsid w:val="00917E21"/>
    <w:rsid w:val="00921203"/>
    <w:rsid w:val="00921F99"/>
    <w:rsid w:val="00923D29"/>
    <w:rsid w:val="009242C4"/>
    <w:rsid w:val="00924484"/>
    <w:rsid w:val="009251CC"/>
    <w:rsid w:val="00925E5C"/>
    <w:rsid w:val="0092714E"/>
    <w:rsid w:val="00930BF4"/>
    <w:rsid w:val="009324F0"/>
    <w:rsid w:val="0094024E"/>
    <w:rsid w:val="00942002"/>
    <w:rsid w:val="00942359"/>
    <w:rsid w:val="00943626"/>
    <w:rsid w:val="00944828"/>
    <w:rsid w:val="00944A6B"/>
    <w:rsid w:val="00945BE7"/>
    <w:rsid w:val="00945C90"/>
    <w:rsid w:val="00947885"/>
    <w:rsid w:val="00947BC2"/>
    <w:rsid w:val="009504AB"/>
    <w:rsid w:val="0095097D"/>
    <w:rsid w:val="00950ED1"/>
    <w:rsid w:val="00951212"/>
    <w:rsid w:val="00952168"/>
    <w:rsid w:val="009527FE"/>
    <w:rsid w:val="009529B2"/>
    <w:rsid w:val="009535A6"/>
    <w:rsid w:val="009544C4"/>
    <w:rsid w:val="00957184"/>
    <w:rsid w:val="00960539"/>
    <w:rsid w:val="0096143C"/>
    <w:rsid w:val="00962BA6"/>
    <w:rsid w:val="009636D3"/>
    <w:rsid w:val="00963F42"/>
    <w:rsid w:val="009652C7"/>
    <w:rsid w:val="00971FD4"/>
    <w:rsid w:val="009739A0"/>
    <w:rsid w:val="00974150"/>
    <w:rsid w:val="00974715"/>
    <w:rsid w:val="00974EE4"/>
    <w:rsid w:val="00974F84"/>
    <w:rsid w:val="00976216"/>
    <w:rsid w:val="009767C7"/>
    <w:rsid w:val="00976B7D"/>
    <w:rsid w:val="009830C8"/>
    <w:rsid w:val="00983C3D"/>
    <w:rsid w:val="0098579A"/>
    <w:rsid w:val="00990CCD"/>
    <w:rsid w:val="00991475"/>
    <w:rsid w:val="009918DD"/>
    <w:rsid w:val="0099195A"/>
    <w:rsid w:val="00992A11"/>
    <w:rsid w:val="00992B85"/>
    <w:rsid w:val="009935EE"/>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3FFB"/>
    <w:rsid w:val="009C4D35"/>
    <w:rsid w:val="009C5549"/>
    <w:rsid w:val="009D1522"/>
    <w:rsid w:val="009D3AA9"/>
    <w:rsid w:val="009D3AE8"/>
    <w:rsid w:val="009D5DB5"/>
    <w:rsid w:val="009D685C"/>
    <w:rsid w:val="009D7252"/>
    <w:rsid w:val="009D7CC0"/>
    <w:rsid w:val="009E3A90"/>
    <w:rsid w:val="009E53BC"/>
    <w:rsid w:val="009E5EB4"/>
    <w:rsid w:val="009E6C17"/>
    <w:rsid w:val="009E7A25"/>
    <w:rsid w:val="009E7E14"/>
    <w:rsid w:val="009F01FB"/>
    <w:rsid w:val="009F21A7"/>
    <w:rsid w:val="009F23DB"/>
    <w:rsid w:val="009F563C"/>
    <w:rsid w:val="009F610E"/>
    <w:rsid w:val="009F6400"/>
    <w:rsid w:val="00A00AF2"/>
    <w:rsid w:val="00A00F7E"/>
    <w:rsid w:val="00A01569"/>
    <w:rsid w:val="00A01F37"/>
    <w:rsid w:val="00A044D6"/>
    <w:rsid w:val="00A04ADB"/>
    <w:rsid w:val="00A04D86"/>
    <w:rsid w:val="00A04F89"/>
    <w:rsid w:val="00A05A57"/>
    <w:rsid w:val="00A05F11"/>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F82"/>
    <w:rsid w:val="00A32F8B"/>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81"/>
    <w:rsid w:val="00A629D6"/>
    <w:rsid w:val="00A62C66"/>
    <w:rsid w:val="00A632DC"/>
    <w:rsid w:val="00A637C9"/>
    <w:rsid w:val="00A64055"/>
    <w:rsid w:val="00A66636"/>
    <w:rsid w:val="00A66DB1"/>
    <w:rsid w:val="00A67A92"/>
    <w:rsid w:val="00A70DC6"/>
    <w:rsid w:val="00A71A39"/>
    <w:rsid w:val="00A74E67"/>
    <w:rsid w:val="00A74FA3"/>
    <w:rsid w:val="00A770B5"/>
    <w:rsid w:val="00A8130E"/>
    <w:rsid w:val="00A834FD"/>
    <w:rsid w:val="00A83616"/>
    <w:rsid w:val="00A842D5"/>
    <w:rsid w:val="00A85AD0"/>
    <w:rsid w:val="00A86644"/>
    <w:rsid w:val="00A87870"/>
    <w:rsid w:val="00A90492"/>
    <w:rsid w:val="00A91A70"/>
    <w:rsid w:val="00A92740"/>
    <w:rsid w:val="00A9290C"/>
    <w:rsid w:val="00A9415A"/>
    <w:rsid w:val="00A944BB"/>
    <w:rsid w:val="00A95622"/>
    <w:rsid w:val="00A957F6"/>
    <w:rsid w:val="00A97316"/>
    <w:rsid w:val="00A97524"/>
    <w:rsid w:val="00AA0B29"/>
    <w:rsid w:val="00AA0D54"/>
    <w:rsid w:val="00AA1B85"/>
    <w:rsid w:val="00AA3290"/>
    <w:rsid w:val="00AB1CB6"/>
    <w:rsid w:val="00AB1D9A"/>
    <w:rsid w:val="00AB2B21"/>
    <w:rsid w:val="00AB333F"/>
    <w:rsid w:val="00AB47EC"/>
    <w:rsid w:val="00AB5217"/>
    <w:rsid w:val="00AB6761"/>
    <w:rsid w:val="00AC234B"/>
    <w:rsid w:val="00AC3540"/>
    <w:rsid w:val="00AC50FB"/>
    <w:rsid w:val="00AC546B"/>
    <w:rsid w:val="00AC63A8"/>
    <w:rsid w:val="00AD0109"/>
    <w:rsid w:val="00AD0A56"/>
    <w:rsid w:val="00AD0C22"/>
    <w:rsid w:val="00AD0EBA"/>
    <w:rsid w:val="00AD442C"/>
    <w:rsid w:val="00AD44FE"/>
    <w:rsid w:val="00AD5A37"/>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7CC9"/>
    <w:rsid w:val="00AF5B77"/>
    <w:rsid w:val="00AF7875"/>
    <w:rsid w:val="00B05CCA"/>
    <w:rsid w:val="00B06D92"/>
    <w:rsid w:val="00B07125"/>
    <w:rsid w:val="00B10556"/>
    <w:rsid w:val="00B1132A"/>
    <w:rsid w:val="00B12B54"/>
    <w:rsid w:val="00B14271"/>
    <w:rsid w:val="00B14B02"/>
    <w:rsid w:val="00B16230"/>
    <w:rsid w:val="00B16270"/>
    <w:rsid w:val="00B1753B"/>
    <w:rsid w:val="00B216CE"/>
    <w:rsid w:val="00B23C16"/>
    <w:rsid w:val="00B23C52"/>
    <w:rsid w:val="00B2438D"/>
    <w:rsid w:val="00B259E1"/>
    <w:rsid w:val="00B2617F"/>
    <w:rsid w:val="00B2685D"/>
    <w:rsid w:val="00B30351"/>
    <w:rsid w:val="00B32FB2"/>
    <w:rsid w:val="00B33C2A"/>
    <w:rsid w:val="00B350BA"/>
    <w:rsid w:val="00B35967"/>
    <w:rsid w:val="00B422EC"/>
    <w:rsid w:val="00B42305"/>
    <w:rsid w:val="00B44875"/>
    <w:rsid w:val="00B460B5"/>
    <w:rsid w:val="00B47F0A"/>
    <w:rsid w:val="00B50018"/>
    <w:rsid w:val="00B50B6B"/>
    <w:rsid w:val="00B517CD"/>
    <w:rsid w:val="00B54885"/>
    <w:rsid w:val="00B548BE"/>
    <w:rsid w:val="00B550DE"/>
    <w:rsid w:val="00B5534E"/>
    <w:rsid w:val="00B5562D"/>
    <w:rsid w:val="00B5628D"/>
    <w:rsid w:val="00B57B58"/>
    <w:rsid w:val="00B620B3"/>
    <w:rsid w:val="00B62DAB"/>
    <w:rsid w:val="00B634AB"/>
    <w:rsid w:val="00B63624"/>
    <w:rsid w:val="00B675CD"/>
    <w:rsid w:val="00B714EF"/>
    <w:rsid w:val="00B715CF"/>
    <w:rsid w:val="00B726D4"/>
    <w:rsid w:val="00B73A1C"/>
    <w:rsid w:val="00B748CA"/>
    <w:rsid w:val="00B75032"/>
    <w:rsid w:val="00B75A31"/>
    <w:rsid w:val="00B77B3C"/>
    <w:rsid w:val="00B80896"/>
    <w:rsid w:val="00B8214F"/>
    <w:rsid w:val="00B8230F"/>
    <w:rsid w:val="00B82B43"/>
    <w:rsid w:val="00B82B48"/>
    <w:rsid w:val="00B84AE3"/>
    <w:rsid w:val="00B85133"/>
    <w:rsid w:val="00B86A4F"/>
    <w:rsid w:val="00B879EB"/>
    <w:rsid w:val="00B921F8"/>
    <w:rsid w:val="00B93035"/>
    <w:rsid w:val="00B958E8"/>
    <w:rsid w:val="00B97CBC"/>
    <w:rsid w:val="00B97E4A"/>
    <w:rsid w:val="00BA09B2"/>
    <w:rsid w:val="00BA0F35"/>
    <w:rsid w:val="00BA1B56"/>
    <w:rsid w:val="00BA1EEC"/>
    <w:rsid w:val="00BA2B73"/>
    <w:rsid w:val="00BA465D"/>
    <w:rsid w:val="00BA5B46"/>
    <w:rsid w:val="00BA7464"/>
    <w:rsid w:val="00BA782A"/>
    <w:rsid w:val="00BB0327"/>
    <w:rsid w:val="00BB0734"/>
    <w:rsid w:val="00BB119F"/>
    <w:rsid w:val="00BB2930"/>
    <w:rsid w:val="00BB2D73"/>
    <w:rsid w:val="00BB45BA"/>
    <w:rsid w:val="00BB4A3A"/>
    <w:rsid w:val="00BB588E"/>
    <w:rsid w:val="00BB5D0B"/>
    <w:rsid w:val="00BB63A8"/>
    <w:rsid w:val="00BB7240"/>
    <w:rsid w:val="00BB7599"/>
    <w:rsid w:val="00BC0995"/>
    <w:rsid w:val="00BC0C51"/>
    <w:rsid w:val="00BC0F86"/>
    <w:rsid w:val="00BC179A"/>
    <w:rsid w:val="00BC3D1F"/>
    <w:rsid w:val="00BC61BB"/>
    <w:rsid w:val="00BC6DE2"/>
    <w:rsid w:val="00BC6E62"/>
    <w:rsid w:val="00BD0A65"/>
    <w:rsid w:val="00BD1A32"/>
    <w:rsid w:val="00BD3A53"/>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F0392"/>
    <w:rsid w:val="00BF10F4"/>
    <w:rsid w:val="00BF2B82"/>
    <w:rsid w:val="00BF33DD"/>
    <w:rsid w:val="00BF432A"/>
    <w:rsid w:val="00BF4E74"/>
    <w:rsid w:val="00BF60CD"/>
    <w:rsid w:val="00BF6E82"/>
    <w:rsid w:val="00BF6F12"/>
    <w:rsid w:val="00BF75BC"/>
    <w:rsid w:val="00C00075"/>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B4A"/>
    <w:rsid w:val="00C31148"/>
    <w:rsid w:val="00C31B75"/>
    <w:rsid w:val="00C34829"/>
    <w:rsid w:val="00C3628C"/>
    <w:rsid w:val="00C3758F"/>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63616"/>
    <w:rsid w:val="00C64D40"/>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905CB"/>
    <w:rsid w:val="00C95DF3"/>
    <w:rsid w:val="00C96A6A"/>
    <w:rsid w:val="00C97091"/>
    <w:rsid w:val="00C97260"/>
    <w:rsid w:val="00CA015E"/>
    <w:rsid w:val="00CA06AE"/>
    <w:rsid w:val="00CA2001"/>
    <w:rsid w:val="00CA2414"/>
    <w:rsid w:val="00CA38BC"/>
    <w:rsid w:val="00CA3B72"/>
    <w:rsid w:val="00CA7AC0"/>
    <w:rsid w:val="00CB3473"/>
    <w:rsid w:val="00CB3782"/>
    <w:rsid w:val="00CB4C21"/>
    <w:rsid w:val="00CB5076"/>
    <w:rsid w:val="00CB5B6C"/>
    <w:rsid w:val="00CB5C5D"/>
    <w:rsid w:val="00CC052E"/>
    <w:rsid w:val="00CC09CB"/>
    <w:rsid w:val="00CC16F9"/>
    <w:rsid w:val="00CC3B07"/>
    <w:rsid w:val="00CC7E82"/>
    <w:rsid w:val="00CD0294"/>
    <w:rsid w:val="00CD16BE"/>
    <w:rsid w:val="00CD2268"/>
    <w:rsid w:val="00CD25D3"/>
    <w:rsid w:val="00CD4616"/>
    <w:rsid w:val="00CD56AF"/>
    <w:rsid w:val="00CD586A"/>
    <w:rsid w:val="00CD6A08"/>
    <w:rsid w:val="00CE035D"/>
    <w:rsid w:val="00CE2A8C"/>
    <w:rsid w:val="00CE33D5"/>
    <w:rsid w:val="00CE4712"/>
    <w:rsid w:val="00CF06E0"/>
    <w:rsid w:val="00CF31C5"/>
    <w:rsid w:val="00CF44F7"/>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2FB4"/>
    <w:rsid w:val="00D152CF"/>
    <w:rsid w:val="00D15A3C"/>
    <w:rsid w:val="00D17E3B"/>
    <w:rsid w:val="00D20D1B"/>
    <w:rsid w:val="00D22B8D"/>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BFE"/>
    <w:rsid w:val="00D42585"/>
    <w:rsid w:val="00D438F3"/>
    <w:rsid w:val="00D44D58"/>
    <w:rsid w:val="00D44FB5"/>
    <w:rsid w:val="00D4700E"/>
    <w:rsid w:val="00D50248"/>
    <w:rsid w:val="00D50EEC"/>
    <w:rsid w:val="00D51350"/>
    <w:rsid w:val="00D5188C"/>
    <w:rsid w:val="00D519AF"/>
    <w:rsid w:val="00D532A9"/>
    <w:rsid w:val="00D53653"/>
    <w:rsid w:val="00D5437A"/>
    <w:rsid w:val="00D5611E"/>
    <w:rsid w:val="00D5653B"/>
    <w:rsid w:val="00D5726D"/>
    <w:rsid w:val="00D57B8C"/>
    <w:rsid w:val="00D60841"/>
    <w:rsid w:val="00D61D6E"/>
    <w:rsid w:val="00D62EF1"/>
    <w:rsid w:val="00D6309D"/>
    <w:rsid w:val="00D63915"/>
    <w:rsid w:val="00D644CA"/>
    <w:rsid w:val="00D64EA0"/>
    <w:rsid w:val="00D65828"/>
    <w:rsid w:val="00D66FC2"/>
    <w:rsid w:val="00D7044E"/>
    <w:rsid w:val="00D72DD3"/>
    <w:rsid w:val="00D72E1E"/>
    <w:rsid w:val="00D76C7E"/>
    <w:rsid w:val="00D771DE"/>
    <w:rsid w:val="00D7776D"/>
    <w:rsid w:val="00D834F1"/>
    <w:rsid w:val="00D835F6"/>
    <w:rsid w:val="00D83609"/>
    <w:rsid w:val="00D853FE"/>
    <w:rsid w:val="00D9088C"/>
    <w:rsid w:val="00D91F8D"/>
    <w:rsid w:val="00D92179"/>
    <w:rsid w:val="00D922C6"/>
    <w:rsid w:val="00D9293F"/>
    <w:rsid w:val="00D92DE7"/>
    <w:rsid w:val="00D93598"/>
    <w:rsid w:val="00D93FDD"/>
    <w:rsid w:val="00D94168"/>
    <w:rsid w:val="00DA1073"/>
    <w:rsid w:val="00DA1E18"/>
    <w:rsid w:val="00DA2009"/>
    <w:rsid w:val="00DA2D2B"/>
    <w:rsid w:val="00DA4F65"/>
    <w:rsid w:val="00DA6E7A"/>
    <w:rsid w:val="00DA7769"/>
    <w:rsid w:val="00DA7E35"/>
    <w:rsid w:val="00DB0449"/>
    <w:rsid w:val="00DB05B1"/>
    <w:rsid w:val="00DB2823"/>
    <w:rsid w:val="00DB2D74"/>
    <w:rsid w:val="00DB3786"/>
    <w:rsid w:val="00DB40F1"/>
    <w:rsid w:val="00DB4CA8"/>
    <w:rsid w:val="00DB4E26"/>
    <w:rsid w:val="00DB5229"/>
    <w:rsid w:val="00DB55B1"/>
    <w:rsid w:val="00DB59E8"/>
    <w:rsid w:val="00DB5A79"/>
    <w:rsid w:val="00DC0D84"/>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6B83"/>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4666"/>
    <w:rsid w:val="00E35A62"/>
    <w:rsid w:val="00E36A66"/>
    <w:rsid w:val="00E37F70"/>
    <w:rsid w:val="00E41377"/>
    <w:rsid w:val="00E41985"/>
    <w:rsid w:val="00E4343E"/>
    <w:rsid w:val="00E446C1"/>
    <w:rsid w:val="00E454C6"/>
    <w:rsid w:val="00E45F68"/>
    <w:rsid w:val="00E46BCD"/>
    <w:rsid w:val="00E4740A"/>
    <w:rsid w:val="00E47FE7"/>
    <w:rsid w:val="00E545D7"/>
    <w:rsid w:val="00E547FE"/>
    <w:rsid w:val="00E5669C"/>
    <w:rsid w:val="00E56A1E"/>
    <w:rsid w:val="00E57DDC"/>
    <w:rsid w:val="00E60B20"/>
    <w:rsid w:val="00E60ECA"/>
    <w:rsid w:val="00E613AB"/>
    <w:rsid w:val="00E61A94"/>
    <w:rsid w:val="00E6312A"/>
    <w:rsid w:val="00E64B6E"/>
    <w:rsid w:val="00E65928"/>
    <w:rsid w:val="00E65DBD"/>
    <w:rsid w:val="00E663B6"/>
    <w:rsid w:val="00E6780D"/>
    <w:rsid w:val="00E67937"/>
    <w:rsid w:val="00E71439"/>
    <w:rsid w:val="00E71CB0"/>
    <w:rsid w:val="00E758B9"/>
    <w:rsid w:val="00E7734A"/>
    <w:rsid w:val="00E80271"/>
    <w:rsid w:val="00E82191"/>
    <w:rsid w:val="00E84236"/>
    <w:rsid w:val="00E85569"/>
    <w:rsid w:val="00E856AF"/>
    <w:rsid w:val="00E868A4"/>
    <w:rsid w:val="00E86B83"/>
    <w:rsid w:val="00E86C57"/>
    <w:rsid w:val="00E87C64"/>
    <w:rsid w:val="00E91664"/>
    <w:rsid w:val="00E93A01"/>
    <w:rsid w:val="00E93FF8"/>
    <w:rsid w:val="00E94EB6"/>
    <w:rsid w:val="00E95AC2"/>
    <w:rsid w:val="00E95CA8"/>
    <w:rsid w:val="00E95FA2"/>
    <w:rsid w:val="00E96643"/>
    <w:rsid w:val="00E96878"/>
    <w:rsid w:val="00E96EAF"/>
    <w:rsid w:val="00EA0DBD"/>
    <w:rsid w:val="00EA0FE2"/>
    <w:rsid w:val="00EA101E"/>
    <w:rsid w:val="00EA1752"/>
    <w:rsid w:val="00EA539B"/>
    <w:rsid w:val="00EA5A89"/>
    <w:rsid w:val="00EA5BDB"/>
    <w:rsid w:val="00EA60E6"/>
    <w:rsid w:val="00EA63FA"/>
    <w:rsid w:val="00EB051C"/>
    <w:rsid w:val="00EB1DE2"/>
    <w:rsid w:val="00EB20AB"/>
    <w:rsid w:val="00EB46D9"/>
    <w:rsid w:val="00EB6B21"/>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5AC3"/>
    <w:rsid w:val="00ED657B"/>
    <w:rsid w:val="00ED7A08"/>
    <w:rsid w:val="00EE1A8C"/>
    <w:rsid w:val="00EE1C4D"/>
    <w:rsid w:val="00EE416B"/>
    <w:rsid w:val="00EE4643"/>
    <w:rsid w:val="00EE529F"/>
    <w:rsid w:val="00EE6A3C"/>
    <w:rsid w:val="00EE7F1A"/>
    <w:rsid w:val="00EF040A"/>
    <w:rsid w:val="00EF1330"/>
    <w:rsid w:val="00EF15FF"/>
    <w:rsid w:val="00EF47A9"/>
    <w:rsid w:val="00EF55E6"/>
    <w:rsid w:val="00EF5707"/>
    <w:rsid w:val="00EF6F3B"/>
    <w:rsid w:val="00EF70EC"/>
    <w:rsid w:val="00EF7111"/>
    <w:rsid w:val="00EF7D1A"/>
    <w:rsid w:val="00EF7D5B"/>
    <w:rsid w:val="00F00AAD"/>
    <w:rsid w:val="00F02759"/>
    <w:rsid w:val="00F0448F"/>
    <w:rsid w:val="00F0716C"/>
    <w:rsid w:val="00F07DD9"/>
    <w:rsid w:val="00F105AE"/>
    <w:rsid w:val="00F108A8"/>
    <w:rsid w:val="00F129B5"/>
    <w:rsid w:val="00F13F58"/>
    <w:rsid w:val="00F1541A"/>
    <w:rsid w:val="00F16135"/>
    <w:rsid w:val="00F16F3C"/>
    <w:rsid w:val="00F210BF"/>
    <w:rsid w:val="00F210C5"/>
    <w:rsid w:val="00F26067"/>
    <w:rsid w:val="00F270E9"/>
    <w:rsid w:val="00F27440"/>
    <w:rsid w:val="00F275C0"/>
    <w:rsid w:val="00F30319"/>
    <w:rsid w:val="00F317B5"/>
    <w:rsid w:val="00F32094"/>
    <w:rsid w:val="00F33B8F"/>
    <w:rsid w:val="00F3404C"/>
    <w:rsid w:val="00F346B6"/>
    <w:rsid w:val="00F36145"/>
    <w:rsid w:val="00F37BDD"/>
    <w:rsid w:val="00F41503"/>
    <w:rsid w:val="00F43113"/>
    <w:rsid w:val="00F43A55"/>
    <w:rsid w:val="00F445CA"/>
    <w:rsid w:val="00F44D82"/>
    <w:rsid w:val="00F46114"/>
    <w:rsid w:val="00F46207"/>
    <w:rsid w:val="00F466C8"/>
    <w:rsid w:val="00F469A9"/>
    <w:rsid w:val="00F46B50"/>
    <w:rsid w:val="00F470FC"/>
    <w:rsid w:val="00F47C20"/>
    <w:rsid w:val="00F5043C"/>
    <w:rsid w:val="00F50B46"/>
    <w:rsid w:val="00F50D1F"/>
    <w:rsid w:val="00F51545"/>
    <w:rsid w:val="00F55325"/>
    <w:rsid w:val="00F56043"/>
    <w:rsid w:val="00F56BD8"/>
    <w:rsid w:val="00F56EAB"/>
    <w:rsid w:val="00F5789A"/>
    <w:rsid w:val="00F60166"/>
    <w:rsid w:val="00F6171A"/>
    <w:rsid w:val="00F635C6"/>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981"/>
    <w:rsid w:val="00F93BD2"/>
    <w:rsid w:val="00F93C47"/>
    <w:rsid w:val="00F94217"/>
    <w:rsid w:val="00F945F6"/>
    <w:rsid w:val="00F94AAF"/>
    <w:rsid w:val="00F952BA"/>
    <w:rsid w:val="00F952BD"/>
    <w:rsid w:val="00F9586C"/>
    <w:rsid w:val="00F96AFD"/>
    <w:rsid w:val="00F97B33"/>
    <w:rsid w:val="00FA07F4"/>
    <w:rsid w:val="00FA0F6E"/>
    <w:rsid w:val="00FA1398"/>
    <w:rsid w:val="00FA2E19"/>
    <w:rsid w:val="00FA42CC"/>
    <w:rsid w:val="00FA57B7"/>
    <w:rsid w:val="00FA6665"/>
    <w:rsid w:val="00FA697F"/>
    <w:rsid w:val="00FA734E"/>
    <w:rsid w:val="00FB3846"/>
    <w:rsid w:val="00FB429D"/>
    <w:rsid w:val="00FB5521"/>
    <w:rsid w:val="00FB610D"/>
    <w:rsid w:val="00FB6B16"/>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6BC0"/>
    <w:rsid w:val="00FE6DE5"/>
    <w:rsid w:val="00FF0170"/>
    <w:rsid w:val="00FF0420"/>
    <w:rsid w:val="00FF14D1"/>
    <w:rsid w:val="00FF286E"/>
    <w:rsid w:val="00FF5111"/>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7C3CC1"/>
    <w:rPr>
      <w:b/>
      <w:bCs/>
    </w:rPr>
  </w:style>
  <w:style w:type="paragraph" w:styleId="af1">
    <w:name w:val="Revision"/>
    <w:hidden/>
    <w:uiPriority w:val="62"/>
    <w:unhideWhenUsed/>
    <w:rsid w:val="00E71439"/>
    <w:rPr>
      <w:sz w:val="22"/>
    </w:rPr>
  </w:style>
  <w:style w:type="paragraph" w:customStyle="1" w:styleId="He01FlietextAufzhlung2Ebene">
    <w:name w:val="_He_01_Fließtext Aufzählung 2. Ebene"/>
    <w:next w:val="a"/>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af2">
    <w:name w:val="footnote reference"/>
    <w:basedOn w:val="a0"/>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 w:type="paragraph" w:styleId="af3">
    <w:name w:val="Date"/>
    <w:basedOn w:val="a"/>
    <w:next w:val="a"/>
    <w:link w:val="af4"/>
    <w:rsid w:val="00F210C5"/>
    <w:pPr>
      <w:ind w:leftChars="2500" w:left="100"/>
    </w:pPr>
  </w:style>
  <w:style w:type="character" w:customStyle="1" w:styleId="af4">
    <w:name w:val="日期 字符"/>
    <w:basedOn w:val="a0"/>
    <w:link w:val="af3"/>
    <w:rsid w:val="00F210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0C612-540A-463D-854D-1DDB8F61C477}">
  <ds:schemaRefs>
    <ds:schemaRef ds:uri="http://schemas.openxmlformats.org/officeDocument/2006/bibliography"/>
  </ds:schemaRefs>
</ds:datastoreItem>
</file>

<file path=customXml/itemProps2.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4173</Words>
  <Characters>1012</Characters>
  <Application>Microsoft Office Word</Application>
  <DocSecurity>4</DocSecurity>
  <Lines>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5175</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cp:revision>
  <cp:lastPrinted>2022-08-02T08:46:00Z</cp:lastPrinted>
  <dcterms:created xsi:type="dcterms:W3CDTF">2023-08-21T09:35:00Z</dcterms:created>
  <dcterms:modified xsi:type="dcterms:W3CDTF">2023-08-21T09:35:00Z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