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897" w14:textId="77777777" w:rsidR="006849A3" w:rsidRDefault="006849A3">
      <w:pPr>
        <w:rPr>
          <w:b/>
          <w:bCs/>
          <w:sz w:val="32"/>
          <w:szCs w:val="32"/>
        </w:rPr>
      </w:pPr>
    </w:p>
    <w:p w14:paraId="1C50EAFF" w14:textId="77777777" w:rsidR="006849A3" w:rsidRDefault="006849A3">
      <w:pPr>
        <w:rPr>
          <w:b/>
          <w:bCs/>
          <w:sz w:val="32"/>
          <w:szCs w:val="32"/>
        </w:rPr>
      </w:pPr>
    </w:p>
    <w:p w14:paraId="46136307" w14:textId="77777777" w:rsidR="00C47889" w:rsidRDefault="00C47889">
      <w:pPr>
        <w:rPr>
          <w:b/>
          <w:bCs/>
          <w:sz w:val="36"/>
          <w:szCs w:val="36"/>
        </w:rPr>
      </w:pPr>
    </w:p>
    <w:p w14:paraId="24EBAD66" w14:textId="77777777" w:rsidR="00AD48AC" w:rsidRPr="00AD48AC" w:rsidRDefault="00141A87" w:rsidP="006849A3">
      <w:pPr>
        <w:jc w:val="both"/>
        <w:rPr>
          <w:b/>
          <w:bCs/>
          <w:sz w:val="36"/>
          <w:szCs w:val="36"/>
        </w:rPr>
      </w:pPr>
      <w:r w:rsidRPr="00AD48AC">
        <w:rPr>
          <w:b/>
          <w:bCs/>
          <w:sz w:val="36"/>
          <w:szCs w:val="36"/>
        </w:rPr>
        <w:t xml:space="preserve">Think Pink </w:t>
      </w:r>
    </w:p>
    <w:p w14:paraId="32466E92" w14:textId="02C8F64A" w:rsidR="00AD48AC" w:rsidRPr="00AD48AC" w:rsidRDefault="00141A87" w:rsidP="006849A3">
      <w:pPr>
        <w:jc w:val="both"/>
        <w:rPr>
          <w:b/>
          <w:bCs/>
          <w:sz w:val="24"/>
          <w:szCs w:val="24"/>
        </w:rPr>
      </w:pPr>
      <w:r w:rsidRPr="00AD48AC">
        <w:rPr>
          <w:b/>
          <w:bCs/>
          <w:sz w:val="24"/>
          <w:szCs w:val="24"/>
        </w:rPr>
        <w:t>Mehr geht nicht: lebendig, strahlend &amp; superflexibel. Die Demi-Permanent</w:t>
      </w:r>
      <w:r w:rsidR="00AD48AC">
        <w:rPr>
          <w:b/>
          <w:bCs/>
          <w:sz w:val="24"/>
          <w:szCs w:val="24"/>
        </w:rPr>
        <w:t>-</w:t>
      </w:r>
      <w:proofErr w:type="spellStart"/>
      <w:r w:rsidRPr="00AD48AC">
        <w:rPr>
          <w:b/>
          <w:bCs/>
          <w:sz w:val="24"/>
          <w:szCs w:val="24"/>
        </w:rPr>
        <w:t>Coloration</w:t>
      </w:r>
      <w:proofErr w:type="spellEnd"/>
      <w:r w:rsidRPr="00AD48AC">
        <w:rPr>
          <w:b/>
          <w:bCs/>
          <w:sz w:val="24"/>
          <w:szCs w:val="24"/>
        </w:rPr>
        <w:t xml:space="preserve"> IGORA VIBRANCE bietet jetzt mehr Töne, Pflege und Servicemöglichkeiten als je zuvor. Perfekt für alle </w:t>
      </w:r>
      <w:proofErr w:type="spellStart"/>
      <w:proofErr w:type="gramStart"/>
      <w:r w:rsidRPr="00AD48AC">
        <w:rPr>
          <w:b/>
          <w:bCs/>
          <w:sz w:val="24"/>
          <w:szCs w:val="24"/>
        </w:rPr>
        <w:t>Kund:innen</w:t>
      </w:r>
      <w:proofErr w:type="spellEnd"/>
      <w:proofErr w:type="gramEnd"/>
      <w:r w:rsidRPr="00AD48AC">
        <w:rPr>
          <w:b/>
          <w:bCs/>
          <w:sz w:val="24"/>
          <w:szCs w:val="24"/>
        </w:rPr>
        <w:t xml:space="preserve">, die sich in </w:t>
      </w:r>
      <w:proofErr w:type="spellStart"/>
      <w:r w:rsidRPr="00AD48AC">
        <w:rPr>
          <w:b/>
          <w:bCs/>
          <w:sz w:val="24"/>
          <w:szCs w:val="24"/>
        </w:rPr>
        <w:t>Stylingfragen</w:t>
      </w:r>
      <w:proofErr w:type="spellEnd"/>
      <w:r w:rsidRPr="00AD48AC">
        <w:rPr>
          <w:b/>
          <w:bCs/>
          <w:sz w:val="24"/>
          <w:szCs w:val="24"/>
        </w:rPr>
        <w:t xml:space="preserve"> nicht festlegen wollen. </w:t>
      </w:r>
    </w:p>
    <w:p w14:paraId="124D4129" w14:textId="77777777" w:rsidR="00AD48AC" w:rsidRPr="00AD48AC" w:rsidRDefault="00141A87" w:rsidP="006849A3">
      <w:pPr>
        <w:jc w:val="both"/>
        <w:rPr>
          <w:sz w:val="24"/>
          <w:szCs w:val="24"/>
        </w:rPr>
      </w:pPr>
      <w:r w:rsidRPr="00AD48AC">
        <w:rPr>
          <w:sz w:val="24"/>
          <w:szCs w:val="24"/>
        </w:rPr>
        <w:t xml:space="preserve">Kreative Farbexperimente mit angenehm unkomplizierter Anwendung, spannenden neuen Pastellnuancen und glänzenden, multitonalen Ergebnissen und on top noch eine Portion aufregend visionäre Styling-Inspirationen? Kein Problem – die neue IGORA VIBRANCE RANGE von Schwarzkopf Professional bietet jetzt eine neue, atemberaubende Allround-Performance. </w:t>
      </w:r>
    </w:p>
    <w:p w14:paraId="3D709D16" w14:textId="77777777" w:rsidR="00AD48AC" w:rsidRDefault="00141A87" w:rsidP="006849A3">
      <w:pPr>
        <w:jc w:val="both"/>
        <w:rPr>
          <w:sz w:val="24"/>
          <w:szCs w:val="24"/>
        </w:rPr>
      </w:pPr>
      <w:r w:rsidRPr="00AD48AC">
        <w:rPr>
          <w:sz w:val="24"/>
          <w:szCs w:val="24"/>
        </w:rPr>
        <w:t xml:space="preserve">Die Situation am Markt: Demi-permanente Farbe boomt mit einem Zuwachs von 13 %. </w:t>
      </w:r>
      <w:proofErr w:type="spellStart"/>
      <w:proofErr w:type="gramStart"/>
      <w:r w:rsidRPr="00AD48AC">
        <w:rPr>
          <w:sz w:val="24"/>
          <w:szCs w:val="24"/>
        </w:rPr>
        <w:t>Verbraucher:innen</w:t>
      </w:r>
      <w:proofErr w:type="spellEnd"/>
      <w:proofErr w:type="gramEnd"/>
      <w:r w:rsidRPr="00AD48AC">
        <w:rPr>
          <w:sz w:val="24"/>
          <w:szCs w:val="24"/>
        </w:rPr>
        <w:t xml:space="preserve"> suchen zunehmend simple, pflegende Haarfarben, bei denen sie sich nicht unnötig lange festlegen müssen. Sie wünschen sich mehr Spielraum, mehr Farbmöglichkeiten, auch in Pastellnuancen, und </w:t>
      </w:r>
      <w:proofErr w:type="gramStart"/>
      <w:r w:rsidRPr="00AD48AC">
        <w:rPr>
          <w:sz w:val="24"/>
          <w:szCs w:val="24"/>
        </w:rPr>
        <w:t>das</w:t>
      </w:r>
      <w:proofErr w:type="gramEnd"/>
      <w:r w:rsidRPr="00AD48AC">
        <w:rPr>
          <w:sz w:val="24"/>
          <w:szCs w:val="24"/>
        </w:rPr>
        <w:t xml:space="preserve"> möglichst regenerierend und natürlich nachhaltig. </w:t>
      </w:r>
    </w:p>
    <w:p w14:paraId="5B24244E" w14:textId="77777777" w:rsidR="00AD48AC" w:rsidRDefault="00141A87" w:rsidP="006849A3">
      <w:pPr>
        <w:jc w:val="both"/>
        <w:rPr>
          <w:sz w:val="24"/>
          <w:szCs w:val="24"/>
        </w:rPr>
      </w:pPr>
      <w:r w:rsidRPr="00AD48AC">
        <w:rPr>
          <w:sz w:val="24"/>
          <w:szCs w:val="24"/>
        </w:rPr>
        <w:t xml:space="preserve">Kein Wunder, bei den spektakulären aktuellen Farbtrends wollen die </w:t>
      </w:r>
      <w:proofErr w:type="spellStart"/>
      <w:proofErr w:type="gramStart"/>
      <w:r w:rsidRPr="00AD48AC">
        <w:rPr>
          <w:sz w:val="24"/>
          <w:szCs w:val="24"/>
        </w:rPr>
        <w:t>Kund:innen</w:t>
      </w:r>
      <w:proofErr w:type="spellEnd"/>
      <w:proofErr w:type="gramEnd"/>
      <w:r w:rsidRPr="00AD48AC">
        <w:rPr>
          <w:sz w:val="24"/>
          <w:szCs w:val="24"/>
        </w:rPr>
        <w:t xml:space="preserve"> verständlicherweise flexibel und offen für alles bleiben. Man möchte verschiedene Looks ausprobieren, dabei aber nicht auf die bewährten Skills wie Pflege und Nachhaltigkeit verzichten. </w:t>
      </w:r>
    </w:p>
    <w:p w14:paraId="35B244E0" w14:textId="77777777" w:rsidR="00AD48AC" w:rsidRDefault="00141A87" w:rsidP="006849A3">
      <w:pPr>
        <w:jc w:val="both"/>
        <w:rPr>
          <w:sz w:val="24"/>
          <w:szCs w:val="24"/>
        </w:rPr>
      </w:pPr>
      <w:r w:rsidRPr="00AD48AC">
        <w:rPr>
          <w:sz w:val="24"/>
          <w:szCs w:val="24"/>
        </w:rPr>
        <w:t xml:space="preserve">Hier kommt IGORA VIBRANCE ins Spiel: die perfekte, topmoderne Haarfarbe, die bis zu 25 Wäschen hält. Sie verfügt über eine sanfte Technologie, ist für alle Haartypen geeignet und sorgt für ultimativen Schutz und Geschmeidigkeit. Die Pastellnuancen überzeugen </w:t>
      </w:r>
      <w:proofErr w:type="gramStart"/>
      <w:r w:rsidRPr="00AD48AC">
        <w:rPr>
          <w:sz w:val="24"/>
          <w:szCs w:val="24"/>
        </w:rPr>
        <w:t>lang anhaltend</w:t>
      </w:r>
      <w:proofErr w:type="gramEnd"/>
      <w:r w:rsidRPr="00AD48AC">
        <w:rPr>
          <w:sz w:val="24"/>
          <w:szCs w:val="24"/>
        </w:rPr>
        <w:t xml:space="preserve"> mit gesund glänzenden Ergebnissen und weniger Haarbruch und Spliss. </w:t>
      </w:r>
    </w:p>
    <w:p w14:paraId="60F68787" w14:textId="77777777" w:rsidR="00AD48AC" w:rsidRDefault="00141A87" w:rsidP="006849A3">
      <w:pPr>
        <w:jc w:val="both"/>
        <w:rPr>
          <w:sz w:val="24"/>
          <w:szCs w:val="24"/>
        </w:rPr>
      </w:pPr>
      <w:r w:rsidRPr="00AD48AC">
        <w:rPr>
          <w:sz w:val="24"/>
          <w:szCs w:val="24"/>
        </w:rPr>
        <w:t xml:space="preserve">Ein überzeugendes Update: mehr Pflege, mehr Vielfalt, mehr Nachhaltigkeit </w:t>
      </w:r>
    </w:p>
    <w:p w14:paraId="58B3AF5D" w14:textId="77777777" w:rsidR="00AD48AC" w:rsidRDefault="00141A87" w:rsidP="006849A3">
      <w:pPr>
        <w:jc w:val="both"/>
        <w:rPr>
          <w:sz w:val="24"/>
          <w:szCs w:val="24"/>
        </w:rPr>
      </w:pPr>
      <w:r w:rsidRPr="00AD48AC">
        <w:rPr>
          <w:sz w:val="24"/>
          <w:szCs w:val="24"/>
        </w:rPr>
        <w:t xml:space="preserve">- Mehr Natur- und Pastelltöne, die das Sortiment ergänzen </w:t>
      </w:r>
    </w:p>
    <w:p w14:paraId="4F13B43B" w14:textId="77777777" w:rsidR="00AD48AC" w:rsidRDefault="00141A87" w:rsidP="006849A3">
      <w:pPr>
        <w:jc w:val="both"/>
        <w:rPr>
          <w:sz w:val="24"/>
          <w:szCs w:val="24"/>
        </w:rPr>
      </w:pPr>
      <w:r w:rsidRPr="00AD48AC">
        <w:rPr>
          <w:sz w:val="24"/>
          <w:szCs w:val="24"/>
        </w:rPr>
        <w:t>- Mehr Servicemöglichkeiten für alle Haartypen, z. B. mehr Sprungkraft für gewelltes, gelocktes und widerspenstiges Haar durch optimale Feuchtigkeitsversorgung und Pflege</w:t>
      </w:r>
    </w:p>
    <w:p w14:paraId="1B2D40E0" w14:textId="77777777" w:rsidR="00AD48AC" w:rsidRDefault="00141A87" w:rsidP="006849A3">
      <w:pPr>
        <w:jc w:val="both"/>
        <w:rPr>
          <w:sz w:val="24"/>
          <w:szCs w:val="24"/>
        </w:rPr>
      </w:pPr>
      <w:r w:rsidRPr="00AD48AC">
        <w:rPr>
          <w:sz w:val="24"/>
          <w:szCs w:val="24"/>
        </w:rPr>
        <w:t xml:space="preserve"> - Mehr Pflege mit allen Blond-Tonern durch die integrierte Bonding-Technologie für minimierten Haarbruch </w:t>
      </w:r>
    </w:p>
    <w:p w14:paraId="595F7F68" w14:textId="77777777" w:rsidR="00AD48AC" w:rsidRDefault="00141A87" w:rsidP="006849A3">
      <w:pPr>
        <w:jc w:val="both"/>
        <w:rPr>
          <w:sz w:val="24"/>
          <w:szCs w:val="24"/>
        </w:rPr>
      </w:pPr>
      <w:r w:rsidRPr="00AD48AC">
        <w:rPr>
          <w:sz w:val="24"/>
          <w:szCs w:val="24"/>
        </w:rPr>
        <w:t xml:space="preserve">- Mehr nachhaltige Verpackungen aus recyceltem Papier &amp; Plastik - Gleiche, bewährte Leistung, die für Feuchtigkeit, Glanz und Geschmeidigkeit sorgt </w:t>
      </w:r>
    </w:p>
    <w:p w14:paraId="13669C7D" w14:textId="77777777" w:rsidR="00AD48AC" w:rsidRDefault="00AD48AC" w:rsidP="006849A3">
      <w:pPr>
        <w:jc w:val="both"/>
        <w:rPr>
          <w:b/>
          <w:bCs/>
          <w:sz w:val="24"/>
          <w:szCs w:val="24"/>
        </w:rPr>
      </w:pPr>
    </w:p>
    <w:p w14:paraId="00D28655" w14:textId="77777777" w:rsidR="00AD48AC" w:rsidRDefault="00AD48AC" w:rsidP="006849A3">
      <w:pPr>
        <w:jc w:val="both"/>
        <w:rPr>
          <w:b/>
          <w:bCs/>
          <w:sz w:val="24"/>
          <w:szCs w:val="24"/>
        </w:rPr>
      </w:pPr>
    </w:p>
    <w:p w14:paraId="433A7CE0" w14:textId="77777777" w:rsidR="00AD48AC" w:rsidRDefault="00AD48AC" w:rsidP="006849A3">
      <w:pPr>
        <w:jc w:val="both"/>
        <w:rPr>
          <w:b/>
          <w:bCs/>
          <w:sz w:val="24"/>
          <w:szCs w:val="24"/>
        </w:rPr>
      </w:pPr>
    </w:p>
    <w:p w14:paraId="57447208" w14:textId="77777777" w:rsidR="00AD48AC" w:rsidRDefault="00AD48AC" w:rsidP="006849A3">
      <w:pPr>
        <w:jc w:val="both"/>
        <w:rPr>
          <w:b/>
          <w:bCs/>
          <w:sz w:val="24"/>
          <w:szCs w:val="24"/>
        </w:rPr>
      </w:pPr>
    </w:p>
    <w:p w14:paraId="22A53006" w14:textId="77777777" w:rsidR="00AD48AC" w:rsidRDefault="00AD48AC" w:rsidP="006849A3">
      <w:pPr>
        <w:jc w:val="both"/>
        <w:rPr>
          <w:b/>
          <w:bCs/>
          <w:sz w:val="24"/>
          <w:szCs w:val="24"/>
        </w:rPr>
      </w:pPr>
    </w:p>
    <w:p w14:paraId="1D7C6F3C" w14:textId="77D788BA" w:rsidR="00AD48AC" w:rsidRPr="00AD48AC" w:rsidRDefault="00141A87" w:rsidP="006849A3">
      <w:pPr>
        <w:jc w:val="both"/>
        <w:rPr>
          <w:b/>
          <w:bCs/>
          <w:sz w:val="24"/>
          <w:szCs w:val="24"/>
        </w:rPr>
      </w:pPr>
      <w:r w:rsidRPr="00AD48AC">
        <w:rPr>
          <w:b/>
          <w:bCs/>
          <w:sz w:val="24"/>
          <w:szCs w:val="24"/>
        </w:rPr>
        <w:t>NEUE NUANCEN: Mehr Pastelltöne für neue Servicemöglichkeiten</w:t>
      </w:r>
    </w:p>
    <w:p w14:paraId="01465333" w14:textId="77777777" w:rsidR="00AD48AC" w:rsidRDefault="00141A87" w:rsidP="006849A3">
      <w:pPr>
        <w:jc w:val="both"/>
        <w:rPr>
          <w:sz w:val="24"/>
          <w:szCs w:val="24"/>
        </w:rPr>
      </w:pPr>
      <w:r w:rsidRPr="00AD48AC">
        <w:rPr>
          <w:sz w:val="24"/>
          <w:szCs w:val="24"/>
        </w:rPr>
        <w:t xml:space="preserve"> - vier neue Naturtöne </w:t>
      </w:r>
    </w:p>
    <w:p w14:paraId="4DB489E9" w14:textId="77777777" w:rsidR="00AD48AC" w:rsidRDefault="00141A87" w:rsidP="006849A3">
      <w:pPr>
        <w:jc w:val="both"/>
        <w:rPr>
          <w:sz w:val="24"/>
          <w:szCs w:val="24"/>
        </w:rPr>
      </w:pPr>
      <w:r w:rsidRPr="00AD48AC">
        <w:rPr>
          <w:sz w:val="24"/>
          <w:szCs w:val="24"/>
        </w:rPr>
        <w:t xml:space="preserve">- drei neue Pastelltöne 9,5- </w:t>
      </w:r>
    </w:p>
    <w:p w14:paraId="6D25B5BC" w14:textId="77777777" w:rsidR="00AD48AC" w:rsidRDefault="00141A87" w:rsidP="006849A3">
      <w:pPr>
        <w:jc w:val="both"/>
        <w:rPr>
          <w:sz w:val="24"/>
          <w:szCs w:val="24"/>
        </w:rPr>
      </w:pPr>
      <w:r w:rsidRPr="00AD48AC">
        <w:rPr>
          <w:sz w:val="24"/>
          <w:szCs w:val="24"/>
        </w:rPr>
        <w:t>- fünf neue Pastelltöne 10- für subtile Tönung, um die klarsten und hellsten Blondtöne auf sehr hellen Grundlagen zu erzielen</w:t>
      </w:r>
    </w:p>
    <w:p w14:paraId="464C8494" w14:textId="77777777" w:rsidR="00AD48AC" w:rsidRDefault="00141A87" w:rsidP="006849A3">
      <w:pPr>
        <w:jc w:val="both"/>
        <w:rPr>
          <w:sz w:val="24"/>
          <w:szCs w:val="24"/>
        </w:rPr>
      </w:pPr>
      <w:r w:rsidRPr="00AD48AC">
        <w:rPr>
          <w:sz w:val="24"/>
          <w:szCs w:val="24"/>
        </w:rPr>
        <w:t xml:space="preserve">Mehr ist definitiv mehr! Die neuen Färbetechniken und -Services von IGORA VIBRANCE heben das Salon-Niveau auf ein ganz neues Level. Perfekt für </w:t>
      </w:r>
      <w:proofErr w:type="spellStart"/>
      <w:proofErr w:type="gramStart"/>
      <w:r w:rsidRPr="00AD48AC">
        <w:rPr>
          <w:sz w:val="24"/>
          <w:szCs w:val="24"/>
        </w:rPr>
        <w:t>Stylist:innen</w:t>
      </w:r>
      <w:proofErr w:type="spellEnd"/>
      <w:proofErr w:type="gramEnd"/>
      <w:r w:rsidRPr="00AD48AC">
        <w:rPr>
          <w:sz w:val="24"/>
          <w:szCs w:val="24"/>
        </w:rPr>
        <w:t xml:space="preserve">, die sich ständig weiterentwickeln möchten: Jetzt ist der perfekte Zeitpunkt, um der gefeierte Farb-Profi zu werden, von dem alle schwärmen. </w:t>
      </w:r>
    </w:p>
    <w:p w14:paraId="7787E351" w14:textId="265281DB" w:rsidR="00981CC0" w:rsidRPr="00AD48AC" w:rsidRDefault="00141A87" w:rsidP="006849A3">
      <w:pPr>
        <w:jc w:val="both"/>
        <w:rPr>
          <w:sz w:val="24"/>
          <w:szCs w:val="24"/>
        </w:rPr>
      </w:pPr>
      <w:r w:rsidRPr="00AD48AC">
        <w:rPr>
          <w:sz w:val="24"/>
          <w:szCs w:val="24"/>
        </w:rPr>
        <w:t>Übrigens: An diesen Trends kommt in der nächsten Saison niemand vorbei: LIVED-IN BLONDE, COLOR MELT und GLOSSING SERVICE. Die neuen Looks, Experten</w:t>
      </w:r>
      <w:r w:rsidRPr="00AD48AC">
        <w:rPr>
          <w:sz w:val="24"/>
          <w:szCs w:val="24"/>
        </w:rPr>
        <w:t xml:space="preserve">Tipps und Tricks sowie spannende </w:t>
      </w:r>
      <w:proofErr w:type="spellStart"/>
      <w:r w:rsidRPr="00AD48AC">
        <w:rPr>
          <w:sz w:val="24"/>
          <w:szCs w:val="24"/>
        </w:rPr>
        <w:t>Stylingvarianten</w:t>
      </w:r>
      <w:proofErr w:type="spellEnd"/>
      <w:r w:rsidRPr="00AD48AC">
        <w:rPr>
          <w:sz w:val="24"/>
          <w:szCs w:val="24"/>
        </w:rPr>
        <w:t xml:space="preserve"> der weltweit bekannten Schwarzkopf Professional Creator gibt es unter www.schwarzkopf-professional.com.</w:t>
      </w:r>
    </w:p>
    <w:p w14:paraId="2133E3D8" w14:textId="77777777" w:rsidR="006849A3" w:rsidRPr="00AD48AC" w:rsidRDefault="006849A3" w:rsidP="006849A3">
      <w:pPr>
        <w:spacing w:after="200" w:line="276" w:lineRule="auto"/>
        <w:contextualSpacing/>
        <w:rPr>
          <w:rFonts w:ascii="Arial" w:hAnsi="Arial" w:cs="Arial"/>
          <w:b/>
          <w:bCs/>
          <w:color w:val="808080" w:themeColor="background1" w:themeShade="80"/>
          <w:sz w:val="24"/>
          <w:szCs w:val="24"/>
          <w:u w:val="single"/>
        </w:rPr>
      </w:pPr>
    </w:p>
    <w:p w14:paraId="5EB89977"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r w:rsidRPr="006148F6">
        <w:rPr>
          <w:rFonts w:ascii="Arial" w:hAnsi="Arial" w:cs="Arial"/>
          <w:b/>
          <w:bCs/>
          <w:color w:val="808080" w:themeColor="background1" w:themeShade="80"/>
          <w:sz w:val="16"/>
          <w:szCs w:val="16"/>
          <w:u w:val="single"/>
        </w:rPr>
        <w:t>Über Henkel:</w:t>
      </w:r>
    </w:p>
    <w:p w14:paraId="6AE45111" w14:textId="570D9B6B" w:rsidR="006849A3" w:rsidRPr="00B14764" w:rsidRDefault="006849A3" w:rsidP="006849A3">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rPr>
        <w:t>Mit seinen Marken</w:t>
      </w:r>
      <w:r w:rsidRPr="006148F6">
        <w:rPr>
          <w:rFonts w:ascii="Arial" w:hAnsi="Arial" w:cs="Arial"/>
          <w:color w:val="808080"/>
          <w:sz w:val="16"/>
          <w:szCs w:val="16"/>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rPr>
        <w:t>Adhesive</w:t>
      </w:r>
      <w:proofErr w:type="spellEnd"/>
      <w:r w:rsidRPr="006148F6">
        <w:rPr>
          <w:rFonts w:ascii="Arial" w:hAnsi="Arial" w:cs="Arial"/>
          <w:color w:val="808080"/>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AD48AC">
        <w:rPr>
          <w:rFonts w:ascii="Arial" w:hAnsi="Arial" w:cs="Arial"/>
          <w:color w:val="808080"/>
          <w:sz w:val="16"/>
          <w:szCs w:val="16"/>
        </w:rPr>
        <w:t>rund</w:t>
      </w:r>
      <w:r w:rsidRPr="006148F6">
        <w:rPr>
          <w:rFonts w:ascii="Arial" w:hAnsi="Arial" w:cs="Arial"/>
          <w:color w:val="808080"/>
          <w:sz w:val="16"/>
          <w:szCs w:val="16"/>
        </w:rPr>
        <w:t xml:space="preserve"> 50 000 </w:t>
      </w:r>
      <w:proofErr w:type="spellStart"/>
      <w:proofErr w:type="gramStart"/>
      <w:r w:rsidRPr="006148F6">
        <w:rPr>
          <w:rFonts w:ascii="Arial" w:hAnsi="Arial" w:cs="Arial"/>
          <w:color w:val="808080"/>
          <w:sz w:val="16"/>
          <w:szCs w:val="16"/>
        </w:rPr>
        <w:t>Mitarbeiter:innen</w:t>
      </w:r>
      <w:proofErr w:type="spellEnd"/>
      <w:proofErr w:type="gramEnd"/>
      <w:r w:rsidRPr="006148F6">
        <w:rPr>
          <w:rFonts w:ascii="Arial" w:hAnsi="Arial" w:cs="Arial"/>
          <w:color w:val="808080"/>
          <w:sz w:val="16"/>
          <w:szCs w:val="16"/>
        </w:rPr>
        <w:t xml:space="preserve"> – verbunden durch eine starke Unternehmenskultur, gemeinsame Werte und den Unternehmenszweck „</w:t>
      </w:r>
      <w:proofErr w:type="spellStart"/>
      <w:r w:rsidRPr="006148F6">
        <w:rPr>
          <w:rFonts w:ascii="Arial" w:hAnsi="Arial" w:cs="Arial"/>
          <w:color w:val="808080"/>
          <w:sz w:val="16"/>
          <w:szCs w:val="16"/>
        </w:rPr>
        <w:t>Pioneers</w:t>
      </w:r>
      <w:proofErr w:type="spellEnd"/>
      <w:r w:rsidRPr="006148F6">
        <w:rPr>
          <w:rFonts w:ascii="Arial" w:hAnsi="Arial" w:cs="Arial"/>
          <w:color w:val="808080"/>
          <w:sz w:val="16"/>
          <w:szCs w:val="16"/>
        </w:rPr>
        <w:t xml:space="preserve"> at </w:t>
      </w:r>
      <w:proofErr w:type="spellStart"/>
      <w:r w:rsidRPr="006148F6">
        <w:rPr>
          <w:rFonts w:ascii="Arial" w:hAnsi="Arial" w:cs="Arial"/>
          <w:color w:val="808080"/>
          <w:sz w:val="16"/>
          <w:szCs w:val="16"/>
        </w:rPr>
        <w:t>heart</w:t>
      </w:r>
      <w:proofErr w:type="spellEnd"/>
      <w:r w:rsidRPr="006148F6">
        <w:rPr>
          <w:rFonts w:ascii="Arial" w:hAnsi="Arial" w:cs="Arial"/>
          <w:color w:val="808080"/>
          <w:sz w:val="16"/>
          <w:szCs w:val="16"/>
        </w:rPr>
        <w:t xml:space="preserve"> for </w:t>
      </w:r>
      <w:proofErr w:type="spellStart"/>
      <w:r w:rsidRPr="006148F6">
        <w:rPr>
          <w:rFonts w:ascii="Arial" w:hAnsi="Arial" w:cs="Arial"/>
          <w:color w:val="808080"/>
          <w:sz w:val="16"/>
          <w:szCs w:val="16"/>
        </w:rPr>
        <w:t>the</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good</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of</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generations</w:t>
      </w:r>
      <w:proofErr w:type="spellEnd"/>
      <w:r w:rsidRPr="006148F6">
        <w:rPr>
          <w:rFonts w:ascii="Arial" w:hAnsi="Arial" w:cs="Arial"/>
          <w:color w:val="808080"/>
          <w:sz w:val="16"/>
          <w:szCs w:val="16"/>
        </w:rPr>
        <w:t xml:space="preserve">“. </w:t>
      </w:r>
      <w:r w:rsidRPr="00B14764">
        <w:rPr>
          <w:rFonts w:ascii="Arial" w:hAnsi="Arial" w:cs="Arial"/>
          <w:color w:val="808080"/>
          <w:sz w:val="16"/>
          <w:szCs w:val="16"/>
        </w:rPr>
        <w:t xml:space="preserve">Weitere Informationen unter </w:t>
      </w:r>
      <w:hyperlink r:id="rId6"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5406F1CF" w14:textId="77777777" w:rsidR="006849A3" w:rsidRPr="004C793F" w:rsidRDefault="006849A3" w:rsidP="006849A3">
      <w:pPr>
        <w:jc w:val="both"/>
        <w:rPr>
          <w:rFonts w:ascii="Arial" w:hAnsi="Arial" w:cs="Arial"/>
          <w:sz w:val="16"/>
          <w:szCs w:val="16"/>
          <w:lang w:eastAsia="de-DE"/>
        </w:rPr>
      </w:pPr>
    </w:p>
    <w:p w14:paraId="29777D20" w14:textId="77777777" w:rsidR="006849A3" w:rsidRPr="004C793F" w:rsidRDefault="006849A3" w:rsidP="006849A3">
      <w:pPr>
        <w:jc w:val="both"/>
        <w:outlineLvl w:val="0"/>
        <w:rPr>
          <w:rFonts w:ascii="Arial" w:eastAsia="Calibri" w:hAnsi="Arial" w:cs="Arial"/>
          <w:b/>
          <w:sz w:val="20"/>
          <w:szCs w:val="20"/>
        </w:rPr>
      </w:pPr>
      <w:r w:rsidRPr="004C793F">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6807EFD1" wp14:editId="138811CD">
                <wp:simplePos x="0" y="0"/>
                <wp:positionH relativeFrom="column">
                  <wp:posOffset>2655278</wp:posOffset>
                </wp:positionH>
                <wp:positionV relativeFrom="paragraph">
                  <wp:posOffset>80397</wp:posOffset>
                </wp:positionV>
                <wp:extent cx="3142113"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142113" cy="1736090"/>
                        </a:xfrm>
                        <a:prstGeom prst="rect">
                          <a:avLst/>
                        </a:prstGeom>
                      </wps:spPr>
                      <wps:txbx>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wps:txbx>
                      <wps:bodyPr wrap="square">
                        <a:spAutoFit/>
                      </wps:bodyPr>
                    </wps:wsp>
                  </a:graphicData>
                </a:graphic>
                <wp14:sizeRelH relativeFrom="margin">
                  <wp14:pctWidth>0</wp14:pctWidth>
                </wp14:sizeRelH>
              </wp:anchor>
            </w:drawing>
          </mc:Choice>
          <mc:Fallback>
            <w:pict>
              <v:rect w14:anchorId="6807EFD1" id="Rechteck 10" o:spid="_x0000_s1026" style="position:absolute;left:0;text-align:left;margin-left:209.1pt;margin-top:6.35pt;width:247.4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" filled="f" stroked="f">
                <v:textbox style="mso-fit-shape-to-text:t">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v:textbox>
              </v:rect>
            </w:pict>
          </mc:Fallback>
        </mc:AlternateContent>
      </w:r>
      <w:r w:rsidRPr="004C793F">
        <w:rPr>
          <w:rStyle w:val="Hyperlink"/>
          <w:rFonts w:ascii="Arial" w:eastAsia="Calibri" w:hAnsi="Arial" w:cs="Arial"/>
          <w:b/>
          <w:sz w:val="20"/>
          <w:szCs w:val="20"/>
        </w:rPr>
        <w:br/>
      </w:r>
    </w:p>
    <w:p w14:paraId="20E72FA1" w14:textId="77777777" w:rsidR="00981CC0" w:rsidRDefault="00981CC0" w:rsidP="00981CC0">
      <w:pPr>
        <w:tabs>
          <w:tab w:val="left" w:pos="1080"/>
          <w:tab w:val="left" w:pos="4500"/>
        </w:tabs>
        <w:spacing w:after="0" w:line="240" w:lineRule="auto"/>
        <w:rPr>
          <w:rFonts w:cstheme="minorHAnsi"/>
          <w:sz w:val="18"/>
          <w:szCs w:val="18"/>
          <w:lang w:val="de-AT"/>
        </w:rPr>
      </w:pPr>
    </w:p>
    <w:p w14:paraId="07F24BAB" w14:textId="77777777" w:rsidR="00981CC0" w:rsidRDefault="00981CC0" w:rsidP="00981CC0">
      <w:pPr>
        <w:tabs>
          <w:tab w:val="left" w:pos="1080"/>
          <w:tab w:val="left" w:pos="4500"/>
        </w:tabs>
        <w:spacing w:after="0" w:line="240" w:lineRule="auto"/>
        <w:rPr>
          <w:rFonts w:cstheme="minorHAnsi"/>
          <w:sz w:val="18"/>
          <w:szCs w:val="18"/>
          <w:lang w:val="de-AT"/>
        </w:rPr>
      </w:pPr>
    </w:p>
    <w:p w14:paraId="3A34BDD1" w14:textId="77777777" w:rsidR="00981CC0" w:rsidRDefault="00981CC0" w:rsidP="00981CC0">
      <w:pPr>
        <w:tabs>
          <w:tab w:val="left" w:pos="1080"/>
          <w:tab w:val="left" w:pos="4500"/>
        </w:tabs>
        <w:spacing w:after="0" w:line="240" w:lineRule="auto"/>
        <w:rPr>
          <w:rFonts w:cstheme="minorHAnsi"/>
          <w:sz w:val="18"/>
          <w:szCs w:val="18"/>
          <w:lang w:val="de-AT"/>
        </w:rPr>
      </w:pPr>
    </w:p>
    <w:p w14:paraId="5E437FBA" w14:textId="754D86AE"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5E87F13D" w14:textId="77777777"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203E95DE" w14:textId="77777777" w:rsidR="00981CC0" w:rsidRPr="005B52F1" w:rsidRDefault="00981CC0" w:rsidP="00981CC0">
      <w:pPr>
        <w:tabs>
          <w:tab w:val="left" w:pos="1080"/>
          <w:tab w:val="left" w:pos="4500"/>
        </w:tabs>
        <w:spacing w:after="0"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3B267E95" w14:textId="77777777" w:rsidR="006849A3" w:rsidRDefault="006849A3" w:rsidP="006849A3">
      <w:pPr>
        <w:jc w:val="both"/>
      </w:pPr>
    </w:p>
    <w:sectPr w:rsidR="006849A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141A87"/>
    <w:rsid w:val="00617516"/>
    <w:rsid w:val="006849A3"/>
    <w:rsid w:val="006B2FA1"/>
    <w:rsid w:val="00981CC0"/>
    <w:rsid w:val="00A82EC9"/>
    <w:rsid w:val="00AD48AC"/>
    <w:rsid w:val="00B51D44"/>
    <w:rsid w:val="00C47889"/>
    <w:rsid w:val="00CE33C6"/>
    <w:rsid w:val="00EB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A3"/>
  </w:style>
  <w:style w:type="paragraph" w:styleId="Fuzeile">
    <w:name w:val="footer"/>
    <w:basedOn w:val="Standard"/>
    <w:link w:val="FuzeileZchn"/>
    <w:uiPriority w:val="99"/>
    <w:unhideWhenUsed/>
    <w:rsid w:val="00684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A3"/>
  </w:style>
  <w:style w:type="character" w:styleId="Hyperlink">
    <w:name w:val="Hyperlink"/>
    <w:rsid w:val="0068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2024-01-17T08:18:00Z</dcterms:created>
  <dcterms:modified xsi:type="dcterms:W3CDTF">2024-01-17T08:22:00Z</dcterms:modified>
</cp:coreProperties>
</file>