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righ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de enero de 2023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Henkel presenta los resultados del programa “Mundo de investigadores” 2023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Buenos Aires, Argentina, enero 2023. Henkel se enorgullece en compartir los resultados destacados del programa </w:t>
      </w:r>
      <w:r w:rsidDel="00000000" w:rsidR="00000000" w:rsidRPr="00000000">
        <w:rPr>
          <w:b w:val="1"/>
          <w:color w:val="000000"/>
          <w:rtl w:val="0"/>
        </w:rPr>
        <w:t xml:space="preserve">"Mundo de Investigadores"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(Forscherwelt, nombre original en alemán) </w:t>
      </w:r>
      <w:r w:rsidDel="00000000" w:rsidR="00000000" w:rsidRPr="00000000">
        <w:rPr>
          <w:color w:val="000000"/>
          <w:rtl w:val="0"/>
        </w:rPr>
        <w:t xml:space="preserve">en Latinoamérica, correspondientes al año 2023. Este programa, que busca impulsar la educación científica de niñas y niños </w:t>
      </w:r>
      <w:r w:rsidDel="00000000" w:rsidR="00000000" w:rsidRPr="00000000">
        <w:rPr>
          <w:rtl w:val="0"/>
        </w:rPr>
        <w:t xml:space="preserve">a una temprana</w:t>
      </w:r>
      <w:r w:rsidDel="00000000" w:rsidR="00000000" w:rsidRPr="00000000">
        <w:rPr>
          <w:color w:val="000000"/>
          <w:rtl w:val="0"/>
        </w:rPr>
        <w:t xml:space="preserve"> edad, ha alcanzado logros significativos en términos de participación e impacto.</w:t>
      </w:r>
    </w:p>
    <w:p w:rsidR="00000000" w:rsidDel="00000000" w:rsidP="00000000" w:rsidRDefault="00000000" w:rsidRPr="00000000" w14:paraId="00000007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Durante los meses de octubre y noviembre de 2023, la iniciativa </w:t>
      </w:r>
      <w:r w:rsidDel="00000000" w:rsidR="00000000" w:rsidRPr="00000000">
        <w:rPr>
          <w:b w:val="1"/>
          <w:color w:val="000000"/>
          <w:rtl w:val="0"/>
        </w:rPr>
        <w:t xml:space="preserve">"Mundo de investigadores"</w:t>
      </w:r>
      <w:r w:rsidDel="00000000" w:rsidR="00000000" w:rsidRPr="00000000">
        <w:rPr>
          <w:color w:val="000000"/>
          <w:rtl w:val="0"/>
        </w:rPr>
        <w:t xml:space="preserve"> convocó a más de 13.000 estudiantes, quienes se sumergieron en un fascinante mundo de ciencia, creatividad y descubrimiento. Este esfuerzo colaborativo reunió a 11.750 niñas y niños de toda Latinoamérica, provenientes de 9 países: México, Venezuela, Guatemala, Perú, Costa Rica, Colombia, Chile, Argentina y Brasil.</w:t>
      </w:r>
    </w:p>
    <w:p w:rsidR="00000000" w:rsidDel="00000000" w:rsidP="00000000" w:rsidRDefault="00000000" w:rsidRPr="00000000" w14:paraId="0000000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Las estadísticas resaltan la diversidad y la amplitud del programa, impartiendo 103 talleres gratuitos, de los cuales 46 fueron virtuales a través de una plataforma digital y 57 se llevaron a cabo de manera presencial. De manera destacada, 13 de los talleres presenciales tuvieron lugar en escuelas de Brasil, y cuatro se realizaron en las plantas </w:t>
      </w:r>
      <w:r w:rsidDel="00000000" w:rsidR="00000000" w:rsidRPr="00000000">
        <w:rPr>
          <w:rtl w:val="0"/>
        </w:rPr>
        <w:t xml:space="preserve">de Guadalajara</w:t>
      </w:r>
      <w:r w:rsidDel="00000000" w:rsidR="00000000" w:rsidRPr="00000000">
        <w:rPr>
          <w:color w:val="000000"/>
          <w:rtl w:val="0"/>
        </w:rPr>
        <w:t xml:space="preserve">, México. En total, se logró llegar a 277 escuelas de toda América Latina. </w:t>
      </w:r>
    </w:p>
    <w:p w:rsidR="00000000" w:rsidDel="00000000" w:rsidP="00000000" w:rsidRDefault="00000000" w:rsidRPr="00000000" w14:paraId="0000000B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</w:rPr>
      </w:pPr>
      <w:r w:rsidDel="00000000" w:rsidR="00000000" w:rsidRPr="00000000">
        <w:rPr>
          <w:rtl w:val="0"/>
        </w:rPr>
        <w:t xml:space="preserve">"Estamos felices de haber alcanzado a más de 11.700 niños, batiendo así nuestro propio récord e incrementando, en más de un 40%, la participación durante el año 2023. Gracias a todos los aliados que lo hicieron posible". Cynthia Ríos, directora de comunicación corporativa de Henkel LATAM.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Acerca del programa “Mundo de investigadores”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color w:val="000000"/>
          <w:rtl w:val="0"/>
        </w:rPr>
        <w:t xml:space="preserve">Surgió en 2011, en Alemania, como una actividad extracurricular para los hijos e hijas de colaboradores, con una </w:t>
      </w:r>
      <w:r w:rsidDel="00000000" w:rsidR="00000000" w:rsidRPr="00000000">
        <w:rPr>
          <w:rtl w:val="0"/>
        </w:rPr>
        <w:t xml:space="preserve">expansión</w:t>
      </w:r>
      <w:r w:rsidDel="00000000" w:rsidR="00000000" w:rsidRPr="00000000">
        <w:rPr>
          <w:color w:val="000000"/>
          <w:rtl w:val="0"/>
        </w:rPr>
        <w:t xml:space="preserve"> e </w:t>
      </w:r>
      <w:r w:rsidDel="00000000" w:rsidR="00000000" w:rsidRPr="00000000">
        <w:rPr>
          <w:rtl w:val="0"/>
        </w:rPr>
        <w:t xml:space="preserve">internacionalización</w:t>
      </w:r>
      <w:r w:rsidDel="00000000" w:rsidR="00000000" w:rsidRPr="00000000">
        <w:rPr>
          <w:color w:val="000000"/>
          <w:rtl w:val="0"/>
        </w:rPr>
        <w:t xml:space="preserve"> de manera significativa en 2014, cuando llega a Argentina: el </w:t>
      </w:r>
      <w:r w:rsidDel="00000000" w:rsidR="00000000" w:rsidRPr="00000000">
        <w:rPr>
          <w:rtl w:val="0"/>
        </w:rPr>
        <w:t xml:space="preserve">primer país de Latinoamérica en ofrecer este programa a niños de las comunidades donde opera Henkel.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 2021, adaptándose a los desafíos de la pandemia, los talleres se transformaron en un formato digital llegando a más de 8.300 alumnos en la primera edición.</w:t>
      </w:r>
    </w:p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iniciativa se ha consolidado como un pilar de la educación científica básica, y en 2023, el programa continuó su evolución al ofrecer 46 talleres virtuales e incrementar la participación a 11.750 estudiantes.</w:t>
      </w:r>
    </w:p>
    <w:p w:rsidR="00000000" w:rsidDel="00000000" w:rsidP="00000000" w:rsidRDefault="00000000" w:rsidRPr="00000000" w14:paraId="0000001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Impacto en la educación científica y sustentabilidad</w:t>
      </w:r>
    </w:p>
    <w:p w:rsidR="00000000" w:rsidDel="00000000" w:rsidP="00000000" w:rsidRDefault="00000000" w:rsidRPr="00000000" w14:paraId="00000016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 el lema "Ser como un investigador", el programa “Mundo de investigadores” sumerge a niños de 6 a 12 años en el rol y lugar de trabajo de un investigador real. Los talleres abordan temas clave de Henkel como adhesivos, detergentes, cuidado personal y sustentabilidad.</w:t>
      </w:r>
    </w:p>
    <w:p w:rsidR="00000000" w:rsidDel="00000000" w:rsidP="00000000" w:rsidRDefault="00000000" w:rsidRPr="00000000" w14:paraId="00000018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través de actividades prácticas, los participantes aprenden sobre la fabricación de adhesivos, manipulan elementos químicos, exploran parámetros de lavado según el tipo de tela y profundizan en el cuidado de la piel y el cabello. Además, el programa enfatiza la importancia de la sustentabilidad, promoviendo prácticas ecológicas como el ahorro de energía, el reciclaje de papel y la renovación de materias primas.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rtl w:val="0"/>
        </w:rPr>
        <w:t xml:space="preserve">Uno de los objetivos mundiales de la sustentabilidad es proteger el medio ambiente para las generaciones futuras,</w:t>
      </w:r>
      <w:r w:rsidDel="00000000" w:rsidR="00000000" w:rsidRPr="00000000">
        <w:rPr>
          <w:color w:val="000000"/>
          <w:rtl w:val="0"/>
        </w:rPr>
        <w:t xml:space="preserve"> tomando como base esta primicia, Henkel reafirma su compromiso con la sustentabilidad, </w:t>
      </w:r>
      <w:r w:rsidDel="00000000" w:rsidR="00000000" w:rsidRPr="00000000">
        <w:rPr>
          <w:rtl w:val="0"/>
        </w:rPr>
        <w:t xml:space="preserve">posicionándose en</w:t>
      </w:r>
      <w:r w:rsidDel="00000000" w:rsidR="00000000" w:rsidRPr="00000000">
        <w:rPr>
          <w:color w:val="000000"/>
          <w:rtl w:val="0"/>
        </w:rPr>
        <w:t xml:space="preserve"> el centro de su negocio y contribuyendo a la creación de comunidades más prósperas. Bajo el marco de ambición de sustentabilidad 2030+, la empresa se esfuerza por proporcionar las herramientas necesarias para motivar a las futuras generaciones a explorar nuevas alternativas.</w:t>
      </w:r>
    </w:p>
    <w:p w:rsidR="00000000" w:rsidDel="00000000" w:rsidP="00000000" w:rsidRDefault="00000000" w:rsidRPr="00000000" w14:paraId="0000001C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"La educación científica de las nuevas generaciones en América Latina es clave para el desarrollo de profesionales que aporten a nuestra sociedad, por eso en Henkel estamos comprometidos con el programa Mundo de investigadores que apoya a niños en los 9 países de la región donde tenemos presencia". Comentó, Cynthia Ríos, directora de comunicación corporativa para Henkel LATAM. </w:t>
      </w:r>
    </w:p>
    <w:p w:rsidR="00000000" w:rsidDel="00000000" w:rsidP="00000000" w:rsidRDefault="00000000" w:rsidRPr="00000000" w14:paraId="0000001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 obtener más información sobre el programa se invita a visitar la página oficial: </w:t>
      </w:r>
      <w:hyperlink r:id="rId7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18"/>
            <w:szCs w:val="18"/>
            <w:u w:val="single"/>
            <w:rtl w:val="0"/>
          </w:rPr>
          <w:t xml:space="preserve">www.mundodeinvestigadores.com</w:t>
        </w:r>
      </w:hyperlink>
      <w:r w:rsidDel="00000000" w:rsidR="00000000" w:rsidRPr="00000000">
        <w:rPr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Henkel agradece a todos los participantes, escuelas y colaboradores que hicieron posible el éxito del programa en 2023, y anticipa con entusiasmo futuras ediciones que continuarán inspirando a las mentes jóvenes hacia el fascinante mundo de la ciencia.</w:t>
      </w:r>
    </w:p>
    <w:p w:rsidR="00000000" w:rsidDel="00000000" w:rsidP="00000000" w:rsidRDefault="00000000" w:rsidRPr="00000000" w14:paraId="00000022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t xml:space="preserve">Acerca de Henkel</w:t>
      </w:r>
    </w:p>
    <w:p w:rsidR="00000000" w:rsidDel="00000000" w:rsidP="00000000" w:rsidRDefault="00000000" w:rsidRPr="00000000" w14:paraId="00000023">
      <w:pPr>
        <w:spacing w:line="240" w:lineRule="auto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Con sus marcas, innovaciones y tecnologías, Henkel ocupa posiciones de liderazgo a nivel mundial en el mercado industrial y de consumo. La unidad de negocio de Adhesive Technologies es líder mundial en el sector de adhesivos, selladores y recubrimientos. Con el negocio Consumer Brands, la empresa ocupa posiciones de liderazgo, especialmente en el cuidado del cabello, detergentes y cuidado del hogar, en muchos mercados y categorías de todo el mundo. Las tres marcas más fuertes de la compañía son Loctite, Persil y Schwarzkopf. En el ejercicio fiscal 2022, Henkel registró ventas de 22,400 millones de euros y un resultado operativo ajustado de unos 2,300 millones de euros. Las acciones preferentes de Henkel cotizan en el índice bursátil alemán DAX. La sustentabilidad tiene una larga tradición en Henkel y la empresa tiene una estrategia clara con objetivos concretos. Henkel se fundó en 1876 y hoy cuenta con un equipo diverso de cerca de 50,000 personas en todo el mundo, unidas por una sólida cultura corporativa, valores compartidos y un propósito común: "Pioneers at heart for the good of generations” (pioneros de corazón por el bien de las generaciones). Más información en </w:t>
      </w:r>
      <w:hyperlink r:id="rId8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16"/>
            <w:szCs w:val="16"/>
            <w:u w:val="single"/>
            <w:rtl w:val="0"/>
          </w:rPr>
          <w:t xml:space="preserve">www.henkel.com</w:t>
        </w:r>
      </w:hyperlink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Acerca de Henkel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Henkel tiene más de 53 años de presencia en Argentina. Respaldados por su reconocida calidad a nivel mundial, se comercializan exitosamente productos en los sectores de Adhesive Technologies (sector industrial) y Consumer Brands (sector profesional). Hablando de las ventas, en 2022 fueron de más de 73 millones de euros y cuenta con cerca de 120 colaboradores, distribuidos entre su oficina corporativa en San Isidro, una planta en Chivilcoy y una Academia en la Capital Federal. Para más información, visite </w:t>
      </w:r>
      <w:hyperlink r:id="rId9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16"/>
            <w:szCs w:val="16"/>
            <w:u w:val="single"/>
            <w:rtl w:val="0"/>
          </w:rPr>
          <w:t xml:space="preserve">www.henkel.com.ar</w:t>
        </w:r>
      </w:hyperlink>
      <w:r w:rsidDel="00000000" w:rsidR="00000000" w:rsidRPr="00000000">
        <w:rPr>
          <w:color w:val="00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Quattrocento Sans" w:cs="Quattrocento Sans" w:eastAsia="Quattrocento Sans" w:hAnsi="Quattrocento Sans"/>
          <w:b w:val="0"/>
          <w:sz w:val="18"/>
          <w:szCs w:val="18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sz w:val="18"/>
          <w:szCs w:val="18"/>
          <w:rtl w:val="0"/>
        </w:rPr>
        <w:t xml:space="preserve">Contacto de prensa:</w:t>
      </w:r>
      <w:r w:rsidDel="00000000" w:rsidR="00000000" w:rsidRPr="00000000">
        <w:rPr>
          <w:rFonts w:ascii="Quattrocento Sans" w:cs="Quattrocento Sans" w:eastAsia="Quattrocento Sans" w:hAnsi="Quattrocento Sans"/>
          <w:b w:val="0"/>
          <w:sz w:val="18"/>
          <w:szCs w:val="18"/>
          <w:rtl w:val="0"/>
        </w:rPr>
        <w:t xml:space="preserve"> Alejandra Fernández: 11 4 400 5220 </w:t>
      </w:r>
      <w:hyperlink r:id="rId10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sz w:val="18"/>
            <w:szCs w:val="18"/>
            <w:u w:val="single"/>
            <w:rtl w:val="0"/>
          </w:rPr>
          <w:t xml:space="preserve">alefernandezprensa@gmail.com</w:t>
        </w:r>
      </w:hyperlink>
      <w:r w:rsidDel="00000000" w:rsidR="00000000" w:rsidRPr="00000000">
        <w:rPr>
          <w:rtl w:val="0"/>
        </w:rPr>
      </w:r>
    </w:p>
    <w:sectPr>
      <w:headerReference r:id="rId11" w:type="first"/>
      <w:headerReference r:id="rId12" w:type="even"/>
      <w:footerReference r:id="rId13" w:type="default"/>
      <w:footerReference r:id="rId14" w:type="first"/>
      <w:pgSz w:h="16840" w:w="11907" w:orient="portrait"/>
      <w:pgMar w:bottom="1987" w:top="1944" w:left="1411" w:right="1411" w:header="850" w:footer="95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7083"/>
        <w:tab w:val="right" w:leader="none" w:pos="8640"/>
      </w:tabs>
      <w:spacing w:after="0" w:before="0" w:line="276" w:lineRule="auto"/>
      <w:ind w:left="0" w:right="0" w:firstLine="0"/>
      <w:jc w:val="righ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drawing>
        <wp:inline distB="0" distT="0" distL="0" distR="0">
          <wp:extent cx="5768975" cy="45783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8975" cy="457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7083"/>
        <w:tab w:val="right" w:leader="none" w:pos="8640"/>
        <w:tab w:val="right" w:leader="none" w:pos="9071"/>
      </w:tabs>
      <w:spacing w:after="0" w:before="0" w:line="276" w:lineRule="auto"/>
      <w:ind w:left="0" w:right="0" w:firstLine="0"/>
      <w:jc w:val="both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drawing>
        <wp:inline distB="0" distT="0" distL="0" distR="0">
          <wp:extent cx="5768975" cy="457835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8975" cy="4578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607"/>
        <w:tab w:val="center" w:leader="none" w:pos="4320"/>
        <w:tab w:val="right" w:leader="none" w:pos="9356"/>
      </w:tabs>
      <w:spacing w:after="0" w:before="1440" w:line="276" w:lineRule="auto"/>
      <w:ind w:left="0" w:right="0" w:firstLine="0"/>
      <w:jc w:val="right"/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3e3c3c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3e3c3c"/>
        <w:sz w:val="40"/>
        <w:szCs w:val="4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4717415</wp:posOffset>
          </wp:positionH>
          <wp:positionV relativeFrom="margin">
            <wp:posOffset>-1064259</wp:posOffset>
          </wp:positionV>
          <wp:extent cx="1051560" cy="6032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550" l="4736" r="5063" t="1053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3e3c3c"/>
        <w:sz w:val="40"/>
        <w:szCs w:val="40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256125" y="1889900"/>
                        <a:ext cx="179705" cy="3780155"/>
                        <a:chOff x="5256125" y="1889900"/>
                        <a:chExt cx="179750" cy="3780200"/>
                      </a:xfrm>
                    </wpg:grpSpPr>
                    <wpg:grpSp>
                      <wpg:cNvGrpSpPr/>
                      <wpg:grpSpPr>
                        <a:xfrm>
                          <a:off x="5256148" y="1889923"/>
                          <a:ext cx="179705" cy="3780155"/>
                          <a:chOff x="0" y="5954"/>
                          <a:chExt cx="283" cy="5953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5954"/>
                            <a:ext cx="275" cy="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5954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8420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0" y="11907"/>
                            <a:ext cx="283" cy="0"/>
                          </a:xfrm>
                          <a:prstGeom prst="straightConnector1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705" cy="37801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3e3c3c"/>
        <w:sz w:val="40"/>
        <w:szCs w:val="40"/>
        <w:u w:val="none"/>
        <w:shd w:fill="auto" w:val="clear"/>
        <w:vertAlign w:val="baseline"/>
        <w:rtl w:val="0"/>
      </w:rPr>
      <w:t xml:space="preserve">Comunicado de Prensa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607"/>
        <w:tab w:val="center" w:leader="none" w:pos="4320"/>
        <w:tab w:val="right" w:leader="none" w:pos="9356"/>
      </w:tabs>
      <w:spacing w:after="0" w:before="1440" w:line="276" w:lineRule="auto"/>
      <w:ind w:left="0" w:right="0" w:firstLine="0"/>
      <w:jc w:val="both"/>
      <w:rPr>
        <w:rFonts w:ascii="Quattrocento Sans" w:cs="Quattrocento Sans" w:eastAsia="Quattrocento Sans" w:hAnsi="Quattrocento Sans"/>
        <w:b w:val="1"/>
        <w:i w:val="0"/>
        <w:smallCaps w:val="0"/>
        <w:strike w:val="0"/>
        <w:color w:val="3e3c3c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attrocento Sans" w:cs="Quattrocento Sans" w:eastAsia="Quattrocento Sans" w:hAnsi="Quattrocento Sans"/>
        <w:sz w:val="22"/>
        <w:szCs w:val="22"/>
        <w:lang w:val="es-GT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</w:pPr>
    <w:rPr>
      <w:color w:val="e1000f"/>
    </w:rPr>
  </w:style>
  <w:style w:type="paragraph" w:styleId="Heading3">
    <w:name w:val="heading 3"/>
    <w:basedOn w:val="Normal"/>
    <w:next w:val="Normal"/>
    <w:pPr>
      <w:keepNext w:val="1"/>
    </w:pPr>
    <w:rPr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alefernandezprensa@gmail.com" TargetMode="Externa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henkel.com.a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undodeinvestigadores.com" TargetMode="External"/><Relationship Id="rId8" Type="http://schemas.openxmlformats.org/officeDocument/2006/relationships/hyperlink" Target="http://www.henke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5ZQBLMoloeL89NjwRKqgAPHdjQ==">CgMxLjA4AHIhMTVJMWN3M2hqd1hVVXpTRTNxRmUyN3FmbnV3cUxXR0N6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>MediaServiceImageTags</vt:lpwstr>
  </property>
  <property fmtid="{D5CDD505-2E9C-101B-9397-08002B2CF9AE}" pid="3" name="ContentTypeId">
    <vt:lpwstr>0x010100A8B46845E6F4494787881BCB071FEED2</vt:lpwstr>
  </property>
</Properties>
</file>