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52E7B287" w:rsidR="005742B4" w:rsidRPr="00A110E3" w:rsidRDefault="006F228D">
      <w:pPr>
        <w:pStyle w:val="MonthDayYear"/>
        <w:rPr>
          <w:lang w:val="cs-CZ"/>
        </w:rPr>
      </w:pPr>
      <w:r>
        <w:rPr>
          <w:lang w:val="cs-CZ"/>
        </w:rPr>
        <w:t>9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únor</w:t>
      </w:r>
      <w:r w:rsidR="007D354B" w:rsidRPr="00A110E3">
        <w:rPr>
          <w:lang w:val="cs-CZ"/>
        </w:rPr>
        <w:t xml:space="preserve"> 202</w:t>
      </w:r>
      <w:r w:rsidR="002D2EB4">
        <w:rPr>
          <w:lang w:val="cs-CZ"/>
        </w:rPr>
        <w:t>4</w:t>
      </w:r>
    </w:p>
    <w:p w14:paraId="51AA24EE" w14:textId="0E5BF9A0" w:rsidR="005742B4" w:rsidRPr="002C5EAF" w:rsidRDefault="006F228D" w:rsidP="006F228D">
      <w:pPr>
        <w:pStyle w:val="Predvolen"/>
        <w:spacing w:before="560" w:after="56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2C5EAF">
        <w:rPr>
          <w:rFonts w:ascii="Segoe UI" w:hAnsi="Segoe UI" w:cs="Segoe UI"/>
          <w:sz w:val="22"/>
          <w:szCs w:val="22"/>
          <w:lang w:val="cs-CZ"/>
        </w:rPr>
        <w:t>Uchazečky o ocenění pro ženy ve vědě již mohou podávat své přihlášky</w:t>
      </w:r>
    </w:p>
    <w:p w14:paraId="51AA24EF" w14:textId="693D5FCB" w:rsidR="005742B4" w:rsidRPr="002C5EAF" w:rsidRDefault="00303E82" w:rsidP="00303E82">
      <w:pPr>
        <w:pStyle w:val="Predvolen"/>
        <w:spacing w:before="0" w:line="276" w:lineRule="auto"/>
        <w:ind w:right="553"/>
        <w:jc w:val="both"/>
        <w:rPr>
          <w:rStyle w:val="Headline"/>
          <w:rFonts w:eastAsia="Helvetica"/>
          <w:lang w:val="cs-CZ"/>
        </w:rPr>
      </w:pPr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 xml:space="preserve">Společnost </w:t>
      </w:r>
      <w:proofErr w:type="spellStart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>Henkel</w:t>
      </w:r>
      <w:proofErr w:type="spellEnd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 xml:space="preserve"> odstartovala nový ročník udělování vědeckých ocenění Martha </w:t>
      </w:r>
      <w:proofErr w:type="spellStart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>Schwarzkopf</w:t>
      </w:r>
      <w:proofErr w:type="spellEnd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proofErr w:type="spellStart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>Award</w:t>
      </w:r>
      <w:proofErr w:type="spellEnd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proofErr w:type="spellStart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>for</w:t>
      </w:r>
      <w:proofErr w:type="spellEnd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 xml:space="preserve"> </w:t>
      </w:r>
      <w:proofErr w:type="spellStart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>Women</w:t>
      </w:r>
      <w:proofErr w:type="spellEnd"/>
      <w:r w:rsidRPr="002C5EAF">
        <w:rPr>
          <w:rFonts w:ascii="Segoe UI" w:hAnsi="Segoe UI" w:cs="Segoe UI"/>
          <w:b/>
          <w:bCs/>
          <w:sz w:val="32"/>
          <w:szCs w:val="32"/>
          <w:lang w:val="cs-CZ"/>
        </w:rPr>
        <w:t xml:space="preserve"> in Science</w:t>
      </w:r>
    </w:p>
    <w:p w14:paraId="51AA24F0" w14:textId="77777777" w:rsidR="005742B4" w:rsidRPr="002C5EAF" w:rsidRDefault="005742B4">
      <w:pPr>
        <w:rPr>
          <w:lang w:val="cs-CZ"/>
        </w:rPr>
      </w:pPr>
    </w:p>
    <w:p w14:paraId="1B1E1F58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 xml:space="preserve">Düsseldorf – Společnost </w:t>
      </w:r>
      <w:proofErr w:type="spellStart"/>
      <w:r w:rsidRPr="002C5EAF">
        <w:rPr>
          <w:lang w:val="cs-CZ"/>
        </w:rPr>
        <w:t>Henkel</w:t>
      </w:r>
      <w:proofErr w:type="spellEnd"/>
      <w:r w:rsidRPr="002C5EAF">
        <w:rPr>
          <w:lang w:val="cs-CZ"/>
        </w:rPr>
        <w:t xml:space="preserve"> vyhlašuje třetí ročník udělování ocenění pro vědkyně pod názvem Martha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Award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for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Women</w:t>
      </w:r>
      <w:proofErr w:type="spellEnd"/>
      <w:r w:rsidRPr="002C5EAF">
        <w:rPr>
          <w:lang w:val="cs-CZ"/>
        </w:rPr>
        <w:t xml:space="preserve"> in Science, nímž Společnost oceňuje a podporuje přínos žen k vědeckému výzkumu. Kromě hlavního ocenění pro dvě vědkyně za celoživotní přínos k výzkumu lidského vlasu společnost i letos udělí cenu pro mladé nadějné vědkyně v kategorii „vycházející talent“. Přihlášky je možné podávat od 11. února, který je vyhlášen Mezinárodním dnem žen a dívek ve vědě.</w:t>
      </w:r>
    </w:p>
    <w:p w14:paraId="6DA52B2A" w14:textId="77777777" w:rsidR="005371B1" w:rsidRPr="002C5EAF" w:rsidRDefault="005371B1" w:rsidP="005371B1">
      <w:pPr>
        <w:rPr>
          <w:lang w:val="cs-CZ"/>
        </w:rPr>
      </w:pPr>
    </w:p>
    <w:p w14:paraId="7475CCEF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>O ocenění se mohou ucházet vědkyně věnující se výzkumu v oblasti přírodních věd, medicíny nebo počítačových věd, které předloží výsledky svého výzkumu lidského vlasu nebo v příbuzné vědecké oblasti. Za první a druhé místo bude kromě samotné ceny udělena také finanční podpora ve výši 10 000, resp. 5 000 eur; mladá vědkyně, jež získá ocenění v kategorii „vycházející talent“, získá finanční odměnu v hodnotě 5 000 eur.</w:t>
      </w:r>
    </w:p>
    <w:p w14:paraId="6643F591" w14:textId="77777777" w:rsidR="005371B1" w:rsidRPr="002C5EAF" w:rsidRDefault="005371B1" w:rsidP="005371B1">
      <w:pPr>
        <w:rPr>
          <w:lang w:val="cs-CZ"/>
        </w:rPr>
      </w:pPr>
    </w:p>
    <w:p w14:paraId="5830A88C" w14:textId="77777777" w:rsidR="005371B1" w:rsidRPr="009D0602" w:rsidRDefault="005371B1" w:rsidP="005371B1">
      <w:pPr>
        <w:rPr>
          <w:i/>
          <w:iCs/>
          <w:lang w:val="cs-CZ"/>
        </w:rPr>
      </w:pPr>
      <w:r w:rsidRPr="002C5EAF">
        <w:rPr>
          <w:i/>
          <w:iCs/>
          <w:lang w:val="cs-CZ"/>
        </w:rPr>
        <w:t xml:space="preserve">„Zdrojem inovací je tak pokrok dosažen v přírodních vědách, jakož i rozmanitost vědeckých přístupů a nápadů. Ženy ve vědě jsou ovšem stále nedostatečně zastoupeny. Jelikož společnost </w:t>
      </w:r>
      <w:proofErr w:type="spellStart"/>
      <w:r w:rsidRPr="002C5EAF">
        <w:rPr>
          <w:i/>
          <w:iCs/>
          <w:lang w:val="cs-CZ"/>
        </w:rPr>
        <w:t>Henkel</w:t>
      </w:r>
      <w:proofErr w:type="spellEnd"/>
      <w:r w:rsidRPr="002C5EAF">
        <w:rPr>
          <w:i/>
          <w:iCs/>
          <w:lang w:val="cs-CZ"/>
        </w:rPr>
        <w:t xml:space="preserve"> klade obrovský důraz na rodovou rovnost, Mezinárodní den žen a dívek ve vědě jsme oslavili odstartováním lhůty k podávání přihlášek do letošního ročníku udělování ocenění Martha </w:t>
      </w:r>
      <w:proofErr w:type="spellStart"/>
      <w:r w:rsidRPr="002C5EAF">
        <w:rPr>
          <w:i/>
          <w:iCs/>
          <w:lang w:val="cs-CZ"/>
        </w:rPr>
        <w:t>Schwarzkopf</w:t>
      </w:r>
      <w:proofErr w:type="spellEnd"/>
      <w:r w:rsidRPr="002C5EAF">
        <w:rPr>
          <w:i/>
          <w:iCs/>
          <w:lang w:val="cs-CZ"/>
        </w:rPr>
        <w:t xml:space="preserve"> </w:t>
      </w:r>
      <w:proofErr w:type="spellStart"/>
      <w:r w:rsidRPr="002C5EAF">
        <w:rPr>
          <w:i/>
          <w:iCs/>
          <w:lang w:val="cs-CZ"/>
        </w:rPr>
        <w:t>Award</w:t>
      </w:r>
      <w:proofErr w:type="spellEnd"/>
      <w:r w:rsidRPr="002C5EAF">
        <w:rPr>
          <w:i/>
          <w:iCs/>
          <w:lang w:val="cs-CZ"/>
        </w:rPr>
        <w:t>,“</w:t>
      </w:r>
      <w:r w:rsidRPr="002C5EAF">
        <w:rPr>
          <w:lang w:val="cs-CZ"/>
        </w:rPr>
        <w:t xml:space="preserve"> říká Frank </w:t>
      </w:r>
      <w:proofErr w:type="spellStart"/>
      <w:r w:rsidRPr="002C5EAF">
        <w:rPr>
          <w:lang w:val="cs-CZ"/>
        </w:rPr>
        <w:t>Meyer</w:t>
      </w:r>
      <w:proofErr w:type="spellEnd"/>
      <w:r w:rsidRPr="002C5EAF">
        <w:rPr>
          <w:lang w:val="cs-CZ"/>
        </w:rPr>
        <w:t xml:space="preserve">, senior viceprezident pro globální výzkum a vývoj v obchodní divizi </w:t>
      </w:r>
      <w:proofErr w:type="spellStart"/>
      <w:r w:rsidRPr="002C5EAF">
        <w:rPr>
          <w:lang w:val="cs-CZ"/>
        </w:rPr>
        <w:t>Consumer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Brands</w:t>
      </w:r>
      <w:proofErr w:type="spellEnd"/>
      <w:r w:rsidRPr="002C5EAF">
        <w:rPr>
          <w:lang w:val="cs-CZ"/>
        </w:rPr>
        <w:t xml:space="preserve"> společnosti </w:t>
      </w:r>
      <w:proofErr w:type="spellStart"/>
      <w:r w:rsidRPr="002C5EAF">
        <w:rPr>
          <w:lang w:val="cs-CZ"/>
        </w:rPr>
        <w:t>Henkel</w:t>
      </w:r>
      <w:proofErr w:type="spellEnd"/>
      <w:r w:rsidRPr="002C5EAF">
        <w:rPr>
          <w:lang w:val="cs-CZ"/>
        </w:rPr>
        <w:t xml:space="preserve">. Astrid </w:t>
      </w:r>
      <w:proofErr w:type="spellStart"/>
      <w:r w:rsidRPr="002C5EAF">
        <w:rPr>
          <w:lang w:val="cs-CZ"/>
        </w:rPr>
        <w:t>Kleen</w:t>
      </w:r>
      <w:proofErr w:type="spellEnd"/>
      <w:r w:rsidRPr="002C5EAF">
        <w:rPr>
          <w:lang w:val="cs-CZ"/>
        </w:rPr>
        <w:t xml:space="preserve">, ředitelka pro globální výzkum a vývoj v oblasti lidského vlasu v divizi </w:t>
      </w:r>
      <w:proofErr w:type="spellStart"/>
      <w:r w:rsidRPr="002C5EAF">
        <w:rPr>
          <w:lang w:val="cs-CZ"/>
        </w:rPr>
        <w:t>Consumer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Brands</w:t>
      </w:r>
      <w:proofErr w:type="spellEnd"/>
      <w:r w:rsidRPr="002C5EAF">
        <w:rPr>
          <w:lang w:val="cs-CZ"/>
        </w:rPr>
        <w:t>, dodává</w:t>
      </w:r>
      <w:r w:rsidRPr="009D0602">
        <w:rPr>
          <w:i/>
          <w:iCs/>
          <w:lang w:val="cs-CZ"/>
        </w:rPr>
        <w:t xml:space="preserve">: „Abychom mohli naše produkty neustále inovovat, musíme nepřetržitě zkoumat komplexní svět vlasových vláken a vlasových kořínků. Toto ocenění je vyznamenáním pro výjimečné vědkyně, které přispívají </w:t>
      </w:r>
      <w:r w:rsidRPr="009D0602">
        <w:rPr>
          <w:i/>
          <w:iCs/>
          <w:lang w:val="cs-CZ"/>
        </w:rPr>
        <w:lastRenderedPageBreak/>
        <w:t>k pokroku v oblasti výzkumu lidského vlasu a pokožky hlavy včetně materiálových a počítačových věd.“</w:t>
      </w:r>
    </w:p>
    <w:p w14:paraId="5DBED9C6" w14:textId="77777777" w:rsidR="005371B1" w:rsidRPr="002C5EAF" w:rsidRDefault="005371B1" w:rsidP="005371B1">
      <w:pPr>
        <w:rPr>
          <w:lang w:val="cs-CZ"/>
        </w:rPr>
      </w:pPr>
    </w:p>
    <w:p w14:paraId="7DB575BD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 xml:space="preserve">Ocenění zároveň vzdává hold </w:t>
      </w:r>
      <w:proofErr w:type="spellStart"/>
      <w:r w:rsidRPr="002C5EAF">
        <w:rPr>
          <w:lang w:val="cs-CZ"/>
        </w:rPr>
        <w:t>Marthe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, která byla jednou z prvních žen - podnikatelek v čele obchodní společnosti v Německu a zakladatelkou vědeckého institutu pro výzkum lidského vlasu. Dnes je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 nejsilnější značkou divize </w:t>
      </w:r>
      <w:proofErr w:type="spellStart"/>
      <w:r w:rsidRPr="002C5EAF">
        <w:rPr>
          <w:lang w:val="cs-CZ"/>
        </w:rPr>
        <w:t>Consumer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Brands</w:t>
      </w:r>
      <w:proofErr w:type="spellEnd"/>
      <w:r w:rsidRPr="002C5EAF">
        <w:rPr>
          <w:lang w:val="cs-CZ"/>
        </w:rPr>
        <w:t xml:space="preserve"> v trhovém segmentu vlasových přípravků. Všechny technické inovace, jež značka na trh přináší, navazují na bohatý odkaz institutu pro výzkum lidského vlasu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, který má na starosti výzkumně vývojové laboratoře, testovací a zkušební salony a vlasové akademie na celém světě. Ocenění je také symbolickým uznáním podnikatelského a inovativního ducha Marthy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 a jejího empatického přístupu k řízení společnosti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 a vědecko-výzkumného centra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>.</w:t>
      </w:r>
    </w:p>
    <w:p w14:paraId="3572DAAF" w14:textId="77777777" w:rsidR="005371B1" w:rsidRPr="002C5EAF" w:rsidRDefault="005371B1" w:rsidP="005371B1">
      <w:pPr>
        <w:rPr>
          <w:lang w:val="cs-CZ"/>
        </w:rPr>
      </w:pPr>
    </w:p>
    <w:p w14:paraId="123C2B57" w14:textId="77777777" w:rsidR="005371B1" w:rsidRPr="002C5EAF" w:rsidRDefault="005371B1" w:rsidP="005371B1">
      <w:pPr>
        <w:rPr>
          <w:lang w:val="cs-CZ"/>
        </w:rPr>
      </w:pPr>
      <w:r w:rsidRPr="00FE3B34">
        <w:rPr>
          <w:i/>
          <w:iCs/>
          <w:lang w:val="cs-CZ"/>
        </w:rPr>
        <w:t>„Velmi nás těší, že můžeme neustále rozšiřovat svou síť vědkyň a výzkumnic v oblasti lidského vlasu. Přihlášené vědkyně a vítězky předchozích dvou ročníků jsou nyní již nedílnou součástí této sítě, přičemž máme velkou radost, že s nimi můžeme spolupracovat. Udělením hlavní ceny za celoživotní vědecko-výzkumný přínos společně s cenou pro vycházející talenty se nám v rámci naší sítě daří spájet pohled zkušených vědkyň s pohledem mladých perspektivních výzkumnic, které jsou ještě stále jen na počátku své kariéry,“</w:t>
      </w:r>
      <w:r w:rsidRPr="002C5EAF">
        <w:rPr>
          <w:lang w:val="cs-CZ"/>
        </w:rPr>
        <w:t xml:space="preserve"> říká Andrea </w:t>
      </w:r>
      <w:proofErr w:type="spellStart"/>
      <w:r w:rsidRPr="002C5EAF">
        <w:rPr>
          <w:lang w:val="cs-CZ"/>
        </w:rPr>
        <w:t>Sättler</w:t>
      </w:r>
      <w:proofErr w:type="spellEnd"/>
      <w:r w:rsidRPr="002C5EAF">
        <w:rPr>
          <w:lang w:val="cs-CZ"/>
        </w:rPr>
        <w:t xml:space="preserve">, ředitelka vědecko-výzkumné akademie divize </w:t>
      </w:r>
      <w:proofErr w:type="spellStart"/>
      <w:r w:rsidRPr="002C5EAF">
        <w:rPr>
          <w:lang w:val="cs-CZ"/>
        </w:rPr>
        <w:t>Consumer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Brands</w:t>
      </w:r>
      <w:proofErr w:type="spellEnd"/>
      <w:r w:rsidRPr="002C5EAF">
        <w:rPr>
          <w:lang w:val="cs-CZ"/>
        </w:rPr>
        <w:t xml:space="preserve"> a předsedkyně odborné poroty, která ocenění Martha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Award</w:t>
      </w:r>
      <w:proofErr w:type="spellEnd"/>
      <w:r w:rsidRPr="002C5EAF">
        <w:rPr>
          <w:lang w:val="cs-CZ"/>
        </w:rPr>
        <w:t xml:space="preserve"> uděluje.</w:t>
      </w:r>
    </w:p>
    <w:p w14:paraId="29577230" w14:textId="77777777" w:rsidR="005371B1" w:rsidRPr="002C5EAF" w:rsidRDefault="005371B1" w:rsidP="005371B1">
      <w:pPr>
        <w:rPr>
          <w:lang w:val="cs-CZ"/>
        </w:rPr>
      </w:pPr>
    </w:p>
    <w:p w14:paraId="1AC45D27" w14:textId="77777777" w:rsidR="005371B1" w:rsidRPr="002C5EAF" w:rsidRDefault="005371B1" w:rsidP="005371B1">
      <w:pPr>
        <w:rPr>
          <w:b/>
          <w:bCs/>
          <w:lang w:val="cs-CZ"/>
        </w:rPr>
      </w:pPr>
      <w:r w:rsidRPr="002C5EAF">
        <w:rPr>
          <w:b/>
          <w:bCs/>
          <w:lang w:val="cs-CZ"/>
        </w:rPr>
        <w:t>Jak se přihlásit</w:t>
      </w:r>
    </w:p>
    <w:p w14:paraId="7A36601B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 xml:space="preserve">O ocenění Martha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Award</w:t>
      </w:r>
      <w:proofErr w:type="spellEnd"/>
      <w:r w:rsidRPr="002C5EAF">
        <w:rPr>
          <w:lang w:val="cs-CZ"/>
        </w:rPr>
        <w:t xml:space="preserve"> se mohou ucházet vědkyně z celého světa, které mají doktorát a rozsáhlé zkušenosti s výzkumem v oblasti přírodních věd, medicíny a počítačových věd. Ocenění je specificky určené vědkyním, které se zaměřují na výzkum lidského vlasu nebo výzkum v příbuzných oblastech, jako výzkum textilních a vlněných vláken, analýza biologických povrchů anebo interakce látek s vlasy a pokožkou hlavy. V aktuálním ročníku chce společnost </w:t>
      </w:r>
      <w:proofErr w:type="spellStart"/>
      <w:r w:rsidRPr="002C5EAF">
        <w:rPr>
          <w:lang w:val="cs-CZ"/>
        </w:rPr>
        <w:t>Henkel</w:t>
      </w:r>
      <w:proofErr w:type="spellEnd"/>
      <w:r w:rsidRPr="002C5EAF">
        <w:rPr>
          <w:lang w:val="cs-CZ"/>
        </w:rPr>
        <w:t xml:space="preserve"> podpořit především přihlášky od vědkyň, které se zabývají výzkumem vlasového vlákna nebo povrchové struktury vlasu. Vědkyně s ukončeným magisterským studiem ve stejných vědecko-výzkumných oblastech se mohou ucházet o ocenění pro vycházející talent, i když jsou jen na počátku své vědecké kariéry. </w:t>
      </w:r>
    </w:p>
    <w:p w14:paraId="1311DBD4" w14:textId="77777777" w:rsidR="005371B1" w:rsidRPr="002C5EAF" w:rsidRDefault="005371B1" w:rsidP="005371B1">
      <w:pPr>
        <w:rPr>
          <w:lang w:val="cs-CZ"/>
        </w:rPr>
      </w:pPr>
    </w:p>
    <w:p w14:paraId="2F2B1CC6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 xml:space="preserve">Přihlášky bude posuzovat odborná porota složená z renomovaných vědkyň, jež působí v oblasti vědeckého výzkumu v rámci divize </w:t>
      </w:r>
      <w:proofErr w:type="spellStart"/>
      <w:r w:rsidRPr="002C5EAF">
        <w:rPr>
          <w:lang w:val="cs-CZ"/>
        </w:rPr>
        <w:t>Consumer</w:t>
      </w:r>
      <w:proofErr w:type="spellEnd"/>
      <w:r w:rsidRPr="002C5EAF">
        <w:rPr>
          <w:lang w:val="cs-CZ"/>
        </w:rPr>
        <w:t xml:space="preserve"> </w:t>
      </w:r>
      <w:proofErr w:type="spellStart"/>
      <w:r w:rsidRPr="002C5EAF">
        <w:rPr>
          <w:lang w:val="cs-CZ"/>
        </w:rPr>
        <w:t>Brands</w:t>
      </w:r>
      <w:proofErr w:type="spellEnd"/>
      <w:r w:rsidRPr="002C5EAF">
        <w:rPr>
          <w:lang w:val="cs-CZ"/>
        </w:rPr>
        <w:t xml:space="preserve">. Kromě finanční odměny se vítězky zúčastní slavnostního odevzdávání ocenění, které proběhne jako součást odborné vědecké konference rozrůstající se sítě výzkumných center Marthy </w:t>
      </w:r>
      <w:proofErr w:type="spellStart"/>
      <w:r w:rsidRPr="002C5EAF">
        <w:rPr>
          <w:lang w:val="cs-CZ"/>
        </w:rPr>
        <w:t>Schwarzkopf</w:t>
      </w:r>
      <w:proofErr w:type="spellEnd"/>
      <w:r w:rsidRPr="002C5EAF">
        <w:rPr>
          <w:lang w:val="cs-CZ"/>
        </w:rPr>
        <w:t xml:space="preserve">. Akce se bude konat koncem třetího čtvrtletí 2024 v Německu. Kromě toho všechny oceněné vědkyně dostanou </w:t>
      </w:r>
      <w:r w:rsidRPr="002C5EAF">
        <w:rPr>
          <w:lang w:val="cs-CZ"/>
        </w:rPr>
        <w:lastRenderedPageBreak/>
        <w:t xml:space="preserve">příležitost zapojit se do mentorského programu pod vedením některé z vědkyň společnosti </w:t>
      </w:r>
      <w:proofErr w:type="spellStart"/>
      <w:r w:rsidRPr="002C5EAF">
        <w:rPr>
          <w:lang w:val="cs-CZ"/>
        </w:rPr>
        <w:t>Henkel</w:t>
      </w:r>
      <w:proofErr w:type="spellEnd"/>
      <w:r w:rsidRPr="002C5EAF">
        <w:rPr>
          <w:lang w:val="cs-CZ"/>
        </w:rPr>
        <w:t>.</w:t>
      </w:r>
    </w:p>
    <w:p w14:paraId="23FB99B8" w14:textId="77777777" w:rsidR="005371B1" w:rsidRPr="002C5EAF" w:rsidRDefault="005371B1" w:rsidP="005371B1">
      <w:pPr>
        <w:rPr>
          <w:lang w:val="cs-CZ"/>
        </w:rPr>
      </w:pPr>
    </w:p>
    <w:p w14:paraId="0644EDC1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>Přihlášky je možné podávat do 1. června 2024. Vědkyně, které se chtějí do soutěže zapojit, mohou své přihlášky v angličtině posílat na e-mailovou adresu </w:t>
      </w:r>
      <w:hyperlink r:id="rId10" w:history="1">
        <w:r w:rsidRPr="002C5EAF">
          <w:rPr>
            <w:rStyle w:val="Hypertextovprepojenie"/>
            <w:lang w:val="cs-CZ"/>
          </w:rPr>
          <w:t>RnD.Award@henkel.com</w:t>
        </w:r>
      </w:hyperlink>
      <w:r w:rsidRPr="002C5EAF">
        <w:rPr>
          <w:lang w:val="cs-CZ"/>
        </w:rPr>
        <w:t>.</w:t>
      </w:r>
    </w:p>
    <w:p w14:paraId="1D61CAA6" w14:textId="77777777" w:rsidR="005371B1" w:rsidRPr="002C5EAF" w:rsidRDefault="005371B1" w:rsidP="005371B1">
      <w:pPr>
        <w:rPr>
          <w:lang w:val="cs-CZ"/>
        </w:rPr>
      </w:pPr>
    </w:p>
    <w:p w14:paraId="4BA80B5C" w14:textId="77777777" w:rsidR="005371B1" w:rsidRPr="002C5EAF" w:rsidRDefault="005371B1" w:rsidP="005371B1">
      <w:pPr>
        <w:rPr>
          <w:lang w:val="cs-CZ"/>
        </w:rPr>
      </w:pPr>
      <w:r w:rsidRPr="002C5EAF">
        <w:rPr>
          <w:lang w:val="cs-CZ"/>
        </w:rPr>
        <w:t>K přihlášce je potřebné přiložit níže uvedené dokumenty:</w:t>
      </w:r>
    </w:p>
    <w:p w14:paraId="08C8A616" w14:textId="77777777" w:rsidR="005371B1" w:rsidRPr="002C5EAF" w:rsidRDefault="005371B1" w:rsidP="005371B1">
      <w:pPr>
        <w:rPr>
          <w:lang w:val="cs-CZ"/>
        </w:rPr>
      </w:pPr>
    </w:p>
    <w:p w14:paraId="14984F6B" w14:textId="77777777" w:rsidR="005371B1" w:rsidRPr="00587DC2" w:rsidRDefault="005371B1" w:rsidP="00587DC2">
      <w:pPr>
        <w:pStyle w:val="Odsekzoznamu"/>
        <w:numPr>
          <w:ilvl w:val="0"/>
          <w:numId w:val="3"/>
        </w:numPr>
        <w:rPr>
          <w:lang w:val="cs-CZ"/>
        </w:rPr>
      </w:pPr>
      <w:r w:rsidRPr="00587DC2">
        <w:rPr>
          <w:lang w:val="cs-CZ"/>
        </w:rPr>
        <w:t>Motivační dopis s uvedením osobní motivace k podání přihlášky</w:t>
      </w:r>
    </w:p>
    <w:p w14:paraId="322B82E7" w14:textId="77777777" w:rsidR="005371B1" w:rsidRPr="00587DC2" w:rsidRDefault="005371B1" w:rsidP="00587DC2">
      <w:pPr>
        <w:pStyle w:val="Odsekzoznamu"/>
        <w:numPr>
          <w:ilvl w:val="0"/>
          <w:numId w:val="3"/>
        </w:numPr>
        <w:rPr>
          <w:lang w:val="cs-CZ"/>
        </w:rPr>
      </w:pPr>
      <w:r w:rsidRPr="00587DC2">
        <w:rPr>
          <w:lang w:val="cs-CZ"/>
        </w:rPr>
        <w:t>Stručný životopis s důrazem na vědeckou oblast práce a zájmu</w:t>
      </w:r>
    </w:p>
    <w:p w14:paraId="4A49B940" w14:textId="77777777" w:rsidR="005371B1" w:rsidRPr="00587DC2" w:rsidRDefault="005371B1" w:rsidP="00587DC2">
      <w:pPr>
        <w:pStyle w:val="Odsekzoznamu"/>
        <w:numPr>
          <w:ilvl w:val="0"/>
          <w:numId w:val="3"/>
        </w:numPr>
        <w:rPr>
          <w:lang w:val="cs-CZ"/>
        </w:rPr>
      </w:pPr>
      <w:r w:rsidRPr="00587DC2">
        <w:rPr>
          <w:lang w:val="cs-CZ"/>
        </w:rPr>
        <w:t>Seznam nejvýznamnějších vědeckých publikací a článků</w:t>
      </w:r>
    </w:p>
    <w:p w14:paraId="0954A438" w14:textId="77777777" w:rsidR="005371B1" w:rsidRPr="00587DC2" w:rsidRDefault="005371B1" w:rsidP="00587DC2">
      <w:pPr>
        <w:pStyle w:val="Odsekzoznamu"/>
        <w:numPr>
          <w:ilvl w:val="0"/>
          <w:numId w:val="3"/>
        </w:numPr>
        <w:rPr>
          <w:lang w:val="cs-CZ"/>
        </w:rPr>
      </w:pPr>
      <w:r w:rsidRPr="00587DC2">
        <w:rPr>
          <w:lang w:val="cs-CZ"/>
        </w:rPr>
        <w:t>Shrnutí veřejně dostupných výsledků vlastní vědecké činnosti uchazečky v oblasti výzkumu lidského vlasu a pokožky hlavy, vláknových technologií, počítačových modelů pro studium vláken včetně vědeckých metod analýzy povrchů, struktury vláken, syntézy barviv nebo analýzy biologických procesů ve vlasových koříncích (povoleny jsou všechny vědecké postupy)</w:t>
      </w:r>
    </w:p>
    <w:p w14:paraId="0F2CB544" w14:textId="77777777" w:rsidR="005371B1" w:rsidRPr="00587DC2" w:rsidRDefault="005371B1" w:rsidP="00587DC2">
      <w:pPr>
        <w:pStyle w:val="Odsekzoznamu"/>
        <w:numPr>
          <w:ilvl w:val="0"/>
          <w:numId w:val="3"/>
        </w:numPr>
        <w:rPr>
          <w:lang w:val="cs-CZ"/>
        </w:rPr>
      </w:pPr>
      <w:r w:rsidRPr="00587DC2">
        <w:rPr>
          <w:lang w:val="cs-CZ"/>
        </w:rPr>
        <w:t>Fotografie uchazečky (není povinná)</w:t>
      </w:r>
    </w:p>
    <w:p w14:paraId="413298AB" w14:textId="77777777" w:rsidR="005371B1" w:rsidRPr="002C5EAF" w:rsidRDefault="005371B1" w:rsidP="005371B1">
      <w:pPr>
        <w:rPr>
          <w:lang w:val="cs-CZ"/>
        </w:rPr>
      </w:pPr>
    </w:p>
    <w:p w14:paraId="51AA24F4" w14:textId="483AED0B" w:rsidR="005742B4" w:rsidRPr="002C5EAF" w:rsidRDefault="005371B1">
      <w:pPr>
        <w:rPr>
          <w:lang w:val="cs-CZ"/>
        </w:rPr>
      </w:pPr>
      <w:r w:rsidRPr="002C5EAF">
        <w:rPr>
          <w:lang w:val="cs-CZ"/>
        </w:rPr>
        <w:t>Rozhodujícími kritérii při posuzování odbornou porotou je relevantnost vědecko-výzkumné činnosti v oblasti lidského vlasu, jakož i její přínos pro spotřebitele a životní prostředí. Dalšími faktory, na které se bude přihlížet, jsou průkopnické myšlení, originalita, inovační potenciál, realizovatelnost výzkumných projektů a význam pro segment vlasové kosmetiky.</w:t>
      </w:r>
    </w:p>
    <w:p w14:paraId="51AA24F5" w14:textId="77777777" w:rsidR="005742B4" w:rsidRPr="002C5EAF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2C5EAF" w:rsidRDefault="005D6168" w:rsidP="002F7A23">
      <w:pPr>
        <w:rPr>
          <w:b/>
          <w:bCs/>
          <w:sz w:val="18"/>
          <w:szCs w:val="18"/>
          <w:lang w:val="cs-CZ" w:bidi="bo-CN"/>
        </w:rPr>
      </w:pPr>
      <w:r w:rsidRPr="002C5EAF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2C5EAF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47975FA6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1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F0067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lastRenderedPageBreak/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2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3"/>
      <w:headerReference w:type="first" r:id="rId14"/>
      <w:footerReference w:type="first" r:id="rId15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59D2" w14:textId="77777777" w:rsidR="00475F5B" w:rsidRDefault="00475F5B">
      <w:pPr>
        <w:spacing w:line="240" w:lineRule="auto"/>
      </w:pPr>
      <w:r>
        <w:separator/>
      </w:r>
    </w:p>
  </w:endnote>
  <w:endnote w:type="continuationSeparator" w:id="0">
    <w:p w14:paraId="62456433" w14:textId="77777777" w:rsidR="00475F5B" w:rsidRDefault="00475F5B">
      <w:pPr>
        <w:spacing w:line="240" w:lineRule="auto"/>
      </w:pPr>
      <w:r>
        <w:continuationSeparator/>
      </w:r>
    </w:p>
  </w:endnote>
  <w:endnote w:type="continuationNotice" w:id="1">
    <w:p w14:paraId="2A31C0FC" w14:textId="77777777" w:rsidR="00DF790A" w:rsidRDefault="00DF79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シック W3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E15A04">
      <w:fldChar w:fldCharType="begin"/>
    </w:r>
    <w:r w:rsidR="00E15A04">
      <w:instrText xml:space="preserve"> NUMPAGES </w:instrText>
    </w:r>
    <w:r w:rsidR="00E15A04">
      <w:fldChar w:fldCharType="separate"/>
    </w:r>
    <w:r w:rsidR="00031201">
      <w:rPr>
        <w:noProof/>
      </w:rPr>
      <w:t>2</w:t>
    </w:r>
    <w:r w:rsidR="00E15A0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E15A04">
      <w:fldChar w:fldCharType="begin"/>
    </w:r>
    <w:r w:rsidR="00E15A04">
      <w:instrText xml:space="preserve"> NUMPAGES </w:instrText>
    </w:r>
    <w:r w:rsidR="00E15A04">
      <w:fldChar w:fldCharType="separate"/>
    </w:r>
    <w:r w:rsidR="00031201">
      <w:rPr>
        <w:noProof/>
      </w:rPr>
      <w:t>1</w:t>
    </w:r>
    <w:r w:rsidR="00E15A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C688" w14:textId="77777777" w:rsidR="00475F5B" w:rsidRDefault="00475F5B">
      <w:pPr>
        <w:spacing w:line="240" w:lineRule="auto"/>
      </w:pPr>
      <w:r>
        <w:separator/>
      </w:r>
    </w:p>
  </w:footnote>
  <w:footnote w:type="continuationSeparator" w:id="0">
    <w:p w14:paraId="0AAE1C12" w14:textId="77777777" w:rsidR="00475F5B" w:rsidRDefault="00475F5B">
      <w:pPr>
        <w:spacing w:line="240" w:lineRule="auto"/>
      </w:pPr>
      <w:r>
        <w:continuationSeparator/>
      </w:r>
    </w:p>
  </w:footnote>
  <w:footnote w:type="continuationNotice" w:id="1">
    <w:p w14:paraId="3C2871AF" w14:textId="77777777" w:rsidR="00DF790A" w:rsidRDefault="00DF79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0098"/>
    <w:multiLevelType w:val="hybridMultilevel"/>
    <w:tmpl w:val="F4982220"/>
    <w:lvl w:ilvl="0" w:tplc="5FB28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099"/>
    <w:multiLevelType w:val="hybridMultilevel"/>
    <w:tmpl w:val="D6DC47E8"/>
    <w:styleLink w:val="Vekodrka"/>
    <w:lvl w:ilvl="0" w:tplc="FF4473AC">
      <w:start w:val="1"/>
      <w:numFmt w:val="bullet"/>
      <w:lvlText w:val="♣"/>
      <w:lvlJc w:val="left"/>
      <w:pPr>
        <w:tabs>
          <w:tab w:val="num" w:pos="756"/>
        </w:tabs>
        <w:ind w:left="111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9C4C546">
      <w:start w:val="1"/>
      <w:numFmt w:val="bullet"/>
      <w:lvlText w:val="♣"/>
      <w:lvlJc w:val="left"/>
      <w:pPr>
        <w:tabs>
          <w:tab w:val="left" w:pos="720"/>
          <w:tab w:val="num" w:pos="936"/>
        </w:tabs>
        <w:ind w:left="129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B7EBD9A">
      <w:start w:val="1"/>
      <w:numFmt w:val="bullet"/>
      <w:lvlText w:val="♣"/>
      <w:lvlJc w:val="left"/>
      <w:pPr>
        <w:tabs>
          <w:tab w:val="left" w:pos="720"/>
          <w:tab w:val="num" w:pos="1116"/>
        </w:tabs>
        <w:ind w:left="147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4DE96FE">
      <w:start w:val="1"/>
      <w:numFmt w:val="bullet"/>
      <w:lvlText w:val="♣"/>
      <w:lvlJc w:val="left"/>
      <w:pPr>
        <w:tabs>
          <w:tab w:val="left" w:pos="720"/>
          <w:tab w:val="num" w:pos="1296"/>
        </w:tabs>
        <w:ind w:left="165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04988C64">
      <w:start w:val="1"/>
      <w:numFmt w:val="bullet"/>
      <w:lvlText w:val="♣"/>
      <w:lvlJc w:val="left"/>
      <w:pPr>
        <w:tabs>
          <w:tab w:val="left" w:pos="720"/>
          <w:tab w:val="num" w:pos="1476"/>
        </w:tabs>
        <w:ind w:left="183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60B2EDFC">
      <w:start w:val="1"/>
      <w:numFmt w:val="bullet"/>
      <w:lvlText w:val="♣"/>
      <w:lvlJc w:val="left"/>
      <w:pPr>
        <w:tabs>
          <w:tab w:val="left" w:pos="720"/>
          <w:tab w:val="num" w:pos="1656"/>
        </w:tabs>
        <w:ind w:left="201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5B4AC1A">
      <w:start w:val="1"/>
      <w:numFmt w:val="bullet"/>
      <w:lvlText w:val="♣"/>
      <w:lvlJc w:val="left"/>
      <w:pPr>
        <w:tabs>
          <w:tab w:val="left" w:pos="720"/>
          <w:tab w:val="num" w:pos="1836"/>
        </w:tabs>
        <w:ind w:left="219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942FB28">
      <w:start w:val="1"/>
      <w:numFmt w:val="bullet"/>
      <w:lvlText w:val="♣"/>
      <w:lvlJc w:val="left"/>
      <w:pPr>
        <w:tabs>
          <w:tab w:val="left" w:pos="720"/>
          <w:tab w:val="num" w:pos="2016"/>
        </w:tabs>
        <w:ind w:left="237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610E83E">
      <w:start w:val="1"/>
      <w:numFmt w:val="bullet"/>
      <w:lvlText w:val="♣"/>
      <w:lvlJc w:val="left"/>
      <w:pPr>
        <w:tabs>
          <w:tab w:val="left" w:pos="720"/>
          <w:tab w:val="num" w:pos="2196"/>
        </w:tabs>
        <w:ind w:left="2556" w:hanging="756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5FBC0947"/>
    <w:multiLevelType w:val="hybridMultilevel"/>
    <w:tmpl w:val="D6DC47E8"/>
    <w:numStyleLink w:val="Vekodrka"/>
  </w:abstractNum>
  <w:num w:numId="1" w16cid:durableId="215358720">
    <w:abstractNumId w:val="1"/>
  </w:num>
  <w:num w:numId="2" w16cid:durableId="1040864829">
    <w:abstractNumId w:val="2"/>
  </w:num>
  <w:num w:numId="3" w16cid:durableId="2394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251645"/>
    <w:rsid w:val="002570B7"/>
    <w:rsid w:val="00284F28"/>
    <w:rsid w:val="002C5EAF"/>
    <w:rsid w:val="002D2EB4"/>
    <w:rsid w:val="002F7A23"/>
    <w:rsid w:val="00303E82"/>
    <w:rsid w:val="003B16A3"/>
    <w:rsid w:val="0040052F"/>
    <w:rsid w:val="00475F5B"/>
    <w:rsid w:val="004D3C26"/>
    <w:rsid w:val="004D74B9"/>
    <w:rsid w:val="005371B1"/>
    <w:rsid w:val="00562E09"/>
    <w:rsid w:val="005742B4"/>
    <w:rsid w:val="00577738"/>
    <w:rsid w:val="00587DC2"/>
    <w:rsid w:val="005B6D31"/>
    <w:rsid w:val="005D6168"/>
    <w:rsid w:val="006628C7"/>
    <w:rsid w:val="0069283E"/>
    <w:rsid w:val="006B2F83"/>
    <w:rsid w:val="006F228D"/>
    <w:rsid w:val="00751DC7"/>
    <w:rsid w:val="00752E89"/>
    <w:rsid w:val="007B51A1"/>
    <w:rsid w:val="007D354B"/>
    <w:rsid w:val="008E58B1"/>
    <w:rsid w:val="0099764C"/>
    <w:rsid w:val="009A3DB0"/>
    <w:rsid w:val="009D0602"/>
    <w:rsid w:val="00A070EE"/>
    <w:rsid w:val="00A110E3"/>
    <w:rsid w:val="00AF0067"/>
    <w:rsid w:val="00BB5AB9"/>
    <w:rsid w:val="00C930A3"/>
    <w:rsid w:val="00DF790A"/>
    <w:rsid w:val="00E15A04"/>
    <w:rsid w:val="00E832BF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5371B1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5371B1"/>
  </w:style>
  <w:style w:type="numbering" w:customStyle="1" w:styleId="Vekodrka">
    <w:name w:val="Veľká odrážka"/>
    <w:rsid w:val="005371B1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58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zuzana.kanuchova@henk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ke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nD.Award@henkel.com%22%20%5Ct%20%22_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39</cp:revision>
  <dcterms:created xsi:type="dcterms:W3CDTF">2023-01-10T10:51:00Z</dcterms:created>
  <dcterms:modified xsi:type="dcterms:W3CDTF">2024-02-28T07:47:00Z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