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7C10" w14:textId="4B28AAD1" w:rsidR="00B422EC" w:rsidRPr="00561DF9" w:rsidRDefault="004D4CB6" w:rsidP="00B02FC0">
      <w:pPr>
        <w:spacing w:before="120"/>
        <w:jc w:val="right"/>
        <w:rPr>
          <w:rFonts w:ascii="Segoe UI" w:hAnsi="Segoe UI" w:cs="Segoe UI"/>
          <w:i/>
          <w:sz w:val="22"/>
          <w:szCs w:val="22"/>
          <w:lang w:val="hu-HU"/>
        </w:rPr>
      </w:pPr>
      <w:r w:rsidRPr="00561DF9">
        <w:rPr>
          <w:rFonts w:ascii="Segoe UI" w:hAnsi="Segoe UI" w:cs="Segoe UI"/>
          <w:bCs/>
          <w:i/>
          <w:iCs/>
          <w:sz w:val="22"/>
          <w:szCs w:val="22"/>
          <w:lang w:val="hu-HU"/>
        </w:rPr>
        <w:t xml:space="preserve"> </w:t>
      </w:r>
      <w:r w:rsidR="00B02FC0" w:rsidRPr="007A6F48">
        <w:rPr>
          <w:rFonts w:ascii="Segoe UI" w:hAnsi="Segoe UI" w:cs="Segoe UI"/>
          <w:sz w:val="22"/>
          <w:szCs w:val="22"/>
          <w:lang w:val="hu-HU"/>
        </w:rPr>
        <w:t>20</w:t>
      </w:r>
      <w:r w:rsidR="00EE1460" w:rsidRPr="007A6F48">
        <w:rPr>
          <w:rFonts w:ascii="Segoe UI" w:hAnsi="Segoe UI" w:cs="Segoe UI"/>
          <w:sz w:val="22"/>
          <w:szCs w:val="22"/>
          <w:lang w:val="hu-HU"/>
        </w:rPr>
        <w:t>2</w:t>
      </w:r>
      <w:r w:rsidR="0035444D">
        <w:rPr>
          <w:rFonts w:ascii="Segoe UI" w:hAnsi="Segoe UI" w:cs="Segoe UI"/>
          <w:sz w:val="22"/>
          <w:szCs w:val="22"/>
          <w:lang w:val="hu-HU"/>
        </w:rPr>
        <w:t>4</w:t>
      </w:r>
      <w:r w:rsidR="00B02FC0" w:rsidRPr="007A6F48">
        <w:rPr>
          <w:rFonts w:ascii="Segoe UI" w:hAnsi="Segoe UI" w:cs="Segoe UI"/>
          <w:sz w:val="22"/>
          <w:szCs w:val="22"/>
          <w:lang w:val="hu-HU"/>
        </w:rPr>
        <w:t>.</w:t>
      </w:r>
      <w:r w:rsidR="00720833">
        <w:rPr>
          <w:rFonts w:ascii="Segoe UI" w:hAnsi="Segoe UI" w:cs="Segoe UI"/>
          <w:sz w:val="22"/>
          <w:szCs w:val="22"/>
          <w:lang w:val="hu-HU"/>
        </w:rPr>
        <w:t xml:space="preserve"> </w:t>
      </w:r>
      <w:r w:rsidR="000C49EA">
        <w:rPr>
          <w:rFonts w:ascii="Segoe UI" w:hAnsi="Segoe UI" w:cs="Segoe UI"/>
          <w:sz w:val="22"/>
          <w:szCs w:val="22"/>
          <w:lang w:val="hu-HU"/>
        </w:rPr>
        <w:t>március 4</w:t>
      </w:r>
      <w:r w:rsidR="00ED1B14" w:rsidRPr="007A6F48">
        <w:rPr>
          <w:rFonts w:ascii="Segoe UI" w:hAnsi="Segoe UI" w:cs="Segoe UI"/>
          <w:sz w:val="22"/>
          <w:szCs w:val="22"/>
          <w:lang w:val="hu-HU"/>
        </w:rPr>
        <w:t>.</w:t>
      </w:r>
      <w:r w:rsidR="00ED1B14">
        <w:rPr>
          <w:rFonts w:ascii="Segoe UI" w:hAnsi="Segoe UI" w:cs="Segoe UI"/>
          <w:sz w:val="22"/>
          <w:szCs w:val="22"/>
          <w:lang w:val="hu-HU"/>
        </w:rPr>
        <w:t xml:space="preserve"> </w:t>
      </w:r>
    </w:p>
    <w:p w14:paraId="3A025D18" w14:textId="77777777" w:rsidR="00FA2371" w:rsidRPr="00D24F37" w:rsidRDefault="00FA2371" w:rsidP="004F539E">
      <w:pPr>
        <w:pStyle w:val="PRTopline"/>
        <w:spacing w:after="360" w:line="276" w:lineRule="auto"/>
        <w:rPr>
          <w:rFonts w:ascii="Segoe UI" w:hAnsi="Segoe UI" w:cs="Segoe UI"/>
          <w:sz w:val="22"/>
          <w:szCs w:val="22"/>
          <w:lang w:val="hu-HU"/>
        </w:rPr>
      </w:pPr>
      <w:bookmarkStart w:id="0" w:name="_Hlk43712519"/>
    </w:p>
    <w:p w14:paraId="7E84DA3A" w14:textId="42381B7E" w:rsidR="00D24F37" w:rsidRPr="00157119" w:rsidRDefault="0097257F" w:rsidP="00D24F37">
      <w:pPr>
        <w:pStyle w:val="Topline"/>
        <w:spacing w:after="240"/>
        <w:rPr>
          <w:lang w:val="hu-HU"/>
        </w:rPr>
      </w:pPr>
      <w:r>
        <w:rPr>
          <w:lang w:val="hu-HU"/>
        </w:rPr>
        <w:t xml:space="preserve">Felgyorsult </w:t>
      </w:r>
      <w:r w:rsidR="00D24F37" w:rsidRPr="00157119">
        <w:rPr>
          <w:lang w:val="hu-HU"/>
        </w:rPr>
        <w:t>stratégiai növekedési program végrehajtása kihívásokkal teli környezetben</w:t>
      </w:r>
    </w:p>
    <w:bookmarkEnd w:id="0"/>
    <w:p w14:paraId="7DD0EBB1" w14:textId="51377D23" w:rsidR="00347622" w:rsidRPr="00157119" w:rsidRDefault="00D24F37" w:rsidP="00347622">
      <w:pPr>
        <w:spacing w:line="276" w:lineRule="auto"/>
        <w:jc w:val="both"/>
        <w:rPr>
          <w:rFonts w:ascii="Segoe UI" w:hAnsi="Segoe UI" w:cs="Segoe UI"/>
          <w:b/>
          <w:bCs/>
          <w:sz w:val="32"/>
          <w:lang w:val="hu-HU"/>
        </w:rPr>
      </w:pPr>
      <w:r w:rsidRPr="00157119">
        <w:rPr>
          <w:rStyle w:val="Headline"/>
          <w:rFonts w:ascii="Segoe UI" w:hAnsi="Segoe UI" w:cs="Segoe UI"/>
          <w:lang w:val="hu-HU"/>
        </w:rPr>
        <w:t>A Henkel nagyon erős szerves árbevétel-növekedést és jelentős eredményjavulást ér</w:t>
      </w:r>
      <w:r w:rsidR="001C799A">
        <w:rPr>
          <w:rStyle w:val="Headline"/>
          <w:rFonts w:ascii="Segoe UI" w:hAnsi="Segoe UI" w:cs="Segoe UI"/>
          <w:lang w:val="hu-HU"/>
        </w:rPr>
        <w:t>t</w:t>
      </w:r>
      <w:r w:rsidRPr="00157119">
        <w:rPr>
          <w:rStyle w:val="Headline"/>
          <w:rFonts w:ascii="Segoe UI" w:hAnsi="Segoe UI" w:cs="Segoe UI"/>
          <w:lang w:val="hu-HU"/>
        </w:rPr>
        <w:t xml:space="preserve"> el 2023-ban</w:t>
      </w:r>
      <w:r w:rsidR="00D637A7" w:rsidRPr="00157119">
        <w:rPr>
          <w:rFonts w:ascii="Segoe UI" w:hAnsi="Segoe UI" w:cs="Segoe UI"/>
          <w:b/>
          <w:bCs/>
          <w:sz w:val="32"/>
          <w:lang w:val="hu-HU"/>
        </w:rPr>
        <w:t xml:space="preserve"> </w:t>
      </w:r>
    </w:p>
    <w:p w14:paraId="6265B640" w14:textId="77777777" w:rsidR="00347622" w:rsidRPr="00157119" w:rsidRDefault="00347622" w:rsidP="00347622">
      <w:pPr>
        <w:spacing w:line="276" w:lineRule="auto"/>
        <w:jc w:val="both"/>
        <w:rPr>
          <w:rFonts w:ascii="Segoe UI" w:hAnsi="Segoe UI" w:cs="Segoe UI"/>
          <w:sz w:val="22"/>
          <w:lang w:val="hu-HU"/>
        </w:rPr>
      </w:pPr>
    </w:p>
    <w:p w14:paraId="12AAE77F" w14:textId="65CC0D4E" w:rsidR="00D24F37" w:rsidRPr="00157119" w:rsidRDefault="00D24F37" w:rsidP="00D24F37">
      <w:pPr>
        <w:pStyle w:val="Listaszerbekezds"/>
        <w:numPr>
          <w:ilvl w:val="0"/>
          <w:numId w:val="8"/>
        </w:numPr>
        <w:spacing w:after="80"/>
        <w:ind w:left="357" w:right="-108" w:hanging="357"/>
        <w:contextualSpacing w:val="0"/>
        <w:rPr>
          <w:rFonts w:cs="Segoe UI"/>
          <w:b/>
          <w:szCs w:val="22"/>
          <w:lang w:val="hu-HU"/>
        </w:rPr>
      </w:pPr>
      <w:bookmarkStart w:id="1" w:name="_Hlk64363173"/>
      <w:r w:rsidRPr="00157119">
        <w:rPr>
          <w:rFonts w:cs="Segoe UI"/>
          <w:b/>
          <w:szCs w:val="22"/>
          <w:lang w:val="hu-HU"/>
        </w:rPr>
        <w:t>Erős üzletági teljesítmény 202</w:t>
      </w:r>
      <w:r w:rsidR="009A5AA0">
        <w:rPr>
          <w:rFonts w:cs="Segoe UI"/>
          <w:b/>
          <w:szCs w:val="22"/>
          <w:lang w:val="hu-HU"/>
        </w:rPr>
        <w:t>3</w:t>
      </w:r>
      <w:r w:rsidRPr="00157119">
        <w:rPr>
          <w:rFonts w:cs="Segoe UI"/>
          <w:b/>
          <w:szCs w:val="22"/>
          <w:lang w:val="hu-HU"/>
        </w:rPr>
        <w:t>-ban</w:t>
      </w:r>
    </w:p>
    <w:bookmarkEnd w:id="1"/>
    <w:p w14:paraId="417FBDD7" w14:textId="77777777" w:rsidR="00D24F37" w:rsidRPr="00157119" w:rsidRDefault="00D24F37" w:rsidP="00D24F37">
      <w:pPr>
        <w:pStyle w:val="Listaszerbekezds"/>
        <w:numPr>
          <w:ilvl w:val="1"/>
          <w:numId w:val="8"/>
        </w:numPr>
        <w:spacing w:after="80" w:line="266" w:lineRule="auto"/>
        <w:ind w:left="709" w:right="-108" w:hanging="283"/>
        <w:contextualSpacing w:val="0"/>
        <w:rPr>
          <w:rFonts w:cs="Segoe UI"/>
          <w:b/>
          <w:szCs w:val="22"/>
          <w:lang w:val="hu-HU"/>
        </w:rPr>
      </w:pPr>
      <w:r w:rsidRPr="00157119">
        <w:rPr>
          <w:rFonts w:cs="Segoe UI"/>
          <w:b/>
          <w:szCs w:val="22"/>
          <w:lang w:val="hu-HU"/>
        </w:rPr>
        <w:t>Árbevétel: 21,5 milliárd euró, nagyon erős, 4,2 százalékos szerves növekedés</w:t>
      </w:r>
    </w:p>
    <w:p w14:paraId="5CA2BE9D" w14:textId="77777777" w:rsidR="00D24F37" w:rsidRPr="00157119" w:rsidRDefault="00D24F37" w:rsidP="00D24F37">
      <w:pPr>
        <w:pStyle w:val="Listaszerbekezds"/>
        <w:numPr>
          <w:ilvl w:val="1"/>
          <w:numId w:val="8"/>
        </w:numPr>
        <w:spacing w:after="80" w:line="266" w:lineRule="auto"/>
        <w:ind w:left="709" w:right="-108" w:hanging="283"/>
        <w:contextualSpacing w:val="0"/>
        <w:rPr>
          <w:rFonts w:cs="Segoe UI"/>
          <w:b/>
          <w:szCs w:val="22"/>
          <w:lang w:val="hu-HU"/>
        </w:rPr>
      </w:pPr>
      <w:r w:rsidRPr="00157119">
        <w:rPr>
          <w:rFonts w:cs="Segoe UI"/>
          <w:b/>
          <w:szCs w:val="22"/>
          <w:lang w:val="hu-HU"/>
        </w:rPr>
        <w:t>Üzemi eredmény (EBIT)*: 2,6 milliárd euró, jelentős, 10,2 százalékos növekedés</w:t>
      </w:r>
    </w:p>
    <w:p w14:paraId="6A77813F" w14:textId="77777777" w:rsidR="00D24F37" w:rsidRPr="00157119" w:rsidRDefault="00D24F37" w:rsidP="00D24F37">
      <w:pPr>
        <w:pStyle w:val="Listaszerbekezds"/>
        <w:numPr>
          <w:ilvl w:val="1"/>
          <w:numId w:val="8"/>
        </w:numPr>
        <w:spacing w:after="80" w:line="266" w:lineRule="auto"/>
        <w:ind w:left="709" w:right="-108" w:hanging="283"/>
        <w:contextualSpacing w:val="0"/>
        <w:rPr>
          <w:rFonts w:cs="Segoe UI"/>
          <w:b/>
          <w:szCs w:val="22"/>
          <w:lang w:val="hu-HU"/>
        </w:rPr>
      </w:pPr>
      <w:r w:rsidRPr="00157119">
        <w:rPr>
          <w:rFonts w:cs="Segoe UI"/>
          <w:b/>
          <w:szCs w:val="22"/>
          <w:lang w:val="hu-HU"/>
        </w:rPr>
        <w:t>EBIT marzs*: 11,9 százalék, 150 bázispontos erős javulás</w:t>
      </w:r>
    </w:p>
    <w:p w14:paraId="05A64387" w14:textId="77777777" w:rsidR="00D24F37" w:rsidRPr="00157119" w:rsidRDefault="00D24F37" w:rsidP="00D24F37">
      <w:pPr>
        <w:pStyle w:val="Listaszerbekezds"/>
        <w:numPr>
          <w:ilvl w:val="1"/>
          <w:numId w:val="8"/>
        </w:numPr>
        <w:spacing w:after="80" w:line="266" w:lineRule="auto"/>
        <w:ind w:left="709" w:right="-108" w:hanging="283"/>
        <w:rPr>
          <w:rFonts w:cs="Segoe UI"/>
          <w:b/>
          <w:szCs w:val="22"/>
          <w:lang w:val="hu-HU"/>
        </w:rPr>
      </w:pPr>
      <w:r w:rsidRPr="00157119">
        <w:rPr>
          <w:rFonts w:cs="Segoe UI"/>
          <w:b/>
          <w:szCs w:val="22"/>
          <w:lang w:val="hu-HU"/>
        </w:rPr>
        <w:t>Elsőbbségi részvények korrigált hozama (EPS)* jelentősen magasabb: 4,35 euró, +20,0 százalék változatlan árfolyamon</w:t>
      </w:r>
    </w:p>
    <w:p w14:paraId="56794C43" w14:textId="77777777" w:rsidR="00D24F37" w:rsidRPr="00157119" w:rsidRDefault="00D24F37" w:rsidP="00D24F37">
      <w:pPr>
        <w:pStyle w:val="Listaszerbekezds"/>
        <w:numPr>
          <w:ilvl w:val="1"/>
          <w:numId w:val="8"/>
        </w:numPr>
        <w:spacing w:after="80" w:line="266" w:lineRule="auto"/>
        <w:ind w:left="709" w:right="-108" w:hanging="283"/>
        <w:contextualSpacing w:val="0"/>
        <w:rPr>
          <w:rFonts w:cs="Segoe UI"/>
          <w:b/>
          <w:szCs w:val="22"/>
          <w:lang w:val="hu-HU"/>
        </w:rPr>
      </w:pPr>
      <w:r w:rsidRPr="00157119">
        <w:rPr>
          <w:rFonts w:cs="Segoe UI"/>
          <w:b/>
          <w:szCs w:val="22"/>
          <w:lang w:val="hu-HU"/>
        </w:rPr>
        <w:t>Szabad cash flow 2,6 milliárd eurós új csúcson</w:t>
      </w:r>
    </w:p>
    <w:p w14:paraId="066F855A" w14:textId="77777777" w:rsidR="00D24F37" w:rsidRPr="00157119" w:rsidRDefault="00D24F37" w:rsidP="00D24F37">
      <w:pPr>
        <w:pStyle w:val="Listaszerbekezds"/>
        <w:numPr>
          <w:ilvl w:val="0"/>
          <w:numId w:val="8"/>
        </w:numPr>
        <w:spacing w:after="80"/>
        <w:ind w:right="-108"/>
        <w:contextualSpacing w:val="0"/>
        <w:rPr>
          <w:rFonts w:cs="Segoe UI"/>
          <w:b/>
          <w:szCs w:val="22"/>
          <w:lang w:val="hu-HU"/>
        </w:rPr>
      </w:pPr>
      <w:r w:rsidRPr="00157119">
        <w:rPr>
          <w:rFonts w:cs="Segoe UI"/>
          <w:b/>
          <w:szCs w:val="22"/>
          <w:lang w:val="hu-HU"/>
        </w:rPr>
        <w:t>Stabil javasolt osztalék: 1,85 euró elsőbbségi részvényenként</w:t>
      </w:r>
    </w:p>
    <w:p w14:paraId="7F5B8D75" w14:textId="77777777" w:rsidR="00D24F37" w:rsidRPr="00157119" w:rsidRDefault="00D24F37" w:rsidP="00D24F37">
      <w:pPr>
        <w:numPr>
          <w:ilvl w:val="0"/>
          <w:numId w:val="8"/>
        </w:numPr>
        <w:spacing w:after="80" w:line="276" w:lineRule="auto"/>
        <w:ind w:right="-108"/>
        <w:jc w:val="both"/>
        <w:rPr>
          <w:rFonts w:ascii="Segoe UI" w:hAnsi="Segoe UI" w:cs="Segoe UI"/>
          <w:b/>
          <w:sz w:val="22"/>
          <w:szCs w:val="22"/>
          <w:lang w:val="hu-HU"/>
        </w:rPr>
      </w:pPr>
      <w:r w:rsidRPr="00157119">
        <w:rPr>
          <w:rFonts w:ascii="Segoe UI" w:hAnsi="Segoe UI" w:cs="Segoe UI"/>
          <w:b/>
          <w:sz w:val="22"/>
          <w:szCs w:val="22"/>
          <w:lang w:val="hu-HU"/>
        </w:rPr>
        <w:t>A Céltudatos Növekedési Program végrehajtásának további felgyorsítása</w:t>
      </w:r>
    </w:p>
    <w:p w14:paraId="764EB172" w14:textId="77777777" w:rsidR="00D24F37" w:rsidRPr="00157119" w:rsidRDefault="00D24F37" w:rsidP="00D24F37">
      <w:pPr>
        <w:pStyle w:val="Listaszerbekezds"/>
        <w:numPr>
          <w:ilvl w:val="1"/>
          <w:numId w:val="8"/>
        </w:numPr>
        <w:spacing w:after="80" w:line="266" w:lineRule="auto"/>
        <w:ind w:left="709" w:right="-108" w:hanging="283"/>
        <w:contextualSpacing w:val="0"/>
        <w:rPr>
          <w:rFonts w:cs="Segoe UI"/>
          <w:b/>
          <w:szCs w:val="22"/>
          <w:lang w:val="hu-HU"/>
        </w:rPr>
      </w:pPr>
      <w:bookmarkStart w:id="2" w:name="_Hlk157433806"/>
      <w:r w:rsidRPr="00157119">
        <w:rPr>
          <w:rFonts w:cs="Segoe UI"/>
          <w:b/>
          <w:szCs w:val="22"/>
          <w:lang w:val="hu-HU"/>
        </w:rPr>
        <w:t xml:space="preserve">Consumer Brands: </w:t>
      </w:r>
      <w:bookmarkEnd w:id="2"/>
      <w:r w:rsidRPr="00157119">
        <w:rPr>
          <w:rFonts w:cs="Segoe UI"/>
          <w:b/>
          <w:szCs w:val="22"/>
          <w:lang w:val="hu-HU"/>
        </w:rPr>
        <w:t>Az összevonás a tervezettnél gyorsabban halad</w:t>
      </w:r>
    </w:p>
    <w:p w14:paraId="43FA4AA4" w14:textId="77777777" w:rsidR="00D24F37" w:rsidRPr="00157119" w:rsidRDefault="00D24F37" w:rsidP="00D24F37">
      <w:pPr>
        <w:pStyle w:val="Listaszerbekezds"/>
        <w:numPr>
          <w:ilvl w:val="1"/>
          <w:numId w:val="8"/>
        </w:numPr>
        <w:spacing w:after="80" w:line="266" w:lineRule="auto"/>
        <w:ind w:left="709" w:right="-108" w:hanging="283"/>
        <w:contextualSpacing w:val="0"/>
        <w:rPr>
          <w:rFonts w:cs="Segoe UI"/>
          <w:b/>
          <w:szCs w:val="22"/>
          <w:lang w:val="hu-HU"/>
        </w:rPr>
      </w:pPr>
      <w:r w:rsidRPr="00157119">
        <w:rPr>
          <w:rFonts w:cs="Segoe UI"/>
          <w:b/>
          <w:szCs w:val="22"/>
          <w:lang w:val="hu-HU"/>
        </w:rPr>
        <w:t>Adhesive Technologies: Az új szervezet még inkább ügyfélközpontú</w:t>
      </w:r>
    </w:p>
    <w:p w14:paraId="740E4287" w14:textId="77777777" w:rsidR="00D24F37" w:rsidRPr="00157119" w:rsidRDefault="00D24F37" w:rsidP="00D24F37">
      <w:pPr>
        <w:pStyle w:val="Listaszerbekezds"/>
        <w:numPr>
          <w:ilvl w:val="1"/>
          <w:numId w:val="8"/>
        </w:numPr>
        <w:spacing w:after="80" w:line="266" w:lineRule="auto"/>
        <w:ind w:left="709" w:right="-108" w:hanging="283"/>
        <w:contextualSpacing w:val="0"/>
        <w:rPr>
          <w:rFonts w:cs="Segoe UI"/>
          <w:b/>
          <w:szCs w:val="22"/>
          <w:lang w:val="hu-HU"/>
        </w:rPr>
      </w:pPr>
      <w:r w:rsidRPr="00157119">
        <w:rPr>
          <w:rFonts w:cs="Segoe UI"/>
          <w:b/>
          <w:szCs w:val="22"/>
          <w:lang w:val="hu-HU"/>
        </w:rPr>
        <w:t>Mindkét üzletág megerősítése célzott felvásárlásokkal</w:t>
      </w:r>
    </w:p>
    <w:p w14:paraId="621B23C9" w14:textId="77777777" w:rsidR="00D24F37" w:rsidRPr="00157119" w:rsidRDefault="00D24F37" w:rsidP="00D24F37">
      <w:pPr>
        <w:pStyle w:val="Listaszerbekezds"/>
        <w:numPr>
          <w:ilvl w:val="1"/>
          <w:numId w:val="8"/>
        </w:numPr>
        <w:spacing w:after="80" w:line="266" w:lineRule="auto"/>
        <w:ind w:left="709" w:right="-108" w:hanging="283"/>
        <w:contextualSpacing w:val="0"/>
        <w:rPr>
          <w:rFonts w:cs="Segoe UI"/>
          <w:b/>
          <w:szCs w:val="22"/>
          <w:lang w:val="hu-HU"/>
        </w:rPr>
      </w:pPr>
      <w:r w:rsidRPr="00157119">
        <w:rPr>
          <w:rFonts w:cs="Segoe UI"/>
          <w:b/>
          <w:szCs w:val="22"/>
          <w:lang w:val="hu-HU"/>
        </w:rPr>
        <w:t>A fenntarthatóság előmozdítása a kulcsfontosságú területeken</w:t>
      </w:r>
    </w:p>
    <w:p w14:paraId="4638C1D7" w14:textId="77777777" w:rsidR="00D24F37" w:rsidRPr="00157119" w:rsidRDefault="00D24F37" w:rsidP="00D24F37">
      <w:pPr>
        <w:numPr>
          <w:ilvl w:val="0"/>
          <w:numId w:val="8"/>
        </w:numPr>
        <w:spacing w:after="80" w:line="276" w:lineRule="auto"/>
        <w:ind w:right="-108"/>
        <w:jc w:val="both"/>
        <w:rPr>
          <w:rFonts w:ascii="Segoe UI" w:hAnsi="Segoe UI" w:cs="Segoe UI"/>
          <w:b/>
          <w:sz w:val="22"/>
          <w:szCs w:val="22"/>
          <w:lang w:val="hu-HU"/>
        </w:rPr>
      </w:pPr>
      <w:r w:rsidRPr="00157119">
        <w:rPr>
          <w:rFonts w:ascii="Segoe UI" w:hAnsi="Segoe UI" w:cs="Segoe UI"/>
          <w:b/>
          <w:sz w:val="22"/>
          <w:szCs w:val="22"/>
          <w:lang w:val="hu-HU"/>
        </w:rPr>
        <w:t xml:space="preserve">Kilátások a 2024-es pénzügyi évre – összpontosítás a nyereséges növekedésre </w:t>
      </w:r>
    </w:p>
    <w:p w14:paraId="0A713D8F" w14:textId="77777777" w:rsidR="00D24F37" w:rsidRPr="00157119" w:rsidRDefault="00D24F37" w:rsidP="00D24F37">
      <w:pPr>
        <w:pStyle w:val="Listaszerbekezds"/>
        <w:numPr>
          <w:ilvl w:val="1"/>
          <w:numId w:val="8"/>
        </w:numPr>
        <w:spacing w:after="80" w:line="266" w:lineRule="auto"/>
        <w:ind w:right="-108"/>
        <w:contextualSpacing w:val="0"/>
        <w:rPr>
          <w:rFonts w:cs="Segoe UI"/>
          <w:b/>
          <w:szCs w:val="22"/>
          <w:lang w:val="hu-HU"/>
        </w:rPr>
      </w:pPr>
      <w:r w:rsidRPr="00157119">
        <w:rPr>
          <w:rFonts w:cs="Segoe UI"/>
          <w:b/>
          <w:szCs w:val="22"/>
          <w:lang w:val="hu-HU"/>
        </w:rPr>
        <w:t>Szerves árbevétel-növekedés: 2,0 - 4,0 százalék</w:t>
      </w:r>
    </w:p>
    <w:p w14:paraId="3553525E" w14:textId="0B2C5F91" w:rsidR="00D24F37" w:rsidRPr="00157119" w:rsidRDefault="00D24F37" w:rsidP="00D24F37">
      <w:pPr>
        <w:pStyle w:val="Listaszerbekezds"/>
        <w:numPr>
          <w:ilvl w:val="1"/>
          <w:numId w:val="8"/>
        </w:numPr>
        <w:spacing w:after="80" w:line="266" w:lineRule="auto"/>
        <w:ind w:left="1077" w:right="-108" w:hanging="357"/>
        <w:contextualSpacing w:val="0"/>
        <w:rPr>
          <w:rFonts w:cs="Segoe UI"/>
          <w:b/>
          <w:szCs w:val="22"/>
          <w:lang w:val="hu-HU"/>
        </w:rPr>
      </w:pPr>
      <w:r w:rsidRPr="00157119">
        <w:rPr>
          <w:rFonts w:cs="Segoe UI"/>
          <w:b/>
          <w:szCs w:val="22"/>
          <w:lang w:val="hu-HU"/>
        </w:rPr>
        <w:t>EBIT marzs*: 12</w:t>
      </w:r>
      <w:r w:rsidR="00763751">
        <w:rPr>
          <w:rFonts w:cs="Segoe UI"/>
          <w:b/>
          <w:szCs w:val="22"/>
          <w:lang w:val="hu-HU"/>
        </w:rPr>
        <w:t>,</w:t>
      </w:r>
      <w:r w:rsidRPr="00157119">
        <w:rPr>
          <w:rFonts w:cs="Segoe UI"/>
          <w:b/>
          <w:szCs w:val="22"/>
          <w:lang w:val="hu-HU"/>
        </w:rPr>
        <w:t xml:space="preserve">0 </w:t>
      </w:r>
      <w:r w:rsidR="00763751">
        <w:rPr>
          <w:rFonts w:cs="Segoe UI"/>
          <w:b/>
          <w:szCs w:val="22"/>
          <w:lang w:val="hu-HU"/>
        </w:rPr>
        <w:t>–</w:t>
      </w:r>
      <w:r w:rsidRPr="00157119">
        <w:rPr>
          <w:rFonts w:cs="Segoe UI"/>
          <w:b/>
          <w:szCs w:val="22"/>
          <w:lang w:val="hu-HU"/>
        </w:rPr>
        <w:t xml:space="preserve"> 13</w:t>
      </w:r>
      <w:r w:rsidR="00763751">
        <w:rPr>
          <w:rFonts w:cs="Segoe UI"/>
          <w:b/>
          <w:szCs w:val="22"/>
          <w:lang w:val="hu-HU"/>
        </w:rPr>
        <w:t>,</w:t>
      </w:r>
      <w:r w:rsidRPr="00157119">
        <w:rPr>
          <w:rFonts w:cs="Segoe UI"/>
          <w:b/>
          <w:szCs w:val="22"/>
          <w:lang w:val="hu-HU"/>
        </w:rPr>
        <w:t>5 százalék</w:t>
      </w:r>
    </w:p>
    <w:p w14:paraId="588BBB8F" w14:textId="77777777" w:rsidR="00D24F37" w:rsidRPr="00157119" w:rsidRDefault="00D24F37" w:rsidP="00D24F37">
      <w:pPr>
        <w:pStyle w:val="Listaszerbekezds"/>
        <w:numPr>
          <w:ilvl w:val="1"/>
          <w:numId w:val="8"/>
        </w:numPr>
        <w:spacing w:after="80" w:line="266" w:lineRule="auto"/>
        <w:ind w:right="-108"/>
        <w:rPr>
          <w:rFonts w:cs="Segoe UI"/>
          <w:b/>
          <w:szCs w:val="22"/>
          <w:lang w:val="hu-HU"/>
        </w:rPr>
      </w:pPr>
      <w:r w:rsidRPr="00157119">
        <w:rPr>
          <w:rFonts w:cs="Segoe UI"/>
          <w:b/>
          <w:szCs w:val="22"/>
          <w:lang w:val="hu-HU"/>
        </w:rPr>
        <w:t>Elsőbbségi részvények korrigált hozama (EPS)*: +5 és +20 százalék közötti növekedés (változatlan árfolyamon)</w:t>
      </w:r>
    </w:p>
    <w:p w14:paraId="03A74DDF" w14:textId="77777777" w:rsidR="00D24F37" w:rsidRPr="00157119" w:rsidRDefault="00D24F37" w:rsidP="00D24F37">
      <w:pPr>
        <w:spacing w:line="240" w:lineRule="auto"/>
        <w:jc w:val="both"/>
        <w:rPr>
          <w:rFonts w:ascii="Segoe UI" w:hAnsi="Segoe UI" w:cs="Segoe UI"/>
          <w:sz w:val="22"/>
          <w:szCs w:val="22"/>
          <w:lang w:val="hu-HU"/>
        </w:rPr>
      </w:pPr>
    </w:p>
    <w:p w14:paraId="44630D39" w14:textId="7041E692" w:rsidR="00D24F37" w:rsidRPr="00157119" w:rsidRDefault="00D24F37" w:rsidP="00472AB1">
      <w:pPr>
        <w:spacing w:line="276" w:lineRule="auto"/>
        <w:jc w:val="both"/>
        <w:rPr>
          <w:rFonts w:ascii="Segoe UI" w:hAnsi="Segoe UI" w:cs="Segoe UI"/>
          <w:b/>
          <w:bCs/>
          <w:sz w:val="22"/>
          <w:szCs w:val="22"/>
          <w:lang w:val="hu-HU"/>
        </w:rPr>
      </w:pPr>
      <w:r w:rsidRPr="00157119">
        <w:rPr>
          <w:rFonts w:ascii="Segoe UI" w:hAnsi="Segoe UI" w:cs="Segoe UI"/>
          <w:noProof/>
          <w:sz w:val="22"/>
          <w:szCs w:val="22"/>
          <w:lang w:val="hu-HU" w:eastAsia="hu-HU"/>
        </w:rPr>
        <mc:AlternateContent>
          <mc:Choice Requires="wps">
            <w:drawing>
              <wp:anchor distT="45720" distB="45720" distL="114300" distR="114300" simplePos="0" relativeHeight="251659264" behindDoc="0" locked="0" layoutInCell="1" allowOverlap="1" wp14:anchorId="742CF20C" wp14:editId="33754F04">
                <wp:simplePos x="0" y="0"/>
                <wp:positionH relativeFrom="margin">
                  <wp:posOffset>-27940</wp:posOffset>
                </wp:positionH>
                <wp:positionV relativeFrom="paragraph">
                  <wp:posOffset>1423035</wp:posOffset>
                </wp:positionV>
                <wp:extent cx="5414010" cy="233045"/>
                <wp:effectExtent l="0" t="0" r="0" b="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EA207" w14:textId="77777777" w:rsidR="00D24F37" w:rsidRPr="00472AB1" w:rsidRDefault="00D24F37" w:rsidP="00D24F37">
                            <w:pPr>
                              <w:pStyle w:val="He04Funote"/>
                              <w:rPr>
                                <w:sz w:val="12"/>
                                <w:szCs w:val="12"/>
                                <w:lang w:val="hu-HU"/>
                              </w:rPr>
                            </w:pPr>
                            <w:r w:rsidRPr="00472AB1">
                              <w:rPr>
                                <w:sz w:val="12"/>
                                <w:szCs w:val="12"/>
                                <w:lang w:val="hu-HU"/>
                              </w:rPr>
                              <w:t>* Egyszeri kiadásokkal és bevételekkel, valamint szerkezetátalakítási költségekkel kiigazítva.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2CF20C" id="_x0000_t202" coordsize="21600,21600" o:spt="202" path="m,l,21600r21600,l21600,xe">
                <v:stroke joinstyle="miter"/>
                <v:path gradientshapeok="t" o:connecttype="rect"/>
              </v:shapetype>
              <v:shape id="Szövegdoboz 7" o:spid="_x0000_s1026" type="#_x0000_t202" style="position:absolute;left:0;text-align:left;margin-left:-2.2pt;margin-top:112.05pt;width:426.3pt;height:18.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" stroked="f">
                <v:textbox>
                  <w:txbxContent>
                    <w:p w14:paraId="7B4EA207" w14:textId="77777777" w:rsidR="00D24F37" w:rsidRPr="00472AB1" w:rsidRDefault="00D24F37" w:rsidP="00D24F37">
                      <w:pPr>
                        <w:pStyle w:val="He04Funote"/>
                        <w:rPr>
                          <w:sz w:val="12"/>
                          <w:szCs w:val="12"/>
                          <w:lang w:val="hu-HU"/>
                        </w:rPr>
                      </w:pPr>
                      <w:r w:rsidRPr="00472AB1">
                        <w:rPr>
                          <w:sz w:val="12"/>
                          <w:szCs w:val="12"/>
                          <w:lang w:val="hu-HU"/>
                        </w:rPr>
                        <w:t>* Egyszeri kiadásokkal és bevételekkel, valamint szerkezetátalakítási költségekkel kiigazítva.</w:t>
                      </w:r>
                    </w:p>
                  </w:txbxContent>
                </v:textbox>
                <w10:wrap anchorx="margin"/>
              </v:shape>
            </w:pict>
          </mc:Fallback>
        </mc:AlternateContent>
      </w:r>
      <w:r w:rsidRPr="00157119">
        <w:rPr>
          <w:rFonts w:ascii="Segoe UI" w:hAnsi="Segoe UI" w:cs="Segoe UI"/>
          <w:b/>
          <w:bCs/>
          <w:sz w:val="22"/>
          <w:szCs w:val="22"/>
          <w:lang w:val="hu-HU"/>
        </w:rPr>
        <w:t xml:space="preserve">Düsseldorf </w:t>
      </w:r>
      <w:r w:rsidR="00A25906">
        <w:rPr>
          <w:rFonts w:ascii="Segoe UI" w:hAnsi="Segoe UI" w:cs="Segoe UI"/>
          <w:b/>
          <w:bCs/>
          <w:sz w:val="22"/>
          <w:szCs w:val="22"/>
          <w:lang w:val="hu-HU"/>
        </w:rPr>
        <w:t>–</w:t>
      </w:r>
      <w:r w:rsidR="00D51807">
        <w:rPr>
          <w:rFonts w:ascii="Segoe UI" w:hAnsi="Segoe UI" w:cs="Segoe UI"/>
          <w:b/>
          <w:bCs/>
          <w:sz w:val="22"/>
          <w:szCs w:val="22"/>
          <w:lang w:val="hu-HU"/>
        </w:rPr>
        <w:t xml:space="preserve"> </w:t>
      </w:r>
      <w:r w:rsidR="00A25906">
        <w:rPr>
          <w:rFonts w:ascii="Segoe UI" w:hAnsi="Segoe UI" w:cs="Segoe UI"/>
          <w:b/>
          <w:bCs/>
          <w:sz w:val="22"/>
          <w:szCs w:val="22"/>
          <w:lang w:val="hu-HU"/>
        </w:rPr>
        <w:t>„</w:t>
      </w:r>
      <w:r w:rsidRPr="00157119">
        <w:rPr>
          <w:rFonts w:ascii="Segoe UI" w:hAnsi="Segoe UI" w:cs="Segoe UI"/>
          <w:b/>
          <w:bCs/>
          <w:sz w:val="22"/>
          <w:szCs w:val="22"/>
          <w:lang w:val="hu-HU"/>
        </w:rPr>
        <w:t xml:space="preserve">A tartósan kihívásokkal teli piaci környezet ellenére 2023-ban következetesen </w:t>
      </w:r>
      <w:r w:rsidR="00A25906" w:rsidRPr="00157119">
        <w:rPr>
          <w:rFonts w:ascii="Segoe UI" w:hAnsi="Segoe UI" w:cs="Segoe UI"/>
          <w:b/>
          <w:bCs/>
          <w:sz w:val="22"/>
          <w:szCs w:val="22"/>
          <w:lang w:val="hu-HU"/>
        </w:rPr>
        <w:t>tovább vittük</w:t>
      </w:r>
      <w:r w:rsidRPr="00157119">
        <w:rPr>
          <w:rFonts w:ascii="Segoe UI" w:hAnsi="Segoe UI" w:cs="Segoe UI"/>
          <w:b/>
          <w:bCs/>
          <w:sz w:val="22"/>
          <w:szCs w:val="22"/>
          <w:lang w:val="hu-HU"/>
        </w:rPr>
        <w:t xml:space="preserve"> növekedési stratégiánkat, sőt felgyorsítottuk annak megvalósítását. Nagyon erős szerves árbevétel-növekedést értünk el, és jelentősen </w:t>
      </w:r>
      <w:r w:rsidRPr="00157119">
        <w:rPr>
          <w:rFonts w:ascii="Segoe UI" w:hAnsi="Segoe UI" w:cs="Segoe UI"/>
          <w:b/>
          <w:bCs/>
          <w:sz w:val="22"/>
          <w:szCs w:val="22"/>
          <w:lang w:val="hu-HU"/>
        </w:rPr>
        <w:lastRenderedPageBreak/>
        <w:t>javítottuk a nyereségességet. Ezzel felülmúltuk az év elején tett előrejelzésünket. Ezt a sikeres fejlődést az Adhesive Technologies, és a Consumer Brands üzletágaknak köszönhettük</w:t>
      </w:r>
      <w:r w:rsidR="007C68CF">
        <w:rPr>
          <w:rFonts w:ascii="Segoe UI" w:hAnsi="Segoe UI" w:cs="Segoe UI"/>
          <w:b/>
          <w:bCs/>
          <w:sz w:val="22"/>
          <w:szCs w:val="22"/>
          <w:lang w:val="hu-HU"/>
        </w:rPr>
        <w:t>”</w:t>
      </w:r>
      <w:r w:rsidRPr="00157119">
        <w:rPr>
          <w:rFonts w:ascii="Segoe UI" w:hAnsi="Segoe UI" w:cs="Segoe UI"/>
          <w:b/>
          <w:bCs/>
          <w:sz w:val="22"/>
          <w:szCs w:val="22"/>
          <w:lang w:val="hu-HU"/>
        </w:rPr>
        <w:t xml:space="preserve"> </w:t>
      </w:r>
      <w:r w:rsidR="007C68CF">
        <w:rPr>
          <w:rFonts w:ascii="Segoe UI" w:hAnsi="Segoe UI" w:cs="Segoe UI"/>
          <w:b/>
          <w:bCs/>
          <w:sz w:val="22"/>
          <w:szCs w:val="22"/>
          <w:lang w:val="hu-HU"/>
        </w:rPr>
        <w:t>–</w:t>
      </w:r>
      <w:r w:rsidRPr="00157119">
        <w:rPr>
          <w:rFonts w:ascii="Segoe UI" w:hAnsi="Segoe UI" w:cs="Segoe UI"/>
          <w:b/>
          <w:bCs/>
          <w:sz w:val="22"/>
          <w:szCs w:val="22"/>
          <w:lang w:val="hu-HU"/>
        </w:rPr>
        <w:t xml:space="preserve"> mondta Carsten Knobel, a Henkel igazgatóságának elnöke.</w:t>
      </w:r>
    </w:p>
    <w:p w14:paraId="26FF19CD" w14:textId="77777777" w:rsidR="00D24F37" w:rsidRPr="00157119" w:rsidRDefault="00D24F37" w:rsidP="00D24F37">
      <w:pPr>
        <w:jc w:val="both"/>
        <w:rPr>
          <w:rFonts w:ascii="Segoe UI" w:hAnsi="Segoe UI" w:cs="Segoe UI"/>
          <w:b/>
          <w:bCs/>
          <w:sz w:val="22"/>
          <w:szCs w:val="22"/>
          <w:lang w:val="hu-HU"/>
        </w:rPr>
      </w:pPr>
    </w:p>
    <w:p w14:paraId="238D9C00" w14:textId="4901DD0B" w:rsidR="00D24F37" w:rsidRPr="00157119" w:rsidRDefault="007C68CF" w:rsidP="00472AB1">
      <w:pPr>
        <w:spacing w:line="276" w:lineRule="auto"/>
        <w:jc w:val="both"/>
        <w:rPr>
          <w:rFonts w:ascii="Segoe UI" w:hAnsi="Segoe UI" w:cs="Segoe UI"/>
          <w:b/>
          <w:bCs/>
          <w:sz w:val="22"/>
          <w:szCs w:val="22"/>
          <w:lang w:val="hu-HU"/>
        </w:rPr>
      </w:pPr>
      <w:r>
        <w:rPr>
          <w:rFonts w:ascii="Segoe UI" w:hAnsi="Segoe UI" w:cs="Segoe UI"/>
          <w:b/>
          <w:bCs/>
          <w:sz w:val="22"/>
          <w:szCs w:val="22"/>
          <w:lang w:val="hu-HU"/>
        </w:rPr>
        <w:t>„</w:t>
      </w:r>
      <w:r w:rsidR="00D24F37" w:rsidRPr="00157119">
        <w:rPr>
          <w:rFonts w:ascii="Segoe UI" w:hAnsi="Segoe UI" w:cs="Segoe UI"/>
          <w:b/>
          <w:bCs/>
          <w:sz w:val="22"/>
          <w:szCs w:val="22"/>
          <w:lang w:val="hu-HU"/>
        </w:rPr>
        <w:t>Az eredetileg tervezettnél gyorsabban haladtunk előre a két korábbi fogyasztói üzletág, a Laundry &amp; Home Care, valamint a Beauty Care összevonásával, hogy létr</w:t>
      </w:r>
      <w:r w:rsidR="00722913">
        <w:rPr>
          <w:rFonts w:ascii="Segoe UI" w:hAnsi="Segoe UI" w:cs="Segoe UI"/>
          <w:b/>
          <w:bCs/>
          <w:sz w:val="22"/>
          <w:szCs w:val="22"/>
          <w:lang w:val="hu-HU"/>
        </w:rPr>
        <w:t>e</w:t>
      </w:r>
      <w:r w:rsidR="00D24F37" w:rsidRPr="00157119">
        <w:rPr>
          <w:rFonts w:ascii="Segoe UI" w:hAnsi="Segoe UI" w:cs="Segoe UI"/>
          <w:b/>
          <w:bCs/>
          <w:sz w:val="22"/>
          <w:szCs w:val="22"/>
          <w:lang w:val="hu-HU"/>
        </w:rPr>
        <w:t>hozzuk az új Consumer Brands üzletágat. Az integrációból származó megtakarítások és a folyamatos portfólióintézkedések szintén hozzájárultak az üzletág erős üzleti teljesítményéhez. Az Adhesive Technologies üzletágban az új vezetés alatt szervezetünket még szorosabban összehangoltuk ügyfeleinkkel. Szervesen növeltük az árbevételt, és jelentősen javítottuk az eredményt az általánosan változékony ipari környezetben. Emellett mindkét üzletágat tovább erősítettük célzott akvizíciókkal. E teljesítmény alapján és osztalékpolitikánkkal összhangban az éves közgyűlésen stabil osztalékot fogunk javasolni részvényeseinknek."</w:t>
      </w:r>
    </w:p>
    <w:p w14:paraId="0AA66D44" w14:textId="77777777" w:rsidR="00D24F37" w:rsidRPr="00157119" w:rsidRDefault="00D24F37" w:rsidP="00D24F37">
      <w:pPr>
        <w:jc w:val="both"/>
        <w:rPr>
          <w:rFonts w:ascii="Segoe UI" w:hAnsi="Segoe UI" w:cs="Segoe UI"/>
          <w:b/>
          <w:bCs/>
          <w:sz w:val="22"/>
          <w:szCs w:val="22"/>
          <w:lang w:val="hu-HU"/>
        </w:rPr>
      </w:pPr>
    </w:p>
    <w:p w14:paraId="2DBA8533" w14:textId="0539D6E4" w:rsidR="00D24F37" w:rsidRPr="00157119" w:rsidRDefault="00900D86" w:rsidP="00472AB1">
      <w:pPr>
        <w:spacing w:line="276" w:lineRule="auto"/>
        <w:jc w:val="both"/>
        <w:rPr>
          <w:rFonts w:ascii="Segoe UI" w:hAnsi="Segoe UI" w:cs="Segoe UI"/>
          <w:b/>
          <w:bCs/>
          <w:sz w:val="22"/>
          <w:szCs w:val="22"/>
          <w:lang w:val="hu-HU"/>
        </w:rPr>
      </w:pPr>
      <w:r>
        <w:rPr>
          <w:rFonts w:ascii="Segoe UI" w:hAnsi="Segoe UI" w:cs="Segoe UI"/>
          <w:b/>
          <w:bCs/>
          <w:sz w:val="22"/>
          <w:szCs w:val="22"/>
          <w:lang w:val="hu-HU"/>
        </w:rPr>
        <w:t>„</w:t>
      </w:r>
      <w:r w:rsidR="00D24F37" w:rsidRPr="00157119">
        <w:rPr>
          <w:rFonts w:ascii="Segoe UI" w:hAnsi="Segoe UI" w:cs="Segoe UI"/>
          <w:b/>
          <w:bCs/>
          <w:sz w:val="22"/>
          <w:szCs w:val="22"/>
          <w:lang w:val="hu-HU"/>
        </w:rPr>
        <w:t>Szeretné</w:t>
      </w:r>
      <w:r w:rsidR="001B74BB">
        <w:rPr>
          <w:rFonts w:ascii="Segoe UI" w:hAnsi="Segoe UI" w:cs="Segoe UI"/>
          <w:b/>
          <w:bCs/>
          <w:sz w:val="22"/>
          <w:szCs w:val="22"/>
          <w:lang w:val="hu-HU"/>
        </w:rPr>
        <w:t xml:space="preserve">k köszönetet mondani </w:t>
      </w:r>
      <w:r w:rsidR="00D24F37" w:rsidRPr="00157119">
        <w:rPr>
          <w:rFonts w:ascii="Segoe UI" w:hAnsi="Segoe UI" w:cs="Segoe UI"/>
          <w:b/>
          <w:bCs/>
          <w:sz w:val="22"/>
          <w:szCs w:val="22"/>
          <w:lang w:val="hu-HU"/>
        </w:rPr>
        <w:t>a Henkel valamennyi munkavállalójának a csapatmunká</w:t>
      </w:r>
      <w:r w:rsidR="006A4BD6">
        <w:rPr>
          <w:rFonts w:ascii="Segoe UI" w:hAnsi="Segoe UI" w:cs="Segoe UI"/>
          <w:b/>
          <w:bCs/>
          <w:sz w:val="22"/>
          <w:szCs w:val="22"/>
          <w:lang w:val="hu-HU"/>
        </w:rPr>
        <w:t>jukér</w:t>
      </w:r>
      <w:r w:rsidR="00D24F37" w:rsidRPr="00157119">
        <w:rPr>
          <w:rFonts w:ascii="Segoe UI" w:hAnsi="Segoe UI" w:cs="Segoe UI"/>
          <w:b/>
          <w:bCs/>
          <w:sz w:val="22"/>
          <w:szCs w:val="22"/>
          <w:lang w:val="hu-HU"/>
        </w:rPr>
        <w:t>t és elkötelezettség</w:t>
      </w:r>
      <w:r w:rsidR="006A4BD6">
        <w:rPr>
          <w:rFonts w:ascii="Segoe UI" w:hAnsi="Segoe UI" w:cs="Segoe UI"/>
          <w:b/>
          <w:bCs/>
          <w:sz w:val="22"/>
          <w:szCs w:val="22"/>
          <w:lang w:val="hu-HU"/>
        </w:rPr>
        <w:t>ükér</w:t>
      </w:r>
      <w:r w:rsidR="00D24F37" w:rsidRPr="00157119">
        <w:rPr>
          <w:rFonts w:ascii="Segoe UI" w:hAnsi="Segoe UI" w:cs="Segoe UI"/>
          <w:b/>
          <w:bCs/>
          <w:sz w:val="22"/>
          <w:szCs w:val="22"/>
          <w:lang w:val="hu-HU"/>
        </w:rPr>
        <w:t xml:space="preserve">t, amely lehetővé tette számunkra, hogy </w:t>
      </w:r>
      <w:r w:rsidR="00FD4095" w:rsidRPr="00FD4095">
        <w:rPr>
          <w:rFonts w:ascii="Segoe UI" w:hAnsi="Segoe UI" w:cs="Segoe UI"/>
          <w:b/>
          <w:bCs/>
          <w:sz w:val="22"/>
          <w:szCs w:val="22"/>
          <w:lang w:val="hu-HU"/>
        </w:rPr>
        <w:t>sikeresen vezessük vállalatunkat ezekben a nehéz időkben</w:t>
      </w:r>
      <w:r w:rsidR="00FD4095">
        <w:rPr>
          <w:rFonts w:ascii="Segoe UI" w:hAnsi="Segoe UI" w:cs="Segoe UI"/>
          <w:b/>
          <w:bCs/>
          <w:sz w:val="22"/>
          <w:szCs w:val="22"/>
          <w:lang w:val="hu-HU"/>
        </w:rPr>
        <w:t>.</w:t>
      </w:r>
      <w:r w:rsidR="00D24F37" w:rsidRPr="00157119">
        <w:rPr>
          <w:rFonts w:ascii="Segoe UI" w:hAnsi="Segoe UI" w:cs="Segoe UI"/>
          <w:b/>
          <w:bCs/>
          <w:sz w:val="22"/>
          <w:szCs w:val="22"/>
          <w:lang w:val="hu-HU"/>
        </w:rPr>
        <w:t xml:space="preserve"> </w:t>
      </w:r>
      <w:r w:rsidR="00D17C08" w:rsidRPr="00D17C08">
        <w:rPr>
          <w:rFonts w:ascii="Segoe UI" w:hAnsi="Segoe UI" w:cs="Segoe UI"/>
          <w:b/>
          <w:bCs/>
          <w:sz w:val="22"/>
          <w:szCs w:val="22"/>
          <w:lang w:val="hu-HU"/>
        </w:rPr>
        <w:t xml:space="preserve">Együtt, erős globális csapatként képesek voltunk jelentősen előmozdítani </w:t>
      </w:r>
      <w:r w:rsidR="00D17C08" w:rsidRPr="00157119">
        <w:rPr>
          <w:rFonts w:ascii="Segoe UI" w:hAnsi="Segoe UI" w:cs="Segoe UI"/>
          <w:b/>
          <w:bCs/>
          <w:sz w:val="22"/>
          <w:szCs w:val="22"/>
          <w:lang w:val="hu-HU"/>
        </w:rPr>
        <w:t>Céltudatos Növekedési Programunkat</w:t>
      </w:r>
      <w:r w:rsidR="00D17C08">
        <w:rPr>
          <w:rFonts w:ascii="Segoe UI" w:hAnsi="Segoe UI" w:cs="Segoe UI"/>
          <w:b/>
          <w:bCs/>
          <w:sz w:val="22"/>
          <w:szCs w:val="22"/>
          <w:lang w:val="hu-HU"/>
        </w:rPr>
        <w:t xml:space="preserve">, </w:t>
      </w:r>
      <w:r w:rsidR="00D17C08" w:rsidRPr="00D17C08">
        <w:rPr>
          <w:rFonts w:ascii="Segoe UI" w:hAnsi="Segoe UI" w:cs="Segoe UI"/>
          <w:b/>
          <w:bCs/>
          <w:sz w:val="22"/>
          <w:szCs w:val="22"/>
          <w:lang w:val="hu-HU"/>
        </w:rPr>
        <w:t xml:space="preserve">jelentős előrelépést tenni valamennyi stratégiai </w:t>
      </w:r>
      <w:r w:rsidR="0075761B">
        <w:rPr>
          <w:rFonts w:ascii="Segoe UI" w:hAnsi="Segoe UI" w:cs="Segoe UI"/>
          <w:b/>
          <w:bCs/>
          <w:sz w:val="22"/>
          <w:szCs w:val="22"/>
          <w:lang w:val="hu-HU"/>
        </w:rPr>
        <w:t>céljaink</w:t>
      </w:r>
      <w:r w:rsidR="00D17C08" w:rsidRPr="00D17C08">
        <w:rPr>
          <w:rFonts w:ascii="Segoe UI" w:hAnsi="Segoe UI" w:cs="Segoe UI"/>
          <w:b/>
          <w:bCs/>
          <w:sz w:val="22"/>
          <w:szCs w:val="22"/>
          <w:lang w:val="hu-HU"/>
        </w:rPr>
        <w:t xml:space="preserve"> terén, és sikeresen fejleszteni üzleti tevékenységünket</w:t>
      </w:r>
      <w:r w:rsidR="00E71C15">
        <w:rPr>
          <w:rFonts w:ascii="Segoe UI" w:hAnsi="Segoe UI" w:cs="Segoe UI"/>
          <w:b/>
          <w:bCs/>
          <w:sz w:val="22"/>
          <w:szCs w:val="22"/>
          <w:lang w:val="hu-HU"/>
        </w:rPr>
        <w:t xml:space="preserve">. </w:t>
      </w:r>
      <w:r w:rsidR="00D24F37" w:rsidRPr="00157119">
        <w:rPr>
          <w:rFonts w:ascii="Segoe UI" w:hAnsi="Segoe UI" w:cs="Segoe UI"/>
          <w:b/>
          <w:bCs/>
          <w:sz w:val="22"/>
          <w:szCs w:val="22"/>
          <w:lang w:val="hu-HU"/>
        </w:rPr>
        <w:t>Ez büszkeséggel tölt el, és nagyon bizakodóvá tesz a jövőnket illetően."</w:t>
      </w:r>
    </w:p>
    <w:p w14:paraId="6794B18B" w14:textId="77777777" w:rsidR="00D24F37" w:rsidRPr="00157119" w:rsidRDefault="00D24F37" w:rsidP="00D24F37">
      <w:pPr>
        <w:spacing w:after="80"/>
        <w:jc w:val="both"/>
        <w:rPr>
          <w:rFonts w:ascii="Segoe UI" w:hAnsi="Segoe UI" w:cs="Segoe UI"/>
          <w:sz w:val="22"/>
          <w:szCs w:val="22"/>
          <w:lang w:val="hu-HU" w:eastAsia="de-DE"/>
        </w:rPr>
      </w:pPr>
    </w:p>
    <w:p w14:paraId="4E6C0E4B" w14:textId="77777777" w:rsidR="00D24F37" w:rsidRPr="00157119" w:rsidRDefault="00D24F37" w:rsidP="00D24F37">
      <w:pPr>
        <w:jc w:val="both"/>
        <w:rPr>
          <w:rFonts w:ascii="Segoe UI" w:hAnsi="Segoe UI" w:cs="Segoe UI"/>
          <w:b/>
          <w:bCs/>
          <w:sz w:val="22"/>
          <w:szCs w:val="22"/>
          <w:lang w:val="hu-HU"/>
        </w:rPr>
      </w:pPr>
      <w:r w:rsidRPr="00157119">
        <w:rPr>
          <w:rFonts w:ascii="Segoe UI" w:hAnsi="Segoe UI" w:cs="Segoe UI"/>
          <w:b/>
          <w:bCs/>
          <w:sz w:val="22"/>
          <w:szCs w:val="22"/>
          <w:lang w:val="hu-HU" w:eastAsia="de-DE"/>
        </w:rPr>
        <w:t>A csoport árbevételének és eredményének alakulása a 2023-as pénzügyi évben</w:t>
      </w:r>
    </w:p>
    <w:p w14:paraId="226D2332" w14:textId="77777777" w:rsidR="00D24F37" w:rsidRPr="00157119" w:rsidRDefault="00D24F37" w:rsidP="00D24F37">
      <w:pPr>
        <w:jc w:val="both"/>
        <w:rPr>
          <w:rFonts w:ascii="Segoe UI" w:hAnsi="Segoe UI" w:cs="Segoe UI"/>
          <w:sz w:val="22"/>
          <w:szCs w:val="22"/>
          <w:lang w:val="hu-HU"/>
        </w:rPr>
      </w:pPr>
    </w:p>
    <w:p w14:paraId="4FEC07BC" w14:textId="77777777" w:rsidR="00D24F37" w:rsidRPr="00157119" w:rsidRDefault="00D24F37" w:rsidP="00472AB1">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 Henkel-csoport </w:t>
      </w:r>
      <w:r w:rsidRPr="00157119">
        <w:rPr>
          <w:rFonts w:ascii="Segoe UI" w:hAnsi="Segoe UI" w:cs="Segoe UI"/>
          <w:b/>
          <w:sz w:val="22"/>
          <w:szCs w:val="22"/>
          <w:lang w:val="hu-HU"/>
        </w:rPr>
        <w:t>árbevétele</w:t>
      </w:r>
      <w:r w:rsidRPr="00157119">
        <w:rPr>
          <w:rFonts w:ascii="Segoe UI" w:hAnsi="Segoe UI" w:cs="Segoe UI"/>
          <w:sz w:val="22"/>
          <w:szCs w:val="22"/>
          <w:lang w:val="hu-HU"/>
        </w:rPr>
        <w:t xml:space="preserve"> a 2023-as pénzügyi évben elérte a 21 514 millió eurót, ami nominálisan -3,9 százalékos csökkenést jelent az előző évhez képest. Az árfolyamhatások -4,3 százalékkal negatívan befolyásolták az árbevétel alakulását. Az akvizíciók/értékesítések -3,9 százalékkal negatívan hatottak az árbevételre, ami elsősorban az oroszországi üzleti tevékenységek eladásának volt köszönhető. A </w:t>
      </w:r>
      <w:r w:rsidRPr="001B00B3">
        <w:rPr>
          <w:rFonts w:ascii="Segoe UI" w:hAnsi="Segoe UI" w:cs="Segoe UI"/>
          <w:b/>
          <w:bCs/>
          <w:sz w:val="22"/>
          <w:szCs w:val="22"/>
          <w:lang w:val="hu-HU"/>
        </w:rPr>
        <w:t>szerves árbevétel-növekedés</w:t>
      </w:r>
      <w:r w:rsidRPr="00157119">
        <w:rPr>
          <w:rFonts w:ascii="Segoe UI" w:hAnsi="Segoe UI" w:cs="Segoe UI"/>
          <w:sz w:val="22"/>
          <w:szCs w:val="22"/>
          <w:lang w:val="hu-HU"/>
        </w:rPr>
        <w:t xml:space="preserve"> nagyon erős, 4,2 százalékos volt. Ezt a fejlődést a magas egyszámjegyű százalékos árnövekedés okozta, miközben a volumenek csökkentek. Az év második felében azonban egyértelmű javulás következett be a volumenek alakulásában.</w:t>
      </w:r>
    </w:p>
    <w:p w14:paraId="2CF19795" w14:textId="77777777" w:rsidR="00D24F37" w:rsidRPr="00157119" w:rsidRDefault="00D24F37" w:rsidP="00D24F37">
      <w:pPr>
        <w:jc w:val="both"/>
        <w:rPr>
          <w:rFonts w:ascii="Segoe UI" w:hAnsi="Segoe UI" w:cs="Segoe UI"/>
          <w:sz w:val="22"/>
          <w:szCs w:val="22"/>
          <w:lang w:val="hu-HU"/>
        </w:rPr>
      </w:pPr>
    </w:p>
    <w:p w14:paraId="4B50F244" w14:textId="5220E752" w:rsidR="00D24F37" w:rsidRPr="00157119" w:rsidRDefault="00D24F37" w:rsidP="00472AB1">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Az </w:t>
      </w:r>
      <w:r w:rsidRPr="00157119">
        <w:rPr>
          <w:rFonts w:ascii="Segoe UI" w:hAnsi="Segoe UI" w:cs="Segoe UI"/>
          <w:b/>
          <w:sz w:val="22"/>
          <w:szCs w:val="22"/>
          <w:lang w:val="hu-HU"/>
        </w:rPr>
        <w:t>Adhesive Technologies</w:t>
      </w:r>
      <w:r w:rsidRPr="00157119">
        <w:rPr>
          <w:rFonts w:ascii="Segoe UI" w:hAnsi="Segoe UI" w:cs="Segoe UI"/>
          <w:sz w:val="22"/>
          <w:szCs w:val="22"/>
          <w:lang w:val="hu-HU"/>
        </w:rPr>
        <w:t xml:space="preserve"> üzletág erős, 3,2 százalékos szerves árbevétel-növekedést ért el, amelyet a Mobility &amp; Electronics, valamint a Craftsmen, Construction &amp; Professional üzleti </w:t>
      </w:r>
      <w:r w:rsidRPr="00235A94">
        <w:rPr>
          <w:rFonts w:ascii="Segoe UI" w:hAnsi="Segoe UI" w:cs="Segoe UI"/>
          <w:sz w:val="22"/>
          <w:szCs w:val="22"/>
          <w:lang w:val="hu-HU"/>
        </w:rPr>
        <w:t>területek</w:t>
      </w:r>
      <w:r w:rsidR="00F72807" w:rsidRPr="00235A94">
        <w:rPr>
          <w:rFonts w:ascii="Segoe UI" w:hAnsi="Segoe UI" w:cs="Segoe UI"/>
          <w:sz w:val="22"/>
          <w:szCs w:val="22"/>
          <w:lang w:val="hu-HU"/>
        </w:rPr>
        <w:t xml:space="preserve"> hajtottak</w:t>
      </w:r>
      <w:r w:rsidRPr="00157119">
        <w:rPr>
          <w:rFonts w:ascii="Segoe UI" w:hAnsi="Segoe UI" w:cs="Segoe UI"/>
          <w:sz w:val="22"/>
          <w:szCs w:val="22"/>
          <w:lang w:val="hu-HU"/>
        </w:rPr>
        <w:t xml:space="preserve">. A </w:t>
      </w:r>
      <w:r w:rsidRPr="00157119">
        <w:rPr>
          <w:rFonts w:ascii="Segoe UI" w:hAnsi="Segoe UI" w:cs="Segoe UI"/>
          <w:b/>
          <w:bCs/>
          <w:sz w:val="22"/>
          <w:szCs w:val="22"/>
          <w:lang w:val="hu-HU"/>
        </w:rPr>
        <w:t>Consumer Brands</w:t>
      </w:r>
      <w:r w:rsidRPr="00157119">
        <w:rPr>
          <w:rFonts w:ascii="Segoe UI" w:hAnsi="Segoe UI" w:cs="Segoe UI"/>
          <w:sz w:val="22"/>
          <w:szCs w:val="22"/>
          <w:lang w:val="hu-HU"/>
        </w:rPr>
        <w:t xml:space="preserve"> üzletág nagyon erős, 6,1 százalékos szerves árbevétel-növekedést ért el, különösen a Laundry &amp; Home Care, valamint a Hair üzleti területek</w:t>
      </w:r>
      <w:r w:rsidR="00903A83">
        <w:rPr>
          <w:rFonts w:ascii="Segoe UI" w:hAnsi="Segoe UI" w:cs="Segoe UI"/>
          <w:sz w:val="22"/>
          <w:szCs w:val="22"/>
          <w:lang w:val="hu-HU"/>
        </w:rPr>
        <w:t>nek köszönhetően</w:t>
      </w:r>
      <w:r w:rsidRPr="00157119">
        <w:rPr>
          <w:rFonts w:ascii="Segoe UI" w:hAnsi="Segoe UI" w:cs="Segoe UI"/>
          <w:sz w:val="22"/>
          <w:szCs w:val="22"/>
          <w:lang w:val="hu-HU"/>
        </w:rPr>
        <w:t>.</w:t>
      </w:r>
    </w:p>
    <w:p w14:paraId="7B6AEAF3" w14:textId="77777777" w:rsidR="00D24F37" w:rsidRPr="00157119" w:rsidRDefault="00D24F37" w:rsidP="00D24F37">
      <w:pPr>
        <w:jc w:val="both"/>
        <w:rPr>
          <w:rFonts w:ascii="Segoe UI" w:hAnsi="Segoe UI" w:cs="Segoe UI"/>
          <w:b/>
          <w:bCs/>
          <w:sz w:val="22"/>
          <w:szCs w:val="22"/>
          <w:lang w:val="hu-HU"/>
        </w:rPr>
      </w:pPr>
    </w:p>
    <w:p w14:paraId="4FC45AB9" w14:textId="77777777" w:rsidR="00D24F37" w:rsidRPr="00157119" w:rsidRDefault="00D24F37" w:rsidP="0035037E">
      <w:pPr>
        <w:spacing w:line="276" w:lineRule="auto"/>
        <w:jc w:val="both"/>
        <w:rPr>
          <w:rFonts w:ascii="Segoe UI" w:hAnsi="Segoe UI" w:cs="Segoe UI"/>
          <w:sz w:val="22"/>
          <w:szCs w:val="22"/>
          <w:lang w:val="hu-HU"/>
        </w:rPr>
      </w:pPr>
      <w:r w:rsidRPr="00157119">
        <w:rPr>
          <w:rFonts w:ascii="Segoe UI" w:hAnsi="Segoe UI" w:cs="Segoe UI"/>
          <w:sz w:val="22"/>
          <w:szCs w:val="22"/>
          <w:lang w:val="hu-HU"/>
        </w:rPr>
        <w:lastRenderedPageBreak/>
        <w:t xml:space="preserve">A </w:t>
      </w:r>
      <w:r w:rsidRPr="00157119">
        <w:rPr>
          <w:rFonts w:ascii="Segoe UI" w:hAnsi="Segoe UI" w:cs="Segoe UI"/>
          <w:b/>
          <w:sz w:val="22"/>
          <w:szCs w:val="22"/>
          <w:lang w:val="hu-HU"/>
        </w:rPr>
        <w:t>korrigált üzemi eredmény</w:t>
      </w:r>
      <w:r w:rsidRPr="00157119">
        <w:rPr>
          <w:rFonts w:ascii="Segoe UI" w:hAnsi="Segoe UI" w:cs="Segoe UI"/>
          <w:sz w:val="22"/>
          <w:szCs w:val="22"/>
          <w:lang w:val="hu-HU"/>
        </w:rPr>
        <w:t xml:space="preserve"> (korrigált EBIT) jelentősen, 10,2 százalékkal 2 556 millió euróra nőtt (előző év: 2 319 millió euró). Az eladási árak pozitív alakulása, a költségek csökkentésére, valamint a termelés és az ellátási lánc hatékonyságának növelésére irányuló folyamatos intézkedések, illetve a portfólió-optimalizálási intézkedések több mint ellensúlyozták a direkt anyagok és a logisztika továbbra is magas árainak a Csoport nyereségességére gyakorolt negatív hatásait.</w:t>
      </w:r>
    </w:p>
    <w:p w14:paraId="3AD93B28" w14:textId="77777777" w:rsidR="00D24F37" w:rsidRPr="00157119" w:rsidRDefault="00D24F37" w:rsidP="0035037E">
      <w:pPr>
        <w:spacing w:line="276" w:lineRule="auto"/>
        <w:jc w:val="both"/>
        <w:rPr>
          <w:rFonts w:ascii="Segoe UI" w:hAnsi="Segoe UI" w:cs="Segoe UI"/>
          <w:sz w:val="22"/>
          <w:szCs w:val="22"/>
          <w:lang w:val="hu-HU"/>
        </w:rPr>
      </w:pPr>
    </w:p>
    <w:p w14:paraId="3ABF401A" w14:textId="1A326DCA" w:rsidR="00D24F37" w:rsidRPr="00157119" w:rsidRDefault="00D24F37" w:rsidP="0035037E">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 2023-as pénzügyi évben a </w:t>
      </w:r>
      <w:r w:rsidRPr="00157119">
        <w:rPr>
          <w:rFonts w:ascii="Segoe UI" w:hAnsi="Segoe UI" w:cs="Segoe UI"/>
          <w:b/>
          <w:sz w:val="22"/>
          <w:szCs w:val="22"/>
          <w:lang w:val="hu-HU"/>
        </w:rPr>
        <w:t xml:space="preserve">korrigált árbevétel-arányos megtérülés </w:t>
      </w:r>
      <w:r w:rsidRPr="00157119">
        <w:rPr>
          <w:rFonts w:ascii="Segoe UI" w:hAnsi="Segoe UI" w:cs="Segoe UI"/>
          <w:sz w:val="22"/>
          <w:szCs w:val="22"/>
          <w:lang w:val="hu-HU"/>
        </w:rPr>
        <w:t>(korrigált EBIT marzs) 11,9 százalék</w:t>
      </w:r>
      <w:r w:rsidR="00E97827">
        <w:rPr>
          <w:rFonts w:ascii="Segoe UI" w:hAnsi="Segoe UI" w:cs="Segoe UI"/>
          <w:sz w:val="22"/>
          <w:szCs w:val="22"/>
          <w:lang w:val="hu-HU"/>
        </w:rPr>
        <w:t>kal</w:t>
      </w:r>
      <w:r w:rsidRPr="00157119">
        <w:rPr>
          <w:rFonts w:ascii="Segoe UI" w:hAnsi="Segoe UI" w:cs="Segoe UI"/>
          <w:sz w:val="22"/>
          <w:szCs w:val="22"/>
          <w:lang w:val="hu-HU"/>
        </w:rPr>
        <w:t xml:space="preserve"> (2022: 10,4 százalék) jelentősen magasabb volt az előző évinél.</w:t>
      </w:r>
    </w:p>
    <w:p w14:paraId="560B05BA" w14:textId="77777777" w:rsidR="00D24F37" w:rsidRPr="00157119" w:rsidRDefault="00D24F37" w:rsidP="0035037E">
      <w:pPr>
        <w:spacing w:line="276" w:lineRule="auto"/>
        <w:jc w:val="both"/>
        <w:rPr>
          <w:rFonts w:ascii="Segoe UI" w:hAnsi="Segoe UI" w:cs="Segoe UI"/>
          <w:sz w:val="22"/>
          <w:szCs w:val="22"/>
          <w:lang w:val="hu-HU"/>
        </w:rPr>
      </w:pPr>
    </w:p>
    <w:p w14:paraId="7FE79A11" w14:textId="0CA375C5" w:rsidR="00D24F37" w:rsidRPr="00157119" w:rsidRDefault="00D24F37" w:rsidP="0035037E">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Az </w:t>
      </w:r>
      <w:r w:rsidRPr="00157119">
        <w:rPr>
          <w:rFonts w:ascii="Segoe UI" w:hAnsi="Segoe UI" w:cs="Segoe UI"/>
          <w:b/>
          <w:sz w:val="22"/>
          <w:szCs w:val="22"/>
          <w:lang w:val="hu-HU"/>
        </w:rPr>
        <w:t>elsőbbségi részvények korrigált hozama</w:t>
      </w:r>
      <w:r w:rsidRPr="00157119">
        <w:rPr>
          <w:rFonts w:ascii="Segoe UI" w:hAnsi="Segoe UI" w:cs="Segoe UI"/>
          <w:sz w:val="22"/>
          <w:szCs w:val="22"/>
          <w:lang w:val="hu-HU"/>
        </w:rPr>
        <w:t xml:space="preserve"> szintén jelentősen, 11,5 százalékkal 4,35 euróra nőtt (előző év: 3,90 euró). Állandó árfolyamon számolva az egy elsőbbségi részvények korrigált hoz</w:t>
      </w:r>
      <w:r w:rsidR="0097652C">
        <w:rPr>
          <w:rFonts w:ascii="Segoe UI" w:hAnsi="Segoe UI" w:cs="Segoe UI"/>
          <w:sz w:val="22"/>
          <w:szCs w:val="22"/>
          <w:lang w:val="hu-HU"/>
        </w:rPr>
        <w:t>a</w:t>
      </w:r>
      <w:r w:rsidRPr="00157119">
        <w:rPr>
          <w:rFonts w:ascii="Segoe UI" w:hAnsi="Segoe UI" w:cs="Segoe UI"/>
          <w:sz w:val="22"/>
          <w:szCs w:val="22"/>
          <w:lang w:val="hu-HU"/>
        </w:rPr>
        <w:t>ma 20,0 százalékkal nőtt.</w:t>
      </w:r>
    </w:p>
    <w:p w14:paraId="730E74C9" w14:textId="77777777" w:rsidR="00D24F37" w:rsidRPr="00157119" w:rsidRDefault="00D24F37" w:rsidP="0035037E">
      <w:pPr>
        <w:spacing w:line="276" w:lineRule="auto"/>
        <w:jc w:val="both"/>
        <w:rPr>
          <w:rFonts w:ascii="Segoe UI" w:hAnsi="Segoe UI" w:cs="Segoe UI"/>
          <w:sz w:val="22"/>
          <w:szCs w:val="22"/>
          <w:lang w:val="hu-HU"/>
        </w:rPr>
      </w:pPr>
    </w:p>
    <w:p w14:paraId="0CA3318B" w14:textId="77777777" w:rsidR="00D24F37" w:rsidRPr="00157119" w:rsidRDefault="00D24F37" w:rsidP="0035037E">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 </w:t>
      </w:r>
      <w:r w:rsidRPr="00157119">
        <w:rPr>
          <w:rFonts w:ascii="Segoe UI" w:hAnsi="Segoe UI" w:cs="Segoe UI"/>
          <w:b/>
          <w:sz w:val="22"/>
          <w:szCs w:val="22"/>
          <w:lang w:val="hu-HU"/>
        </w:rPr>
        <w:t>nettó működőtőke</w:t>
      </w:r>
      <w:r w:rsidRPr="00157119">
        <w:rPr>
          <w:rFonts w:ascii="Segoe UI" w:hAnsi="Segoe UI" w:cs="Segoe UI"/>
          <w:sz w:val="22"/>
          <w:szCs w:val="22"/>
          <w:lang w:val="hu-HU"/>
        </w:rPr>
        <w:t xml:space="preserve"> az árbevétel százalékában kifejezve 2,6 százalékot tett ki, így lényegesen alacsonyabb volt az előző évi szintnél (2022: 4,5 százalék), különösen az alacsonyabb készletek miatt.</w:t>
      </w:r>
    </w:p>
    <w:p w14:paraId="6BB051F9" w14:textId="77777777" w:rsidR="00D24F37" w:rsidRPr="00157119" w:rsidRDefault="00D24F37" w:rsidP="0035037E">
      <w:pPr>
        <w:spacing w:line="276" w:lineRule="auto"/>
        <w:jc w:val="both"/>
        <w:rPr>
          <w:rFonts w:ascii="Segoe UI" w:hAnsi="Segoe UI" w:cs="Segoe UI"/>
          <w:sz w:val="22"/>
          <w:szCs w:val="22"/>
          <w:lang w:val="hu-HU"/>
        </w:rPr>
      </w:pPr>
    </w:p>
    <w:p w14:paraId="6645AB4D" w14:textId="77777777" w:rsidR="00D24F37" w:rsidRPr="00157119" w:rsidRDefault="00D24F37" w:rsidP="00310A40">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 </w:t>
      </w:r>
      <w:r w:rsidRPr="00157119">
        <w:rPr>
          <w:rFonts w:ascii="Segoe UI" w:hAnsi="Segoe UI" w:cs="Segoe UI"/>
          <w:b/>
          <w:sz w:val="22"/>
          <w:szCs w:val="22"/>
          <w:lang w:val="hu-HU"/>
        </w:rPr>
        <w:t>szabad cash flow</w:t>
      </w:r>
      <w:r w:rsidRPr="00157119">
        <w:rPr>
          <w:rFonts w:ascii="Segoe UI" w:hAnsi="Segoe UI" w:cs="Segoe UI"/>
          <w:sz w:val="22"/>
          <w:szCs w:val="22"/>
          <w:lang w:val="hu-HU"/>
        </w:rPr>
        <w:t xml:space="preserve"> 2 603 millió euróval új csúcsot ért el, ami jelentős növekedést jelent az előző évhez képest (2022: 653 millió euró). Ez a magasabb üzemi nyereségből és az alacsonyabb nettó működőtőkéből eredő, jóval magasabb működési tevékenységből származó pénzforgalomnak köszönhető.</w:t>
      </w:r>
    </w:p>
    <w:p w14:paraId="19C98DE7" w14:textId="77777777" w:rsidR="00D24F37" w:rsidRPr="00157119" w:rsidRDefault="00D24F37" w:rsidP="00310A40">
      <w:pPr>
        <w:spacing w:line="276" w:lineRule="auto"/>
        <w:jc w:val="both"/>
        <w:rPr>
          <w:rFonts w:ascii="Segoe UI" w:hAnsi="Segoe UI" w:cs="Segoe UI"/>
          <w:sz w:val="22"/>
          <w:szCs w:val="22"/>
          <w:lang w:val="hu-HU"/>
        </w:rPr>
      </w:pPr>
    </w:p>
    <w:p w14:paraId="6455A418" w14:textId="77777777" w:rsidR="00D24F37" w:rsidRPr="00157119" w:rsidRDefault="00D24F37" w:rsidP="00310A40">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Ennek eredményeként a </w:t>
      </w:r>
      <w:r w:rsidRPr="00157119">
        <w:rPr>
          <w:rFonts w:ascii="Segoe UI" w:hAnsi="Segoe UI" w:cs="Segoe UI"/>
          <w:b/>
          <w:sz w:val="22"/>
          <w:szCs w:val="22"/>
          <w:lang w:val="hu-HU"/>
        </w:rPr>
        <w:t>nettó pénzügyi pozíció</w:t>
      </w:r>
      <w:r w:rsidRPr="00157119">
        <w:rPr>
          <w:rFonts w:ascii="Segoe UI" w:hAnsi="Segoe UI" w:cs="Segoe UI"/>
          <w:sz w:val="22"/>
          <w:szCs w:val="22"/>
          <w:lang w:val="hu-HU"/>
        </w:rPr>
        <w:t xml:space="preserve"> jelentősen, 12 millió euróra javult (2022. december 31-én: -1,267 millió euró).</w:t>
      </w:r>
    </w:p>
    <w:p w14:paraId="44850A01" w14:textId="77777777" w:rsidR="00D24F37" w:rsidRPr="00157119" w:rsidRDefault="00D24F37" w:rsidP="00310A40">
      <w:pPr>
        <w:spacing w:line="276" w:lineRule="auto"/>
        <w:jc w:val="both"/>
        <w:rPr>
          <w:rFonts w:ascii="Segoe UI" w:hAnsi="Segoe UI" w:cs="Segoe UI"/>
          <w:sz w:val="22"/>
          <w:szCs w:val="22"/>
          <w:lang w:val="hu-HU"/>
        </w:rPr>
      </w:pPr>
    </w:p>
    <w:p w14:paraId="3EDDA7AC" w14:textId="61806FD2" w:rsidR="00D24F37" w:rsidRPr="00157119" w:rsidRDefault="00D24F37" w:rsidP="00310A40">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Az Igazgatóság, a Felügyelőbizottság és a Részvényesek Bizottsága a 2024. április 22-i éves rendes közgyűlésnek az előző évhez képest változatlanul 1,85 eurós </w:t>
      </w:r>
      <w:r w:rsidRPr="00157119">
        <w:rPr>
          <w:rFonts w:ascii="Segoe UI" w:hAnsi="Segoe UI" w:cs="Segoe UI"/>
          <w:b/>
          <w:sz w:val="22"/>
          <w:szCs w:val="22"/>
          <w:lang w:val="hu-HU"/>
        </w:rPr>
        <w:t>osztalékot</w:t>
      </w:r>
      <w:r w:rsidRPr="00157119">
        <w:rPr>
          <w:rFonts w:ascii="Segoe UI" w:hAnsi="Segoe UI" w:cs="Segoe UI"/>
          <w:sz w:val="22"/>
          <w:szCs w:val="22"/>
          <w:lang w:val="hu-HU"/>
        </w:rPr>
        <w:t xml:space="preserve"> javasol elsőbbségi részvényenként és 1,83 eurót törzsrészvényenként. Ez 42,4 százalékos kifizetési aránynak felel meg, ami kissé meghaladja a 30-40 százalékos célsávot. Ez a kifizetés az erős pénzügyi bázisnak és a Henkel-csoport nettó pénzügyi helyzet</w:t>
      </w:r>
      <w:r w:rsidR="00234535">
        <w:rPr>
          <w:rFonts w:ascii="Segoe UI" w:hAnsi="Segoe UI" w:cs="Segoe UI"/>
          <w:sz w:val="22"/>
          <w:szCs w:val="22"/>
          <w:lang w:val="hu-HU"/>
        </w:rPr>
        <w:t>én</w:t>
      </w:r>
      <w:r w:rsidRPr="00157119">
        <w:rPr>
          <w:rFonts w:ascii="Segoe UI" w:hAnsi="Segoe UI" w:cs="Segoe UI"/>
          <w:sz w:val="22"/>
          <w:szCs w:val="22"/>
          <w:lang w:val="hu-HU"/>
        </w:rPr>
        <w:t>e</w:t>
      </w:r>
      <w:r w:rsidR="00234535">
        <w:rPr>
          <w:rFonts w:ascii="Segoe UI" w:hAnsi="Segoe UI" w:cs="Segoe UI"/>
          <w:sz w:val="22"/>
          <w:szCs w:val="22"/>
          <w:lang w:val="hu-HU"/>
        </w:rPr>
        <w:t>k</w:t>
      </w:r>
      <w:r w:rsidRPr="00157119">
        <w:rPr>
          <w:rFonts w:ascii="Segoe UI" w:hAnsi="Segoe UI" w:cs="Segoe UI"/>
          <w:sz w:val="22"/>
          <w:szCs w:val="22"/>
          <w:lang w:val="hu-HU"/>
        </w:rPr>
        <w:t xml:space="preserve"> pozitív alakulásának köszönhetően</w:t>
      </w:r>
      <w:r w:rsidR="00310A40">
        <w:rPr>
          <w:rFonts w:ascii="Segoe UI" w:hAnsi="Segoe UI" w:cs="Segoe UI"/>
          <w:sz w:val="22"/>
          <w:szCs w:val="22"/>
          <w:lang w:val="hu-HU"/>
        </w:rPr>
        <w:t xml:space="preserve"> </w:t>
      </w:r>
      <w:r w:rsidRPr="00157119">
        <w:rPr>
          <w:rFonts w:ascii="Segoe UI" w:hAnsi="Segoe UI" w:cs="Segoe UI"/>
          <w:sz w:val="22"/>
          <w:szCs w:val="22"/>
          <w:lang w:val="hu-HU"/>
        </w:rPr>
        <w:t>lehetséges. Ez biztosítja a részvényesek számára az osztalékfizetés folyamatosságát.</w:t>
      </w:r>
    </w:p>
    <w:p w14:paraId="58764D1F" w14:textId="77777777" w:rsidR="00D24F37" w:rsidRPr="00157119" w:rsidRDefault="00D24F37" w:rsidP="00D24F37">
      <w:pPr>
        <w:jc w:val="both"/>
        <w:rPr>
          <w:rFonts w:ascii="Segoe UI" w:hAnsi="Segoe UI" w:cs="Segoe UI"/>
          <w:sz w:val="22"/>
          <w:szCs w:val="22"/>
          <w:lang w:val="hu-HU"/>
        </w:rPr>
      </w:pPr>
    </w:p>
    <w:p w14:paraId="4D797DB8" w14:textId="77777777" w:rsidR="00D24F37" w:rsidRPr="00157119" w:rsidRDefault="00D24F37" w:rsidP="00D24F37">
      <w:pPr>
        <w:spacing w:after="120"/>
        <w:jc w:val="both"/>
        <w:rPr>
          <w:rFonts w:ascii="Segoe UI" w:hAnsi="Segoe UI" w:cs="Segoe UI"/>
          <w:b/>
          <w:bCs/>
          <w:sz w:val="22"/>
          <w:szCs w:val="22"/>
          <w:lang w:val="hu-HU" w:eastAsia="de-DE"/>
        </w:rPr>
      </w:pPr>
      <w:r w:rsidRPr="00157119">
        <w:rPr>
          <w:rFonts w:ascii="Segoe UI" w:hAnsi="Segoe UI" w:cs="Segoe UI"/>
          <w:b/>
          <w:bCs/>
          <w:sz w:val="22"/>
          <w:szCs w:val="22"/>
          <w:lang w:val="hu-HU" w:eastAsia="de-DE"/>
        </w:rPr>
        <w:t>Az üzletágak teljesítménye a 2023-as pénzügyi évben</w:t>
      </w:r>
    </w:p>
    <w:p w14:paraId="48D8E56B" w14:textId="15ED6A8F" w:rsidR="00D24F37" w:rsidRPr="00157119" w:rsidRDefault="00D24F37" w:rsidP="00883372">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 2023-as pénzügyi évben az </w:t>
      </w:r>
      <w:r w:rsidRPr="00157119">
        <w:rPr>
          <w:rFonts w:ascii="Segoe UI" w:hAnsi="Segoe UI" w:cs="Segoe UI"/>
          <w:b/>
          <w:sz w:val="22"/>
          <w:szCs w:val="22"/>
          <w:lang w:val="hu-HU"/>
        </w:rPr>
        <w:t>Adhesive Technologies</w:t>
      </w:r>
      <w:r w:rsidRPr="00157119">
        <w:rPr>
          <w:rFonts w:ascii="Segoe UI" w:hAnsi="Segoe UI" w:cs="Segoe UI"/>
          <w:sz w:val="22"/>
          <w:szCs w:val="22"/>
          <w:lang w:val="hu-HU"/>
        </w:rPr>
        <w:t xml:space="preserve"> üzletág </w:t>
      </w:r>
      <w:r w:rsidRPr="00157119">
        <w:rPr>
          <w:rFonts w:ascii="Segoe UI" w:hAnsi="Segoe UI" w:cs="Segoe UI"/>
          <w:b/>
          <w:sz w:val="22"/>
          <w:szCs w:val="22"/>
          <w:lang w:val="hu-HU"/>
        </w:rPr>
        <w:t>árbevétele</w:t>
      </w:r>
      <w:r w:rsidRPr="00157119">
        <w:rPr>
          <w:rFonts w:ascii="Segoe UI" w:hAnsi="Segoe UI" w:cs="Segoe UI"/>
          <w:sz w:val="22"/>
          <w:szCs w:val="22"/>
          <w:lang w:val="hu-HU"/>
        </w:rPr>
        <w:t xml:space="preserve"> elérte a 10 790 millió eurót, és ezzel </w:t>
      </w:r>
      <w:r w:rsidR="00310A40">
        <w:rPr>
          <w:rFonts w:ascii="Segoe UI" w:hAnsi="Segoe UI" w:cs="Segoe UI"/>
          <w:sz w:val="22"/>
          <w:szCs w:val="22"/>
          <w:lang w:val="hu-HU"/>
        </w:rPr>
        <w:t>–</w:t>
      </w:r>
      <w:r w:rsidRPr="00157119">
        <w:rPr>
          <w:rFonts w:ascii="Segoe UI" w:hAnsi="Segoe UI" w:cs="Segoe UI"/>
          <w:sz w:val="22"/>
          <w:szCs w:val="22"/>
          <w:lang w:val="hu-HU"/>
        </w:rPr>
        <w:t xml:space="preserve"> a negatív árfolyamhatások miatt </w:t>
      </w:r>
      <w:r w:rsidR="00310A40">
        <w:rPr>
          <w:rFonts w:ascii="Segoe UI" w:hAnsi="Segoe UI" w:cs="Segoe UI"/>
          <w:sz w:val="22"/>
          <w:szCs w:val="22"/>
          <w:lang w:val="hu-HU"/>
        </w:rPr>
        <w:t>–</w:t>
      </w:r>
      <w:r w:rsidRPr="00157119">
        <w:rPr>
          <w:rFonts w:ascii="Segoe UI" w:hAnsi="Segoe UI" w:cs="Segoe UI"/>
          <w:sz w:val="22"/>
          <w:szCs w:val="22"/>
          <w:lang w:val="hu-HU"/>
        </w:rPr>
        <w:t xml:space="preserve"> nominálisan -4,0 százalékkal elmaradt az előző évi szinttől. Az árbevétel </w:t>
      </w:r>
      <w:r w:rsidRPr="00157119">
        <w:rPr>
          <w:rFonts w:ascii="Segoe UI" w:hAnsi="Segoe UI" w:cs="Segoe UI"/>
          <w:b/>
          <w:sz w:val="22"/>
          <w:szCs w:val="22"/>
          <w:lang w:val="hu-HU"/>
        </w:rPr>
        <w:t>szervesen</w:t>
      </w:r>
      <w:r w:rsidRPr="00157119">
        <w:rPr>
          <w:rFonts w:ascii="Segoe UI" w:hAnsi="Segoe UI" w:cs="Segoe UI"/>
          <w:sz w:val="22"/>
          <w:szCs w:val="22"/>
          <w:lang w:val="hu-HU"/>
        </w:rPr>
        <w:t xml:space="preserve"> 3,2 százalékkal nőtt. Ezt az árbevétel-növekedést az előző évhez képest nagyon erős áralakulás okozta. A volumenek összességében csökkentek, </w:t>
      </w:r>
      <w:r w:rsidRPr="00157119">
        <w:rPr>
          <w:rFonts w:ascii="Segoe UI" w:hAnsi="Segoe UI" w:cs="Segoe UI"/>
          <w:sz w:val="22"/>
          <w:szCs w:val="22"/>
          <w:lang w:val="hu-HU"/>
        </w:rPr>
        <w:lastRenderedPageBreak/>
        <w:t xml:space="preserve">főként a néhány kulcsfontosságú végpiacon továbbra is visszafogott kereslet miatt. Az év előrehaladtával a volumen alakulása szekvenciális fellendülést mutatott, és a negyedik negyedévben stabil szintet ért el. A </w:t>
      </w:r>
      <w:r w:rsidRPr="00157119">
        <w:rPr>
          <w:rFonts w:ascii="Segoe UI" w:hAnsi="Segoe UI" w:cs="Segoe UI"/>
          <w:b/>
          <w:sz w:val="22"/>
          <w:szCs w:val="22"/>
          <w:lang w:val="hu-HU"/>
        </w:rPr>
        <w:t>korrigált üzemi eredmény</w:t>
      </w:r>
      <w:r w:rsidRPr="00157119">
        <w:rPr>
          <w:rFonts w:ascii="Segoe UI" w:hAnsi="Segoe UI" w:cs="Segoe UI"/>
          <w:sz w:val="22"/>
          <w:szCs w:val="22"/>
          <w:lang w:val="hu-HU"/>
        </w:rPr>
        <w:t xml:space="preserve"> 1 584 millió euróval valamivel az előző évi szint felett volt. A </w:t>
      </w:r>
      <w:r w:rsidRPr="00157119">
        <w:rPr>
          <w:rFonts w:ascii="Segoe UI" w:hAnsi="Segoe UI" w:cs="Segoe UI"/>
          <w:b/>
          <w:sz w:val="22"/>
          <w:szCs w:val="22"/>
          <w:lang w:val="hu-HU"/>
        </w:rPr>
        <w:t>korrigált árbevétel-arányos megtérülés</w:t>
      </w:r>
      <w:r w:rsidRPr="00157119">
        <w:rPr>
          <w:rFonts w:ascii="Segoe UI" w:hAnsi="Segoe UI" w:cs="Segoe UI"/>
          <w:sz w:val="22"/>
          <w:szCs w:val="22"/>
          <w:lang w:val="hu-HU"/>
        </w:rPr>
        <w:t xml:space="preserve"> 110 bázisponttal nőtt az előző évhez képest, és elérte a 14,7 százalékot. A jelentős árrésnövekedés elsősorban a magasabb áraknak köszönhető, amelyekhez költségcsökkentő és hatékonyságnövelő intézkedések társultak, hogy továbbra is ellensúlyozzák a tartósan megemelkedett anyagárakat.</w:t>
      </w:r>
    </w:p>
    <w:p w14:paraId="43E61116" w14:textId="77777777" w:rsidR="00D24F37" w:rsidRPr="00157119" w:rsidRDefault="00D24F37" w:rsidP="00D24F37">
      <w:pPr>
        <w:jc w:val="both"/>
        <w:rPr>
          <w:rFonts w:ascii="Segoe UI" w:hAnsi="Segoe UI" w:cs="Segoe UI"/>
          <w:sz w:val="22"/>
          <w:szCs w:val="22"/>
          <w:lang w:val="hu-HU"/>
        </w:rPr>
      </w:pPr>
    </w:p>
    <w:p w14:paraId="6C2A6350" w14:textId="6FA427A1" w:rsidR="00D24F37" w:rsidRPr="00157119" w:rsidRDefault="00D24F37" w:rsidP="006E7FE1">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 </w:t>
      </w:r>
      <w:r w:rsidRPr="00157119">
        <w:rPr>
          <w:rFonts w:ascii="Segoe UI" w:hAnsi="Segoe UI" w:cs="Segoe UI"/>
          <w:b/>
          <w:sz w:val="22"/>
          <w:szCs w:val="22"/>
          <w:lang w:val="hu-HU"/>
        </w:rPr>
        <w:t>Consumer Brands</w:t>
      </w:r>
      <w:r w:rsidRPr="00157119">
        <w:rPr>
          <w:rFonts w:ascii="Segoe UI" w:hAnsi="Segoe UI" w:cs="Segoe UI"/>
          <w:sz w:val="22"/>
          <w:szCs w:val="22"/>
          <w:lang w:val="hu-HU"/>
        </w:rPr>
        <w:t xml:space="preserve"> üzletág </w:t>
      </w:r>
      <w:r w:rsidRPr="00157119">
        <w:rPr>
          <w:rFonts w:ascii="Segoe UI" w:hAnsi="Segoe UI" w:cs="Segoe UI"/>
          <w:b/>
          <w:sz w:val="22"/>
          <w:szCs w:val="22"/>
          <w:lang w:val="hu-HU"/>
        </w:rPr>
        <w:t>árbevétele</w:t>
      </w:r>
      <w:r w:rsidRPr="00157119">
        <w:rPr>
          <w:rFonts w:ascii="Segoe UI" w:hAnsi="Segoe UI" w:cs="Segoe UI"/>
          <w:sz w:val="22"/>
          <w:szCs w:val="22"/>
          <w:lang w:val="hu-HU"/>
        </w:rPr>
        <w:t xml:space="preserve"> a 2023-as pénzügyi évben 10 565 millió eurót tett ki, és ezzel nominálisan -3,3 százalékkal maradt el az előző évitől. Az árfolyamhatások -4,4 százalékkal csökkentették az árbevételt. Az akvizíciók/értékesítések szintén -5,1 százalékos negatív hatással voltak az árbevételre, főként az oroszországi üzleti tevékenységek eladása miatt. Az árbevétel </w:t>
      </w:r>
      <w:r w:rsidRPr="00157119">
        <w:rPr>
          <w:rFonts w:ascii="Segoe UI" w:hAnsi="Segoe UI" w:cs="Segoe UI"/>
          <w:b/>
          <w:sz w:val="22"/>
          <w:szCs w:val="22"/>
          <w:lang w:val="hu-HU"/>
        </w:rPr>
        <w:t>szervesen</w:t>
      </w:r>
      <w:r w:rsidRPr="00157119">
        <w:rPr>
          <w:rFonts w:ascii="Segoe UI" w:hAnsi="Segoe UI" w:cs="Segoe UI"/>
          <w:sz w:val="22"/>
          <w:szCs w:val="22"/>
          <w:lang w:val="hu-HU"/>
        </w:rPr>
        <w:t xml:space="preserve"> 6,1 százalékkal nőtt. Ez az árbevétel-növekedés a kétszámjegyű áremelkedésnek köszönhető, miközben a volumenek részben csökkentek a portfólió optimalizálásának folytatása miatt. A volumen alakulása azonban az év második felében jelentős </w:t>
      </w:r>
      <w:r w:rsidRPr="0002585C">
        <w:rPr>
          <w:rFonts w:ascii="Segoe UI" w:hAnsi="Segoe UI" w:cs="Segoe UI"/>
          <w:sz w:val="22"/>
          <w:szCs w:val="22"/>
          <w:lang w:val="hu-HU"/>
        </w:rPr>
        <w:t>szekvenciális</w:t>
      </w:r>
      <w:r w:rsidRPr="00157119">
        <w:rPr>
          <w:rFonts w:ascii="Segoe UI" w:hAnsi="Segoe UI" w:cs="Segoe UI"/>
          <w:sz w:val="22"/>
          <w:szCs w:val="22"/>
          <w:lang w:val="hu-HU"/>
        </w:rPr>
        <w:t xml:space="preserve"> javulást mutatott. A </w:t>
      </w:r>
      <w:r w:rsidRPr="00157119">
        <w:rPr>
          <w:rFonts w:ascii="Segoe UI" w:hAnsi="Segoe UI" w:cs="Segoe UI"/>
          <w:b/>
          <w:sz w:val="22"/>
          <w:szCs w:val="22"/>
          <w:lang w:val="hu-HU"/>
        </w:rPr>
        <w:t>korrigált üzemi eredmény</w:t>
      </w:r>
      <w:r w:rsidRPr="00157119">
        <w:rPr>
          <w:rFonts w:ascii="Segoe UI" w:hAnsi="Segoe UI" w:cs="Segoe UI"/>
          <w:sz w:val="22"/>
          <w:szCs w:val="22"/>
          <w:lang w:val="hu-HU"/>
        </w:rPr>
        <w:t xml:space="preserve"> elérte az 1 115 millió eurót, ami jelentős növekedés az előző évhez képest (910 millió euró). Ez a növekedés a direkt anyagok tartósan magas árait ellensúlyozó magasabb eladási áraknak, a költségek csökkentésére, valamint a termelés és az ellátási lánc hatékonyságának növelésére irányuló folyamatos intézkedéseknek, az integrált Consumer Brands üzletágból származó megtakarításoknak és a portfólióoptimalizálási intézkedéseknek köszönhető. Ugyanakkor a marketing- és reklámberuházások az előző évhez képest megnövekedtek a márkák és az üzletágak megerősítése érdekében. A </w:t>
      </w:r>
      <w:r w:rsidRPr="00157119">
        <w:rPr>
          <w:rFonts w:ascii="Segoe UI" w:hAnsi="Segoe UI" w:cs="Segoe UI"/>
          <w:b/>
          <w:sz w:val="22"/>
          <w:szCs w:val="22"/>
          <w:lang w:val="hu-HU"/>
        </w:rPr>
        <w:t>korrigált árbevétel-arányos megtérülés</w:t>
      </w:r>
      <w:r w:rsidRPr="00157119">
        <w:rPr>
          <w:rFonts w:ascii="Segoe UI" w:hAnsi="Segoe UI" w:cs="Segoe UI"/>
          <w:sz w:val="22"/>
          <w:szCs w:val="22"/>
          <w:lang w:val="hu-HU"/>
        </w:rPr>
        <w:t xml:space="preserve"> elérte a 10,6 százalékot, ami 220 bázispontos növekedést jelent az előző évhez képest </w:t>
      </w:r>
      <w:r w:rsidR="006E7FE1" w:rsidRPr="00092C7E">
        <w:rPr>
          <w:rFonts w:cs="Segoe UI"/>
          <w:szCs w:val="22"/>
          <w:lang w:val="hu-HU"/>
        </w:rPr>
        <w:t xml:space="preserve">– </w:t>
      </w:r>
      <w:r w:rsidRPr="00157119">
        <w:rPr>
          <w:rFonts w:ascii="Segoe UI" w:hAnsi="Segoe UI" w:cs="Segoe UI"/>
          <w:sz w:val="22"/>
          <w:szCs w:val="22"/>
          <w:lang w:val="hu-HU"/>
        </w:rPr>
        <w:t>annak ellenére, hogy hiányzott a 2023. áprilisában értékesített oroszországi üzleti tevékenységek pozitív hozzájárulása az eredményhez.</w:t>
      </w:r>
    </w:p>
    <w:p w14:paraId="3130EA9A" w14:textId="77777777" w:rsidR="00D24F37" w:rsidRPr="00157119" w:rsidRDefault="00D24F37" w:rsidP="00D24F37">
      <w:pPr>
        <w:spacing w:after="120"/>
        <w:jc w:val="both"/>
        <w:rPr>
          <w:rFonts w:ascii="Segoe UI" w:hAnsi="Segoe UI" w:cs="Segoe UI"/>
          <w:b/>
          <w:bCs/>
          <w:sz w:val="22"/>
          <w:szCs w:val="22"/>
          <w:lang w:val="hu-HU" w:eastAsia="de-DE"/>
        </w:rPr>
      </w:pPr>
    </w:p>
    <w:p w14:paraId="3CA4D735" w14:textId="77777777" w:rsidR="00D24F37" w:rsidRPr="00157119" w:rsidRDefault="00D24F37" w:rsidP="00D24F37">
      <w:pPr>
        <w:spacing w:after="120"/>
        <w:jc w:val="both"/>
        <w:rPr>
          <w:rFonts w:ascii="Segoe UI" w:hAnsi="Segoe UI" w:cs="Segoe UI"/>
          <w:b/>
          <w:bCs/>
          <w:sz w:val="22"/>
          <w:szCs w:val="22"/>
          <w:lang w:val="hu-HU" w:eastAsia="de-DE"/>
        </w:rPr>
      </w:pPr>
      <w:r w:rsidRPr="00157119">
        <w:rPr>
          <w:rFonts w:ascii="Segoe UI" w:hAnsi="Segoe UI" w:cs="Segoe UI"/>
          <w:b/>
          <w:bCs/>
          <w:sz w:val="22"/>
          <w:szCs w:val="22"/>
          <w:lang w:val="hu-HU" w:eastAsia="de-DE"/>
        </w:rPr>
        <w:t>Kilátások 2024-re</w:t>
      </w:r>
    </w:p>
    <w:p w14:paraId="1AE0EE1D" w14:textId="77777777" w:rsidR="00D24F37" w:rsidRPr="00157119" w:rsidRDefault="00D24F37" w:rsidP="00697C66">
      <w:pPr>
        <w:spacing w:line="276" w:lineRule="auto"/>
        <w:jc w:val="both"/>
        <w:rPr>
          <w:rFonts w:ascii="Segoe UI" w:hAnsi="Segoe UI" w:cs="Segoe UI"/>
          <w:sz w:val="22"/>
          <w:szCs w:val="22"/>
          <w:lang w:val="hu-HU"/>
        </w:rPr>
      </w:pPr>
      <w:r w:rsidRPr="00157119">
        <w:rPr>
          <w:rFonts w:ascii="Segoe UI" w:hAnsi="Segoe UI" w:cs="Segoe UI"/>
          <w:sz w:val="22"/>
          <w:szCs w:val="22"/>
          <w:lang w:val="hu-HU"/>
        </w:rPr>
        <w:t>A világgazdasági kibocsátás mérsékelt növekedése várható 2024-re. Ez mind az ipari-, mind pedig a fogyasztói kereslet mérsékelt növekedését feltételezi a Henkel fogyasztási cikkek üzletágának kulcsfontosságú területein. A jelenlegi becslések szerint a 2024-es pénzügyi évben a globális infláció alacsonyabb lesz, mint az előző évben, bár összességében magas szinten marad. Emellett a kamatlábak várhatóan magasabbak maradnak, mint az előző években.</w:t>
      </w:r>
    </w:p>
    <w:p w14:paraId="421B8A8E" w14:textId="77777777" w:rsidR="00D24F37" w:rsidRPr="00157119" w:rsidRDefault="00D24F37" w:rsidP="00697C66">
      <w:pPr>
        <w:spacing w:line="276" w:lineRule="auto"/>
        <w:jc w:val="both"/>
        <w:rPr>
          <w:rFonts w:ascii="Segoe UI" w:hAnsi="Segoe UI" w:cs="Segoe UI"/>
          <w:sz w:val="22"/>
          <w:szCs w:val="22"/>
          <w:lang w:val="hu-HU"/>
        </w:rPr>
      </w:pPr>
    </w:p>
    <w:p w14:paraId="359F3005" w14:textId="0D210C31" w:rsidR="00D24F37" w:rsidRPr="00157119" w:rsidRDefault="00D24F37" w:rsidP="00697C66">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 Henkel arra számít, hogy a külföldi pénznemben történő értékesítés átváltása egy </w:t>
      </w:r>
      <w:r w:rsidR="00D30962" w:rsidRPr="00D30962">
        <w:rPr>
          <w:rFonts w:ascii="Segoe UI" w:hAnsi="Segoe UI" w:cs="Segoe UI"/>
          <w:sz w:val="22"/>
          <w:szCs w:val="22"/>
          <w:lang w:val="hu-HU"/>
        </w:rPr>
        <w:t>nagyságrendileg egyszámjegyű százalékos negatív hatás várható</w:t>
      </w:r>
      <w:r w:rsidRPr="00157119">
        <w:rPr>
          <w:rFonts w:ascii="Segoe UI" w:hAnsi="Segoe UI" w:cs="Segoe UI"/>
          <w:sz w:val="22"/>
          <w:szCs w:val="22"/>
          <w:lang w:val="hu-HU"/>
        </w:rPr>
        <w:t>. A direkt anyagok árai várhatóan 2023-as éves átlaghoz képest változatlanok maradnak.</w:t>
      </w:r>
    </w:p>
    <w:p w14:paraId="3701FFC4" w14:textId="77777777" w:rsidR="00D24F37" w:rsidRPr="00157119" w:rsidRDefault="00D24F37" w:rsidP="00697C66">
      <w:pPr>
        <w:spacing w:line="276" w:lineRule="auto"/>
        <w:jc w:val="both"/>
        <w:rPr>
          <w:rFonts w:ascii="Segoe UI" w:hAnsi="Segoe UI" w:cs="Segoe UI"/>
          <w:sz w:val="22"/>
          <w:szCs w:val="22"/>
          <w:lang w:val="hu-HU"/>
        </w:rPr>
      </w:pPr>
    </w:p>
    <w:p w14:paraId="62BDD4C6" w14:textId="77777777" w:rsidR="00D24F37" w:rsidRPr="00157119" w:rsidRDefault="00D24F37" w:rsidP="00697C66">
      <w:pPr>
        <w:spacing w:line="276" w:lineRule="auto"/>
        <w:jc w:val="both"/>
        <w:rPr>
          <w:rFonts w:ascii="Segoe UI" w:hAnsi="Segoe UI" w:cs="Segoe UI"/>
          <w:sz w:val="22"/>
          <w:szCs w:val="22"/>
          <w:lang w:val="hu-HU"/>
        </w:rPr>
      </w:pPr>
      <w:r w:rsidRPr="00157119">
        <w:rPr>
          <w:rFonts w:ascii="Segoe UI" w:hAnsi="Segoe UI" w:cs="Segoe UI"/>
          <w:sz w:val="22"/>
          <w:szCs w:val="22"/>
          <w:lang w:val="hu-HU"/>
        </w:rPr>
        <w:lastRenderedPageBreak/>
        <w:t xml:space="preserve">Ezeket a feltételezéseket figyelembe véve a Henkel arra számít, hogy a 2024-es pénzügyi évben 2,0 és 4,0 százalék közötti </w:t>
      </w:r>
      <w:r w:rsidRPr="00157119">
        <w:rPr>
          <w:rFonts w:ascii="Segoe UI" w:hAnsi="Segoe UI" w:cs="Segoe UI"/>
          <w:b/>
          <w:sz w:val="22"/>
          <w:szCs w:val="22"/>
          <w:lang w:val="hu-HU"/>
        </w:rPr>
        <w:t>szerves árbevétel-növekedést</w:t>
      </w:r>
      <w:r w:rsidRPr="00157119">
        <w:rPr>
          <w:rFonts w:ascii="Segoe UI" w:hAnsi="Segoe UI" w:cs="Segoe UI"/>
          <w:sz w:val="22"/>
          <w:szCs w:val="22"/>
          <w:lang w:val="hu-HU"/>
        </w:rPr>
        <w:t xml:space="preserve"> ér el, és mindkét üzletág várhatóan ezen a tartományon belül marad. A </w:t>
      </w:r>
      <w:r w:rsidRPr="00157119">
        <w:rPr>
          <w:rFonts w:ascii="Segoe UI" w:hAnsi="Segoe UI" w:cs="Segoe UI"/>
          <w:b/>
          <w:sz w:val="22"/>
          <w:szCs w:val="22"/>
          <w:lang w:val="hu-HU"/>
        </w:rPr>
        <w:t>korrigált árbevétel-arányos megtérülés (korrigált EBIT marzs)</w:t>
      </w:r>
      <w:r w:rsidRPr="00157119">
        <w:rPr>
          <w:rFonts w:ascii="Segoe UI" w:hAnsi="Segoe UI" w:cs="Segoe UI"/>
          <w:sz w:val="22"/>
          <w:szCs w:val="22"/>
          <w:lang w:val="hu-HU"/>
        </w:rPr>
        <w:t xml:space="preserve"> várhatóan 12,0 és 13,5 százalék közötti tartományban lesz. Az Adhesive Technologies esetében 15,0 és 16,5 százalék közötti, a Consumer Brands esetében pedig 11,0 és 12,5 százalék közötti korrigált árbevétel-arányos megtérülés várható. Az </w:t>
      </w:r>
      <w:r w:rsidRPr="00157119">
        <w:rPr>
          <w:rFonts w:ascii="Segoe UI" w:hAnsi="Segoe UI" w:cs="Segoe UI"/>
          <w:b/>
          <w:sz w:val="22"/>
          <w:szCs w:val="22"/>
          <w:lang w:val="hu-HU"/>
        </w:rPr>
        <w:t>elsőbbségi részvények korrigált hozama</w:t>
      </w:r>
      <w:r w:rsidRPr="00157119">
        <w:rPr>
          <w:rFonts w:ascii="Segoe UI" w:hAnsi="Segoe UI" w:cs="Segoe UI"/>
          <w:sz w:val="22"/>
          <w:szCs w:val="22"/>
          <w:lang w:val="hu-HU"/>
        </w:rPr>
        <w:t xml:space="preserve"> </w:t>
      </w:r>
      <w:r w:rsidRPr="00157119">
        <w:rPr>
          <w:rFonts w:ascii="Segoe UI" w:hAnsi="Segoe UI" w:cs="Segoe UI"/>
          <w:b/>
          <w:sz w:val="22"/>
          <w:szCs w:val="22"/>
          <w:lang w:val="hu-HU"/>
        </w:rPr>
        <w:t>(EPS)</w:t>
      </w:r>
      <w:r w:rsidRPr="00157119">
        <w:rPr>
          <w:rFonts w:ascii="Segoe UI" w:hAnsi="Segoe UI" w:cs="Segoe UI"/>
          <w:sz w:val="22"/>
          <w:szCs w:val="22"/>
          <w:lang w:val="hu-HU"/>
        </w:rPr>
        <w:t xml:space="preserve"> tekintetében a Henkel +5,0 és +20,0 százalék közötti növekedést vár változatlan árfolyamon. </w:t>
      </w:r>
    </w:p>
    <w:p w14:paraId="27989037" w14:textId="77777777" w:rsidR="00D24F37" w:rsidRPr="00157119" w:rsidRDefault="00D24F37" w:rsidP="00D24F37">
      <w:pPr>
        <w:jc w:val="both"/>
        <w:rPr>
          <w:rFonts w:ascii="Segoe UI" w:hAnsi="Segoe UI" w:cs="Segoe UI"/>
          <w:sz w:val="22"/>
          <w:szCs w:val="22"/>
          <w:lang w:val="hu-HU"/>
        </w:rPr>
      </w:pPr>
    </w:p>
    <w:p w14:paraId="22E1511E" w14:textId="695BA401" w:rsidR="00D24F37" w:rsidRPr="00157119" w:rsidRDefault="00D24F37" w:rsidP="00D24F37">
      <w:pPr>
        <w:spacing w:after="120"/>
        <w:jc w:val="both"/>
        <w:rPr>
          <w:rFonts w:ascii="Segoe UI" w:hAnsi="Segoe UI" w:cs="Segoe UI"/>
          <w:sz w:val="22"/>
          <w:szCs w:val="22"/>
          <w:lang w:val="hu-HU"/>
        </w:rPr>
      </w:pPr>
      <w:r w:rsidRPr="00157119">
        <w:rPr>
          <w:rFonts w:ascii="Segoe UI" w:hAnsi="Segoe UI" w:cs="Segoe UI"/>
          <w:b/>
          <w:sz w:val="22"/>
          <w:szCs w:val="22"/>
          <w:lang w:val="hu-HU"/>
        </w:rPr>
        <w:t xml:space="preserve">Jelentős előrelépés valamennyi stratégiai </w:t>
      </w:r>
      <w:r w:rsidR="00FA00C5">
        <w:rPr>
          <w:rFonts w:ascii="Segoe UI" w:hAnsi="Segoe UI" w:cs="Segoe UI"/>
          <w:b/>
          <w:sz w:val="22"/>
          <w:szCs w:val="22"/>
          <w:lang w:val="hu-HU"/>
        </w:rPr>
        <w:t>célkitűzés</w:t>
      </w:r>
      <w:r w:rsidRPr="00157119">
        <w:rPr>
          <w:rFonts w:ascii="Segoe UI" w:hAnsi="Segoe UI" w:cs="Segoe UI"/>
          <w:b/>
          <w:sz w:val="22"/>
          <w:szCs w:val="22"/>
          <w:lang w:val="hu-HU"/>
        </w:rPr>
        <w:t xml:space="preserve"> tekintetében</w:t>
      </w:r>
    </w:p>
    <w:p w14:paraId="38F1BC26" w14:textId="29018FE9" w:rsidR="00D24F37" w:rsidRPr="00157119" w:rsidRDefault="00D24F37" w:rsidP="00263D43">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 kihívásokkal teli makrogazdasági és geopolitikai környezetben a vállalat az elmúlt pénzügyi évben következetesen tovább fejlődött. A céltudatos növekedés stratégiai keretét még gyorsabb ütemben hajtották végre. Az elmúlt négy évben a Henkel számos dimenzióban alapvetően megváltozott: a struktúrában, a csapatban és a kultúrában. És ezek a változások kézzelfogható eredményeket mutatnak. Különösen három nagy projekt volt jelentős hatással az elmúlt évre, amelyeket sikeresen végrehajtottak </w:t>
      </w:r>
      <w:r w:rsidR="00263D43" w:rsidRPr="00263D43">
        <w:rPr>
          <w:rFonts w:cs="Segoe UI"/>
          <w:bCs/>
          <w:szCs w:val="22"/>
          <w:lang w:val="hu-HU"/>
        </w:rPr>
        <w:t xml:space="preserve">– </w:t>
      </w:r>
      <w:r w:rsidRPr="00157119">
        <w:rPr>
          <w:rFonts w:ascii="Segoe UI" w:hAnsi="Segoe UI" w:cs="Segoe UI"/>
          <w:sz w:val="22"/>
          <w:szCs w:val="22"/>
          <w:lang w:val="hu-HU"/>
        </w:rPr>
        <w:t>és amelyek jelentősen előmozdították a Henkel átalakulását.</w:t>
      </w:r>
    </w:p>
    <w:p w14:paraId="2CCBC5E3" w14:textId="77777777" w:rsidR="00D24F37" w:rsidRPr="00157119" w:rsidRDefault="00D24F37" w:rsidP="00D24F37">
      <w:pPr>
        <w:jc w:val="both"/>
        <w:rPr>
          <w:rFonts w:ascii="Segoe UI" w:hAnsi="Segoe UI" w:cs="Segoe UI"/>
          <w:sz w:val="22"/>
          <w:szCs w:val="22"/>
          <w:lang w:val="hu-HU"/>
        </w:rPr>
      </w:pPr>
    </w:p>
    <w:p w14:paraId="20736544" w14:textId="77777777" w:rsidR="00D24F37" w:rsidRPr="00157119" w:rsidRDefault="00D24F37" w:rsidP="00D24F37">
      <w:pPr>
        <w:spacing w:after="120"/>
        <w:jc w:val="both"/>
        <w:rPr>
          <w:rFonts w:ascii="Segoe UI" w:hAnsi="Segoe UI" w:cs="Segoe UI"/>
          <w:b/>
          <w:bCs/>
          <w:i/>
          <w:iCs/>
          <w:sz w:val="22"/>
          <w:szCs w:val="22"/>
          <w:lang w:val="hu-HU" w:eastAsia="de-DE"/>
        </w:rPr>
      </w:pPr>
      <w:r w:rsidRPr="00157119">
        <w:rPr>
          <w:rFonts w:ascii="Segoe UI" w:hAnsi="Segoe UI" w:cs="Segoe UI"/>
          <w:b/>
          <w:bCs/>
          <w:i/>
          <w:iCs/>
          <w:sz w:val="22"/>
          <w:szCs w:val="22"/>
          <w:lang w:val="hu-HU" w:eastAsia="de-DE"/>
        </w:rPr>
        <w:t>Az oroszországi üzleti tevékenység értékesítése</w:t>
      </w:r>
    </w:p>
    <w:p w14:paraId="0600A657" w14:textId="77777777" w:rsidR="00D24F37" w:rsidRPr="00157119" w:rsidRDefault="00D24F37" w:rsidP="00C36FFD">
      <w:pPr>
        <w:spacing w:line="276" w:lineRule="auto"/>
        <w:jc w:val="both"/>
        <w:rPr>
          <w:rFonts w:ascii="Segoe UI" w:hAnsi="Segoe UI" w:cs="Segoe UI"/>
          <w:sz w:val="22"/>
          <w:szCs w:val="22"/>
          <w:lang w:val="hu-HU" w:eastAsia="de-DE"/>
        </w:rPr>
      </w:pPr>
      <w:r w:rsidRPr="00157119">
        <w:rPr>
          <w:rFonts w:ascii="Segoe UI" w:hAnsi="Segoe UI" w:cs="Segoe UI"/>
          <w:sz w:val="22"/>
          <w:szCs w:val="22"/>
          <w:lang w:val="hu-HU" w:eastAsia="de-DE"/>
        </w:rPr>
        <w:t>2022. áprilisában, mindössze néhány héttel az Ukrajna elleni orosz támadás után a Henkel úgy döntött, hogy kivonul oroszországi tevékenységeiből. Ezt egy rendkívül összetett kivonulási folyamat követte. A Henkel 2023. áprilisában végül el tudta adni oroszországi üzletét egy helyi pénzügyi befektetőkből álló konzorciumnak. A megállapított vételár mintegy 600 millió eurót tett ki.</w:t>
      </w:r>
    </w:p>
    <w:p w14:paraId="61FA19C4" w14:textId="77777777" w:rsidR="00D24F37" w:rsidRPr="00157119" w:rsidRDefault="00D24F37" w:rsidP="00C36FFD">
      <w:pPr>
        <w:spacing w:line="276" w:lineRule="auto"/>
        <w:jc w:val="both"/>
        <w:rPr>
          <w:rFonts w:ascii="Segoe UI" w:hAnsi="Segoe UI" w:cs="Segoe UI"/>
          <w:sz w:val="22"/>
          <w:szCs w:val="22"/>
          <w:lang w:val="hu-HU" w:eastAsia="de-DE"/>
        </w:rPr>
      </w:pPr>
    </w:p>
    <w:p w14:paraId="52BB5CF4" w14:textId="77777777" w:rsidR="00D24F37" w:rsidRPr="00157119" w:rsidRDefault="00D24F37" w:rsidP="00D24F37">
      <w:pPr>
        <w:spacing w:after="120"/>
        <w:jc w:val="both"/>
        <w:rPr>
          <w:rFonts w:ascii="Segoe UI" w:hAnsi="Segoe UI" w:cs="Segoe UI"/>
          <w:b/>
          <w:bCs/>
          <w:i/>
          <w:iCs/>
          <w:sz w:val="22"/>
          <w:szCs w:val="22"/>
          <w:lang w:val="hu-HU" w:eastAsia="de-DE"/>
        </w:rPr>
      </w:pPr>
      <w:r w:rsidRPr="00157119">
        <w:rPr>
          <w:rFonts w:ascii="Segoe UI" w:hAnsi="Segoe UI" w:cs="Segoe UI"/>
          <w:b/>
          <w:bCs/>
          <w:i/>
          <w:iCs/>
          <w:sz w:val="22"/>
          <w:szCs w:val="22"/>
          <w:lang w:val="hu-HU" w:eastAsia="de-DE"/>
        </w:rPr>
        <w:t>Consumer Brands: Az összevonás a tervezettnél gyorsabban halad</w:t>
      </w:r>
    </w:p>
    <w:p w14:paraId="78E9D3EE" w14:textId="68A9894C" w:rsidR="00D24F37" w:rsidRPr="00157119" w:rsidRDefault="00D24F37" w:rsidP="00C36FFD">
      <w:pPr>
        <w:spacing w:line="276" w:lineRule="auto"/>
        <w:jc w:val="both"/>
        <w:rPr>
          <w:rFonts w:ascii="Segoe UI" w:hAnsi="Segoe UI" w:cs="Segoe UI"/>
          <w:sz w:val="22"/>
          <w:szCs w:val="22"/>
          <w:lang w:val="hu-HU" w:eastAsia="de-DE"/>
        </w:rPr>
      </w:pPr>
      <w:r w:rsidRPr="00157119">
        <w:rPr>
          <w:rFonts w:ascii="Segoe UI" w:hAnsi="Segoe UI" w:cs="Segoe UI"/>
          <w:sz w:val="22"/>
          <w:szCs w:val="22"/>
          <w:lang w:val="hu-HU" w:eastAsia="de-DE"/>
        </w:rPr>
        <w:t xml:space="preserve">A két korábbi fogyasztói üzletág, a Laundry &amp; Home Care, és a Beauty Care összevonásával, az új Consumer Brands üzletág létrehozásával a Henkel minden kategóriában egy tető alá hozta az összes fogyasztói márkát, beleértve az olyan ikonikus márkákat, mint a Persil vagy a Schwarzkopf, valamint a sikeres Hair Salon üzletet. Ezzel a Henkel egy több kategóriára kiterjedő platformot hozott létre, amely lehetővé teszi a dinamikus növekedést. Az új üzletág 2023. </w:t>
      </w:r>
      <w:r w:rsidRPr="008B716C">
        <w:rPr>
          <w:rFonts w:ascii="Segoe UI" w:hAnsi="Segoe UI" w:cs="Segoe UI"/>
          <w:sz w:val="22"/>
          <w:szCs w:val="22"/>
          <w:lang w:val="hu-HU" w:eastAsia="de-DE"/>
        </w:rPr>
        <w:t>januárjában "éles</w:t>
      </w:r>
      <w:r w:rsidR="008B716C" w:rsidRPr="008B716C">
        <w:rPr>
          <w:rFonts w:ascii="Segoe UI" w:hAnsi="Segoe UI" w:cs="Segoe UI"/>
          <w:sz w:val="22"/>
          <w:szCs w:val="22"/>
          <w:lang w:val="hu-HU" w:eastAsia="de-DE"/>
        </w:rPr>
        <w:t>edett</w:t>
      </w:r>
      <w:r w:rsidRPr="008B716C">
        <w:rPr>
          <w:rFonts w:ascii="Segoe UI" w:hAnsi="Segoe UI" w:cs="Segoe UI"/>
          <w:sz w:val="22"/>
          <w:szCs w:val="22"/>
          <w:lang w:val="hu-HU" w:eastAsia="de-DE"/>
        </w:rPr>
        <w:t>".</w:t>
      </w:r>
    </w:p>
    <w:p w14:paraId="3D7442C1" w14:textId="77777777" w:rsidR="00D24F37" w:rsidRPr="00157119" w:rsidRDefault="00D24F37" w:rsidP="00D24F37">
      <w:pPr>
        <w:jc w:val="both"/>
        <w:rPr>
          <w:rFonts w:ascii="Segoe UI" w:hAnsi="Segoe UI" w:cs="Segoe UI"/>
          <w:sz w:val="22"/>
          <w:szCs w:val="22"/>
          <w:lang w:val="hu-HU" w:eastAsia="de-DE"/>
        </w:rPr>
      </w:pPr>
    </w:p>
    <w:p w14:paraId="3031B22B" w14:textId="77777777" w:rsidR="00D24F37" w:rsidRPr="00157119" w:rsidRDefault="00D24F37" w:rsidP="00514EFA">
      <w:pPr>
        <w:spacing w:line="276" w:lineRule="auto"/>
        <w:jc w:val="both"/>
        <w:rPr>
          <w:rFonts w:ascii="Segoe UI" w:hAnsi="Segoe UI" w:cs="Segoe UI"/>
          <w:sz w:val="22"/>
          <w:szCs w:val="22"/>
          <w:lang w:val="hu-HU"/>
        </w:rPr>
      </w:pPr>
      <w:r w:rsidRPr="00157119">
        <w:rPr>
          <w:rFonts w:ascii="Segoe UI" w:hAnsi="Segoe UI" w:cs="Segoe UI"/>
          <w:sz w:val="22"/>
          <w:szCs w:val="22"/>
          <w:lang w:val="hu-HU"/>
        </w:rPr>
        <w:t xml:space="preserve">Az új szervezet pedig sikereket mutat: A Henkel azóta teljesítette, sőt túlteljesítette a legfontosabb mutatókat és pénzügyi célokat a Consumer Brands üzletágban, például nagyon erős szerves növekedést ért el, és visszatért a kétszámjegyű korrigált EBIT marzshoz. Ugyanakkor az integrációs folyamat az eredetileg tervezettnél sokkal gyorsabban haladt. Ez tükröződik a 2023-ban realizált megtakarításokban. A 2024. végére megcélzott, mintegy 250 </w:t>
      </w:r>
      <w:r w:rsidRPr="00157119">
        <w:rPr>
          <w:rFonts w:ascii="Segoe UI" w:hAnsi="Segoe UI" w:cs="Segoe UI"/>
          <w:sz w:val="22"/>
          <w:szCs w:val="22"/>
          <w:lang w:val="hu-HU"/>
        </w:rPr>
        <w:lastRenderedPageBreak/>
        <w:t>millió eurós megtakarításból több mint 200 millió eurót már 2023. végére sikerült elérni. Az 1. fázisban megcélzott összes megtakarítás is 275 millió euróra emelkedett.</w:t>
      </w:r>
    </w:p>
    <w:p w14:paraId="7D8CDD1B" w14:textId="77777777" w:rsidR="00D24F37" w:rsidRPr="00157119" w:rsidRDefault="00D24F37" w:rsidP="00514EFA">
      <w:pPr>
        <w:spacing w:line="276" w:lineRule="auto"/>
        <w:jc w:val="both"/>
        <w:rPr>
          <w:rFonts w:ascii="Segoe UI" w:hAnsi="Segoe UI" w:cs="Segoe UI"/>
          <w:sz w:val="22"/>
          <w:szCs w:val="22"/>
          <w:lang w:val="hu-HU"/>
        </w:rPr>
      </w:pPr>
    </w:p>
    <w:p w14:paraId="200B4B92" w14:textId="7F105E8F" w:rsidR="00D24F37" w:rsidRPr="00157119" w:rsidRDefault="00D24F37" w:rsidP="00514EFA">
      <w:pPr>
        <w:spacing w:line="276" w:lineRule="auto"/>
        <w:jc w:val="both"/>
        <w:rPr>
          <w:rFonts w:ascii="Segoe UI" w:hAnsi="Segoe UI" w:cs="Segoe UI"/>
          <w:sz w:val="22"/>
          <w:szCs w:val="22"/>
          <w:lang w:val="hu-HU" w:eastAsia="de-DE"/>
        </w:rPr>
      </w:pPr>
      <w:r w:rsidRPr="00157119">
        <w:rPr>
          <w:rFonts w:ascii="Segoe UI" w:hAnsi="Segoe UI" w:cs="Segoe UI"/>
          <w:sz w:val="22"/>
          <w:szCs w:val="22"/>
          <w:lang w:val="hu-HU" w:eastAsia="de-DE"/>
        </w:rPr>
        <w:t>A második integrációs fázis, amely a Consumer Brands üzletág ellátási láncának optimalizálására összpontosít, szintén elindult. Emellett az első országokban már bevezették az úgynevezett "1-1-1 elvet". Ez a következőket jelenti: egy megrendelés, egy szállítás, egy számla. Az integráció 2. fázisából 2023-ban már mintegy 80 millió eurós megtakarítást sikerült elérni. A 2. fázistól várt teljes megtakarítás a legalább 150 millió euróról körülbelül 250 millió euróra emelkedett. Az integráció mindkét fázisából várható összes megtakarítás, amely 2026. végére teljes mértékben megvalósul, így 400 millió euróról 525 millió euróra emelkedik.</w:t>
      </w:r>
    </w:p>
    <w:p w14:paraId="6C5EF621" w14:textId="77777777" w:rsidR="00D24F37" w:rsidRPr="00157119" w:rsidRDefault="00D24F37" w:rsidP="00514EFA">
      <w:pPr>
        <w:spacing w:line="276" w:lineRule="auto"/>
        <w:jc w:val="both"/>
        <w:rPr>
          <w:rFonts w:ascii="Segoe UI" w:hAnsi="Segoe UI" w:cs="Segoe UI"/>
          <w:sz w:val="22"/>
          <w:szCs w:val="22"/>
          <w:lang w:val="hu-HU" w:eastAsia="de-DE"/>
        </w:rPr>
      </w:pPr>
    </w:p>
    <w:p w14:paraId="121544E1" w14:textId="77777777" w:rsidR="00D24F37" w:rsidRPr="00157119" w:rsidRDefault="00D24F37" w:rsidP="00514EFA">
      <w:pPr>
        <w:spacing w:line="276" w:lineRule="auto"/>
        <w:jc w:val="both"/>
        <w:rPr>
          <w:rFonts w:ascii="Segoe UI" w:hAnsi="Segoe UI" w:cs="Segoe UI"/>
          <w:sz w:val="22"/>
          <w:szCs w:val="22"/>
          <w:lang w:val="hu-HU" w:eastAsia="de-DE"/>
        </w:rPr>
      </w:pPr>
      <w:r w:rsidRPr="00157119">
        <w:rPr>
          <w:rFonts w:ascii="Segoe UI" w:hAnsi="Segoe UI" w:cs="Segoe UI"/>
          <w:sz w:val="22"/>
          <w:szCs w:val="22"/>
          <w:lang w:val="hu-HU" w:eastAsia="de-DE"/>
        </w:rPr>
        <w:t>Ezzel egyidejűleg a Henkel a márkák és az innováció további erősítése érdekében befektetett az üzletágaiba, például a marketing- és értékesítési beruházások jelentős növelésével, hogy a jövőbeni növekedést és az üzletág jövedelmezőségének további javítását elősegítse.</w:t>
      </w:r>
    </w:p>
    <w:p w14:paraId="55002D00" w14:textId="77777777" w:rsidR="00D24F37" w:rsidRPr="00157119" w:rsidRDefault="00D24F37" w:rsidP="00D24F37">
      <w:pPr>
        <w:jc w:val="both"/>
        <w:rPr>
          <w:rFonts w:ascii="Segoe UI" w:hAnsi="Segoe UI" w:cs="Segoe UI"/>
          <w:sz w:val="22"/>
          <w:szCs w:val="22"/>
          <w:lang w:val="hu-HU" w:eastAsia="de-DE"/>
        </w:rPr>
      </w:pPr>
    </w:p>
    <w:p w14:paraId="02CB3ADC" w14:textId="77777777" w:rsidR="00D24F37" w:rsidRPr="00157119" w:rsidRDefault="00D24F37" w:rsidP="00D24F37">
      <w:pPr>
        <w:spacing w:after="120"/>
        <w:jc w:val="both"/>
        <w:rPr>
          <w:rFonts w:ascii="Segoe UI" w:hAnsi="Segoe UI" w:cs="Segoe UI"/>
          <w:b/>
          <w:bCs/>
          <w:i/>
          <w:iCs/>
          <w:sz w:val="22"/>
          <w:szCs w:val="22"/>
          <w:lang w:val="hu-HU" w:eastAsia="de-DE"/>
        </w:rPr>
      </w:pPr>
      <w:r w:rsidRPr="00157119">
        <w:rPr>
          <w:rFonts w:ascii="Segoe UI" w:hAnsi="Segoe UI" w:cs="Segoe UI"/>
          <w:b/>
          <w:bCs/>
          <w:i/>
          <w:iCs/>
          <w:sz w:val="22"/>
          <w:szCs w:val="22"/>
          <w:lang w:val="hu-HU" w:eastAsia="de-DE"/>
        </w:rPr>
        <w:t>Az Adhesive Technologies üzletág további fejlesztése</w:t>
      </w:r>
    </w:p>
    <w:p w14:paraId="44BF74FC" w14:textId="77777777" w:rsidR="00D24F37" w:rsidRPr="00157119" w:rsidRDefault="00D24F37" w:rsidP="00123FAF">
      <w:pPr>
        <w:spacing w:line="276" w:lineRule="auto"/>
        <w:jc w:val="both"/>
        <w:rPr>
          <w:rFonts w:ascii="Segoe UI" w:hAnsi="Segoe UI" w:cs="Segoe UI"/>
          <w:sz w:val="22"/>
          <w:szCs w:val="22"/>
          <w:lang w:val="hu-HU" w:eastAsia="de-DE"/>
        </w:rPr>
      </w:pPr>
      <w:r w:rsidRPr="00157119">
        <w:rPr>
          <w:rFonts w:ascii="Segoe UI" w:hAnsi="Segoe UI" w:cs="Segoe UI"/>
          <w:sz w:val="22"/>
          <w:szCs w:val="22"/>
          <w:lang w:val="hu-HU" w:eastAsia="de-DE"/>
        </w:rPr>
        <w:t>A globálisan vezető piaci pozíció további kihasználása és az üzletág következő szintre emelése érdekében a Henkel számos változást hajtott végre az Adhesive Technologies felsővezetői szintjén, és a 2023-as pénzügyi évben egy sokszínűbb és nemzetközibb csapatot nevezett ki. Ezzel egyidejűleg a szervezeti felépítést is optimalizálták, hogy tovább fokozzák az ügyfél- és piacközelséget. Az új struktúra három üzleti területet foglal magában: Mobility &amp; Electronics, Packaging &amp; Consumer Goods, valamint a Consumer, Craftsmen &amp; Professional. Ez a struktúra 2023. folyamán jött létre, és teljes mértékben tükröződik a pénzügyi beszámolóban.</w:t>
      </w:r>
    </w:p>
    <w:p w14:paraId="7FF7CE7F" w14:textId="77777777" w:rsidR="00D24F37" w:rsidRPr="00157119" w:rsidRDefault="00D24F37" w:rsidP="00123FAF">
      <w:pPr>
        <w:spacing w:line="276" w:lineRule="auto"/>
        <w:jc w:val="both"/>
        <w:rPr>
          <w:rFonts w:ascii="Segoe UI" w:hAnsi="Segoe UI" w:cs="Segoe UI"/>
          <w:b/>
          <w:bCs/>
          <w:sz w:val="22"/>
          <w:szCs w:val="22"/>
          <w:lang w:val="hu-HU" w:eastAsia="de-DE"/>
        </w:rPr>
      </w:pPr>
    </w:p>
    <w:p w14:paraId="60B9CE01" w14:textId="009EE14C" w:rsidR="00D24F37" w:rsidRPr="00157119" w:rsidRDefault="00D24F37" w:rsidP="00D24F37">
      <w:pPr>
        <w:spacing w:after="120"/>
        <w:jc w:val="both"/>
        <w:rPr>
          <w:rFonts w:ascii="Segoe UI" w:hAnsi="Segoe UI" w:cs="Segoe UI"/>
          <w:b/>
          <w:bCs/>
          <w:sz w:val="22"/>
          <w:szCs w:val="22"/>
          <w:lang w:val="hu-HU" w:eastAsia="de-DE"/>
        </w:rPr>
      </w:pPr>
      <w:r w:rsidRPr="00157119">
        <w:rPr>
          <w:rFonts w:ascii="Segoe UI" w:hAnsi="Segoe UI" w:cs="Segoe UI"/>
          <w:b/>
          <w:bCs/>
          <w:sz w:val="22"/>
          <w:szCs w:val="22"/>
          <w:lang w:val="hu-HU" w:eastAsia="de-DE"/>
        </w:rPr>
        <w:t xml:space="preserve">További előrelépés valamennyi stratégiai </w:t>
      </w:r>
      <w:r w:rsidR="00F06CDD">
        <w:rPr>
          <w:rFonts w:ascii="Segoe UI" w:hAnsi="Segoe UI" w:cs="Segoe UI"/>
          <w:b/>
          <w:bCs/>
          <w:sz w:val="22"/>
          <w:szCs w:val="22"/>
          <w:lang w:val="hu-HU" w:eastAsia="de-DE"/>
        </w:rPr>
        <w:t>célkitűzés</w:t>
      </w:r>
      <w:r w:rsidRPr="00157119">
        <w:rPr>
          <w:rFonts w:ascii="Segoe UI" w:hAnsi="Segoe UI" w:cs="Segoe UI"/>
          <w:b/>
          <w:bCs/>
          <w:sz w:val="22"/>
          <w:szCs w:val="22"/>
          <w:lang w:val="hu-HU" w:eastAsia="de-DE"/>
        </w:rPr>
        <w:t xml:space="preserve"> terén</w:t>
      </w:r>
    </w:p>
    <w:p w14:paraId="5320DD8B" w14:textId="77777777" w:rsidR="00D24F37" w:rsidRPr="00157119" w:rsidRDefault="00D24F37" w:rsidP="000650B4">
      <w:pPr>
        <w:autoSpaceDE w:val="0"/>
        <w:autoSpaceDN w:val="0"/>
        <w:adjustRightInd w:val="0"/>
        <w:spacing w:line="276" w:lineRule="auto"/>
        <w:jc w:val="both"/>
        <w:rPr>
          <w:rFonts w:ascii="Segoe UI" w:hAnsi="Segoe UI" w:cs="Segoe UI"/>
          <w:bCs/>
          <w:sz w:val="22"/>
          <w:szCs w:val="22"/>
          <w:lang w:val="hu-HU"/>
        </w:rPr>
      </w:pPr>
      <w:r w:rsidRPr="00157119">
        <w:rPr>
          <w:rFonts w:ascii="Segoe UI" w:hAnsi="Segoe UI" w:cs="Segoe UI"/>
          <w:bCs/>
          <w:sz w:val="22"/>
          <w:szCs w:val="22"/>
          <w:lang w:val="hu-HU"/>
        </w:rPr>
        <w:t>A Henkel az elmúlt pénzügyi évben is szisztematikusan folytatta növekedési stratégiájának megvalósítását, és minden területen jelentős előrelépést ért el. A vállalat továbbfejlesztette üzleti és márkaportfólióját, megerősítette versenyelőnyét az innováció, a fenntarthatóság és a digitalizáció területén, optimalizálta működési modelljeit és megerősítette vállalati kultúráját.</w:t>
      </w:r>
    </w:p>
    <w:p w14:paraId="2EE00DE4" w14:textId="77777777" w:rsidR="00D24F37" w:rsidRPr="00157119" w:rsidRDefault="00D24F37" w:rsidP="00D24F37">
      <w:pPr>
        <w:autoSpaceDE w:val="0"/>
        <w:autoSpaceDN w:val="0"/>
        <w:adjustRightInd w:val="0"/>
        <w:jc w:val="both"/>
        <w:rPr>
          <w:rFonts w:ascii="Segoe UI" w:hAnsi="Segoe UI" w:cs="Segoe UI"/>
          <w:bCs/>
          <w:sz w:val="22"/>
          <w:szCs w:val="22"/>
          <w:lang w:val="hu-HU"/>
        </w:rPr>
      </w:pPr>
    </w:p>
    <w:p w14:paraId="6481A8FC" w14:textId="2C92F15C" w:rsidR="00D24F37" w:rsidRPr="00157119" w:rsidRDefault="002D62A8" w:rsidP="000650B4">
      <w:pPr>
        <w:autoSpaceDE w:val="0"/>
        <w:autoSpaceDN w:val="0"/>
        <w:adjustRightInd w:val="0"/>
        <w:spacing w:line="276" w:lineRule="auto"/>
        <w:jc w:val="both"/>
        <w:rPr>
          <w:rFonts w:ascii="Segoe UI" w:hAnsi="Segoe UI" w:cs="Segoe UI"/>
          <w:bCs/>
          <w:sz w:val="22"/>
          <w:szCs w:val="22"/>
          <w:lang w:val="hu-HU"/>
        </w:rPr>
      </w:pPr>
      <w:r w:rsidRPr="002D62A8">
        <w:rPr>
          <w:rFonts w:ascii="Segoe UI" w:hAnsi="Segoe UI" w:cs="Segoe UI"/>
          <w:sz w:val="22"/>
          <w:szCs w:val="22"/>
          <w:lang w:val="hu-HU"/>
        </w:rPr>
        <w:t>Az</w:t>
      </w:r>
      <w:r>
        <w:rPr>
          <w:rFonts w:ascii="Segoe UI" w:hAnsi="Segoe UI" w:cs="Segoe UI"/>
          <w:b/>
          <w:bCs/>
          <w:sz w:val="22"/>
          <w:szCs w:val="22"/>
          <w:lang w:val="hu-HU"/>
        </w:rPr>
        <w:t xml:space="preserve"> a</w:t>
      </w:r>
      <w:r w:rsidR="00D24F37" w:rsidRPr="00157119">
        <w:rPr>
          <w:rFonts w:ascii="Segoe UI" w:hAnsi="Segoe UI" w:cs="Segoe UI"/>
          <w:b/>
          <w:bCs/>
          <w:sz w:val="22"/>
          <w:szCs w:val="22"/>
          <w:lang w:val="hu-HU"/>
        </w:rPr>
        <w:t>ktív portfólió</w:t>
      </w:r>
      <w:r>
        <w:rPr>
          <w:rFonts w:ascii="Segoe UI" w:hAnsi="Segoe UI" w:cs="Segoe UI"/>
          <w:b/>
          <w:bCs/>
          <w:sz w:val="22"/>
          <w:szCs w:val="22"/>
          <w:lang w:val="hu-HU"/>
        </w:rPr>
        <w:t xml:space="preserve">kezelés </w:t>
      </w:r>
      <w:r w:rsidR="00D24F37" w:rsidRPr="00157119">
        <w:rPr>
          <w:rFonts w:ascii="Segoe UI" w:hAnsi="Segoe UI" w:cs="Segoe UI"/>
          <w:bCs/>
          <w:sz w:val="22"/>
          <w:szCs w:val="22"/>
          <w:lang w:val="hu-HU"/>
        </w:rPr>
        <w:t xml:space="preserve">részeként </w:t>
      </w:r>
      <w:r w:rsidR="001A1340" w:rsidRPr="001A1340">
        <w:rPr>
          <w:rFonts w:ascii="Segoe UI" w:hAnsi="Segoe UI" w:cs="Segoe UI"/>
          <w:bCs/>
          <w:sz w:val="22"/>
          <w:szCs w:val="22"/>
          <w:lang w:val="hu-HU"/>
        </w:rPr>
        <w:t>a Henkel folytatta portfóliójának fejlesztését akvizíciókkal, valamint tevékenységek megszüntetésével vagy eladásával.</w:t>
      </w:r>
      <w:r w:rsidR="00D24F37" w:rsidRPr="00157119">
        <w:rPr>
          <w:rFonts w:ascii="Segoe UI" w:hAnsi="Segoe UI" w:cs="Segoe UI"/>
          <w:bCs/>
          <w:sz w:val="22"/>
          <w:szCs w:val="22"/>
          <w:lang w:val="hu-HU"/>
        </w:rPr>
        <w:t xml:space="preserve"> </w:t>
      </w:r>
      <w:r w:rsidR="008A6BAE" w:rsidRPr="008A6BAE">
        <w:rPr>
          <w:rFonts w:ascii="Segoe UI" w:hAnsi="Segoe UI" w:cs="Segoe UI"/>
          <w:bCs/>
          <w:sz w:val="22"/>
          <w:szCs w:val="22"/>
          <w:lang w:val="hu-HU"/>
        </w:rPr>
        <w:t>A fogyasztói üzletágak egyesülésének 2022 eleji bejelentése óta mintegy 650 millió euró összforgalmú márk</w:t>
      </w:r>
      <w:r w:rsidR="00C27BC3">
        <w:rPr>
          <w:rFonts w:ascii="Segoe UI" w:hAnsi="Segoe UI" w:cs="Segoe UI"/>
          <w:bCs/>
          <w:sz w:val="22"/>
          <w:szCs w:val="22"/>
          <w:lang w:val="hu-HU"/>
        </w:rPr>
        <w:t>a</w:t>
      </w:r>
      <w:r w:rsidR="008A6BAE" w:rsidRPr="008A6BAE">
        <w:rPr>
          <w:rFonts w:ascii="Segoe UI" w:hAnsi="Segoe UI" w:cs="Segoe UI"/>
          <w:bCs/>
          <w:sz w:val="22"/>
          <w:szCs w:val="22"/>
          <w:lang w:val="hu-HU"/>
        </w:rPr>
        <w:t xml:space="preserve"> és tevékenység</w:t>
      </w:r>
      <w:r w:rsidR="00C27BC3">
        <w:rPr>
          <w:rFonts w:ascii="Segoe UI" w:hAnsi="Segoe UI" w:cs="Segoe UI"/>
          <w:bCs/>
          <w:sz w:val="22"/>
          <w:szCs w:val="22"/>
          <w:lang w:val="hu-HU"/>
        </w:rPr>
        <w:t xml:space="preserve"> került érté</w:t>
      </w:r>
      <w:r w:rsidR="008A6BAE" w:rsidRPr="008A6BAE">
        <w:rPr>
          <w:rFonts w:ascii="Segoe UI" w:hAnsi="Segoe UI" w:cs="Segoe UI"/>
          <w:bCs/>
          <w:sz w:val="22"/>
          <w:szCs w:val="22"/>
          <w:lang w:val="hu-HU"/>
        </w:rPr>
        <w:t>kesít</w:t>
      </w:r>
      <w:r w:rsidR="00C27BC3">
        <w:rPr>
          <w:rFonts w:ascii="Segoe UI" w:hAnsi="Segoe UI" w:cs="Segoe UI"/>
          <w:bCs/>
          <w:sz w:val="22"/>
          <w:szCs w:val="22"/>
          <w:lang w:val="hu-HU"/>
        </w:rPr>
        <w:t xml:space="preserve">ésre </w:t>
      </w:r>
      <w:r w:rsidR="008A6BAE" w:rsidRPr="008A6BAE">
        <w:rPr>
          <w:rFonts w:ascii="Segoe UI" w:hAnsi="Segoe UI" w:cs="Segoe UI"/>
          <w:bCs/>
          <w:sz w:val="22"/>
          <w:szCs w:val="22"/>
          <w:lang w:val="hu-HU"/>
        </w:rPr>
        <w:t>vagy sz</w:t>
      </w:r>
      <w:r w:rsidR="00C27BC3">
        <w:rPr>
          <w:rFonts w:ascii="Segoe UI" w:hAnsi="Segoe UI" w:cs="Segoe UI"/>
          <w:bCs/>
          <w:sz w:val="22"/>
          <w:szCs w:val="22"/>
          <w:lang w:val="hu-HU"/>
        </w:rPr>
        <w:t>ű</w:t>
      </w:r>
      <w:r w:rsidR="008A6BAE" w:rsidRPr="008A6BAE">
        <w:rPr>
          <w:rFonts w:ascii="Segoe UI" w:hAnsi="Segoe UI" w:cs="Segoe UI"/>
          <w:bCs/>
          <w:sz w:val="22"/>
          <w:szCs w:val="22"/>
          <w:lang w:val="hu-HU"/>
        </w:rPr>
        <w:t xml:space="preserve">nt meg a Consumer Brands </w:t>
      </w:r>
      <w:r w:rsidR="008A6BAE">
        <w:rPr>
          <w:rFonts w:ascii="Segoe UI" w:hAnsi="Segoe UI" w:cs="Segoe UI"/>
          <w:bCs/>
          <w:sz w:val="22"/>
          <w:szCs w:val="22"/>
          <w:lang w:val="hu-HU"/>
        </w:rPr>
        <w:t>üzletágban</w:t>
      </w:r>
      <w:r w:rsidR="00D24F37" w:rsidRPr="00157119">
        <w:rPr>
          <w:rFonts w:ascii="Segoe UI" w:hAnsi="Segoe UI" w:cs="Segoe UI"/>
          <w:bCs/>
          <w:sz w:val="22"/>
          <w:szCs w:val="22"/>
          <w:lang w:val="hu-HU"/>
        </w:rPr>
        <w:t xml:space="preserve">. Például </w:t>
      </w:r>
      <w:r w:rsidR="008F70D0" w:rsidRPr="00157119">
        <w:rPr>
          <w:rFonts w:ascii="Segoe UI" w:hAnsi="Segoe UI" w:cs="Segoe UI"/>
          <w:bCs/>
          <w:sz w:val="22"/>
          <w:szCs w:val="22"/>
          <w:lang w:val="hu-HU"/>
        </w:rPr>
        <w:t xml:space="preserve">2023-ban értékesítették </w:t>
      </w:r>
      <w:r w:rsidR="00D24F37" w:rsidRPr="00157119">
        <w:rPr>
          <w:rFonts w:ascii="Segoe UI" w:hAnsi="Segoe UI" w:cs="Segoe UI"/>
          <w:bCs/>
          <w:sz w:val="22"/>
          <w:szCs w:val="22"/>
          <w:lang w:val="hu-HU"/>
        </w:rPr>
        <w:t>az észak-amerikai légfrissítő üzlet</w:t>
      </w:r>
      <w:r w:rsidR="001C6A1D">
        <w:rPr>
          <w:rFonts w:ascii="Segoe UI" w:hAnsi="Segoe UI" w:cs="Segoe UI"/>
          <w:bCs/>
          <w:sz w:val="22"/>
          <w:szCs w:val="22"/>
          <w:lang w:val="hu-HU"/>
        </w:rPr>
        <w:t>i terület</w:t>
      </w:r>
      <w:r w:rsidR="008F70D0">
        <w:rPr>
          <w:rFonts w:ascii="Segoe UI" w:hAnsi="Segoe UI" w:cs="Segoe UI"/>
          <w:bCs/>
          <w:sz w:val="22"/>
          <w:szCs w:val="22"/>
          <w:lang w:val="hu-HU"/>
        </w:rPr>
        <w:t>et</w:t>
      </w:r>
      <w:r w:rsidR="00D24F37" w:rsidRPr="00157119">
        <w:rPr>
          <w:rFonts w:ascii="Segoe UI" w:hAnsi="Segoe UI" w:cs="Segoe UI"/>
          <w:bCs/>
          <w:sz w:val="22"/>
          <w:szCs w:val="22"/>
          <w:lang w:val="hu-HU"/>
        </w:rPr>
        <w:t xml:space="preserve">. Ezzel egyidejűleg a portfólió megerősödött az Earthwise nevű fenntartható laundry and home care márka felvásárlásával Új-Zélandon. Az Adhesive Technologies üzletágban a Henkel a Critica Infrastructure felvásárlásával bővítette portfólióját a karbantartás, javítás és felújítás területén, amely az ipari alkalmazások széles körében végzett javításokhoz szükséges innovatív szálkompozit </w:t>
      </w:r>
      <w:r w:rsidR="00D24F37" w:rsidRPr="00157119">
        <w:rPr>
          <w:rFonts w:ascii="Segoe UI" w:hAnsi="Segoe UI" w:cs="Segoe UI"/>
          <w:bCs/>
          <w:sz w:val="22"/>
          <w:szCs w:val="22"/>
          <w:lang w:val="hu-HU"/>
        </w:rPr>
        <w:lastRenderedPageBreak/>
        <w:t>megoldások speciális szolgáltatója. Ezzel a tranzakcióval a Henkel egy vonzó, tevékenységében hasonló üzlet</w:t>
      </w:r>
      <w:r w:rsidR="007E7A41">
        <w:rPr>
          <w:rFonts w:ascii="Segoe UI" w:hAnsi="Segoe UI" w:cs="Segoe UI"/>
          <w:bCs/>
          <w:sz w:val="22"/>
          <w:szCs w:val="22"/>
          <w:lang w:val="hu-HU"/>
        </w:rPr>
        <w:t xml:space="preserve">i területtel </w:t>
      </w:r>
      <w:r w:rsidR="00D24F37" w:rsidRPr="00157119">
        <w:rPr>
          <w:rFonts w:ascii="Segoe UI" w:hAnsi="Segoe UI" w:cs="Segoe UI"/>
          <w:bCs/>
          <w:sz w:val="22"/>
          <w:szCs w:val="22"/>
          <w:lang w:val="hu-HU"/>
        </w:rPr>
        <w:t xml:space="preserve">egészítette ki ragasztóanyag-portfólióját, és platformot teremtett a további növekedéshez. A két üzletág célzott felvásárlások révén történő megerősítése 2024. elején folytatódott a </w:t>
      </w:r>
      <w:r w:rsidR="00020748" w:rsidRPr="00157119">
        <w:rPr>
          <w:rFonts w:ascii="Segoe UI" w:hAnsi="Segoe UI" w:cs="Segoe UI"/>
          <w:bCs/>
          <w:sz w:val="22"/>
          <w:szCs w:val="22"/>
          <w:lang w:val="hu-HU"/>
        </w:rPr>
        <w:t xml:space="preserve">kínai </w:t>
      </w:r>
      <w:r w:rsidR="00D24F37" w:rsidRPr="00157119">
        <w:rPr>
          <w:rFonts w:ascii="Segoe UI" w:hAnsi="Segoe UI" w:cs="Segoe UI"/>
          <w:bCs/>
          <w:sz w:val="22"/>
          <w:szCs w:val="22"/>
          <w:lang w:val="hu-HU"/>
        </w:rPr>
        <w:t>Vidal Sassoon hajápolási márka</w:t>
      </w:r>
      <w:r w:rsidR="009019EB">
        <w:rPr>
          <w:rFonts w:ascii="Segoe UI" w:hAnsi="Segoe UI" w:cs="Segoe UI"/>
          <w:bCs/>
          <w:sz w:val="22"/>
          <w:szCs w:val="22"/>
          <w:lang w:val="hu-HU"/>
        </w:rPr>
        <w:t xml:space="preserve"> felvásárlásával</w:t>
      </w:r>
      <w:r w:rsidR="00031E9B">
        <w:rPr>
          <w:rFonts w:ascii="Segoe UI" w:hAnsi="Segoe UI" w:cs="Segoe UI"/>
          <w:bCs/>
          <w:sz w:val="22"/>
          <w:szCs w:val="22"/>
          <w:lang w:val="hu-HU"/>
        </w:rPr>
        <w:t>,</w:t>
      </w:r>
      <w:r w:rsidR="00D24F37" w:rsidRPr="00157119">
        <w:rPr>
          <w:rFonts w:ascii="Segoe UI" w:hAnsi="Segoe UI" w:cs="Segoe UI"/>
          <w:bCs/>
          <w:sz w:val="22"/>
          <w:szCs w:val="22"/>
          <w:lang w:val="hu-HU"/>
        </w:rPr>
        <w:t xml:space="preserve"> és a Seal for Life </w:t>
      </w:r>
      <w:r w:rsidR="00D823C3">
        <w:rPr>
          <w:rFonts w:ascii="Segoe UI" w:hAnsi="Segoe UI" w:cs="Segoe UI"/>
          <w:bCs/>
          <w:sz w:val="22"/>
          <w:szCs w:val="22"/>
          <w:lang w:val="hu-HU"/>
        </w:rPr>
        <w:t xml:space="preserve">felvásárlásával az </w:t>
      </w:r>
      <w:r w:rsidR="00D24F37" w:rsidRPr="00157119">
        <w:rPr>
          <w:rFonts w:ascii="Segoe UI" w:hAnsi="Segoe UI" w:cs="Segoe UI"/>
          <w:bCs/>
          <w:sz w:val="22"/>
          <w:szCs w:val="22"/>
          <w:lang w:val="hu-HU"/>
        </w:rPr>
        <w:t>ipari karbantartás területén</w:t>
      </w:r>
      <w:r w:rsidR="00D823C3">
        <w:rPr>
          <w:rFonts w:ascii="Segoe UI" w:hAnsi="Segoe UI" w:cs="Segoe UI"/>
          <w:bCs/>
          <w:sz w:val="22"/>
          <w:szCs w:val="22"/>
          <w:lang w:val="hu-HU"/>
        </w:rPr>
        <w:t>.</w:t>
      </w:r>
    </w:p>
    <w:p w14:paraId="5D3CBE7C" w14:textId="77777777" w:rsidR="00D24F37" w:rsidRPr="00157119" w:rsidRDefault="00D24F37" w:rsidP="00D24F37">
      <w:pPr>
        <w:autoSpaceDE w:val="0"/>
        <w:autoSpaceDN w:val="0"/>
        <w:adjustRightInd w:val="0"/>
        <w:jc w:val="both"/>
        <w:rPr>
          <w:rFonts w:ascii="Segoe UI" w:hAnsi="Segoe UI" w:cs="Segoe UI"/>
          <w:bCs/>
          <w:sz w:val="22"/>
          <w:szCs w:val="22"/>
          <w:lang w:val="hu-HU"/>
        </w:rPr>
      </w:pPr>
    </w:p>
    <w:p w14:paraId="7E648D4F" w14:textId="77777777" w:rsidR="00D24F37" w:rsidRPr="00157119" w:rsidRDefault="00D24F37" w:rsidP="000650B4">
      <w:pPr>
        <w:spacing w:line="276" w:lineRule="auto"/>
        <w:jc w:val="both"/>
        <w:rPr>
          <w:rFonts w:ascii="Segoe UI" w:hAnsi="Segoe UI" w:cs="Segoe UI"/>
          <w:bCs/>
          <w:sz w:val="22"/>
          <w:szCs w:val="22"/>
          <w:lang w:val="hu-HU"/>
        </w:rPr>
      </w:pPr>
      <w:r w:rsidRPr="00157119">
        <w:rPr>
          <w:rFonts w:ascii="Segoe UI" w:hAnsi="Segoe UI" w:cs="Segoe UI"/>
          <w:bCs/>
          <w:sz w:val="22"/>
          <w:szCs w:val="22"/>
          <w:lang w:val="hu-HU"/>
        </w:rPr>
        <w:t xml:space="preserve">2023-ban a Henkel számos </w:t>
      </w:r>
      <w:r w:rsidRPr="00157119">
        <w:rPr>
          <w:rFonts w:ascii="Segoe UI" w:hAnsi="Segoe UI" w:cs="Segoe UI"/>
          <w:b/>
          <w:bCs/>
          <w:sz w:val="22"/>
          <w:szCs w:val="22"/>
          <w:lang w:val="hu-HU"/>
        </w:rPr>
        <w:t>innovációt</w:t>
      </w:r>
      <w:r w:rsidRPr="00157119">
        <w:rPr>
          <w:rFonts w:ascii="Segoe UI" w:hAnsi="Segoe UI" w:cs="Segoe UI"/>
          <w:bCs/>
          <w:sz w:val="22"/>
          <w:szCs w:val="22"/>
          <w:lang w:val="hu-HU"/>
        </w:rPr>
        <w:t xml:space="preserve"> vezetett be a piacra, amelyek fontos trendekre reagáltak, és értéket teremtettek az ügyfelek és a fogyasztók számára. Az Adhesive Technologies üzletágban a Henkel új megoldást mutatott be a vezetéstámogató rendszerekben használt kamera lencsék ragasztására. Ez lehetővé teszi a gyors és robusztus kameragyártást az autóiparban, miközben nagyobb biztonságot garantál az önvezető járművek következő generációjában. A Consumer Brands üzletágban a Persil Deep Clean több mint 30 országban került bevezetésre, egy innovatív enzimtechnológiával ellátott új formulával. Kiváló folteltávolítást biztosít, ugyanakkor megakadályozza a kellemetlen szagok kialakulását a mosógépben. A Henkel emellett újraindította a teljes Got2b styling portfólióját, új csomagolással és a fenntarthatóság javításával, vegán formulákkal, természetes összetevőkkel és fenntarthatóbb csomagolással.</w:t>
      </w:r>
    </w:p>
    <w:p w14:paraId="728E0FF9" w14:textId="77777777" w:rsidR="00D24F37" w:rsidRPr="00157119" w:rsidRDefault="00D24F37" w:rsidP="00D24F37">
      <w:pPr>
        <w:autoSpaceDE w:val="0"/>
        <w:autoSpaceDN w:val="0"/>
        <w:adjustRightInd w:val="0"/>
        <w:jc w:val="both"/>
        <w:rPr>
          <w:rFonts w:ascii="Segoe UI" w:hAnsi="Segoe UI" w:cs="Segoe UI"/>
          <w:bCs/>
          <w:sz w:val="22"/>
          <w:szCs w:val="22"/>
          <w:lang w:val="hu-HU"/>
        </w:rPr>
      </w:pPr>
    </w:p>
    <w:p w14:paraId="4F07C276" w14:textId="3A4BC83D" w:rsidR="00D24F37" w:rsidRPr="00157119" w:rsidRDefault="00D24F37" w:rsidP="00307744">
      <w:pPr>
        <w:spacing w:line="276" w:lineRule="auto"/>
        <w:jc w:val="both"/>
        <w:rPr>
          <w:rFonts w:ascii="Segoe UI" w:hAnsi="Segoe UI" w:cs="Segoe UI"/>
          <w:bCs/>
          <w:sz w:val="22"/>
          <w:szCs w:val="22"/>
          <w:lang w:val="hu-HU"/>
        </w:rPr>
      </w:pPr>
      <w:r w:rsidRPr="00157119">
        <w:rPr>
          <w:rFonts w:ascii="Segoe UI" w:hAnsi="Segoe UI" w:cs="Segoe UI"/>
          <w:bCs/>
          <w:sz w:val="22"/>
          <w:szCs w:val="22"/>
          <w:lang w:val="hu-HU"/>
        </w:rPr>
        <w:t xml:space="preserve">Ezen túlmenően a Henkel tovább erősítette a </w:t>
      </w:r>
      <w:r w:rsidRPr="00157119">
        <w:rPr>
          <w:rFonts w:ascii="Segoe UI" w:hAnsi="Segoe UI" w:cs="Segoe UI"/>
          <w:b/>
          <w:bCs/>
          <w:sz w:val="22"/>
          <w:szCs w:val="22"/>
          <w:lang w:val="hu-HU"/>
        </w:rPr>
        <w:t>fenntarthatóságot</w:t>
      </w:r>
      <w:r w:rsidRPr="00157119">
        <w:rPr>
          <w:rFonts w:ascii="Segoe UI" w:hAnsi="Segoe UI" w:cs="Segoe UI"/>
          <w:bCs/>
          <w:sz w:val="22"/>
          <w:szCs w:val="22"/>
          <w:lang w:val="hu-HU"/>
        </w:rPr>
        <w:t xml:space="preserve"> az üzleti életben. Ebben az összefüggésben az éghajlatvédelem a Henkel "2030+ Fenntarthatósági Célok Keretrendszer" egyik fontos pillére, amelyet az üzlet teljes értékláncában tovább erősítettek. Különös hangsúlyt kap a megújuló energiák használatának kiterjesztése és a 2030-ig megvalósítandó klímapozitív működésre vonatkozó ambíció felé történő előrelépés. Itt a Henkel jelentős fejlődést ért el. A vállalat 14 gyárat állított </w:t>
      </w:r>
      <w:r w:rsidR="00F75FCE" w:rsidRPr="00157119">
        <w:rPr>
          <w:rFonts w:ascii="Segoe UI" w:hAnsi="Segoe UI" w:cs="Segoe UI"/>
          <w:bCs/>
          <w:sz w:val="22"/>
          <w:szCs w:val="22"/>
          <w:lang w:val="hu-HU"/>
        </w:rPr>
        <w:t xml:space="preserve">át </w:t>
      </w:r>
      <w:r w:rsidR="008D2677" w:rsidRPr="00157119">
        <w:rPr>
          <w:rFonts w:ascii="Segoe UI" w:hAnsi="Segoe UI" w:cs="Segoe UI"/>
          <w:bCs/>
          <w:sz w:val="22"/>
          <w:szCs w:val="22"/>
          <w:lang w:val="hu-HU"/>
        </w:rPr>
        <w:t xml:space="preserve">CO2-semleges termelésre </w:t>
      </w:r>
      <w:r w:rsidRPr="00157119">
        <w:rPr>
          <w:rFonts w:ascii="Segoe UI" w:hAnsi="Segoe UI" w:cs="Segoe UI"/>
          <w:bCs/>
          <w:sz w:val="22"/>
          <w:szCs w:val="22"/>
          <w:lang w:val="hu-HU"/>
        </w:rPr>
        <w:t>2023-ra</w:t>
      </w:r>
      <w:r w:rsidR="00F75FCE">
        <w:rPr>
          <w:rFonts w:ascii="Segoe UI" w:hAnsi="Segoe UI" w:cs="Segoe UI"/>
          <w:bCs/>
          <w:sz w:val="22"/>
          <w:szCs w:val="22"/>
          <w:lang w:val="hu-HU"/>
        </w:rPr>
        <w:t>.</w:t>
      </w:r>
      <w:r w:rsidRPr="00157119">
        <w:rPr>
          <w:rFonts w:ascii="Segoe UI" w:hAnsi="Segoe UI" w:cs="Segoe UI"/>
          <w:bCs/>
          <w:sz w:val="22"/>
          <w:szCs w:val="22"/>
          <w:lang w:val="hu-HU"/>
        </w:rPr>
        <w:t xml:space="preserve"> A Henkel 2023</w:t>
      </w:r>
      <w:r w:rsidR="00F75FCE">
        <w:rPr>
          <w:rFonts w:ascii="Segoe UI" w:hAnsi="Segoe UI" w:cs="Segoe UI"/>
          <w:bCs/>
          <w:sz w:val="22"/>
          <w:szCs w:val="22"/>
          <w:lang w:val="hu-HU"/>
        </w:rPr>
        <w:t xml:space="preserve"> év</w:t>
      </w:r>
      <w:r w:rsidRPr="00157119">
        <w:rPr>
          <w:rFonts w:ascii="Segoe UI" w:hAnsi="Segoe UI" w:cs="Segoe UI"/>
          <w:bCs/>
          <w:sz w:val="22"/>
          <w:szCs w:val="22"/>
          <w:lang w:val="hu-HU"/>
        </w:rPr>
        <w:t xml:space="preserve"> végére elérte a CO2-kibocsátás/tonna 61 százalékos csökkentését (a 2010-es bázisévhez képest). A vállalat fenntarthatósági törekvéseinek részeként a Henkel nagy hangsúlyt fektetett a fenntarthatóbb termékportfólióra is, például a megújuló és újrahasznosított anyagok fokozott használata révén, és szisztematikusabban követi az e téren elért eredményeket.</w:t>
      </w:r>
    </w:p>
    <w:p w14:paraId="77BBFE35" w14:textId="77777777" w:rsidR="00D24F37" w:rsidRPr="00157119" w:rsidRDefault="00D24F37" w:rsidP="00D24F37">
      <w:pPr>
        <w:jc w:val="both"/>
        <w:rPr>
          <w:rFonts w:ascii="Segoe UI" w:hAnsi="Segoe UI" w:cs="Segoe UI"/>
          <w:bCs/>
          <w:sz w:val="22"/>
          <w:szCs w:val="22"/>
          <w:lang w:val="hu-HU"/>
        </w:rPr>
      </w:pPr>
    </w:p>
    <w:p w14:paraId="02143330" w14:textId="77777777" w:rsidR="00D24F37" w:rsidRPr="00157119" w:rsidRDefault="00D24F37" w:rsidP="00C75A02">
      <w:pPr>
        <w:spacing w:line="276" w:lineRule="auto"/>
        <w:jc w:val="both"/>
        <w:rPr>
          <w:rFonts w:ascii="Segoe UI" w:hAnsi="Segoe UI" w:cs="Segoe UI"/>
          <w:sz w:val="22"/>
          <w:szCs w:val="22"/>
          <w:lang w:val="hu-HU" w:eastAsia="de-DE"/>
        </w:rPr>
      </w:pPr>
      <w:r w:rsidRPr="00157119">
        <w:rPr>
          <w:rFonts w:ascii="Segoe UI" w:hAnsi="Segoe UI" w:cs="Segoe UI"/>
          <w:sz w:val="22"/>
          <w:szCs w:val="22"/>
          <w:lang w:val="hu-HU" w:eastAsia="de-DE"/>
        </w:rPr>
        <w:t xml:space="preserve">A Henkel a </w:t>
      </w:r>
      <w:r w:rsidRPr="00157119">
        <w:rPr>
          <w:rFonts w:ascii="Segoe UI" w:hAnsi="Segoe UI" w:cs="Segoe UI"/>
          <w:b/>
          <w:sz w:val="22"/>
          <w:szCs w:val="22"/>
          <w:lang w:val="hu-HU" w:eastAsia="de-DE"/>
        </w:rPr>
        <w:t>digitalizáció</w:t>
      </w:r>
      <w:r w:rsidRPr="00157119">
        <w:rPr>
          <w:rFonts w:ascii="Segoe UI" w:hAnsi="Segoe UI" w:cs="Segoe UI"/>
          <w:sz w:val="22"/>
          <w:szCs w:val="22"/>
          <w:lang w:val="hu-HU" w:eastAsia="de-DE"/>
        </w:rPr>
        <w:t xml:space="preserve"> területén is további fejlődést ért el. A "Henkel dx" digitális egységében a vállalat folytatta a belső struktúrák optimalizálását, megerősítette a digitális szakértelem fejlesztését és tovább támogatta az innovációs kultúrát. A Henkel emellett elmélyítette stratégiai partnerségeit olyan globálisan vezető digitális vállalatokkal, mint az SAP, a Microsoft és az Adobe. Ezek lehetővé teszik a Henkel számára, hogy csúcstechnológiát integráljon digitális platformjaiba és projektjeibe. A digitális innovációk felgyorsításával, a következetes platformstratégiával és az összes üzletág és funkcionális terület közötti szoros együttműködéssel a vállalat tavaly tovább tudta javítani az IT hatékonyságát, és új üzleti lehetőségeket tudott teremteni a vállalat számára, például a business-to-business piacterek területén.</w:t>
      </w:r>
    </w:p>
    <w:p w14:paraId="5BFC7CB2" w14:textId="77777777" w:rsidR="00D24F37" w:rsidRPr="00157119" w:rsidRDefault="00D24F37" w:rsidP="00C75A02">
      <w:pPr>
        <w:spacing w:line="276" w:lineRule="auto"/>
        <w:jc w:val="both"/>
        <w:rPr>
          <w:rFonts w:ascii="Segoe UI" w:hAnsi="Segoe UI" w:cs="Segoe UI"/>
          <w:sz w:val="22"/>
          <w:szCs w:val="22"/>
          <w:lang w:val="hu-HU" w:eastAsia="de-DE"/>
        </w:rPr>
      </w:pPr>
    </w:p>
    <w:p w14:paraId="0048A4B8" w14:textId="01B167E0" w:rsidR="00D24F37" w:rsidRPr="00157119" w:rsidRDefault="00D24F37" w:rsidP="00F52B59">
      <w:pPr>
        <w:spacing w:line="276" w:lineRule="auto"/>
        <w:jc w:val="both"/>
        <w:rPr>
          <w:rFonts w:ascii="Segoe UI" w:hAnsi="Segoe UI" w:cs="Segoe UI"/>
          <w:sz w:val="22"/>
          <w:szCs w:val="22"/>
          <w:lang w:val="hu-HU" w:eastAsia="de-DE"/>
        </w:rPr>
      </w:pPr>
      <w:r w:rsidRPr="00157119">
        <w:rPr>
          <w:rFonts w:ascii="Segoe UI" w:hAnsi="Segoe UI" w:cs="Segoe UI"/>
          <w:sz w:val="22"/>
          <w:szCs w:val="22"/>
          <w:lang w:val="hu-HU" w:eastAsia="de-DE"/>
        </w:rPr>
        <w:lastRenderedPageBreak/>
        <w:t xml:space="preserve">Emellett a Henkel az elmúlt évben tovább erősítette </w:t>
      </w:r>
      <w:r w:rsidRPr="00157119">
        <w:rPr>
          <w:rFonts w:ascii="Segoe UI" w:hAnsi="Segoe UI" w:cs="Segoe UI"/>
          <w:b/>
          <w:sz w:val="22"/>
          <w:szCs w:val="22"/>
          <w:lang w:val="hu-HU" w:eastAsia="de-DE"/>
        </w:rPr>
        <w:t>vállalati kultúráját</w:t>
      </w:r>
      <w:r w:rsidRPr="00157119">
        <w:rPr>
          <w:rFonts w:ascii="Segoe UI" w:hAnsi="Segoe UI" w:cs="Segoe UI"/>
          <w:sz w:val="22"/>
          <w:szCs w:val="22"/>
          <w:lang w:val="hu-HU" w:eastAsia="de-DE"/>
        </w:rPr>
        <w:t>, amely a "</w:t>
      </w:r>
      <w:r w:rsidR="006D7104" w:rsidRPr="006D7104">
        <w:rPr>
          <w:rFonts w:ascii="Segoe UI" w:hAnsi="Segoe UI" w:cs="Segoe UI"/>
          <w:sz w:val="22"/>
          <w:szCs w:val="22"/>
          <w:lang w:val="hu-HU"/>
        </w:rPr>
        <w:t>Pioneers at heart for the good of generations</w:t>
      </w:r>
      <w:r w:rsidRPr="00157119">
        <w:rPr>
          <w:rFonts w:ascii="Segoe UI" w:hAnsi="Segoe UI" w:cs="Segoe UI"/>
          <w:sz w:val="22"/>
          <w:szCs w:val="22"/>
          <w:lang w:val="hu-HU" w:eastAsia="de-DE"/>
        </w:rPr>
        <w:t>" vállalati célon és a "</w:t>
      </w:r>
      <w:r w:rsidR="00825A70" w:rsidRPr="00825A70">
        <w:rPr>
          <w:rFonts w:ascii="Segoe UI" w:hAnsi="Segoe UI" w:cs="Segoe UI"/>
          <w:sz w:val="22"/>
          <w:szCs w:val="22"/>
          <w:lang w:val="hu-HU" w:eastAsia="de-DE"/>
        </w:rPr>
        <w:t>Leadership Commitments</w:t>
      </w:r>
      <w:r w:rsidRPr="00157119">
        <w:rPr>
          <w:rFonts w:ascii="Segoe UI" w:hAnsi="Segoe UI" w:cs="Segoe UI"/>
          <w:sz w:val="22"/>
          <w:szCs w:val="22"/>
          <w:lang w:val="hu-HU" w:eastAsia="de-DE"/>
        </w:rPr>
        <w:t>"</w:t>
      </w:r>
      <w:r w:rsidR="00825A70">
        <w:rPr>
          <w:rFonts w:ascii="Segoe UI" w:hAnsi="Segoe UI" w:cs="Segoe UI"/>
          <w:sz w:val="22"/>
          <w:szCs w:val="22"/>
          <w:lang w:val="hu-HU" w:eastAsia="de-DE"/>
        </w:rPr>
        <w:t xml:space="preserve">-en </w:t>
      </w:r>
      <w:r w:rsidRPr="00157119">
        <w:rPr>
          <w:rFonts w:ascii="Segoe UI" w:hAnsi="Segoe UI" w:cs="Segoe UI"/>
          <w:sz w:val="22"/>
          <w:szCs w:val="22"/>
          <w:lang w:val="hu-HU" w:eastAsia="de-DE"/>
        </w:rPr>
        <w:t>alapul. Egy másik fókuszterület a holisztikus "Smart Work" koncepció megvalósítása volt, amely globális keretet képez olyan témák számára, mint a mobil munkavégzés, a digitális munkahely és a munkavállalói egészség, valamint az új globális "</w:t>
      </w:r>
      <w:r w:rsidR="007035FB" w:rsidRPr="007035FB">
        <w:rPr>
          <w:rFonts w:ascii="Segoe UI" w:hAnsi="Segoe UI" w:cs="Segoe UI"/>
          <w:sz w:val="22"/>
          <w:szCs w:val="22"/>
          <w:lang w:val="hu-HU" w:eastAsia="de-DE"/>
        </w:rPr>
        <w:t>Diversity, Equity &amp; Inclusion</w:t>
      </w:r>
      <w:r w:rsidR="003505B1">
        <w:rPr>
          <w:rFonts w:ascii="Segoe UI" w:hAnsi="Segoe UI" w:cs="Segoe UI"/>
          <w:sz w:val="22"/>
          <w:szCs w:val="22"/>
          <w:lang w:val="hu-HU" w:eastAsia="de-DE"/>
        </w:rPr>
        <w:t xml:space="preserve">” (DEI) </w:t>
      </w:r>
      <w:r w:rsidRPr="00157119">
        <w:rPr>
          <w:rFonts w:ascii="Segoe UI" w:hAnsi="Segoe UI" w:cs="Segoe UI"/>
          <w:sz w:val="22"/>
          <w:szCs w:val="22"/>
          <w:lang w:val="hu-HU" w:eastAsia="de-DE"/>
        </w:rPr>
        <w:t>kezdeményezések.</w:t>
      </w:r>
    </w:p>
    <w:p w14:paraId="7DE3C81C" w14:textId="77777777" w:rsidR="00D24F37" w:rsidRPr="00157119" w:rsidRDefault="00D24F37" w:rsidP="00F52B59">
      <w:pPr>
        <w:spacing w:line="276" w:lineRule="auto"/>
        <w:jc w:val="both"/>
        <w:rPr>
          <w:rFonts w:ascii="Segoe UI" w:hAnsi="Segoe UI" w:cs="Segoe UI"/>
          <w:b/>
          <w:bCs/>
          <w:sz w:val="22"/>
          <w:szCs w:val="22"/>
          <w:lang w:val="hu-HU" w:eastAsia="de-DE"/>
        </w:rPr>
      </w:pPr>
    </w:p>
    <w:p w14:paraId="46D10E49" w14:textId="676E72AA" w:rsidR="00867E2E" w:rsidRPr="00157119" w:rsidRDefault="00574F14" w:rsidP="00F52B59">
      <w:pPr>
        <w:spacing w:line="276" w:lineRule="auto"/>
        <w:jc w:val="both"/>
        <w:rPr>
          <w:rFonts w:ascii="Segoe UI" w:eastAsia="Quattrocento Sans" w:hAnsi="Segoe UI" w:cs="Segoe UI"/>
          <w:color w:val="000000"/>
          <w:sz w:val="22"/>
          <w:szCs w:val="22"/>
          <w:lang w:val="hu-HU"/>
        </w:rPr>
      </w:pPr>
      <w:r w:rsidRPr="0024538D">
        <w:rPr>
          <w:rFonts w:ascii="Segoe UI" w:hAnsi="Segoe UI" w:cs="Segoe UI"/>
          <w:sz w:val="22"/>
          <w:szCs w:val="22"/>
          <w:lang w:val="hu-HU"/>
        </w:rPr>
        <w:t>„</w:t>
      </w:r>
      <w:r w:rsidR="00D24F37" w:rsidRPr="0024538D">
        <w:rPr>
          <w:rFonts w:ascii="Segoe UI" w:hAnsi="Segoe UI" w:cs="Segoe UI"/>
          <w:sz w:val="22"/>
          <w:szCs w:val="22"/>
          <w:lang w:val="hu-HU"/>
        </w:rPr>
        <w:t>2023-ban erős üzleti teljesítményt nyújtottunk, minden stratégiai dimenzióban következetesen végrehajtottuk a céltudatos növekedésre vonatkozó menetrendünket, és elő</w:t>
      </w:r>
      <w:r w:rsidR="00586FED" w:rsidRPr="0024538D">
        <w:rPr>
          <w:rFonts w:ascii="Segoe UI" w:hAnsi="Segoe UI" w:cs="Segoe UI"/>
          <w:sz w:val="22"/>
          <w:szCs w:val="22"/>
          <w:lang w:val="hu-HU"/>
        </w:rPr>
        <w:t>mozdítottuk</w:t>
      </w:r>
      <w:r w:rsidR="00D24F37" w:rsidRPr="00157119">
        <w:rPr>
          <w:rFonts w:ascii="Segoe UI" w:hAnsi="Segoe UI" w:cs="Segoe UI"/>
          <w:sz w:val="22"/>
          <w:szCs w:val="22"/>
          <w:lang w:val="hu-HU"/>
        </w:rPr>
        <w:t xml:space="preserve"> vállalatunk átalakulását. Szilárd meggyőződésem, hogy jó úton </w:t>
      </w:r>
      <w:r w:rsidR="0024538D">
        <w:rPr>
          <w:rFonts w:ascii="Segoe UI" w:hAnsi="Segoe UI" w:cs="Segoe UI"/>
          <w:sz w:val="22"/>
          <w:szCs w:val="22"/>
          <w:lang w:val="hu-HU"/>
        </w:rPr>
        <w:t>járunk</w:t>
      </w:r>
      <w:r w:rsidR="00D24F37" w:rsidRPr="00157119">
        <w:rPr>
          <w:rFonts w:ascii="Segoe UI" w:hAnsi="Segoe UI" w:cs="Segoe UI"/>
          <w:sz w:val="22"/>
          <w:szCs w:val="22"/>
          <w:lang w:val="hu-HU"/>
        </w:rPr>
        <w:t xml:space="preserve"> és a helyes stratégiát követjük. Nagy bizalommal tekinthetünk 2024-re és az azt követő évekre, és teljes mértékben elkötelezettek vagyunk ambícióink megvalósítása mellett" </w:t>
      </w:r>
      <w:r w:rsidR="00F52B59">
        <w:rPr>
          <w:rFonts w:ascii="Segoe UI" w:hAnsi="Segoe UI" w:cs="Segoe UI"/>
          <w:sz w:val="22"/>
          <w:szCs w:val="22"/>
          <w:lang w:val="hu-HU"/>
        </w:rPr>
        <w:t>–</w:t>
      </w:r>
      <w:r w:rsidR="00D24F37" w:rsidRPr="00157119">
        <w:rPr>
          <w:rFonts w:ascii="Segoe UI" w:hAnsi="Segoe UI" w:cs="Segoe UI"/>
          <w:sz w:val="22"/>
          <w:szCs w:val="22"/>
          <w:lang w:val="hu-HU"/>
        </w:rPr>
        <w:t xml:space="preserve"> összegezte Carsten Knobel.</w:t>
      </w:r>
    </w:p>
    <w:p w14:paraId="743DDD08" w14:textId="3DE56861" w:rsidR="00234856" w:rsidRPr="00157119" w:rsidRDefault="00234856" w:rsidP="00AF5120">
      <w:pPr>
        <w:spacing w:line="276" w:lineRule="auto"/>
        <w:jc w:val="both"/>
        <w:rPr>
          <w:rFonts w:ascii="Segoe UI" w:eastAsia="Quattrocento Sans" w:hAnsi="Segoe UI" w:cs="Segoe UI"/>
          <w:color w:val="000000"/>
          <w:sz w:val="22"/>
          <w:szCs w:val="22"/>
          <w:lang w:val="hu-HU"/>
        </w:rPr>
      </w:pPr>
    </w:p>
    <w:p w14:paraId="726107E4" w14:textId="042ED558" w:rsidR="00A83FFE" w:rsidRPr="00157119" w:rsidRDefault="005B0BB5" w:rsidP="00AF5120">
      <w:pPr>
        <w:spacing w:line="276" w:lineRule="auto"/>
        <w:jc w:val="both"/>
        <w:rPr>
          <w:rStyle w:val="AboutandContactHeadline"/>
          <w:rFonts w:cs="Segoe UI"/>
          <w:szCs w:val="18"/>
          <w:lang w:val="hu-HU"/>
        </w:rPr>
      </w:pPr>
      <w:r w:rsidRPr="00157119">
        <w:rPr>
          <w:rFonts w:ascii="Segoe UI" w:eastAsia="Quattrocento Sans" w:hAnsi="Segoe UI" w:cs="Segoe UI"/>
          <w:color w:val="000000"/>
          <w:sz w:val="22"/>
          <w:szCs w:val="22"/>
          <w:lang w:val="hu-HU"/>
        </w:rPr>
        <w:t> </w:t>
      </w:r>
    </w:p>
    <w:p w14:paraId="15CE46E6" w14:textId="3EC22F02" w:rsidR="006437F8" w:rsidRPr="00157119" w:rsidRDefault="006437F8" w:rsidP="00C30F30">
      <w:pPr>
        <w:spacing w:line="276" w:lineRule="auto"/>
        <w:rPr>
          <w:rStyle w:val="AboutandContactHeadline"/>
          <w:rFonts w:cs="Segoe UI"/>
          <w:szCs w:val="18"/>
          <w:lang w:val="hu-HU"/>
        </w:rPr>
      </w:pPr>
      <w:r w:rsidRPr="00157119">
        <w:rPr>
          <w:rStyle w:val="AboutandContactHeadline"/>
          <w:rFonts w:cs="Segoe UI"/>
          <w:szCs w:val="18"/>
          <w:lang w:val="hu-HU"/>
        </w:rPr>
        <w:t>A Henkelről</w:t>
      </w:r>
    </w:p>
    <w:p w14:paraId="2582AD30" w14:textId="411E4741" w:rsidR="006437F8" w:rsidRPr="00157119" w:rsidRDefault="006437F8" w:rsidP="00C30F30">
      <w:pPr>
        <w:spacing w:line="276" w:lineRule="auto"/>
        <w:jc w:val="both"/>
        <w:rPr>
          <w:rStyle w:val="AboutandContactBody"/>
          <w:rFonts w:cs="Segoe UI"/>
          <w:szCs w:val="18"/>
          <w:lang w:val="hu-HU"/>
        </w:rPr>
      </w:pPr>
      <w:r w:rsidRPr="00157119">
        <w:rPr>
          <w:rStyle w:val="AboutandContactBody"/>
          <w:rFonts w:cs="Segoe UI"/>
          <w:szCs w:val="18"/>
          <w:lang w:val="hu-HU"/>
        </w:rPr>
        <w:t>A Henkel márkáival, innovációival és technológiáival világszerte piacvezető az ipari és fogyasztói termékek területén. Az Adhesive Technologies üzletágával a Henkel globális vezető a ragasztók, tömítőanyagok és funkcionális bevonatok piacán. A Consumer Brands üzletága révén a vállalat számos piacon és kategóriában világelső, különösen a mosó- és háztartási tisztítószerek, valamint a hajápolás terén. A cég három legerősebb márkája a Loctite, a Persil és a Schwarzkopf. A 202</w:t>
      </w:r>
      <w:r w:rsidR="00E6107E">
        <w:rPr>
          <w:rStyle w:val="AboutandContactBody"/>
          <w:rFonts w:cs="Segoe UI"/>
          <w:szCs w:val="18"/>
          <w:lang w:val="hu-HU"/>
        </w:rPr>
        <w:t>3</w:t>
      </w:r>
      <w:r w:rsidRPr="00157119">
        <w:rPr>
          <w:rStyle w:val="AboutandContactBody"/>
          <w:rFonts w:cs="Segoe UI"/>
          <w:szCs w:val="18"/>
          <w:lang w:val="hu-HU"/>
        </w:rPr>
        <w:t>-</w:t>
      </w:r>
      <w:r w:rsidR="00E6107E">
        <w:rPr>
          <w:rStyle w:val="AboutandContactBody"/>
          <w:rFonts w:cs="Segoe UI"/>
          <w:szCs w:val="18"/>
          <w:lang w:val="hu-HU"/>
        </w:rPr>
        <w:t>a</w:t>
      </w:r>
      <w:r w:rsidRPr="00157119">
        <w:rPr>
          <w:rStyle w:val="AboutandContactBody"/>
          <w:rFonts w:cs="Segoe UI"/>
          <w:szCs w:val="18"/>
          <w:lang w:val="hu-HU"/>
        </w:rPr>
        <w:t>s pénzügyi évben a Henkel több, mint 2</w:t>
      </w:r>
      <w:r w:rsidR="00E6107E">
        <w:rPr>
          <w:rStyle w:val="AboutandContactBody"/>
          <w:rFonts w:cs="Segoe UI"/>
          <w:szCs w:val="18"/>
          <w:lang w:val="hu-HU"/>
        </w:rPr>
        <w:t>1,5</w:t>
      </w:r>
      <w:r w:rsidRPr="00157119">
        <w:rPr>
          <w:rStyle w:val="AboutandContactBody"/>
          <w:rFonts w:cs="Segoe UI"/>
          <w:szCs w:val="18"/>
          <w:lang w:val="hu-HU"/>
        </w:rPr>
        <w:t xml:space="preserve"> milliárd euró árbevételt és mintegy 2,</w:t>
      </w:r>
      <w:r w:rsidR="00E6107E">
        <w:rPr>
          <w:rStyle w:val="AboutandContactBody"/>
          <w:rFonts w:cs="Segoe UI"/>
          <w:szCs w:val="18"/>
          <w:lang w:val="hu-HU"/>
        </w:rPr>
        <w:t>6</w:t>
      </w:r>
      <w:r w:rsidRPr="00157119">
        <w:rPr>
          <w:rStyle w:val="AboutandContactBody"/>
          <w:rFonts w:cs="Segoe UI"/>
          <w:szCs w:val="18"/>
          <w:lang w:val="hu-HU"/>
        </w:rPr>
        <w:t xml:space="preserve"> milliárd euró korrigált üzemi eredményt ért el. A Henkel elsőbbségi részvényeit a német DAX tőzsdeindexben jegyzik. A Henkelnél a fenntarthatóságnak nagy hagyománya van, a vállalat világos fenntarthatósági stratégiát követ meghatározott célokkal. A Henkelt 1876-ban alapították, és ma világszerte </w:t>
      </w:r>
      <w:r w:rsidR="007B22BB">
        <w:rPr>
          <w:rStyle w:val="AboutandContactBody"/>
          <w:rFonts w:cs="Segoe UI"/>
          <w:szCs w:val="18"/>
          <w:lang w:val="hu-HU"/>
        </w:rPr>
        <w:t>mintegy</w:t>
      </w:r>
      <w:r w:rsidRPr="00157119">
        <w:rPr>
          <w:rStyle w:val="AboutandContactBody"/>
          <w:rFonts w:cs="Segoe UI"/>
          <w:szCs w:val="18"/>
          <w:lang w:val="hu-HU"/>
        </w:rPr>
        <w:t xml:space="preserve"> </w:t>
      </w:r>
      <w:r w:rsidR="007B22BB">
        <w:rPr>
          <w:rStyle w:val="AboutandContactBody"/>
          <w:rFonts w:cs="Segoe UI"/>
          <w:szCs w:val="18"/>
          <w:lang w:val="hu-HU"/>
        </w:rPr>
        <w:t>48</w:t>
      </w:r>
      <w:r w:rsidRPr="00157119">
        <w:rPr>
          <w:rStyle w:val="AboutandContactBody"/>
          <w:rFonts w:cs="Segoe UI"/>
          <w:szCs w:val="18"/>
          <w:lang w:val="hu-HU"/>
        </w:rPr>
        <w:t xml:space="preserve"> 000 munkatársa sokszínű csapatot alkot, akiket az erős vállalati kultúra, a közös értékek és a „Pioneers at heart for the good of generations“ vállalati cél köt össze. További információ: www.henkel.com; </w:t>
      </w:r>
      <w:hyperlink r:id="rId8" w:history="1">
        <w:r w:rsidRPr="00157119">
          <w:rPr>
            <w:rStyle w:val="Hiperhivatkozs"/>
            <w:rFonts w:ascii="Segoe UI" w:hAnsi="Segoe UI" w:cs="Segoe UI"/>
            <w:sz w:val="18"/>
            <w:szCs w:val="18"/>
            <w:lang w:val="hu-HU"/>
          </w:rPr>
          <w:t>www.henkel.hu</w:t>
        </w:r>
      </w:hyperlink>
      <w:r w:rsidRPr="00157119">
        <w:rPr>
          <w:rStyle w:val="AboutandContactBody"/>
          <w:rFonts w:cs="Segoe UI"/>
          <w:szCs w:val="18"/>
          <w:lang w:val="hu-HU"/>
        </w:rPr>
        <w:t>.</w:t>
      </w:r>
    </w:p>
    <w:p w14:paraId="193CAF3E" w14:textId="2C03D307" w:rsidR="007A6F48" w:rsidRPr="00157119" w:rsidRDefault="007A6F48" w:rsidP="000B1D64">
      <w:pPr>
        <w:rPr>
          <w:rFonts w:ascii="Segoe UI" w:hAnsi="Segoe UI" w:cs="Segoe UI"/>
          <w:b/>
          <w:sz w:val="18"/>
          <w:szCs w:val="18"/>
          <w:lang w:val="hu-HU" w:eastAsia="de-DE"/>
        </w:rPr>
      </w:pPr>
    </w:p>
    <w:p w14:paraId="7293553A" w14:textId="77777777" w:rsidR="00847DA1" w:rsidRPr="00157119" w:rsidRDefault="00847DA1" w:rsidP="00847DA1">
      <w:pPr>
        <w:spacing w:line="240" w:lineRule="auto"/>
        <w:rPr>
          <w:rStyle w:val="AboutandContactBody"/>
          <w:rFonts w:cs="Segoe UI"/>
          <w:b/>
          <w:szCs w:val="18"/>
          <w:lang w:val="hu-HU"/>
        </w:rPr>
      </w:pPr>
    </w:p>
    <w:p w14:paraId="1939810B" w14:textId="77777777" w:rsidR="00847DA1" w:rsidRPr="00157119" w:rsidRDefault="00847DA1" w:rsidP="00A36F02">
      <w:pPr>
        <w:spacing w:line="240" w:lineRule="auto"/>
        <w:jc w:val="both"/>
        <w:rPr>
          <w:rStyle w:val="AboutandContactBody"/>
          <w:rFonts w:cs="Segoe UI"/>
          <w:bCs/>
          <w:sz w:val="14"/>
          <w:szCs w:val="14"/>
          <w:lang w:val="hu-HU"/>
        </w:rPr>
      </w:pPr>
      <w:r w:rsidRPr="00157119">
        <w:rPr>
          <w:rStyle w:val="AboutandContactBody"/>
          <w:rFonts w:cs="Segoe UI"/>
          <w:bCs/>
          <w:sz w:val="14"/>
          <w:szCs w:val="14"/>
          <w:lang w:val="hu-HU"/>
        </w:rPr>
        <w:t xml:space="preserve">Ez a dokumentum előretekintő megállapításokat tartalmaz, amelyek a Henkel AG &amp; Co. KGaA vállalatvezetésének jelenlegi becslésein és feltételezésein alapulnak. A jövőre vonatkozó állításokat olyan szavak használata jellemzi, mint a „várnak”, „szándékoznak”, „terveznek”, „várakozás”, „hinni”, „becsülni” és hasonló kifejezések. Az ilyen állítások semmiképpen sem értelmezendők úgy, hogy azok garanciát jelentenének az általuk kifejezett várakozások pontos teljesülésére. A Henkel AG &amp; Co. KGaA és leányvállalatainak jövőbeni teljesítménye és ténylegesen elért eredményei számos kockázattól és bizonytalanságtól függnek, és ezért lényegesen eltérhetnek az előretekintő nyilatkozatoktól. Sok ilyen tényezőre nincs befolyása a Henkelnek, és ezek előre nem becsülhetők fel pontosan, mint például a későbbi gazdasági környezet, vagy a versenytársak és más piaci szereplők tevékenysége.  A Henkel nem tervezi és nem vállalja, hogy a jövőre vonatkozó állításait frissítse. </w:t>
      </w:r>
    </w:p>
    <w:p w14:paraId="4E1836EC" w14:textId="77777777" w:rsidR="00847DA1" w:rsidRPr="00157119" w:rsidRDefault="00847DA1" w:rsidP="00A36F02">
      <w:pPr>
        <w:spacing w:line="240" w:lineRule="auto"/>
        <w:jc w:val="both"/>
        <w:rPr>
          <w:rStyle w:val="AboutandContactBody"/>
          <w:rFonts w:cs="Segoe UI"/>
          <w:bCs/>
          <w:sz w:val="14"/>
          <w:szCs w:val="14"/>
          <w:lang w:val="hu-HU"/>
        </w:rPr>
      </w:pPr>
    </w:p>
    <w:p w14:paraId="11FFD0DB" w14:textId="77777777" w:rsidR="00847DA1" w:rsidRPr="00157119" w:rsidRDefault="00847DA1" w:rsidP="00A36F02">
      <w:pPr>
        <w:spacing w:line="240" w:lineRule="auto"/>
        <w:jc w:val="both"/>
        <w:rPr>
          <w:rStyle w:val="AboutandContactBody"/>
          <w:rFonts w:cs="Segoe UI"/>
          <w:bCs/>
          <w:sz w:val="14"/>
          <w:szCs w:val="14"/>
          <w:lang w:val="hu-HU"/>
        </w:rPr>
      </w:pPr>
      <w:r w:rsidRPr="00157119">
        <w:rPr>
          <w:rStyle w:val="AboutandContactBody"/>
          <w:rFonts w:cs="Segoe UI"/>
          <w:bCs/>
          <w:sz w:val="14"/>
          <w:szCs w:val="14"/>
          <w:lang w:val="hu-HU"/>
        </w:rPr>
        <w:t>Ez a dokumentum tartalmazza - az alkalmazandó pénzügyi beszámolási keretben nem egyértelműen meghatározva - a kiegészítő pénzügyi intézkedéseket, amelyek alternatív teljesítménymutatók vagy azok lehetnek (nem GAAP-intézkedések). Ezeket a kiegészítő pénzügyi intézkedéseket nem szabad elszigetelten vagy a Henkel nettó eszközállományának és pénzügyi helyzetének, illetve a műveletek eredményei alternatívájaként tekinteni, ahogyan azt a konszolidált pénzügyi kimutatásokban a vonatkozó pénzügyi beszámoló kereteivel összhangban bemutatják. Más vállalatok, amelyek hasonló elnevezésű alternatív teljesítménymutatókról számolnak be vagy írnak le, számíthatják őket eltérően.</w:t>
      </w:r>
    </w:p>
    <w:p w14:paraId="1DFC2239" w14:textId="77777777" w:rsidR="00847DA1" w:rsidRPr="00157119" w:rsidRDefault="00847DA1" w:rsidP="00A36F02">
      <w:pPr>
        <w:spacing w:line="240" w:lineRule="auto"/>
        <w:jc w:val="both"/>
        <w:rPr>
          <w:rStyle w:val="AboutandContactBody"/>
          <w:rFonts w:cs="Segoe UI"/>
          <w:bCs/>
          <w:sz w:val="14"/>
          <w:szCs w:val="14"/>
          <w:lang w:val="hu-HU"/>
        </w:rPr>
      </w:pPr>
    </w:p>
    <w:p w14:paraId="6CB9B52D" w14:textId="77777777" w:rsidR="00847DA1" w:rsidRPr="00157119" w:rsidRDefault="00847DA1" w:rsidP="00A36F02">
      <w:pPr>
        <w:spacing w:line="240" w:lineRule="auto"/>
        <w:jc w:val="both"/>
        <w:rPr>
          <w:rStyle w:val="AboutandContactBody"/>
          <w:rFonts w:cs="Segoe UI"/>
          <w:bCs/>
          <w:sz w:val="14"/>
          <w:szCs w:val="14"/>
          <w:lang w:val="hu-HU"/>
        </w:rPr>
      </w:pPr>
      <w:r w:rsidRPr="00157119">
        <w:rPr>
          <w:rStyle w:val="AboutandContactBody"/>
          <w:rFonts w:cs="Segoe UI"/>
          <w:bCs/>
          <w:sz w:val="14"/>
          <w:szCs w:val="14"/>
          <w:lang w:val="hu-HU"/>
        </w:rPr>
        <w:t>Ezt a dokumentumot kizárólag tájékoztatás céljából állították ki, és nem célja befektetési tanácsadás vagy értékpapírok eladási ajánlatának, vagy vételi ajánlatának felkínálása.</w:t>
      </w:r>
    </w:p>
    <w:p w14:paraId="2B6882B3" w14:textId="77777777" w:rsidR="00847DA1" w:rsidRPr="00157119" w:rsidRDefault="00847DA1" w:rsidP="00847DA1">
      <w:pPr>
        <w:spacing w:line="240" w:lineRule="auto"/>
        <w:rPr>
          <w:rStyle w:val="AboutandContactBody"/>
          <w:rFonts w:cs="Segoe UI"/>
          <w:b/>
          <w:szCs w:val="18"/>
          <w:lang w:val="hu-HU"/>
        </w:rPr>
      </w:pPr>
    </w:p>
    <w:p w14:paraId="636AD089" w14:textId="77777777" w:rsidR="00847DA1" w:rsidRDefault="00847DA1" w:rsidP="00847DA1">
      <w:pPr>
        <w:spacing w:line="240" w:lineRule="auto"/>
        <w:rPr>
          <w:rStyle w:val="AboutandContactBody"/>
          <w:rFonts w:cs="Segoe UI"/>
          <w:b/>
          <w:szCs w:val="18"/>
          <w:lang w:val="hu-HU"/>
        </w:rPr>
      </w:pPr>
    </w:p>
    <w:p w14:paraId="32E03A65" w14:textId="77777777" w:rsidR="00BE668F" w:rsidRDefault="00BE668F" w:rsidP="00847DA1">
      <w:pPr>
        <w:spacing w:line="240" w:lineRule="auto"/>
        <w:rPr>
          <w:rStyle w:val="AboutandContactBody"/>
          <w:rFonts w:cs="Segoe UI"/>
          <w:b/>
          <w:szCs w:val="18"/>
          <w:lang w:val="hu-HU"/>
        </w:rPr>
      </w:pPr>
    </w:p>
    <w:p w14:paraId="5CB61E8B" w14:textId="77777777" w:rsidR="00BE668F" w:rsidRDefault="00BE668F" w:rsidP="00847DA1">
      <w:pPr>
        <w:spacing w:line="240" w:lineRule="auto"/>
        <w:rPr>
          <w:rStyle w:val="AboutandContactBody"/>
          <w:rFonts w:cs="Segoe UI"/>
          <w:b/>
          <w:szCs w:val="18"/>
          <w:lang w:val="hu-HU"/>
        </w:rPr>
      </w:pPr>
    </w:p>
    <w:p w14:paraId="1C04C29A" w14:textId="77777777" w:rsidR="00BE668F" w:rsidRDefault="00BE668F" w:rsidP="00847DA1">
      <w:pPr>
        <w:spacing w:line="240" w:lineRule="auto"/>
        <w:rPr>
          <w:rStyle w:val="AboutandContactBody"/>
          <w:rFonts w:cs="Segoe UI"/>
          <w:b/>
          <w:szCs w:val="18"/>
          <w:lang w:val="hu-HU"/>
        </w:rPr>
      </w:pPr>
    </w:p>
    <w:p w14:paraId="06DEE672" w14:textId="77777777" w:rsidR="00BE668F" w:rsidRDefault="00BE668F" w:rsidP="00847DA1">
      <w:pPr>
        <w:spacing w:line="240" w:lineRule="auto"/>
        <w:rPr>
          <w:rStyle w:val="AboutandContactBody"/>
          <w:rFonts w:cs="Segoe UI"/>
          <w:b/>
          <w:szCs w:val="18"/>
          <w:lang w:val="hu-HU"/>
        </w:rPr>
      </w:pPr>
    </w:p>
    <w:p w14:paraId="6FF43553" w14:textId="77777777" w:rsidR="00BE668F" w:rsidRPr="00157119" w:rsidRDefault="00BE668F" w:rsidP="00847DA1">
      <w:pPr>
        <w:spacing w:line="240" w:lineRule="auto"/>
        <w:rPr>
          <w:rStyle w:val="AboutandContactBody"/>
          <w:rFonts w:cs="Segoe UI"/>
          <w:b/>
          <w:szCs w:val="18"/>
          <w:lang w:val="hu-HU"/>
        </w:rPr>
      </w:pPr>
    </w:p>
    <w:p w14:paraId="13CF0ADD" w14:textId="77777777" w:rsidR="00847DA1" w:rsidRDefault="00847DA1" w:rsidP="00847DA1">
      <w:pPr>
        <w:spacing w:line="240" w:lineRule="auto"/>
        <w:rPr>
          <w:rStyle w:val="AboutandContactBody"/>
          <w:rFonts w:cs="Segoe UI"/>
          <w:b/>
          <w:szCs w:val="18"/>
          <w:lang w:val="hu-HU"/>
        </w:rPr>
      </w:pPr>
      <w:r w:rsidRPr="00157119">
        <w:rPr>
          <w:rStyle w:val="AboutandContactBody"/>
          <w:rFonts w:cs="Segoe UI"/>
          <w:b/>
          <w:szCs w:val="18"/>
          <w:lang w:val="hu-HU"/>
        </w:rPr>
        <w:lastRenderedPageBreak/>
        <w:t>Kapcsolatok</w:t>
      </w:r>
    </w:p>
    <w:p w14:paraId="34B68BC8" w14:textId="77777777" w:rsidR="00BE668F" w:rsidRPr="00157119" w:rsidRDefault="00BE668F" w:rsidP="00847DA1">
      <w:pPr>
        <w:spacing w:line="240" w:lineRule="auto"/>
        <w:rPr>
          <w:rStyle w:val="AboutandContactBody"/>
          <w:rFonts w:cs="Segoe UI"/>
          <w:b/>
          <w:szCs w:val="18"/>
          <w:lang w:val="hu-HU"/>
        </w:rPr>
      </w:pPr>
    </w:p>
    <w:p w14:paraId="08E073C4" w14:textId="0FA9D669" w:rsidR="00847DA1" w:rsidRPr="00157119" w:rsidRDefault="00847DA1" w:rsidP="00847DA1">
      <w:pPr>
        <w:spacing w:line="240" w:lineRule="auto"/>
        <w:rPr>
          <w:rStyle w:val="AboutandContactBody"/>
          <w:rFonts w:cs="Segoe UI"/>
          <w:b/>
          <w:szCs w:val="18"/>
          <w:lang w:val="hu-HU"/>
        </w:rPr>
      </w:pPr>
      <w:r w:rsidRPr="00157119">
        <w:rPr>
          <w:rStyle w:val="AboutandContactBody"/>
          <w:rFonts w:cs="Segoe UI"/>
          <w:b/>
          <w:szCs w:val="18"/>
          <w:lang w:val="hu-HU"/>
        </w:rPr>
        <w:t>Befektetők és elemzők</w:t>
      </w:r>
      <w:r w:rsidRPr="00157119">
        <w:rPr>
          <w:rStyle w:val="AboutandContactBody"/>
          <w:rFonts w:cs="Segoe UI"/>
          <w:b/>
          <w:szCs w:val="18"/>
          <w:lang w:val="hu-HU"/>
        </w:rPr>
        <w:tab/>
      </w:r>
      <w:r w:rsidR="00885188" w:rsidRPr="00157119">
        <w:rPr>
          <w:rStyle w:val="AboutandContactBody"/>
          <w:rFonts w:cs="Segoe UI"/>
          <w:b/>
          <w:szCs w:val="18"/>
          <w:lang w:val="hu-HU"/>
        </w:rPr>
        <w:tab/>
      </w:r>
      <w:r w:rsidR="00885188" w:rsidRPr="00157119">
        <w:rPr>
          <w:rStyle w:val="AboutandContactBody"/>
          <w:rFonts w:cs="Segoe UI"/>
          <w:b/>
          <w:szCs w:val="18"/>
          <w:lang w:val="hu-HU"/>
        </w:rPr>
        <w:tab/>
      </w:r>
      <w:r w:rsidR="00885188" w:rsidRPr="00157119">
        <w:rPr>
          <w:rStyle w:val="AboutandContactBody"/>
          <w:rFonts w:cs="Segoe UI"/>
          <w:b/>
          <w:szCs w:val="18"/>
          <w:lang w:val="hu-HU"/>
        </w:rPr>
        <w:tab/>
      </w:r>
      <w:r w:rsidRPr="00157119">
        <w:rPr>
          <w:rStyle w:val="AboutandContactBody"/>
          <w:rFonts w:cs="Segoe UI"/>
          <w:b/>
          <w:szCs w:val="18"/>
          <w:lang w:val="hu-HU"/>
        </w:rPr>
        <w:t>Sajtó és Média</w:t>
      </w:r>
    </w:p>
    <w:p w14:paraId="25C5D183" w14:textId="77777777" w:rsidR="00847DA1" w:rsidRPr="00157119" w:rsidRDefault="00847DA1" w:rsidP="00847DA1">
      <w:pPr>
        <w:spacing w:line="240" w:lineRule="auto"/>
        <w:rPr>
          <w:rStyle w:val="AboutandContactBody"/>
          <w:rFonts w:cs="Segoe UI"/>
          <w:b/>
          <w:szCs w:val="18"/>
          <w:lang w:val="hu-HU"/>
        </w:rPr>
      </w:pPr>
    </w:p>
    <w:p w14:paraId="310367FB" w14:textId="77777777" w:rsidR="00847DA1" w:rsidRPr="00157119" w:rsidRDefault="00847DA1" w:rsidP="00847DA1">
      <w:pPr>
        <w:spacing w:line="240" w:lineRule="auto"/>
        <w:rPr>
          <w:rStyle w:val="AboutandContactBody"/>
          <w:rFonts w:cs="Segoe UI"/>
          <w:b/>
          <w:szCs w:val="18"/>
          <w:lang w:val="hu-HU"/>
        </w:rPr>
      </w:pPr>
    </w:p>
    <w:p w14:paraId="6AB8D668" w14:textId="42AC9318"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
          <w:szCs w:val="18"/>
          <w:lang w:val="hu-HU"/>
        </w:rPr>
        <w:t>Leslie Iltgen</w:t>
      </w:r>
      <w:r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
          <w:szCs w:val="18"/>
          <w:lang w:val="hu-HU"/>
        </w:rPr>
        <w:t>Lars Witteck</w:t>
      </w:r>
    </w:p>
    <w:p w14:paraId="500645E5" w14:textId="06D6D81A"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Cs/>
          <w:szCs w:val="18"/>
          <w:lang w:val="hu-HU"/>
        </w:rPr>
        <w:t>Tel:</w:t>
      </w:r>
      <w:r w:rsidRPr="00157119">
        <w:rPr>
          <w:rStyle w:val="AboutandContactBody"/>
          <w:rFonts w:cs="Segoe UI"/>
          <w:bCs/>
          <w:szCs w:val="18"/>
          <w:lang w:val="hu-HU"/>
        </w:rPr>
        <w:tab/>
        <w:t>+49 211 797 - 1631</w:t>
      </w:r>
      <w:r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Cs/>
          <w:szCs w:val="18"/>
          <w:lang w:val="hu-HU"/>
        </w:rPr>
        <w:t>Tel:</w:t>
      </w:r>
      <w:r w:rsidRPr="00157119">
        <w:rPr>
          <w:rStyle w:val="AboutandContactBody"/>
          <w:rFonts w:cs="Segoe UI"/>
          <w:bCs/>
          <w:szCs w:val="18"/>
          <w:lang w:val="hu-HU"/>
        </w:rPr>
        <w:tab/>
        <w:t>+49 211 797 - 2606</w:t>
      </w:r>
    </w:p>
    <w:p w14:paraId="1BB45489" w14:textId="1C14197F"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Cs/>
          <w:szCs w:val="18"/>
          <w:lang w:val="hu-HU"/>
        </w:rPr>
        <w:t xml:space="preserve">Email: </w:t>
      </w:r>
      <w:r w:rsidRPr="00157119">
        <w:rPr>
          <w:rStyle w:val="AboutandContactBody"/>
          <w:rFonts w:cs="Segoe UI"/>
          <w:bCs/>
          <w:szCs w:val="18"/>
          <w:lang w:val="hu-HU"/>
        </w:rPr>
        <w:tab/>
      </w:r>
      <w:hyperlink r:id="rId9" w:history="1">
        <w:r w:rsidR="00885188" w:rsidRPr="00157119">
          <w:rPr>
            <w:rStyle w:val="Hiperhivatkozs"/>
            <w:rFonts w:ascii="Segoe UI" w:hAnsi="Segoe UI" w:cs="Segoe UI"/>
            <w:bCs/>
            <w:sz w:val="18"/>
            <w:szCs w:val="18"/>
            <w:lang w:val="hu-HU"/>
          </w:rPr>
          <w:t>leslie.iltgen@henkel.com</w:t>
        </w:r>
      </w:hyperlink>
      <w:r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Cs/>
          <w:szCs w:val="18"/>
          <w:lang w:val="hu-HU"/>
        </w:rPr>
        <w:t>Email:</w:t>
      </w:r>
      <w:r w:rsidRPr="00157119">
        <w:rPr>
          <w:rStyle w:val="AboutandContactBody"/>
          <w:rFonts w:cs="Segoe UI"/>
          <w:bCs/>
          <w:szCs w:val="18"/>
          <w:lang w:val="hu-HU"/>
        </w:rPr>
        <w:tab/>
      </w:r>
      <w:hyperlink r:id="rId10" w:history="1">
        <w:r w:rsidR="00885188" w:rsidRPr="00157119">
          <w:rPr>
            <w:rStyle w:val="Hiperhivatkozs"/>
            <w:rFonts w:ascii="Segoe UI" w:hAnsi="Segoe UI" w:cs="Segoe UI"/>
            <w:bCs/>
            <w:sz w:val="18"/>
            <w:szCs w:val="18"/>
            <w:lang w:val="hu-HU"/>
          </w:rPr>
          <w:t>lars.witteck@henkel.com</w:t>
        </w:r>
      </w:hyperlink>
      <w:r w:rsidR="00885188" w:rsidRPr="00157119">
        <w:rPr>
          <w:rStyle w:val="AboutandContactBody"/>
          <w:rFonts w:cs="Segoe UI"/>
          <w:bCs/>
          <w:szCs w:val="18"/>
          <w:lang w:val="hu-HU"/>
        </w:rPr>
        <w:t xml:space="preserve"> </w:t>
      </w:r>
    </w:p>
    <w:p w14:paraId="701BC649" w14:textId="77777777" w:rsidR="00847DA1" w:rsidRPr="00157119" w:rsidRDefault="00847DA1" w:rsidP="00847DA1">
      <w:pPr>
        <w:spacing w:line="240" w:lineRule="auto"/>
        <w:rPr>
          <w:rStyle w:val="AboutandContactBody"/>
          <w:rFonts w:cs="Segoe UI"/>
          <w:bCs/>
          <w:szCs w:val="18"/>
          <w:lang w:val="hu-HU"/>
        </w:rPr>
      </w:pPr>
    </w:p>
    <w:p w14:paraId="7492D966" w14:textId="06A39221"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
          <w:szCs w:val="18"/>
          <w:lang w:val="hu-HU"/>
        </w:rPr>
        <w:t>Jennifer Ott</w:t>
      </w:r>
      <w:r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
          <w:szCs w:val="18"/>
          <w:lang w:val="hu-HU"/>
        </w:rPr>
        <w:t>Wulf Klüppelholz</w:t>
      </w:r>
    </w:p>
    <w:p w14:paraId="40AB1A10" w14:textId="77FDA5B9"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Cs/>
          <w:szCs w:val="18"/>
          <w:lang w:val="hu-HU"/>
        </w:rPr>
        <w:t>Tel:</w:t>
      </w:r>
      <w:r w:rsidRPr="00157119">
        <w:rPr>
          <w:rStyle w:val="AboutandContactBody"/>
          <w:rFonts w:cs="Segoe UI"/>
          <w:bCs/>
          <w:szCs w:val="18"/>
          <w:lang w:val="hu-HU"/>
        </w:rPr>
        <w:tab/>
        <w:t>+49 211 797 - 2756</w:t>
      </w:r>
      <w:r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Cs/>
          <w:szCs w:val="18"/>
          <w:lang w:val="hu-HU"/>
        </w:rPr>
        <w:t>Tel:</w:t>
      </w:r>
      <w:r w:rsidRPr="00157119">
        <w:rPr>
          <w:rStyle w:val="AboutandContactBody"/>
          <w:rFonts w:cs="Segoe UI"/>
          <w:bCs/>
          <w:szCs w:val="18"/>
          <w:lang w:val="hu-HU"/>
        </w:rPr>
        <w:tab/>
        <w:t>+49 211 797 - 1875</w:t>
      </w:r>
    </w:p>
    <w:p w14:paraId="7F13A2F6" w14:textId="6C5ACCCA"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Cs/>
          <w:szCs w:val="18"/>
          <w:lang w:val="hu-HU"/>
        </w:rPr>
        <w:t xml:space="preserve">Email: </w:t>
      </w:r>
      <w:r w:rsidRPr="00157119">
        <w:rPr>
          <w:rStyle w:val="AboutandContactBody"/>
          <w:rFonts w:cs="Segoe UI"/>
          <w:bCs/>
          <w:szCs w:val="18"/>
          <w:lang w:val="hu-HU"/>
        </w:rPr>
        <w:tab/>
      </w:r>
      <w:hyperlink r:id="rId11" w:history="1">
        <w:r w:rsidR="00885188" w:rsidRPr="00157119">
          <w:rPr>
            <w:rStyle w:val="Hiperhivatkozs"/>
            <w:rFonts w:ascii="Segoe UI" w:hAnsi="Segoe UI" w:cs="Segoe UI"/>
            <w:bCs/>
            <w:sz w:val="18"/>
            <w:szCs w:val="18"/>
            <w:lang w:val="hu-HU"/>
          </w:rPr>
          <w:t>jennifer.ott@henkel.com</w:t>
        </w:r>
      </w:hyperlink>
      <w:r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Cs/>
          <w:szCs w:val="18"/>
          <w:lang w:val="hu-HU"/>
        </w:rPr>
        <w:t>Email:</w:t>
      </w:r>
      <w:r w:rsidRPr="00157119">
        <w:rPr>
          <w:rStyle w:val="AboutandContactBody"/>
          <w:rFonts w:cs="Segoe UI"/>
          <w:bCs/>
          <w:szCs w:val="18"/>
          <w:lang w:val="hu-HU"/>
        </w:rPr>
        <w:tab/>
      </w:r>
      <w:hyperlink r:id="rId12" w:history="1">
        <w:r w:rsidR="00885188" w:rsidRPr="00157119">
          <w:rPr>
            <w:rStyle w:val="Hiperhivatkozs"/>
            <w:rFonts w:ascii="Segoe UI" w:hAnsi="Segoe UI" w:cs="Segoe UI"/>
            <w:bCs/>
            <w:sz w:val="18"/>
            <w:szCs w:val="18"/>
            <w:lang w:val="hu-HU"/>
          </w:rPr>
          <w:t>wulf.klueppelholz@henkel.com</w:t>
        </w:r>
      </w:hyperlink>
      <w:r w:rsidR="00885188" w:rsidRPr="00157119">
        <w:rPr>
          <w:rStyle w:val="AboutandContactBody"/>
          <w:rFonts w:cs="Segoe UI"/>
          <w:bCs/>
          <w:szCs w:val="18"/>
          <w:lang w:val="hu-HU"/>
        </w:rPr>
        <w:t xml:space="preserve"> </w:t>
      </w:r>
    </w:p>
    <w:p w14:paraId="2F5FBEB0" w14:textId="77777777" w:rsidR="00847DA1" w:rsidRPr="00157119" w:rsidRDefault="00847DA1" w:rsidP="00847DA1">
      <w:pPr>
        <w:spacing w:line="240" w:lineRule="auto"/>
        <w:rPr>
          <w:rStyle w:val="AboutandContactBody"/>
          <w:rFonts w:cs="Segoe UI"/>
          <w:bCs/>
          <w:szCs w:val="18"/>
          <w:lang w:val="hu-HU"/>
        </w:rPr>
      </w:pPr>
    </w:p>
    <w:p w14:paraId="07234194" w14:textId="4C94929E"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
          <w:szCs w:val="18"/>
          <w:lang w:val="hu-HU"/>
        </w:rPr>
        <w:t xml:space="preserve">Dr. Dennis Starke </w:t>
      </w:r>
      <w:r w:rsidRPr="00157119">
        <w:rPr>
          <w:rStyle w:val="AboutandContactBody"/>
          <w:rFonts w:cs="Segoe UI"/>
          <w:b/>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
          <w:szCs w:val="18"/>
          <w:lang w:val="hu-HU"/>
        </w:rPr>
        <w:t>Hanna Philipps</w:t>
      </w:r>
    </w:p>
    <w:p w14:paraId="6E9783DC" w14:textId="594FD260"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Cs/>
          <w:szCs w:val="18"/>
          <w:lang w:val="hu-HU"/>
        </w:rPr>
        <w:t xml:space="preserve">Tel: </w:t>
      </w:r>
      <w:r w:rsidRPr="00157119">
        <w:rPr>
          <w:rStyle w:val="AboutandContactBody"/>
          <w:rFonts w:cs="Segoe UI"/>
          <w:bCs/>
          <w:szCs w:val="18"/>
          <w:lang w:val="hu-HU"/>
        </w:rPr>
        <w:tab/>
        <w:t>+49 211 797 – 5601</w:t>
      </w:r>
      <w:r w:rsidRPr="00157119">
        <w:rPr>
          <w:rStyle w:val="AboutandContactBody"/>
          <w:rFonts w:cs="Segoe UI"/>
          <w:bCs/>
          <w:szCs w:val="18"/>
          <w:lang w:val="hu-HU"/>
        </w:rPr>
        <w:tab/>
      </w:r>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Cs/>
          <w:szCs w:val="18"/>
          <w:lang w:val="hu-HU"/>
        </w:rPr>
        <w:t>Tel:</w:t>
      </w:r>
      <w:r w:rsidRPr="00157119">
        <w:rPr>
          <w:rStyle w:val="AboutandContactBody"/>
          <w:rFonts w:cs="Segoe UI"/>
          <w:bCs/>
          <w:szCs w:val="18"/>
          <w:lang w:val="hu-HU"/>
        </w:rPr>
        <w:tab/>
        <w:t>+49 211 797 - 3626</w:t>
      </w:r>
    </w:p>
    <w:p w14:paraId="45AA787F" w14:textId="6542BE8A" w:rsidR="00847DA1" w:rsidRPr="00157119" w:rsidRDefault="00847DA1" w:rsidP="00847DA1">
      <w:pPr>
        <w:spacing w:line="240" w:lineRule="auto"/>
        <w:rPr>
          <w:rStyle w:val="AboutandContactBody"/>
          <w:rFonts w:cs="Segoe UI"/>
          <w:bCs/>
          <w:szCs w:val="18"/>
          <w:lang w:val="hu-HU"/>
        </w:rPr>
      </w:pPr>
      <w:r w:rsidRPr="00157119">
        <w:rPr>
          <w:rStyle w:val="AboutandContactBody"/>
          <w:rFonts w:cs="Segoe UI"/>
          <w:bCs/>
          <w:szCs w:val="18"/>
          <w:lang w:val="hu-HU"/>
        </w:rPr>
        <w:t xml:space="preserve">Email: </w:t>
      </w:r>
      <w:r w:rsidRPr="00157119">
        <w:rPr>
          <w:rStyle w:val="AboutandContactBody"/>
          <w:rFonts w:cs="Segoe UI"/>
          <w:bCs/>
          <w:szCs w:val="18"/>
          <w:lang w:val="hu-HU"/>
        </w:rPr>
        <w:tab/>
      </w:r>
      <w:hyperlink r:id="rId13" w:history="1">
        <w:r w:rsidR="00885188" w:rsidRPr="00157119">
          <w:rPr>
            <w:rStyle w:val="Hiperhivatkozs"/>
            <w:rFonts w:ascii="Segoe UI" w:hAnsi="Segoe UI" w:cs="Segoe UI"/>
            <w:bCs/>
            <w:sz w:val="18"/>
            <w:szCs w:val="18"/>
            <w:lang w:val="hu-HU"/>
          </w:rPr>
          <w:t>dennis.starke@henkel.com</w:t>
        </w:r>
      </w:hyperlink>
      <w:r w:rsidR="00885188" w:rsidRPr="00157119">
        <w:rPr>
          <w:rStyle w:val="AboutandContactBody"/>
          <w:rFonts w:cs="Segoe UI"/>
          <w:bCs/>
          <w:szCs w:val="18"/>
          <w:lang w:val="hu-HU"/>
        </w:rPr>
        <w:tab/>
      </w:r>
      <w:r w:rsidR="00885188" w:rsidRPr="00157119">
        <w:rPr>
          <w:rStyle w:val="AboutandContactBody"/>
          <w:rFonts w:cs="Segoe UI"/>
          <w:bCs/>
          <w:szCs w:val="18"/>
          <w:lang w:val="hu-HU"/>
        </w:rPr>
        <w:tab/>
      </w:r>
      <w:r w:rsidRPr="00157119">
        <w:rPr>
          <w:rStyle w:val="AboutandContactBody"/>
          <w:rFonts w:cs="Segoe UI"/>
          <w:bCs/>
          <w:szCs w:val="18"/>
          <w:lang w:val="hu-HU"/>
        </w:rPr>
        <w:tab/>
        <w:t>Email:</w:t>
      </w:r>
      <w:r w:rsidR="00885188" w:rsidRPr="00157119">
        <w:rPr>
          <w:rStyle w:val="AboutandContactBody"/>
          <w:rFonts w:cs="Segoe UI"/>
          <w:bCs/>
          <w:szCs w:val="18"/>
          <w:lang w:val="hu-HU"/>
        </w:rPr>
        <w:tab/>
      </w:r>
      <w:hyperlink r:id="rId14" w:history="1">
        <w:r w:rsidR="00885188" w:rsidRPr="00157119">
          <w:rPr>
            <w:rStyle w:val="Hiperhivatkozs"/>
            <w:rFonts w:ascii="Segoe UI" w:hAnsi="Segoe UI" w:cs="Segoe UI"/>
            <w:bCs/>
            <w:sz w:val="18"/>
            <w:szCs w:val="18"/>
            <w:lang w:val="hu-HU"/>
          </w:rPr>
          <w:t>hanna.philipps@henkel.com</w:t>
        </w:r>
      </w:hyperlink>
      <w:r w:rsidR="00885188" w:rsidRPr="00157119">
        <w:rPr>
          <w:rStyle w:val="AboutandContactBody"/>
          <w:rFonts w:cs="Segoe UI"/>
          <w:bCs/>
          <w:szCs w:val="18"/>
          <w:lang w:val="hu-HU"/>
        </w:rPr>
        <w:t xml:space="preserve"> </w:t>
      </w:r>
    </w:p>
    <w:p w14:paraId="37DD776E" w14:textId="77777777" w:rsidR="00847DA1" w:rsidRPr="00157119" w:rsidRDefault="00847DA1" w:rsidP="00847DA1">
      <w:pPr>
        <w:spacing w:line="240" w:lineRule="auto"/>
        <w:rPr>
          <w:rStyle w:val="AboutandContactBody"/>
          <w:rFonts w:cs="Segoe UI"/>
          <w:bCs/>
          <w:szCs w:val="18"/>
          <w:lang w:val="hu-HU"/>
        </w:rPr>
      </w:pPr>
    </w:p>
    <w:p w14:paraId="5D5B7FCA" w14:textId="77777777" w:rsidR="00BE668F" w:rsidRDefault="00BE668F" w:rsidP="00AD7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b/>
          <w:bCs/>
          <w:sz w:val="18"/>
          <w:szCs w:val="18"/>
          <w:lang w:val="hu-HU"/>
        </w:rPr>
      </w:pPr>
    </w:p>
    <w:p w14:paraId="1DE80685" w14:textId="2DD4F22D" w:rsidR="00AD7996" w:rsidRPr="00157119" w:rsidRDefault="00AD7996" w:rsidP="00AD7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b/>
          <w:bCs/>
          <w:sz w:val="18"/>
          <w:szCs w:val="18"/>
          <w:lang w:val="hu-HU"/>
        </w:rPr>
      </w:pPr>
      <w:r w:rsidRPr="00157119">
        <w:rPr>
          <w:rFonts w:ascii="Segoe UI" w:hAnsi="Segoe UI" w:cs="Segoe UI"/>
          <w:b/>
          <w:bCs/>
          <w:sz w:val="18"/>
          <w:szCs w:val="18"/>
          <w:lang w:val="hu-HU"/>
        </w:rPr>
        <w:t>Henkel Magyarország Kft.</w:t>
      </w:r>
    </w:p>
    <w:p w14:paraId="694EDD80" w14:textId="77777777" w:rsidR="00AD7996" w:rsidRPr="00157119" w:rsidRDefault="00AD7996" w:rsidP="00AD7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r w:rsidRPr="00157119">
        <w:rPr>
          <w:rFonts w:ascii="Segoe UI" w:hAnsi="Segoe UI" w:cs="Segoe UI"/>
          <w:sz w:val="18"/>
          <w:szCs w:val="18"/>
          <w:lang w:val="hu-HU"/>
        </w:rPr>
        <w:t>Vállalati kommunikáció</w:t>
      </w:r>
    </w:p>
    <w:p w14:paraId="2FC7F2AE" w14:textId="1D32855C" w:rsidR="00F52372" w:rsidRPr="00157119" w:rsidRDefault="005C2333" w:rsidP="00F52372">
      <w:pPr>
        <w:spacing w:line="280" w:lineRule="exact"/>
        <w:rPr>
          <w:rFonts w:ascii="Segoe UI" w:hAnsi="Segoe UI" w:cs="Segoe UI"/>
          <w:sz w:val="18"/>
          <w:szCs w:val="18"/>
          <w:lang w:val="hu-HU" w:eastAsia="de-DE"/>
        </w:rPr>
      </w:pPr>
      <w:r w:rsidRPr="00157119">
        <w:rPr>
          <w:rFonts w:ascii="Segoe UI" w:hAnsi="Segoe UI" w:cs="Segoe UI"/>
          <w:sz w:val="18"/>
          <w:szCs w:val="18"/>
          <w:lang w:val="hu-HU" w:eastAsia="de-DE"/>
        </w:rPr>
        <w:t>Lambert Petra</w:t>
      </w:r>
    </w:p>
    <w:p w14:paraId="24B5C359" w14:textId="64EB8CE9" w:rsidR="00F52372" w:rsidRPr="00157119" w:rsidRDefault="00F52372" w:rsidP="00F52372">
      <w:pPr>
        <w:spacing w:line="280" w:lineRule="exact"/>
        <w:rPr>
          <w:rFonts w:ascii="Segoe UI" w:hAnsi="Segoe UI" w:cs="Segoe UI"/>
          <w:sz w:val="18"/>
          <w:szCs w:val="18"/>
          <w:lang w:val="hu-HU" w:eastAsia="de-DE"/>
        </w:rPr>
      </w:pPr>
      <w:r w:rsidRPr="00157119">
        <w:rPr>
          <w:rFonts w:ascii="Segoe UI" w:hAnsi="Segoe UI" w:cs="Segoe UI"/>
          <w:sz w:val="18"/>
          <w:szCs w:val="18"/>
          <w:lang w:val="hu-HU" w:eastAsia="de-DE"/>
        </w:rPr>
        <w:t>Tel.</w:t>
      </w:r>
      <w:r w:rsidRPr="00157119">
        <w:rPr>
          <w:rFonts w:ascii="Segoe UI" w:hAnsi="Segoe UI" w:cs="Segoe UI"/>
          <w:sz w:val="18"/>
          <w:szCs w:val="18"/>
          <w:lang w:val="hu-HU" w:eastAsia="de-DE"/>
        </w:rPr>
        <w:tab/>
        <w:t>(1) 372-55</w:t>
      </w:r>
      <w:r w:rsidR="006A460B" w:rsidRPr="00157119">
        <w:rPr>
          <w:rFonts w:ascii="Segoe UI" w:hAnsi="Segoe UI" w:cs="Segoe UI"/>
          <w:sz w:val="18"/>
          <w:szCs w:val="18"/>
          <w:lang w:val="hu-HU" w:eastAsia="de-DE"/>
        </w:rPr>
        <w:t>55</w:t>
      </w:r>
    </w:p>
    <w:p w14:paraId="13379902" w14:textId="41BFA030" w:rsidR="00F52372" w:rsidRPr="00157119" w:rsidRDefault="00F52372" w:rsidP="00806E03">
      <w:pPr>
        <w:spacing w:line="280" w:lineRule="exact"/>
        <w:rPr>
          <w:rFonts w:ascii="Segoe UI" w:hAnsi="Segoe UI" w:cs="Segoe UI"/>
          <w:szCs w:val="20"/>
          <w:lang w:val="hu-HU"/>
        </w:rPr>
      </w:pPr>
      <w:r w:rsidRPr="00157119">
        <w:rPr>
          <w:rFonts w:ascii="Segoe UI" w:hAnsi="Segoe UI" w:cs="Segoe UI"/>
          <w:color w:val="000000"/>
          <w:sz w:val="18"/>
          <w:szCs w:val="18"/>
          <w:lang w:val="hu-HU" w:eastAsia="de-DE"/>
        </w:rPr>
        <w:t xml:space="preserve">Email: </w:t>
      </w:r>
      <w:r w:rsidR="00AD7996" w:rsidRPr="00157119">
        <w:rPr>
          <w:rFonts w:ascii="Segoe UI" w:hAnsi="Segoe UI" w:cs="Segoe UI"/>
          <w:color w:val="000000"/>
          <w:sz w:val="18"/>
          <w:szCs w:val="18"/>
          <w:lang w:val="hu-HU" w:eastAsia="de-DE"/>
        </w:rPr>
        <w:tab/>
      </w:r>
      <w:hyperlink r:id="rId15" w:history="1">
        <w:r w:rsidR="00AD7996" w:rsidRPr="00157119">
          <w:rPr>
            <w:rStyle w:val="Hiperhivatkozs"/>
            <w:rFonts w:ascii="Segoe UI" w:hAnsi="Segoe UI" w:cs="Segoe UI"/>
            <w:sz w:val="18"/>
            <w:szCs w:val="18"/>
            <w:lang w:val="hu-HU" w:eastAsia="de-DE"/>
          </w:rPr>
          <w:t>vallalati.kommunikacio@henkel.com</w:t>
        </w:r>
      </w:hyperlink>
    </w:p>
    <w:sectPr w:rsidR="00F52372" w:rsidRPr="00157119" w:rsidSect="009669C9">
      <w:headerReference w:type="default" r:id="rId16"/>
      <w:footerReference w:type="default" r:id="rId17"/>
      <w:headerReference w:type="first" r:id="rId18"/>
      <w:footerReference w:type="first" r:id="rId19"/>
      <w:pgSz w:w="11907" w:h="16840" w:code="9"/>
      <w:pgMar w:top="1276"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6A8B" w14:textId="77777777" w:rsidR="009669C9" w:rsidRDefault="009669C9">
      <w:r>
        <w:separator/>
      </w:r>
    </w:p>
  </w:endnote>
  <w:endnote w:type="continuationSeparator" w:id="0">
    <w:p w14:paraId="69E6B1D8" w14:textId="77777777" w:rsidR="009669C9" w:rsidRDefault="009669C9">
      <w:r>
        <w:continuationSeparator/>
      </w:r>
    </w:p>
  </w:endnote>
  <w:endnote w:type="continuationNotice" w:id="1">
    <w:p w14:paraId="3AD70901" w14:textId="77777777" w:rsidR="009669C9" w:rsidRDefault="009669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4D50" w14:textId="6F8C0F45" w:rsidR="00CF6F33" w:rsidRPr="00B80304" w:rsidRDefault="00F253B4" w:rsidP="00D260A2">
    <w:pPr>
      <w:pStyle w:val="llb"/>
      <w:tabs>
        <w:tab w:val="clear" w:pos="7083"/>
        <w:tab w:val="clear" w:pos="8640"/>
        <w:tab w:val="right" w:pos="9057"/>
      </w:tabs>
      <w:rPr>
        <w:b w:val="0"/>
        <w:color w:val="auto"/>
      </w:rPr>
    </w:pPr>
    <w:r>
      <w:rPr>
        <w:b w:val="0"/>
        <w:color w:val="auto"/>
      </w:rPr>
      <w:t xml:space="preserve">Henkel AG &amp; Co. KGaA / </w:t>
    </w:r>
    <w:r w:rsidR="00B80304" w:rsidRPr="00B80304">
      <w:rPr>
        <w:b w:val="0"/>
        <w:color w:val="auto"/>
      </w:rPr>
      <w:t>Henkel</w:t>
    </w:r>
    <w:r w:rsidR="00B80304" w:rsidRPr="00B80304">
      <w:rPr>
        <w:b w:val="0"/>
        <w:color w:val="auto"/>
        <w:lang w:val="hu-HU"/>
      </w:rPr>
      <w:t xml:space="preserve"> Magyarország Kft.</w:t>
    </w:r>
    <w:r w:rsidR="0060483E">
      <w:rPr>
        <w:b w:val="0"/>
        <w:color w:val="auto"/>
        <w:lang w:val="hu-HU"/>
      </w:rPr>
      <w:t>-</w:t>
    </w:r>
    <w:r w:rsidR="00B80304">
      <w:rPr>
        <w:b w:val="0"/>
        <w:color w:val="auto"/>
        <w:lang w:val="hu-HU"/>
      </w:rPr>
      <w:t xml:space="preserve"> </w:t>
    </w:r>
    <w:r w:rsidR="00B80304" w:rsidRPr="00B80304">
      <w:rPr>
        <w:b w:val="0"/>
        <w:color w:val="auto"/>
        <w:lang w:val="hu-HU"/>
      </w:rPr>
      <w:t>Vállalati kommunikáció</w:t>
    </w:r>
    <w:r w:rsidR="00CF6F33" w:rsidRPr="00B80304">
      <w:rPr>
        <w:color w:val="auto"/>
      </w:rPr>
      <w:tab/>
    </w:r>
    <w:r w:rsidR="00B80304" w:rsidRPr="00B80304">
      <w:rPr>
        <w:b w:val="0"/>
        <w:color w:val="auto"/>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4B2B7A">
      <w:rPr>
        <w:b w:val="0"/>
        <w:noProof/>
        <w:color w:val="auto"/>
      </w:rPr>
      <w:t>8</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4B2B7A">
      <w:rPr>
        <w:b w:val="0"/>
        <w:noProof/>
        <w:color w:val="auto"/>
      </w:rPr>
      <w:t>8</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47E9" w14:textId="36A0CFA4" w:rsidR="00A66DB1" w:rsidRDefault="007A6F48" w:rsidP="00A66DB1">
    <w:pPr>
      <w:pStyle w:val="llb"/>
      <w:jc w:val="distribute"/>
      <w:rPr>
        <w:b w:val="0"/>
      </w:rPr>
    </w:pPr>
    <w:r w:rsidRPr="007A6F48">
      <w:rPr>
        <w:noProof/>
        <w:lang w:val="hu-HU" w:eastAsia="hu-HU"/>
      </w:rPr>
      <w:drawing>
        <wp:anchor distT="0" distB="0" distL="114300" distR="114300" simplePos="0" relativeHeight="251658245" behindDoc="0" locked="0" layoutInCell="1" allowOverlap="1" wp14:anchorId="78CA5ACA" wp14:editId="4BBF3858">
          <wp:simplePos x="0" y="0"/>
          <wp:positionH relativeFrom="column">
            <wp:posOffset>2150478</wp:posOffset>
          </wp:positionH>
          <wp:positionV relativeFrom="paragraph">
            <wp:posOffset>21423</wp:posOffset>
          </wp:positionV>
          <wp:extent cx="176530" cy="186055"/>
          <wp:effectExtent l="0" t="0" r="0" b="4445"/>
          <wp:wrapThrough wrapText="bothSides">
            <wp:wrapPolygon edited="0">
              <wp:start x="0" y="0"/>
              <wp:lineTo x="0" y="19904"/>
              <wp:lineTo x="18647" y="19904"/>
              <wp:lineTo x="18647" y="0"/>
              <wp:lineTo x="0" y="0"/>
            </wp:wrapPolygon>
          </wp:wrapThrough>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6530" cy="186055"/>
                  </a:xfrm>
                  <a:prstGeom prst="rect">
                    <a:avLst/>
                  </a:prstGeom>
                </pic:spPr>
              </pic:pic>
            </a:graphicData>
          </a:graphic>
          <wp14:sizeRelH relativeFrom="margin">
            <wp14:pctWidth>0</wp14:pctWidth>
          </wp14:sizeRelH>
          <wp14:sizeRelV relativeFrom="margin">
            <wp14:pctHeight>0</wp14:pctHeight>
          </wp14:sizeRelV>
        </wp:anchor>
      </w:drawing>
    </w:r>
    <w:r w:rsidR="003C38EC">
      <w:rPr>
        <w:b w:val="0"/>
        <w:noProof/>
        <w:lang w:val="hu-HU" w:eastAsia="hu-HU"/>
      </w:rPr>
      <w:drawing>
        <wp:anchor distT="0" distB="0" distL="114300" distR="114300" simplePos="0" relativeHeight="251658243" behindDoc="0" locked="0" layoutInCell="1" allowOverlap="1" wp14:anchorId="10F37E2C" wp14:editId="275C65FE">
          <wp:simplePos x="0" y="0"/>
          <wp:positionH relativeFrom="column">
            <wp:posOffset>3034030</wp:posOffset>
          </wp:positionH>
          <wp:positionV relativeFrom="paragraph">
            <wp:posOffset>9915525</wp:posOffset>
          </wp:positionV>
          <wp:extent cx="255905" cy="243205"/>
          <wp:effectExtent l="0" t="0" r="0" b="4445"/>
          <wp:wrapNone/>
          <wp:docPr id="1162" name="Kép 1162"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637C6D47" wp14:editId="3779344E">
          <wp:extent cx="419100" cy="152400"/>
          <wp:effectExtent l="0" t="0" r="0" b="0"/>
          <wp:docPr id="1163" name="Kép 1163"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sidRPr="007A6F48">
      <w:rPr>
        <w:noProof/>
        <w:lang w:val="hu-HU" w:eastAsia="hu-HU"/>
      </w:rPr>
      <w:drawing>
        <wp:inline distT="0" distB="0" distL="0" distR="0" wp14:anchorId="10CBCF4B" wp14:editId="1FC8A21B">
          <wp:extent cx="327259" cy="19520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4613" cy="199594"/>
                  </a:xfrm>
                  <a:prstGeom prst="rect">
                    <a:avLst/>
                  </a:prstGeom>
                </pic:spPr>
              </pic:pic>
            </a:graphicData>
          </a:graphic>
        </wp:inline>
      </w:drawing>
    </w:r>
    <w:r w:rsidR="00A66DB1">
      <w:t xml:space="preserve">  </w:t>
    </w:r>
    <w:r w:rsidRPr="007A6F48">
      <w:rPr>
        <w:noProof/>
        <w:lang w:val="hu-HU" w:eastAsia="hu-HU"/>
      </w:rPr>
      <w:drawing>
        <wp:inline distT="0" distB="0" distL="0" distR="0" wp14:anchorId="2B3AAE22" wp14:editId="33D4C82D">
          <wp:extent cx="385011" cy="203401"/>
          <wp:effectExtent l="0" t="0" r="0"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372" cy="216271"/>
                  </a:xfrm>
                  <a:prstGeom prst="rect">
                    <a:avLst/>
                  </a:prstGeom>
                </pic:spPr>
              </pic:pic>
            </a:graphicData>
          </a:graphic>
        </wp:inline>
      </w:drawing>
    </w:r>
    <w:r w:rsidR="00B80304">
      <w:rPr>
        <w:b w:val="0"/>
        <w:noProof/>
        <w:position w:val="-10"/>
        <w:lang w:val="hu-HU" w:eastAsia="hu-HU"/>
      </w:rPr>
      <w:t xml:space="preserve"> </w:t>
    </w:r>
    <w:r w:rsidRPr="007A6F48">
      <w:rPr>
        <w:noProof/>
        <w:lang w:val="hu-HU" w:eastAsia="hu-HU"/>
      </w:rPr>
      <w:drawing>
        <wp:anchor distT="0" distB="0" distL="114300" distR="114300" simplePos="0" relativeHeight="251658246" behindDoc="0" locked="0" layoutInCell="1" allowOverlap="1" wp14:anchorId="1EC5DEA1" wp14:editId="6B274FF5">
          <wp:simplePos x="0" y="0"/>
          <wp:positionH relativeFrom="column">
            <wp:posOffset>1529715</wp:posOffset>
          </wp:positionH>
          <wp:positionV relativeFrom="paragraph">
            <wp:posOffset>-2540</wp:posOffset>
          </wp:positionV>
          <wp:extent cx="500380" cy="219710"/>
          <wp:effectExtent l="0" t="0" r="0" b="8890"/>
          <wp:wrapThrough wrapText="bothSides">
            <wp:wrapPolygon edited="0">
              <wp:start x="0" y="0"/>
              <wp:lineTo x="0" y="20601"/>
              <wp:lineTo x="20558" y="20601"/>
              <wp:lineTo x="20558" y="0"/>
              <wp:lineTo x="0" y="0"/>
            </wp:wrapPolygon>
          </wp:wrapThrough>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00380" cy="219710"/>
                  </a:xfrm>
                  <a:prstGeom prst="rect">
                    <a:avLst/>
                  </a:prstGeom>
                </pic:spPr>
              </pic:pic>
            </a:graphicData>
          </a:graphic>
        </wp:anchor>
      </w:drawing>
    </w:r>
    <w:r w:rsidR="00B80304">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FD86350" wp14:editId="6B66B8C5">
          <wp:extent cx="495300" cy="123825"/>
          <wp:effectExtent l="0" t="0" r="0" b="9525"/>
          <wp:docPr id="1164" name="Kép 116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5ECB4D0F" wp14:editId="38581D14">
          <wp:extent cx="581025" cy="104775"/>
          <wp:effectExtent l="0" t="0" r="9525" b="9525"/>
          <wp:docPr id="1165" name="Kép 1165"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7605FEF" wp14:editId="374D1B3B">
          <wp:extent cx="990600" cy="104775"/>
          <wp:effectExtent l="0" t="0" r="0" b="9525"/>
          <wp:docPr id="1166" name="Kép 1166"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41A843F" wp14:editId="28502840">
          <wp:extent cx="885825" cy="104775"/>
          <wp:effectExtent l="0" t="0" r="9525" b="9525"/>
          <wp:docPr id="1167" name="Kép 1167"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094E9F86" w14:textId="11F97900"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58244" behindDoc="0" locked="0" layoutInCell="1" allowOverlap="1" wp14:anchorId="2624DE0B" wp14:editId="382C0A66">
          <wp:simplePos x="0" y="0"/>
          <wp:positionH relativeFrom="column">
            <wp:posOffset>824230</wp:posOffset>
          </wp:positionH>
          <wp:positionV relativeFrom="paragraph">
            <wp:posOffset>10306050</wp:posOffset>
          </wp:positionV>
          <wp:extent cx="255905" cy="243205"/>
          <wp:effectExtent l="0" t="0" r="0" b="4445"/>
          <wp:wrapNone/>
          <wp:docPr id="1168" name="Kép 1168"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4B2B7A">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4B2B7A">
      <w:rPr>
        <w:b w:val="0"/>
        <w:noProof/>
        <w:color w:val="auto"/>
      </w:rPr>
      <w:t>8</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1C3C" w14:textId="77777777" w:rsidR="009669C9" w:rsidRDefault="009669C9">
      <w:r>
        <w:separator/>
      </w:r>
    </w:p>
  </w:footnote>
  <w:footnote w:type="continuationSeparator" w:id="0">
    <w:p w14:paraId="6652B952" w14:textId="77777777" w:rsidR="009669C9" w:rsidRDefault="009669C9">
      <w:r>
        <w:continuationSeparator/>
      </w:r>
    </w:p>
  </w:footnote>
  <w:footnote w:type="continuationNotice" w:id="1">
    <w:p w14:paraId="216DCE3A" w14:textId="77777777" w:rsidR="009669C9" w:rsidRDefault="009669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5D33"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8241" behindDoc="0" locked="0" layoutInCell="1" allowOverlap="1" wp14:anchorId="39CDF46A" wp14:editId="2D265FE6">
              <wp:simplePos x="0" y="0"/>
              <wp:positionH relativeFrom="page">
                <wp:posOffset>180340</wp:posOffset>
              </wp:positionH>
              <wp:positionV relativeFrom="page">
                <wp:posOffset>3780790</wp:posOffset>
              </wp:positionV>
              <wp:extent cx="183515" cy="3796030"/>
              <wp:effectExtent l="8890" t="8890" r="7620" b="5080"/>
              <wp:wrapNone/>
              <wp:docPr id="14" name="Csoportba foglalás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1D49F" id="Csoportba foglalás 14" o:spid="_x0000_s1026" style="position:absolute;margin-left:14.2pt;margin-top:297.7pt;width:14.45pt;height:298.9pt;z-index:251658241;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EB3D"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242" behindDoc="0" locked="0" layoutInCell="1" allowOverlap="1" wp14:anchorId="3439C8C8" wp14:editId="27D86C69">
          <wp:simplePos x="0" y="0"/>
          <wp:positionH relativeFrom="margin">
            <wp:posOffset>4725035</wp:posOffset>
          </wp:positionH>
          <wp:positionV relativeFrom="margin">
            <wp:posOffset>-1588770</wp:posOffset>
          </wp:positionV>
          <wp:extent cx="1166495" cy="789305"/>
          <wp:effectExtent l="0" t="0" r="0" b="0"/>
          <wp:wrapSquare wrapText="bothSides"/>
          <wp:docPr id="1160" name="Kép 1160"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p>
  <w:p w14:paraId="08375D74" w14:textId="77777777" w:rsidR="009A16EC" w:rsidRPr="001C4BE1" w:rsidRDefault="009A16EC" w:rsidP="00BD56B7">
    <w:pPr>
      <w:pStyle w:val="lfej"/>
      <w:tabs>
        <w:tab w:val="clear" w:pos="8640"/>
        <w:tab w:val="left" w:pos="2607"/>
        <w:tab w:val="right" w:pos="9071"/>
      </w:tabs>
      <w:spacing w:line="420" w:lineRule="atLeast"/>
      <w:jc w:val="center"/>
      <w:rPr>
        <w:rFonts w:ascii="Calibri" w:hAnsi="Calibri"/>
        <w:b/>
        <w:bCs/>
        <w:sz w:val="40"/>
        <w:szCs w:val="40"/>
      </w:rPr>
    </w:pPr>
  </w:p>
  <w:p w14:paraId="4F08D9E5"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219C0D38" w14:textId="77777777" w:rsidR="00CF6F33" w:rsidRPr="00BF6F73"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BF6F73">
      <w:rPr>
        <w:rFonts w:ascii="Segoe UI" w:hAnsi="Segoe UI" w:cs="Segoe UI"/>
        <w:b/>
        <w:bCs/>
        <w:noProof/>
        <w:color w:val="3E3C3C"/>
        <w:sz w:val="40"/>
        <w:szCs w:val="40"/>
        <w:lang w:val="hu-HU" w:eastAsia="hu-HU"/>
      </w:rPr>
      <mc:AlternateContent>
        <mc:Choice Requires="wpg">
          <w:drawing>
            <wp:anchor distT="0" distB="0" distL="114300" distR="114300" simplePos="0" relativeHeight="251658240" behindDoc="0" locked="0" layoutInCell="1" allowOverlap="1" wp14:anchorId="34C3C41F" wp14:editId="5547BA25">
              <wp:simplePos x="0" y="0"/>
              <wp:positionH relativeFrom="page">
                <wp:posOffset>180340</wp:posOffset>
              </wp:positionH>
              <wp:positionV relativeFrom="page">
                <wp:posOffset>3780790</wp:posOffset>
              </wp:positionV>
              <wp:extent cx="179705" cy="3780155"/>
              <wp:effectExtent l="8890" t="8890" r="11430" b="11430"/>
              <wp:wrapNone/>
              <wp:docPr id="10" name="Csoportba foglalás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2CA48C" id="Csoportba foglalás 10"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r w:rsidR="00F52372" w:rsidRPr="00BF6F73">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4211"/>
    <w:multiLevelType w:val="hybridMultilevel"/>
    <w:tmpl w:val="8216E7FC"/>
    <w:lvl w:ilvl="0" w:tplc="D2C685E2">
      <w:start w:val="1"/>
      <w:numFmt w:val="bullet"/>
      <w:lvlText w:val=""/>
      <w:lvlJc w:val="left"/>
      <w:pPr>
        <w:ind w:left="720" w:hanging="360"/>
      </w:pPr>
      <w:rPr>
        <w:rFonts w:ascii="Symbol" w:hAnsi="Symbol" w:hint="default"/>
        <w:u w:color="E1000F"/>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811150"/>
    <w:multiLevelType w:val="hybridMultilevel"/>
    <w:tmpl w:val="CD723DE0"/>
    <w:lvl w:ilvl="0" w:tplc="D2C685E2">
      <w:start w:val="1"/>
      <w:numFmt w:val="bullet"/>
      <w:lvlText w:val=""/>
      <w:lvlJc w:val="left"/>
      <w:pPr>
        <w:ind w:left="1074" w:hanging="360"/>
      </w:pPr>
      <w:rPr>
        <w:rFonts w:ascii="Symbol" w:hAnsi="Symbol" w:hint="default"/>
        <w:u w:color="E1000F"/>
      </w:rPr>
    </w:lvl>
    <w:lvl w:ilvl="1" w:tplc="04070003" w:tentative="1">
      <w:start w:val="1"/>
      <w:numFmt w:val="bullet"/>
      <w:lvlText w:val="o"/>
      <w:lvlJc w:val="left"/>
      <w:pPr>
        <w:ind w:left="1794" w:hanging="360"/>
      </w:pPr>
      <w:rPr>
        <w:rFonts w:ascii="Courier New" w:hAnsi="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9C7F10"/>
    <w:multiLevelType w:val="multilevel"/>
    <w:tmpl w:val="C34A85B4"/>
    <w:lvl w:ilvl="0">
      <w:start w:val="1"/>
      <w:numFmt w:val="bullet"/>
      <w:lvlText w:val="▪"/>
      <w:lvlJc w:val="left"/>
      <w:pPr>
        <w:ind w:left="360" w:hanging="360"/>
      </w:pPr>
      <w:rPr>
        <w:rFonts w:ascii="Noto Sans Symbols" w:eastAsia="Noto Sans Symbols" w:hAnsi="Noto Sans Symbols" w:cs="Noto Sans Symbols"/>
        <w:color w:val="E1000F"/>
        <w:sz w:val="24"/>
        <w:szCs w:val="24"/>
      </w:rPr>
    </w:lvl>
    <w:lvl w:ilvl="1">
      <w:numFmt w:val="bullet"/>
      <w:lvlText w:val="-"/>
      <w:lvlJc w:val="left"/>
      <w:pPr>
        <w:ind w:left="1080" w:hanging="360"/>
      </w:pPr>
      <w:rPr>
        <w:rFonts w:ascii="Arial" w:eastAsia="Arial" w:hAnsi="Arial" w:cs="Arial"/>
        <w:color w:val="FF00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61067768">
    <w:abstractNumId w:val="2"/>
  </w:num>
  <w:num w:numId="2" w16cid:durableId="2097168612">
    <w:abstractNumId w:val="0"/>
  </w:num>
  <w:num w:numId="3" w16cid:durableId="1621571997">
    <w:abstractNumId w:val="10"/>
  </w:num>
  <w:num w:numId="4" w16cid:durableId="1510484286">
    <w:abstractNumId w:val="8"/>
  </w:num>
  <w:num w:numId="5" w16cid:durableId="679237003">
    <w:abstractNumId w:val="4"/>
  </w:num>
  <w:num w:numId="6" w16cid:durableId="1265575272">
    <w:abstractNumId w:val="6"/>
  </w:num>
  <w:num w:numId="7" w16cid:durableId="787045147">
    <w:abstractNumId w:val="1"/>
  </w:num>
  <w:num w:numId="8" w16cid:durableId="250165450">
    <w:abstractNumId w:val="7"/>
  </w:num>
  <w:num w:numId="9" w16cid:durableId="722025028">
    <w:abstractNumId w:val="3"/>
  </w:num>
  <w:num w:numId="10" w16cid:durableId="627663633">
    <w:abstractNumId w:val="11"/>
  </w:num>
  <w:num w:numId="11" w16cid:durableId="606737090">
    <w:abstractNumId w:val="5"/>
  </w:num>
  <w:num w:numId="12" w16cid:durableId="2129348325">
    <w:abstractNumId w:val="9"/>
  </w:num>
  <w:num w:numId="13" w16cid:durableId="1784225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0391"/>
    <w:rsid w:val="00002AA4"/>
    <w:rsid w:val="00004E25"/>
    <w:rsid w:val="00005267"/>
    <w:rsid w:val="00006346"/>
    <w:rsid w:val="00015223"/>
    <w:rsid w:val="00020748"/>
    <w:rsid w:val="00021C67"/>
    <w:rsid w:val="0002585C"/>
    <w:rsid w:val="00026014"/>
    <w:rsid w:val="00030557"/>
    <w:rsid w:val="00030F51"/>
    <w:rsid w:val="00031E9B"/>
    <w:rsid w:val="000364F0"/>
    <w:rsid w:val="00041C74"/>
    <w:rsid w:val="00042183"/>
    <w:rsid w:val="0004237E"/>
    <w:rsid w:val="000440C0"/>
    <w:rsid w:val="00050E7F"/>
    <w:rsid w:val="000530A0"/>
    <w:rsid w:val="00053CE9"/>
    <w:rsid w:val="000575F9"/>
    <w:rsid w:val="000618FC"/>
    <w:rsid w:val="000650B4"/>
    <w:rsid w:val="00075F97"/>
    <w:rsid w:val="000763E0"/>
    <w:rsid w:val="00080A02"/>
    <w:rsid w:val="00080D10"/>
    <w:rsid w:val="00081066"/>
    <w:rsid w:val="00084003"/>
    <w:rsid w:val="00085475"/>
    <w:rsid w:val="000915F4"/>
    <w:rsid w:val="00092C7E"/>
    <w:rsid w:val="00093F26"/>
    <w:rsid w:val="00094BA7"/>
    <w:rsid w:val="000969F6"/>
    <w:rsid w:val="000A156F"/>
    <w:rsid w:val="000A2AAD"/>
    <w:rsid w:val="000A7CCA"/>
    <w:rsid w:val="000A7F93"/>
    <w:rsid w:val="000B1D64"/>
    <w:rsid w:val="000B5D7A"/>
    <w:rsid w:val="000C49EA"/>
    <w:rsid w:val="000C56DD"/>
    <w:rsid w:val="000C66BA"/>
    <w:rsid w:val="000C7265"/>
    <w:rsid w:val="000D0786"/>
    <w:rsid w:val="000D1672"/>
    <w:rsid w:val="000D3354"/>
    <w:rsid w:val="000D56B0"/>
    <w:rsid w:val="000D786F"/>
    <w:rsid w:val="000E7F24"/>
    <w:rsid w:val="000F03BE"/>
    <w:rsid w:val="000F225B"/>
    <w:rsid w:val="000F6934"/>
    <w:rsid w:val="000F7FAF"/>
    <w:rsid w:val="00100828"/>
    <w:rsid w:val="00103F00"/>
    <w:rsid w:val="0011123D"/>
    <w:rsid w:val="00111F4D"/>
    <w:rsid w:val="00115230"/>
    <w:rsid w:val="00115966"/>
    <w:rsid w:val="001162B4"/>
    <w:rsid w:val="001167CC"/>
    <w:rsid w:val="001208B8"/>
    <w:rsid w:val="00122CBC"/>
    <w:rsid w:val="00123FAF"/>
    <w:rsid w:val="00124395"/>
    <w:rsid w:val="00126D4A"/>
    <w:rsid w:val="00127F2F"/>
    <w:rsid w:val="001309FE"/>
    <w:rsid w:val="00132DA9"/>
    <w:rsid w:val="0013305B"/>
    <w:rsid w:val="00133B99"/>
    <w:rsid w:val="001412EC"/>
    <w:rsid w:val="001443BD"/>
    <w:rsid w:val="00146737"/>
    <w:rsid w:val="001504BB"/>
    <w:rsid w:val="00157119"/>
    <w:rsid w:val="0016455F"/>
    <w:rsid w:val="00180604"/>
    <w:rsid w:val="00180662"/>
    <w:rsid w:val="00186D88"/>
    <w:rsid w:val="00191394"/>
    <w:rsid w:val="00191623"/>
    <w:rsid w:val="00197E46"/>
    <w:rsid w:val="00197E49"/>
    <w:rsid w:val="001A1340"/>
    <w:rsid w:val="001A5F49"/>
    <w:rsid w:val="001A74EE"/>
    <w:rsid w:val="001B00B3"/>
    <w:rsid w:val="001B4F0A"/>
    <w:rsid w:val="001B74BB"/>
    <w:rsid w:val="001B7AE3"/>
    <w:rsid w:val="001C0B32"/>
    <w:rsid w:val="001C32D9"/>
    <w:rsid w:val="001C4BE1"/>
    <w:rsid w:val="001C6A1D"/>
    <w:rsid w:val="001C799A"/>
    <w:rsid w:val="001D2727"/>
    <w:rsid w:val="001D6E7F"/>
    <w:rsid w:val="001E0F71"/>
    <w:rsid w:val="001E6D05"/>
    <w:rsid w:val="001E7C28"/>
    <w:rsid w:val="001F007A"/>
    <w:rsid w:val="001F1BDF"/>
    <w:rsid w:val="001F695F"/>
    <w:rsid w:val="001F7110"/>
    <w:rsid w:val="001F7E96"/>
    <w:rsid w:val="002018E7"/>
    <w:rsid w:val="00205F40"/>
    <w:rsid w:val="002075E2"/>
    <w:rsid w:val="00210254"/>
    <w:rsid w:val="002122C2"/>
    <w:rsid w:val="00212488"/>
    <w:rsid w:val="00215FA1"/>
    <w:rsid w:val="002179B4"/>
    <w:rsid w:val="00220628"/>
    <w:rsid w:val="00223A01"/>
    <w:rsid w:val="002318E7"/>
    <w:rsid w:val="00234535"/>
    <w:rsid w:val="002345BD"/>
    <w:rsid w:val="00234856"/>
    <w:rsid w:val="00235A94"/>
    <w:rsid w:val="00237F62"/>
    <w:rsid w:val="0024538D"/>
    <w:rsid w:val="0024586A"/>
    <w:rsid w:val="002551CA"/>
    <w:rsid w:val="00261FCC"/>
    <w:rsid w:val="00262C05"/>
    <w:rsid w:val="00263D43"/>
    <w:rsid w:val="00266826"/>
    <w:rsid w:val="00272470"/>
    <w:rsid w:val="00272CA2"/>
    <w:rsid w:val="00280A79"/>
    <w:rsid w:val="00282204"/>
    <w:rsid w:val="002913FB"/>
    <w:rsid w:val="00291BD6"/>
    <w:rsid w:val="002A0DF7"/>
    <w:rsid w:val="002A2673"/>
    <w:rsid w:val="002A2BAF"/>
    <w:rsid w:val="002A48DE"/>
    <w:rsid w:val="002A60E0"/>
    <w:rsid w:val="002A6ABE"/>
    <w:rsid w:val="002A7617"/>
    <w:rsid w:val="002B4A37"/>
    <w:rsid w:val="002C2212"/>
    <w:rsid w:val="002C252E"/>
    <w:rsid w:val="002C6773"/>
    <w:rsid w:val="002C6E2B"/>
    <w:rsid w:val="002D62A8"/>
    <w:rsid w:val="002D6A76"/>
    <w:rsid w:val="002E0B17"/>
    <w:rsid w:val="002E7DED"/>
    <w:rsid w:val="002F30CC"/>
    <w:rsid w:val="002F3C00"/>
    <w:rsid w:val="002F6C4E"/>
    <w:rsid w:val="002F7E11"/>
    <w:rsid w:val="00300005"/>
    <w:rsid w:val="00300E76"/>
    <w:rsid w:val="00304087"/>
    <w:rsid w:val="0030463D"/>
    <w:rsid w:val="00307744"/>
    <w:rsid w:val="00310A40"/>
    <w:rsid w:val="00310ACD"/>
    <w:rsid w:val="0031379F"/>
    <w:rsid w:val="00316D10"/>
    <w:rsid w:val="00320A26"/>
    <w:rsid w:val="00321344"/>
    <w:rsid w:val="00322825"/>
    <w:rsid w:val="00331BC7"/>
    <w:rsid w:val="00332241"/>
    <w:rsid w:val="0033392C"/>
    <w:rsid w:val="00334305"/>
    <w:rsid w:val="0034015C"/>
    <w:rsid w:val="00344356"/>
    <w:rsid w:val="00347622"/>
    <w:rsid w:val="0035037E"/>
    <w:rsid w:val="003505B1"/>
    <w:rsid w:val="00353705"/>
    <w:rsid w:val="0035444D"/>
    <w:rsid w:val="003562E8"/>
    <w:rsid w:val="0036311F"/>
    <w:rsid w:val="0036357D"/>
    <w:rsid w:val="00367AA1"/>
    <w:rsid w:val="00372E36"/>
    <w:rsid w:val="003753DF"/>
    <w:rsid w:val="00377CBB"/>
    <w:rsid w:val="00381142"/>
    <w:rsid w:val="00381B32"/>
    <w:rsid w:val="003877B6"/>
    <w:rsid w:val="003920A8"/>
    <w:rsid w:val="00392D1F"/>
    <w:rsid w:val="003935BF"/>
    <w:rsid w:val="00393887"/>
    <w:rsid w:val="00394C6B"/>
    <w:rsid w:val="003A28AA"/>
    <w:rsid w:val="003A44AF"/>
    <w:rsid w:val="003B0146"/>
    <w:rsid w:val="003B0D96"/>
    <w:rsid w:val="003B1069"/>
    <w:rsid w:val="003B2624"/>
    <w:rsid w:val="003B390A"/>
    <w:rsid w:val="003B7A34"/>
    <w:rsid w:val="003C15DE"/>
    <w:rsid w:val="003C20C9"/>
    <w:rsid w:val="003C38EC"/>
    <w:rsid w:val="003C452C"/>
    <w:rsid w:val="003C4EB2"/>
    <w:rsid w:val="003C52D1"/>
    <w:rsid w:val="003D3815"/>
    <w:rsid w:val="003E14C8"/>
    <w:rsid w:val="003E2F48"/>
    <w:rsid w:val="003F1AF3"/>
    <w:rsid w:val="003F4D8D"/>
    <w:rsid w:val="00407638"/>
    <w:rsid w:val="00413DB5"/>
    <w:rsid w:val="00414BAB"/>
    <w:rsid w:val="0041524F"/>
    <w:rsid w:val="00415282"/>
    <w:rsid w:val="004163A1"/>
    <w:rsid w:val="004235C8"/>
    <w:rsid w:val="00425043"/>
    <w:rsid w:val="004304E6"/>
    <w:rsid w:val="004313E7"/>
    <w:rsid w:val="00436F78"/>
    <w:rsid w:val="0044763B"/>
    <w:rsid w:val="0045329A"/>
    <w:rsid w:val="00456A71"/>
    <w:rsid w:val="00460448"/>
    <w:rsid w:val="004629B3"/>
    <w:rsid w:val="0046376E"/>
    <w:rsid w:val="0046690F"/>
    <w:rsid w:val="00472AB1"/>
    <w:rsid w:val="00473390"/>
    <w:rsid w:val="0048397A"/>
    <w:rsid w:val="00483A3E"/>
    <w:rsid w:val="00484123"/>
    <w:rsid w:val="004901E5"/>
    <w:rsid w:val="00490A03"/>
    <w:rsid w:val="00494DBE"/>
    <w:rsid w:val="00495CE6"/>
    <w:rsid w:val="004A0244"/>
    <w:rsid w:val="004A047D"/>
    <w:rsid w:val="004A1FE0"/>
    <w:rsid w:val="004A2050"/>
    <w:rsid w:val="004A2862"/>
    <w:rsid w:val="004A323C"/>
    <w:rsid w:val="004A4401"/>
    <w:rsid w:val="004A44F6"/>
    <w:rsid w:val="004B2B7A"/>
    <w:rsid w:val="004B506A"/>
    <w:rsid w:val="004B54E8"/>
    <w:rsid w:val="004C4D9C"/>
    <w:rsid w:val="004C4FEB"/>
    <w:rsid w:val="004C6641"/>
    <w:rsid w:val="004D059B"/>
    <w:rsid w:val="004D4CB6"/>
    <w:rsid w:val="004E27B2"/>
    <w:rsid w:val="004F10C1"/>
    <w:rsid w:val="004F39CF"/>
    <w:rsid w:val="004F4D21"/>
    <w:rsid w:val="004F539E"/>
    <w:rsid w:val="00501141"/>
    <w:rsid w:val="00502612"/>
    <w:rsid w:val="00502E62"/>
    <w:rsid w:val="00504704"/>
    <w:rsid w:val="005050FE"/>
    <w:rsid w:val="005068FD"/>
    <w:rsid w:val="005100A8"/>
    <w:rsid w:val="00513E8E"/>
    <w:rsid w:val="0051436E"/>
    <w:rsid w:val="00514DFC"/>
    <w:rsid w:val="00514EFA"/>
    <w:rsid w:val="005210EF"/>
    <w:rsid w:val="0052161A"/>
    <w:rsid w:val="0052212B"/>
    <w:rsid w:val="00525A94"/>
    <w:rsid w:val="00526294"/>
    <w:rsid w:val="00534B46"/>
    <w:rsid w:val="00537D6D"/>
    <w:rsid w:val="00540358"/>
    <w:rsid w:val="00545231"/>
    <w:rsid w:val="005478F6"/>
    <w:rsid w:val="0055386A"/>
    <w:rsid w:val="00555016"/>
    <w:rsid w:val="00555A2F"/>
    <w:rsid w:val="00556F67"/>
    <w:rsid w:val="00561DF9"/>
    <w:rsid w:val="00567B82"/>
    <w:rsid w:val="00574C44"/>
    <w:rsid w:val="00574F14"/>
    <w:rsid w:val="005751AA"/>
    <w:rsid w:val="00576E8C"/>
    <w:rsid w:val="00581A28"/>
    <w:rsid w:val="0058229E"/>
    <w:rsid w:val="0058488E"/>
    <w:rsid w:val="00585710"/>
    <w:rsid w:val="00586CAF"/>
    <w:rsid w:val="00586FED"/>
    <w:rsid w:val="00591180"/>
    <w:rsid w:val="00592524"/>
    <w:rsid w:val="00592CEA"/>
    <w:rsid w:val="00597D07"/>
    <w:rsid w:val="005A0AA0"/>
    <w:rsid w:val="005B0BB5"/>
    <w:rsid w:val="005C2333"/>
    <w:rsid w:val="005C2818"/>
    <w:rsid w:val="005C36C8"/>
    <w:rsid w:val="005C7112"/>
    <w:rsid w:val="005D0561"/>
    <w:rsid w:val="005D0AD9"/>
    <w:rsid w:val="005D22F6"/>
    <w:rsid w:val="005E0C30"/>
    <w:rsid w:val="005E64E7"/>
    <w:rsid w:val="005E69D9"/>
    <w:rsid w:val="005F0F86"/>
    <w:rsid w:val="005F181F"/>
    <w:rsid w:val="005F27F4"/>
    <w:rsid w:val="005F280A"/>
    <w:rsid w:val="005F30CE"/>
    <w:rsid w:val="005F3239"/>
    <w:rsid w:val="0060483E"/>
    <w:rsid w:val="00607256"/>
    <w:rsid w:val="006144B1"/>
    <w:rsid w:val="006254C0"/>
    <w:rsid w:val="00630B69"/>
    <w:rsid w:val="006335F1"/>
    <w:rsid w:val="006345B6"/>
    <w:rsid w:val="00635712"/>
    <w:rsid w:val="00640DF5"/>
    <w:rsid w:val="006423AC"/>
    <w:rsid w:val="006437F8"/>
    <w:rsid w:val="006439E2"/>
    <w:rsid w:val="00644141"/>
    <w:rsid w:val="00647467"/>
    <w:rsid w:val="00647AC4"/>
    <w:rsid w:val="0065196C"/>
    <w:rsid w:val="00652229"/>
    <w:rsid w:val="00652793"/>
    <w:rsid w:val="00653303"/>
    <w:rsid w:val="006610A4"/>
    <w:rsid w:val="00661ED7"/>
    <w:rsid w:val="006626CA"/>
    <w:rsid w:val="00663487"/>
    <w:rsid w:val="00666A1D"/>
    <w:rsid w:val="00672382"/>
    <w:rsid w:val="006755E9"/>
    <w:rsid w:val="00677AB9"/>
    <w:rsid w:val="00677E4C"/>
    <w:rsid w:val="00690B19"/>
    <w:rsid w:val="00695708"/>
    <w:rsid w:val="006957AA"/>
    <w:rsid w:val="006979C6"/>
    <w:rsid w:val="00697C66"/>
    <w:rsid w:val="006A0DD1"/>
    <w:rsid w:val="006A460B"/>
    <w:rsid w:val="006A4BD6"/>
    <w:rsid w:val="006A796D"/>
    <w:rsid w:val="006B2C16"/>
    <w:rsid w:val="006B499F"/>
    <w:rsid w:val="006B5B15"/>
    <w:rsid w:val="006B5B62"/>
    <w:rsid w:val="006B7F73"/>
    <w:rsid w:val="006C384A"/>
    <w:rsid w:val="006C3F18"/>
    <w:rsid w:val="006D0BC7"/>
    <w:rsid w:val="006D14D8"/>
    <w:rsid w:val="006D343E"/>
    <w:rsid w:val="006D4996"/>
    <w:rsid w:val="006D4B22"/>
    <w:rsid w:val="006D54AB"/>
    <w:rsid w:val="006D7104"/>
    <w:rsid w:val="006E0D9D"/>
    <w:rsid w:val="006E0FBF"/>
    <w:rsid w:val="006E5032"/>
    <w:rsid w:val="006E560A"/>
    <w:rsid w:val="006E7FD0"/>
    <w:rsid w:val="006E7FE1"/>
    <w:rsid w:val="006F2173"/>
    <w:rsid w:val="006F670F"/>
    <w:rsid w:val="00703272"/>
    <w:rsid w:val="007035FB"/>
    <w:rsid w:val="00704434"/>
    <w:rsid w:val="00706B91"/>
    <w:rsid w:val="0070733C"/>
    <w:rsid w:val="00710C5D"/>
    <w:rsid w:val="00712F2B"/>
    <w:rsid w:val="0071348C"/>
    <w:rsid w:val="00717273"/>
    <w:rsid w:val="00717754"/>
    <w:rsid w:val="00720560"/>
    <w:rsid w:val="0072069E"/>
    <w:rsid w:val="00720833"/>
    <w:rsid w:val="00720FD4"/>
    <w:rsid w:val="007222DE"/>
    <w:rsid w:val="00722913"/>
    <w:rsid w:val="00722FBE"/>
    <w:rsid w:val="0073096C"/>
    <w:rsid w:val="00730EDC"/>
    <w:rsid w:val="0074094C"/>
    <w:rsid w:val="00742398"/>
    <w:rsid w:val="00743E13"/>
    <w:rsid w:val="00744FEE"/>
    <w:rsid w:val="007457A7"/>
    <w:rsid w:val="00747F1A"/>
    <w:rsid w:val="007507B5"/>
    <w:rsid w:val="00752384"/>
    <w:rsid w:val="00753A24"/>
    <w:rsid w:val="00754510"/>
    <w:rsid w:val="0075761B"/>
    <w:rsid w:val="00757760"/>
    <w:rsid w:val="00763751"/>
    <w:rsid w:val="00763E5E"/>
    <w:rsid w:val="00772188"/>
    <w:rsid w:val="00780C94"/>
    <w:rsid w:val="00786BA3"/>
    <w:rsid w:val="00787C8D"/>
    <w:rsid w:val="007A059A"/>
    <w:rsid w:val="007A1667"/>
    <w:rsid w:val="007A2812"/>
    <w:rsid w:val="007A4432"/>
    <w:rsid w:val="007A6F48"/>
    <w:rsid w:val="007B059C"/>
    <w:rsid w:val="007B22BB"/>
    <w:rsid w:val="007B4704"/>
    <w:rsid w:val="007B499C"/>
    <w:rsid w:val="007B4D4B"/>
    <w:rsid w:val="007C68CF"/>
    <w:rsid w:val="007D2A02"/>
    <w:rsid w:val="007D33D5"/>
    <w:rsid w:val="007D3BDC"/>
    <w:rsid w:val="007E3C4F"/>
    <w:rsid w:val="007E3FF5"/>
    <w:rsid w:val="007E6EA1"/>
    <w:rsid w:val="007E7A41"/>
    <w:rsid w:val="007F15FB"/>
    <w:rsid w:val="007F2B1E"/>
    <w:rsid w:val="007F62B4"/>
    <w:rsid w:val="007F6FF5"/>
    <w:rsid w:val="00801517"/>
    <w:rsid w:val="00806E03"/>
    <w:rsid w:val="008167D3"/>
    <w:rsid w:val="00817DE8"/>
    <w:rsid w:val="008229F5"/>
    <w:rsid w:val="00824F05"/>
    <w:rsid w:val="00825A70"/>
    <w:rsid w:val="00827AB2"/>
    <w:rsid w:val="008311CB"/>
    <w:rsid w:val="0083301A"/>
    <w:rsid w:val="00833090"/>
    <w:rsid w:val="00833CEB"/>
    <w:rsid w:val="0083502F"/>
    <w:rsid w:val="0083673C"/>
    <w:rsid w:val="008372D2"/>
    <w:rsid w:val="008430B6"/>
    <w:rsid w:val="0084372E"/>
    <w:rsid w:val="008445E5"/>
    <w:rsid w:val="00844C17"/>
    <w:rsid w:val="00845271"/>
    <w:rsid w:val="00847726"/>
    <w:rsid w:val="00847DA1"/>
    <w:rsid w:val="008523F7"/>
    <w:rsid w:val="00852511"/>
    <w:rsid w:val="00852A10"/>
    <w:rsid w:val="00854E17"/>
    <w:rsid w:val="00854F22"/>
    <w:rsid w:val="00855F27"/>
    <w:rsid w:val="0085669A"/>
    <w:rsid w:val="00856E96"/>
    <w:rsid w:val="00857A81"/>
    <w:rsid w:val="00861295"/>
    <w:rsid w:val="008614F1"/>
    <w:rsid w:val="008639B3"/>
    <w:rsid w:val="00863C1A"/>
    <w:rsid w:val="00864560"/>
    <w:rsid w:val="008667B3"/>
    <w:rsid w:val="00866E3E"/>
    <w:rsid w:val="00867E2E"/>
    <w:rsid w:val="00871127"/>
    <w:rsid w:val="0087142D"/>
    <w:rsid w:val="00873956"/>
    <w:rsid w:val="0087697C"/>
    <w:rsid w:val="008825EE"/>
    <w:rsid w:val="00883372"/>
    <w:rsid w:val="00884451"/>
    <w:rsid w:val="00884D4C"/>
    <w:rsid w:val="00885188"/>
    <w:rsid w:val="0088596E"/>
    <w:rsid w:val="00885CC2"/>
    <w:rsid w:val="00886A7A"/>
    <w:rsid w:val="00887B6F"/>
    <w:rsid w:val="0089226C"/>
    <w:rsid w:val="008A1136"/>
    <w:rsid w:val="008A1CA0"/>
    <w:rsid w:val="008A2375"/>
    <w:rsid w:val="008A6BAE"/>
    <w:rsid w:val="008B037E"/>
    <w:rsid w:val="008B0F87"/>
    <w:rsid w:val="008B13ED"/>
    <w:rsid w:val="008B1580"/>
    <w:rsid w:val="008B2AD0"/>
    <w:rsid w:val="008B3467"/>
    <w:rsid w:val="008B34DA"/>
    <w:rsid w:val="008B716C"/>
    <w:rsid w:val="008C0897"/>
    <w:rsid w:val="008D2677"/>
    <w:rsid w:val="008D389E"/>
    <w:rsid w:val="008D6BCD"/>
    <w:rsid w:val="008D76C5"/>
    <w:rsid w:val="008E0AFA"/>
    <w:rsid w:val="008E2C66"/>
    <w:rsid w:val="008E3299"/>
    <w:rsid w:val="008E75D3"/>
    <w:rsid w:val="008E77EA"/>
    <w:rsid w:val="008F01B1"/>
    <w:rsid w:val="008F125E"/>
    <w:rsid w:val="008F4D2F"/>
    <w:rsid w:val="008F70D0"/>
    <w:rsid w:val="00900D86"/>
    <w:rsid w:val="00900F14"/>
    <w:rsid w:val="009019EB"/>
    <w:rsid w:val="009026EC"/>
    <w:rsid w:val="00903A83"/>
    <w:rsid w:val="00910572"/>
    <w:rsid w:val="009131F3"/>
    <w:rsid w:val="009161C7"/>
    <w:rsid w:val="00917162"/>
    <w:rsid w:val="009244A4"/>
    <w:rsid w:val="009251CC"/>
    <w:rsid w:val="00925FB7"/>
    <w:rsid w:val="009267D3"/>
    <w:rsid w:val="00926856"/>
    <w:rsid w:val="0092714E"/>
    <w:rsid w:val="00927B07"/>
    <w:rsid w:val="00937ACF"/>
    <w:rsid w:val="00942002"/>
    <w:rsid w:val="00943A3A"/>
    <w:rsid w:val="00943B0B"/>
    <w:rsid w:val="00943E5B"/>
    <w:rsid w:val="00945F4B"/>
    <w:rsid w:val="00947885"/>
    <w:rsid w:val="00952168"/>
    <w:rsid w:val="009527FE"/>
    <w:rsid w:val="00961380"/>
    <w:rsid w:val="0096200D"/>
    <w:rsid w:val="00963A0D"/>
    <w:rsid w:val="00965301"/>
    <w:rsid w:val="0096572C"/>
    <w:rsid w:val="009669C9"/>
    <w:rsid w:val="0097257F"/>
    <w:rsid w:val="00973327"/>
    <w:rsid w:val="009739A0"/>
    <w:rsid w:val="0097652C"/>
    <w:rsid w:val="009767C7"/>
    <w:rsid w:val="00977ACF"/>
    <w:rsid w:val="0098579A"/>
    <w:rsid w:val="00987874"/>
    <w:rsid w:val="0099195A"/>
    <w:rsid w:val="00994681"/>
    <w:rsid w:val="0099486A"/>
    <w:rsid w:val="009A0E26"/>
    <w:rsid w:val="009A0FAE"/>
    <w:rsid w:val="009A16EC"/>
    <w:rsid w:val="009A2F59"/>
    <w:rsid w:val="009A5AA0"/>
    <w:rsid w:val="009A6D07"/>
    <w:rsid w:val="009B19B0"/>
    <w:rsid w:val="009B33C8"/>
    <w:rsid w:val="009B3B37"/>
    <w:rsid w:val="009B4EC5"/>
    <w:rsid w:val="009B519C"/>
    <w:rsid w:val="009C0717"/>
    <w:rsid w:val="009C088E"/>
    <w:rsid w:val="009C0AA0"/>
    <w:rsid w:val="009C1526"/>
    <w:rsid w:val="009C3C4D"/>
    <w:rsid w:val="009C4D35"/>
    <w:rsid w:val="009C4E24"/>
    <w:rsid w:val="009C5CA7"/>
    <w:rsid w:val="009C7781"/>
    <w:rsid w:val="009C7D13"/>
    <w:rsid w:val="009D00E2"/>
    <w:rsid w:val="009E33EF"/>
    <w:rsid w:val="009E441F"/>
    <w:rsid w:val="009E5EB4"/>
    <w:rsid w:val="009E65C3"/>
    <w:rsid w:val="009F64CD"/>
    <w:rsid w:val="00A044D6"/>
    <w:rsid w:val="00A04ADB"/>
    <w:rsid w:val="00A06F31"/>
    <w:rsid w:val="00A10DAC"/>
    <w:rsid w:val="00A11E0F"/>
    <w:rsid w:val="00A17416"/>
    <w:rsid w:val="00A244C2"/>
    <w:rsid w:val="00A2529C"/>
    <w:rsid w:val="00A25906"/>
    <w:rsid w:val="00A26A12"/>
    <w:rsid w:val="00A26CB6"/>
    <w:rsid w:val="00A3287B"/>
    <w:rsid w:val="00A32F82"/>
    <w:rsid w:val="00A32F8B"/>
    <w:rsid w:val="00A33457"/>
    <w:rsid w:val="00A36F02"/>
    <w:rsid w:val="00A40D6B"/>
    <w:rsid w:val="00A44A60"/>
    <w:rsid w:val="00A45A62"/>
    <w:rsid w:val="00A53748"/>
    <w:rsid w:val="00A54AC5"/>
    <w:rsid w:val="00A54CD9"/>
    <w:rsid w:val="00A56D41"/>
    <w:rsid w:val="00A60DB5"/>
    <w:rsid w:val="00A61353"/>
    <w:rsid w:val="00A658ED"/>
    <w:rsid w:val="00A66DB1"/>
    <w:rsid w:val="00A66F6A"/>
    <w:rsid w:val="00A67A92"/>
    <w:rsid w:val="00A715A5"/>
    <w:rsid w:val="00A77E80"/>
    <w:rsid w:val="00A83FFE"/>
    <w:rsid w:val="00A848B2"/>
    <w:rsid w:val="00A87099"/>
    <w:rsid w:val="00A875FB"/>
    <w:rsid w:val="00A91A70"/>
    <w:rsid w:val="00A94564"/>
    <w:rsid w:val="00AA1B85"/>
    <w:rsid w:val="00AA7E1C"/>
    <w:rsid w:val="00AB1273"/>
    <w:rsid w:val="00AB1CB6"/>
    <w:rsid w:val="00AB1D9A"/>
    <w:rsid w:val="00AC0B87"/>
    <w:rsid w:val="00AC644E"/>
    <w:rsid w:val="00AC7434"/>
    <w:rsid w:val="00AD0A62"/>
    <w:rsid w:val="00AD0BFE"/>
    <w:rsid w:val="00AD2E58"/>
    <w:rsid w:val="00AD44FE"/>
    <w:rsid w:val="00AD7996"/>
    <w:rsid w:val="00AE0D5E"/>
    <w:rsid w:val="00AE49F1"/>
    <w:rsid w:val="00AE76BB"/>
    <w:rsid w:val="00AE7E4C"/>
    <w:rsid w:val="00AF32A5"/>
    <w:rsid w:val="00AF4048"/>
    <w:rsid w:val="00AF5120"/>
    <w:rsid w:val="00AF6CBB"/>
    <w:rsid w:val="00B02FC0"/>
    <w:rsid w:val="00B03BE7"/>
    <w:rsid w:val="00B053AF"/>
    <w:rsid w:val="00B05C95"/>
    <w:rsid w:val="00B05CCA"/>
    <w:rsid w:val="00B06EF6"/>
    <w:rsid w:val="00B14271"/>
    <w:rsid w:val="00B160FA"/>
    <w:rsid w:val="00B21195"/>
    <w:rsid w:val="00B21ECF"/>
    <w:rsid w:val="00B22F63"/>
    <w:rsid w:val="00B24130"/>
    <w:rsid w:val="00B2685D"/>
    <w:rsid w:val="00B27B31"/>
    <w:rsid w:val="00B27E9A"/>
    <w:rsid w:val="00B3016F"/>
    <w:rsid w:val="00B30351"/>
    <w:rsid w:val="00B33C2A"/>
    <w:rsid w:val="00B35822"/>
    <w:rsid w:val="00B422EC"/>
    <w:rsid w:val="00B45AD6"/>
    <w:rsid w:val="00B51664"/>
    <w:rsid w:val="00B57BEB"/>
    <w:rsid w:val="00B70780"/>
    <w:rsid w:val="00B72002"/>
    <w:rsid w:val="00B73495"/>
    <w:rsid w:val="00B80304"/>
    <w:rsid w:val="00B820D7"/>
    <w:rsid w:val="00B84968"/>
    <w:rsid w:val="00B86A4F"/>
    <w:rsid w:val="00B87094"/>
    <w:rsid w:val="00B958E8"/>
    <w:rsid w:val="00BA08B7"/>
    <w:rsid w:val="00BA09B2"/>
    <w:rsid w:val="00BA3870"/>
    <w:rsid w:val="00BA3969"/>
    <w:rsid w:val="00BA5B5E"/>
    <w:rsid w:val="00BB0223"/>
    <w:rsid w:val="00BB121B"/>
    <w:rsid w:val="00BB512A"/>
    <w:rsid w:val="00BC0995"/>
    <w:rsid w:val="00BC3BD3"/>
    <w:rsid w:val="00BC48D6"/>
    <w:rsid w:val="00BC7535"/>
    <w:rsid w:val="00BD0C53"/>
    <w:rsid w:val="00BD32CA"/>
    <w:rsid w:val="00BD56B7"/>
    <w:rsid w:val="00BD7208"/>
    <w:rsid w:val="00BE668F"/>
    <w:rsid w:val="00BE7091"/>
    <w:rsid w:val="00BE793A"/>
    <w:rsid w:val="00BF1927"/>
    <w:rsid w:val="00BF1C48"/>
    <w:rsid w:val="00BF432A"/>
    <w:rsid w:val="00BF4B5C"/>
    <w:rsid w:val="00BF529D"/>
    <w:rsid w:val="00BF6E82"/>
    <w:rsid w:val="00BF6F73"/>
    <w:rsid w:val="00C019E7"/>
    <w:rsid w:val="00C03C80"/>
    <w:rsid w:val="00C144DF"/>
    <w:rsid w:val="00C22049"/>
    <w:rsid w:val="00C23CA9"/>
    <w:rsid w:val="00C24C17"/>
    <w:rsid w:val="00C26894"/>
    <w:rsid w:val="00C27BC3"/>
    <w:rsid w:val="00C30F30"/>
    <w:rsid w:val="00C323F6"/>
    <w:rsid w:val="00C35C5E"/>
    <w:rsid w:val="00C36FFD"/>
    <w:rsid w:val="00C40B88"/>
    <w:rsid w:val="00C42D1B"/>
    <w:rsid w:val="00C446AC"/>
    <w:rsid w:val="00C47D21"/>
    <w:rsid w:val="00C47D87"/>
    <w:rsid w:val="00C5376E"/>
    <w:rsid w:val="00C548B1"/>
    <w:rsid w:val="00C57CF2"/>
    <w:rsid w:val="00C60117"/>
    <w:rsid w:val="00C63258"/>
    <w:rsid w:val="00C63E66"/>
    <w:rsid w:val="00C651A3"/>
    <w:rsid w:val="00C70493"/>
    <w:rsid w:val="00C70961"/>
    <w:rsid w:val="00C75A02"/>
    <w:rsid w:val="00C76F73"/>
    <w:rsid w:val="00C77ECC"/>
    <w:rsid w:val="00C80965"/>
    <w:rsid w:val="00C83B73"/>
    <w:rsid w:val="00C912A6"/>
    <w:rsid w:val="00C93E5E"/>
    <w:rsid w:val="00C94430"/>
    <w:rsid w:val="00C95613"/>
    <w:rsid w:val="00C96D73"/>
    <w:rsid w:val="00C97091"/>
    <w:rsid w:val="00CA0AC2"/>
    <w:rsid w:val="00CA2001"/>
    <w:rsid w:val="00CA6B37"/>
    <w:rsid w:val="00CB46D4"/>
    <w:rsid w:val="00CB5B6C"/>
    <w:rsid w:val="00CD14E4"/>
    <w:rsid w:val="00CD3B0B"/>
    <w:rsid w:val="00CD458D"/>
    <w:rsid w:val="00CD4616"/>
    <w:rsid w:val="00CD529D"/>
    <w:rsid w:val="00CD6436"/>
    <w:rsid w:val="00CE1427"/>
    <w:rsid w:val="00CE1CC7"/>
    <w:rsid w:val="00CE33D5"/>
    <w:rsid w:val="00CE6674"/>
    <w:rsid w:val="00CE7DE0"/>
    <w:rsid w:val="00CF5D37"/>
    <w:rsid w:val="00CF6F33"/>
    <w:rsid w:val="00D00877"/>
    <w:rsid w:val="00D02248"/>
    <w:rsid w:val="00D03718"/>
    <w:rsid w:val="00D063B8"/>
    <w:rsid w:val="00D17C08"/>
    <w:rsid w:val="00D17E3B"/>
    <w:rsid w:val="00D17EAA"/>
    <w:rsid w:val="00D213B6"/>
    <w:rsid w:val="00D23C09"/>
    <w:rsid w:val="00D23CED"/>
    <w:rsid w:val="00D24BD2"/>
    <w:rsid w:val="00D24E11"/>
    <w:rsid w:val="00D24F37"/>
    <w:rsid w:val="00D2593A"/>
    <w:rsid w:val="00D260A2"/>
    <w:rsid w:val="00D30962"/>
    <w:rsid w:val="00D30CC6"/>
    <w:rsid w:val="00D3260C"/>
    <w:rsid w:val="00D35790"/>
    <w:rsid w:val="00D40AFA"/>
    <w:rsid w:val="00D41392"/>
    <w:rsid w:val="00D42FC7"/>
    <w:rsid w:val="00D51807"/>
    <w:rsid w:val="00D51F12"/>
    <w:rsid w:val="00D52B16"/>
    <w:rsid w:val="00D53A2D"/>
    <w:rsid w:val="00D55CBF"/>
    <w:rsid w:val="00D60B57"/>
    <w:rsid w:val="00D619AA"/>
    <w:rsid w:val="00D62EF1"/>
    <w:rsid w:val="00D6309D"/>
    <w:rsid w:val="00D637A7"/>
    <w:rsid w:val="00D644CA"/>
    <w:rsid w:val="00D64765"/>
    <w:rsid w:val="00D647B8"/>
    <w:rsid w:val="00D66FC2"/>
    <w:rsid w:val="00D67C9C"/>
    <w:rsid w:val="00D76C7E"/>
    <w:rsid w:val="00D804F0"/>
    <w:rsid w:val="00D823C3"/>
    <w:rsid w:val="00D8631C"/>
    <w:rsid w:val="00D915E1"/>
    <w:rsid w:val="00D92226"/>
    <w:rsid w:val="00D9293F"/>
    <w:rsid w:val="00D93598"/>
    <w:rsid w:val="00D95612"/>
    <w:rsid w:val="00D96526"/>
    <w:rsid w:val="00D96B9A"/>
    <w:rsid w:val="00DA0A33"/>
    <w:rsid w:val="00DA1E18"/>
    <w:rsid w:val="00DA7138"/>
    <w:rsid w:val="00DB05B1"/>
    <w:rsid w:val="00DB2D3C"/>
    <w:rsid w:val="00DB7F14"/>
    <w:rsid w:val="00DC3761"/>
    <w:rsid w:val="00DD217B"/>
    <w:rsid w:val="00DD512E"/>
    <w:rsid w:val="00DD5F89"/>
    <w:rsid w:val="00DD7D45"/>
    <w:rsid w:val="00DE0574"/>
    <w:rsid w:val="00DE1177"/>
    <w:rsid w:val="00DE2CEA"/>
    <w:rsid w:val="00DE6A3C"/>
    <w:rsid w:val="00DE7F97"/>
    <w:rsid w:val="00DF1010"/>
    <w:rsid w:val="00DF1A35"/>
    <w:rsid w:val="00DF5AEA"/>
    <w:rsid w:val="00DF63F6"/>
    <w:rsid w:val="00E0140F"/>
    <w:rsid w:val="00E13161"/>
    <w:rsid w:val="00E13747"/>
    <w:rsid w:val="00E24469"/>
    <w:rsid w:val="00E24C7C"/>
    <w:rsid w:val="00E25AEA"/>
    <w:rsid w:val="00E260A1"/>
    <w:rsid w:val="00E261B9"/>
    <w:rsid w:val="00E270DC"/>
    <w:rsid w:val="00E30DEF"/>
    <w:rsid w:val="00E30ED2"/>
    <w:rsid w:val="00E353C0"/>
    <w:rsid w:val="00E35A2E"/>
    <w:rsid w:val="00E365C7"/>
    <w:rsid w:val="00E375A0"/>
    <w:rsid w:val="00E37F70"/>
    <w:rsid w:val="00E41AF5"/>
    <w:rsid w:val="00E42AF8"/>
    <w:rsid w:val="00E446C1"/>
    <w:rsid w:val="00E5207F"/>
    <w:rsid w:val="00E54B0A"/>
    <w:rsid w:val="00E6107E"/>
    <w:rsid w:val="00E61CB9"/>
    <w:rsid w:val="00E661D0"/>
    <w:rsid w:val="00E66718"/>
    <w:rsid w:val="00E67A88"/>
    <w:rsid w:val="00E71C15"/>
    <w:rsid w:val="00E732A0"/>
    <w:rsid w:val="00E758B9"/>
    <w:rsid w:val="00E834C6"/>
    <w:rsid w:val="00E83780"/>
    <w:rsid w:val="00E85569"/>
    <w:rsid w:val="00E856AF"/>
    <w:rsid w:val="00E86055"/>
    <w:rsid w:val="00E866D9"/>
    <w:rsid w:val="00E905F7"/>
    <w:rsid w:val="00E90E08"/>
    <w:rsid w:val="00E93A01"/>
    <w:rsid w:val="00E93FF8"/>
    <w:rsid w:val="00E96EAF"/>
    <w:rsid w:val="00E97827"/>
    <w:rsid w:val="00EA1752"/>
    <w:rsid w:val="00EA326E"/>
    <w:rsid w:val="00EA5BDB"/>
    <w:rsid w:val="00EB7398"/>
    <w:rsid w:val="00EC00AC"/>
    <w:rsid w:val="00EC02C2"/>
    <w:rsid w:val="00EC0368"/>
    <w:rsid w:val="00EC0586"/>
    <w:rsid w:val="00EC142D"/>
    <w:rsid w:val="00EC2836"/>
    <w:rsid w:val="00EC2AFD"/>
    <w:rsid w:val="00EC412B"/>
    <w:rsid w:val="00ED1B14"/>
    <w:rsid w:val="00ED1D99"/>
    <w:rsid w:val="00ED2B5C"/>
    <w:rsid w:val="00EE1460"/>
    <w:rsid w:val="00EE31A6"/>
    <w:rsid w:val="00EE413F"/>
    <w:rsid w:val="00EF15FF"/>
    <w:rsid w:val="00EF32FA"/>
    <w:rsid w:val="00EF7111"/>
    <w:rsid w:val="00EF7AD1"/>
    <w:rsid w:val="00EF7D1A"/>
    <w:rsid w:val="00F03436"/>
    <w:rsid w:val="00F0448F"/>
    <w:rsid w:val="00F06CDD"/>
    <w:rsid w:val="00F11B2E"/>
    <w:rsid w:val="00F2343D"/>
    <w:rsid w:val="00F240B0"/>
    <w:rsid w:val="00F253B4"/>
    <w:rsid w:val="00F275C0"/>
    <w:rsid w:val="00F30848"/>
    <w:rsid w:val="00F36145"/>
    <w:rsid w:val="00F364D2"/>
    <w:rsid w:val="00F37BDD"/>
    <w:rsid w:val="00F37F3B"/>
    <w:rsid w:val="00F41503"/>
    <w:rsid w:val="00F435B7"/>
    <w:rsid w:val="00F466C8"/>
    <w:rsid w:val="00F50B46"/>
    <w:rsid w:val="00F52372"/>
    <w:rsid w:val="00F52B59"/>
    <w:rsid w:val="00F56A1A"/>
    <w:rsid w:val="00F62746"/>
    <w:rsid w:val="00F629FF"/>
    <w:rsid w:val="00F63D03"/>
    <w:rsid w:val="00F64049"/>
    <w:rsid w:val="00F65E2F"/>
    <w:rsid w:val="00F67DF1"/>
    <w:rsid w:val="00F67EB3"/>
    <w:rsid w:val="00F72807"/>
    <w:rsid w:val="00F74B68"/>
    <w:rsid w:val="00F75FCE"/>
    <w:rsid w:val="00F82A45"/>
    <w:rsid w:val="00F8309B"/>
    <w:rsid w:val="00F833C9"/>
    <w:rsid w:val="00F90064"/>
    <w:rsid w:val="00F9083B"/>
    <w:rsid w:val="00F93185"/>
    <w:rsid w:val="00F9372F"/>
    <w:rsid w:val="00F96AFD"/>
    <w:rsid w:val="00FA00C5"/>
    <w:rsid w:val="00FA0253"/>
    <w:rsid w:val="00FA17E5"/>
    <w:rsid w:val="00FA2371"/>
    <w:rsid w:val="00FA2E19"/>
    <w:rsid w:val="00FA2FAF"/>
    <w:rsid w:val="00FA4A44"/>
    <w:rsid w:val="00FB398B"/>
    <w:rsid w:val="00FB610D"/>
    <w:rsid w:val="00FC441F"/>
    <w:rsid w:val="00FC4724"/>
    <w:rsid w:val="00FD0475"/>
    <w:rsid w:val="00FD14E7"/>
    <w:rsid w:val="00FD4095"/>
    <w:rsid w:val="00FD4CCA"/>
    <w:rsid w:val="00FE2A9E"/>
    <w:rsid w:val="00FF39B0"/>
    <w:rsid w:val="00FF78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2D7F7DA"/>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link w:val="Cmsor2Char"/>
    <w:uiPriority w:val="9"/>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character" w:customStyle="1" w:styleId="Cmsor2Char">
    <w:name w:val="Címsor 2 Char"/>
    <w:link w:val="Cmsor2"/>
    <w:uiPriority w:val="9"/>
    <w:locked/>
    <w:rsid w:val="006979C6"/>
    <w:rPr>
      <w:rFonts w:ascii="Arial" w:hAnsi="Arial" w:cs="Arial"/>
      <w:bCs/>
      <w:iCs/>
      <w:color w:val="E1000F"/>
      <w:sz w:val="22"/>
      <w:szCs w:val="28"/>
      <w:lang w:eastAsia="en-US"/>
    </w:rPr>
  </w:style>
  <w:style w:type="paragraph" w:styleId="NormlWeb">
    <w:name w:val="Normal (Web)"/>
    <w:basedOn w:val="Norml"/>
    <w:uiPriority w:val="99"/>
    <w:unhideWhenUsed/>
    <w:rsid w:val="006979C6"/>
    <w:pPr>
      <w:spacing w:after="105" w:line="240" w:lineRule="auto"/>
    </w:pPr>
    <w:rPr>
      <w:rFonts w:ascii="Times New Roman" w:hAnsi="Times New Roman"/>
      <w:sz w:val="34"/>
      <w:szCs w:val="34"/>
      <w:lang w:eastAsia="de-DE"/>
    </w:rPr>
  </w:style>
  <w:style w:type="character" w:styleId="Mrltotthiperhivatkozs">
    <w:name w:val="FollowedHyperlink"/>
    <w:basedOn w:val="Bekezdsalapbettpusa"/>
    <w:rsid w:val="00BD56B7"/>
    <w:rPr>
      <w:color w:val="954F72" w:themeColor="followedHyperlink"/>
      <w:u w:val="single"/>
    </w:rPr>
  </w:style>
  <w:style w:type="character" w:customStyle="1" w:styleId="Feloldatlanmegemlts1">
    <w:name w:val="Feloldatlan megemlítés1"/>
    <w:basedOn w:val="Bekezdsalapbettpusa"/>
    <w:uiPriority w:val="99"/>
    <w:semiHidden/>
    <w:unhideWhenUsed/>
    <w:rsid w:val="00AB1273"/>
    <w:rPr>
      <w:color w:val="808080"/>
      <w:shd w:val="clear" w:color="auto" w:fill="E6E6E6"/>
    </w:rPr>
  </w:style>
  <w:style w:type="paragraph" w:customStyle="1" w:styleId="PRTopline">
    <w:name w:val="_PR_Topline"/>
    <w:next w:val="Norml"/>
    <w:rsid w:val="00C26894"/>
    <w:pPr>
      <w:keepLines/>
      <w:spacing w:after="320" w:line="320" w:lineRule="exact"/>
    </w:pPr>
    <w:rPr>
      <w:rFonts w:ascii="Arial" w:hAnsi="Arial"/>
      <w:color w:val="000000"/>
      <w:sz w:val="24"/>
      <w:lang w:eastAsia="en-US"/>
    </w:rPr>
  </w:style>
  <w:style w:type="paragraph" w:customStyle="1" w:styleId="PRHeadline">
    <w:name w:val="_PR_Headline"/>
    <w:basedOn w:val="Norml"/>
    <w:next w:val="Norml"/>
    <w:link w:val="PRHeadlineZchn"/>
    <w:rsid w:val="00C26894"/>
    <w:pPr>
      <w:spacing w:after="280" w:line="280" w:lineRule="exact"/>
    </w:pPr>
    <w:rPr>
      <w:b/>
      <w:sz w:val="28"/>
      <w:szCs w:val="20"/>
      <w:lang w:val="hu-HU" w:eastAsia="de-DE"/>
    </w:rPr>
  </w:style>
  <w:style w:type="paragraph" w:customStyle="1" w:styleId="PRCopy">
    <w:name w:val="_PR_Copy"/>
    <w:basedOn w:val="Norml"/>
    <w:uiPriority w:val="99"/>
    <w:rsid w:val="00C26894"/>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paragraph" w:customStyle="1" w:styleId="PRAbstract">
    <w:name w:val="_PR_Abstract"/>
    <w:basedOn w:val="Norml"/>
    <w:next w:val="PRCopy"/>
    <w:link w:val="PRAbstractZchn"/>
    <w:rsid w:val="00C26894"/>
    <w:pPr>
      <w:keepNext/>
      <w:keepLines/>
      <w:widowControl w:val="0"/>
      <w:spacing w:after="280" w:line="280" w:lineRule="exact"/>
      <w:jc w:val="both"/>
    </w:pPr>
    <w:rPr>
      <w:b/>
      <w:szCs w:val="20"/>
      <w:lang w:val="hu-HU" w:eastAsia="de-DE"/>
    </w:rPr>
  </w:style>
  <w:style w:type="character" w:customStyle="1" w:styleId="PRHeadlineZchn">
    <w:name w:val="_PR_Headline Zchn"/>
    <w:link w:val="PRHeadline"/>
    <w:locked/>
    <w:rsid w:val="00C26894"/>
    <w:rPr>
      <w:rFonts w:ascii="Arial" w:hAnsi="Arial"/>
      <w:b/>
      <w:sz w:val="28"/>
      <w:lang w:val="hu-HU"/>
    </w:rPr>
  </w:style>
  <w:style w:type="character" w:customStyle="1" w:styleId="PRAbstractZchn">
    <w:name w:val="_PR_Abstract Zchn"/>
    <w:link w:val="PRAbstract"/>
    <w:uiPriority w:val="99"/>
    <w:locked/>
    <w:rsid w:val="00C26894"/>
    <w:rPr>
      <w:rFonts w:ascii="Arial" w:hAnsi="Arial"/>
      <w:b/>
      <w:lang w:val="hu-HU"/>
    </w:rPr>
  </w:style>
  <w:style w:type="paragraph" w:customStyle="1" w:styleId="PRContact">
    <w:name w:val="_PR_Contact"/>
    <w:basedOn w:val="Norml"/>
    <w:rsid w:val="000B1D64"/>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character" w:customStyle="1" w:styleId="Headline">
    <w:name w:val="Headline"/>
    <w:rsid w:val="007B059C"/>
    <w:rPr>
      <w:rFonts w:cs="Times New Roman"/>
      <w:b/>
      <w:bCs/>
      <w:sz w:val="32"/>
    </w:rPr>
  </w:style>
  <w:style w:type="character" w:customStyle="1" w:styleId="AboutandContactBody">
    <w:name w:val="About and Contact Body"/>
    <w:rsid w:val="007B059C"/>
    <w:rPr>
      <w:rFonts w:ascii="Segoe UI" w:hAnsi="Segoe UI" w:cs="Times New Roman"/>
      <w:sz w:val="18"/>
    </w:rPr>
  </w:style>
  <w:style w:type="character" w:customStyle="1" w:styleId="Ohne">
    <w:name w:val="Ohne"/>
    <w:rsid w:val="007B059C"/>
  </w:style>
  <w:style w:type="paragraph" w:styleId="Listaszerbekezds">
    <w:name w:val="List Paragraph"/>
    <w:basedOn w:val="Norml"/>
    <w:link w:val="ListaszerbekezdsChar"/>
    <w:uiPriority w:val="34"/>
    <w:qFormat/>
    <w:rsid w:val="00864560"/>
    <w:pPr>
      <w:spacing w:line="276" w:lineRule="auto"/>
      <w:ind w:left="720"/>
      <w:contextualSpacing/>
      <w:jc w:val="both"/>
    </w:pPr>
    <w:rPr>
      <w:rFonts w:ascii="Segoe UI" w:hAnsi="Segoe UI"/>
      <w:sz w:val="22"/>
      <w:lang w:val="en-US"/>
    </w:rPr>
  </w:style>
  <w:style w:type="character" w:styleId="Lbjegyzet-hivatkozs">
    <w:name w:val="footnote reference"/>
    <w:basedOn w:val="Bekezdsalapbettpusa"/>
    <w:uiPriority w:val="99"/>
    <w:unhideWhenUsed/>
    <w:rsid w:val="00864560"/>
    <w:rPr>
      <w:rFonts w:cs="Times New Roman"/>
      <w:vertAlign w:val="superscript"/>
    </w:rPr>
  </w:style>
  <w:style w:type="paragraph" w:styleId="Lbjegyzetszveg">
    <w:name w:val="footnote text"/>
    <w:basedOn w:val="Norml"/>
    <w:link w:val="LbjegyzetszvegChar"/>
    <w:uiPriority w:val="99"/>
    <w:rsid w:val="00864560"/>
    <w:pPr>
      <w:spacing w:line="240" w:lineRule="auto"/>
      <w:jc w:val="both"/>
    </w:pPr>
    <w:rPr>
      <w:rFonts w:ascii="Segoe UI" w:hAnsi="Segoe UI"/>
      <w:szCs w:val="20"/>
      <w:lang w:val="en-US"/>
    </w:rPr>
  </w:style>
  <w:style w:type="character" w:customStyle="1" w:styleId="LbjegyzetszvegChar">
    <w:name w:val="Lábjegyzetszöveg Char"/>
    <w:basedOn w:val="Bekezdsalapbettpusa"/>
    <w:link w:val="Lbjegyzetszveg"/>
    <w:uiPriority w:val="99"/>
    <w:rsid w:val="00864560"/>
    <w:rPr>
      <w:rFonts w:ascii="Segoe UI" w:hAnsi="Segoe UI"/>
      <w:lang w:val="en-US" w:eastAsia="en-US"/>
    </w:rPr>
  </w:style>
  <w:style w:type="character" w:customStyle="1" w:styleId="AboutandContactHeadline">
    <w:name w:val="About and Contact Headline"/>
    <w:rsid w:val="004F539E"/>
    <w:rPr>
      <w:rFonts w:ascii="Segoe UI" w:hAnsi="Segoe UI" w:cs="Times New Roman"/>
      <w:b/>
      <w:bCs/>
      <w:sz w:val="18"/>
    </w:rPr>
  </w:style>
  <w:style w:type="character" w:customStyle="1" w:styleId="ListaszerbekezdsChar">
    <w:name w:val="Listaszerű bekezdés Char"/>
    <w:link w:val="Listaszerbekezds"/>
    <w:uiPriority w:val="34"/>
    <w:locked/>
    <w:rsid w:val="00FA2371"/>
    <w:rPr>
      <w:rFonts w:ascii="Segoe UI" w:hAnsi="Segoe UI"/>
      <w:sz w:val="22"/>
      <w:szCs w:val="24"/>
      <w:lang w:val="en-US" w:eastAsia="en-US"/>
    </w:rPr>
  </w:style>
  <w:style w:type="paragraph" w:customStyle="1" w:styleId="xmsonormal">
    <w:name w:val="x_msonormal"/>
    <w:basedOn w:val="Norml"/>
    <w:rsid w:val="00561DF9"/>
    <w:pPr>
      <w:spacing w:line="240" w:lineRule="auto"/>
    </w:pPr>
    <w:rPr>
      <w:rFonts w:ascii="Calibri" w:eastAsiaTheme="minorHAnsi" w:hAnsi="Calibri" w:cs="Calibri"/>
      <w:sz w:val="22"/>
      <w:szCs w:val="22"/>
      <w:lang w:val="hu-HU" w:eastAsia="hu-HU"/>
    </w:rPr>
  </w:style>
  <w:style w:type="paragraph" w:customStyle="1" w:styleId="xmsolistparagraph">
    <w:name w:val="x_msolistparagraph"/>
    <w:basedOn w:val="Norml"/>
    <w:rsid w:val="00561DF9"/>
    <w:pPr>
      <w:spacing w:line="240" w:lineRule="auto"/>
      <w:ind w:left="720"/>
    </w:pPr>
    <w:rPr>
      <w:rFonts w:ascii="Calibri" w:eastAsiaTheme="minorHAnsi" w:hAnsi="Calibri" w:cs="Calibri"/>
      <w:sz w:val="22"/>
      <w:szCs w:val="22"/>
      <w:lang w:val="hu-HU" w:eastAsia="hu-HU"/>
    </w:rPr>
  </w:style>
  <w:style w:type="paragraph" w:styleId="Vltozat">
    <w:name w:val="Revision"/>
    <w:hidden/>
    <w:uiPriority w:val="62"/>
    <w:unhideWhenUsed/>
    <w:rsid w:val="004A1FE0"/>
    <w:rPr>
      <w:rFonts w:ascii="Arial" w:hAnsi="Arial"/>
      <w:szCs w:val="24"/>
      <w:lang w:eastAsia="en-US"/>
    </w:rPr>
  </w:style>
  <w:style w:type="paragraph" w:customStyle="1" w:styleId="Topline">
    <w:name w:val="Topline"/>
    <w:basedOn w:val="Norml"/>
    <w:qFormat/>
    <w:rsid w:val="00D24F37"/>
    <w:pPr>
      <w:spacing w:before="560" w:after="560" w:line="276" w:lineRule="auto"/>
      <w:jc w:val="both"/>
    </w:pPr>
    <w:rPr>
      <w:rFonts w:ascii="Segoe UI" w:hAnsi="Segoe UI" w:cs="Segoe UI"/>
      <w:sz w:val="22"/>
      <w:szCs w:val="22"/>
      <w:lang w:val="en-US"/>
    </w:rPr>
  </w:style>
  <w:style w:type="paragraph" w:customStyle="1" w:styleId="He04Funote">
    <w:name w:val="_He_04_Fußnote"/>
    <w:next w:val="Norml"/>
    <w:qFormat/>
    <w:rsid w:val="00D24F37"/>
    <w:pPr>
      <w:tabs>
        <w:tab w:val="left" w:pos="85"/>
      </w:tabs>
      <w:spacing w:line="256" w:lineRule="auto"/>
      <w:ind w:left="85" w:hanging="85"/>
    </w:pPr>
    <w:rPr>
      <w:rFonts w:ascii="Segoe UI" w:hAnsi="Segoe UI"/>
      <w:sz w:val="1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39589">
      <w:bodyDiv w:val="1"/>
      <w:marLeft w:val="0"/>
      <w:marRight w:val="0"/>
      <w:marTop w:val="0"/>
      <w:marBottom w:val="0"/>
      <w:divBdr>
        <w:top w:val="none" w:sz="0" w:space="0" w:color="auto"/>
        <w:left w:val="none" w:sz="0" w:space="0" w:color="auto"/>
        <w:bottom w:val="none" w:sz="0" w:space="0" w:color="auto"/>
        <w:right w:val="none" w:sz="0" w:space="0" w:color="auto"/>
      </w:divBdr>
    </w:div>
    <w:div w:id="383217003">
      <w:bodyDiv w:val="1"/>
      <w:marLeft w:val="0"/>
      <w:marRight w:val="0"/>
      <w:marTop w:val="0"/>
      <w:marBottom w:val="0"/>
      <w:divBdr>
        <w:top w:val="none" w:sz="0" w:space="0" w:color="auto"/>
        <w:left w:val="none" w:sz="0" w:space="0" w:color="auto"/>
        <w:bottom w:val="none" w:sz="0" w:space="0" w:color="auto"/>
        <w:right w:val="none" w:sz="0" w:space="0" w:color="auto"/>
      </w:divBdr>
    </w:div>
    <w:div w:id="460538831">
      <w:bodyDiv w:val="1"/>
      <w:marLeft w:val="0"/>
      <w:marRight w:val="0"/>
      <w:marTop w:val="0"/>
      <w:marBottom w:val="0"/>
      <w:divBdr>
        <w:top w:val="none" w:sz="0" w:space="0" w:color="auto"/>
        <w:left w:val="none" w:sz="0" w:space="0" w:color="auto"/>
        <w:bottom w:val="none" w:sz="0" w:space="0" w:color="auto"/>
        <w:right w:val="none" w:sz="0" w:space="0" w:color="auto"/>
      </w:divBdr>
    </w:div>
    <w:div w:id="667056656">
      <w:bodyDiv w:val="1"/>
      <w:marLeft w:val="0"/>
      <w:marRight w:val="0"/>
      <w:marTop w:val="0"/>
      <w:marBottom w:val="0"/>
      <w:divBdr>
        <w:top w:val="none" w:sz="0" w:space="0" w:color="auto"/>
        <w:left w:val="none" w:sz="0" w:space="0" w:color="auto"/>
        <w:bottom w:val="none" w:sz="0" w:space="0" w:color="auto"/>
        <w:right w:val="none" w:sz="0" w:space="0" w:color="auto"/>
      </w:divBdr>
    </w:div>
    <w:div w:id="720636965">
      <w:bodyDiv w:val="1"/>
      <w:marLeft w:val="0"/>
      <w:marRight w:val="0"/>
      <w:marTop w:val="0"/>
      <w:marBottom w:val="0"/>
      <w:divBdr>
        <w:top w:val="none" w:sz="0" w:space="0" w:color="auto"/>
        <w:left w:val="none" w:sz="0" w:space="0" w:color="auto"/>
        <w:bottom w:val="none" w:sz="0" w:space="0" w:color="auto"/>
        <w:right w:val="none" w:sz="0" w:space="0" w:color="auto"/>
      </w:divBdr>
    </w:div>
    <w:div w:id="830295495">
      <w:bodyDiv w:val="1"/>
      <w:marLeft w:val="0"/>
      <w:marRight w:val="0"/>
      <w:marTop w:val="0"/>
      <w:marBottom w:val="0"/>
      <w:divBdr>
        <w:top w:val="none" w:sz="0" w:space="0" w:color="auto"/>
        <w:left w:val="none" w:sz="0" w:space="0" w:color="auto"/>
        <w:bottom w:val="none" w:sz="0" w:space="0" w:color="auto"/>
        <w:right w:val="none" w:sz="0" w:space="0" w:color="auto"/>
      </w:divBdr>
    </w:div>
    <w:div w:id="1301305938">
      <w:bodyDiv w:val="1"/>
      <w:marLeft w:val="0"/>
      <w:marRight w:val="0"/>
      <w:marTop w:val="0"/>
      <w:marBottom w:val="0"/>
      <w:divBdr>
        <w:top w:val="none" w:sz="0" w:space="0" w:color="auto"/>
        <w:left w:val="none" w:sz="0" w:space="0" w:color="auto"/>
        <w:bottom w:val="none" w:sz="0" w:space="0" w:color="auto"/>
        <w:right w:val="none" w:sz="0" w:space="0" w:color="auto"/>
      </w:divBdr>
    </w:div>
    <w:div w:id="1328821452">
      <w:bodyDiv w:val="1"/>
      <w:marLeft w:val="0"/>
      <w:marRight w:val="0"/>
      <w:marTop w:val="0"/>
      <w:marBottom w:val="0"/>
      <w:divBdr>
        <w:top w:val="none" w:sz="0" w:space="0" w:color="auto"/>
        <w:left w:val="none" w:sz="0" w:space="0" w:color="auto"/>
        <w:bottom w:val="none" w:sz="0" w:space="0" w:color="auto"/>
        <w:right w:val="none" w:sz="0" w:space="0" w:color="auto"/>
      </w:divBdr>
    </w:div>
    <w:div w:id="15188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hu" TargetMode="External"/><Relationship Id="rId13" Type="http://schemas.openxmlformats.org/officeDocument/2006/relationships/hyperlink" Target="mailto:dennis.starke@henke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ulf.klueppelholz@henke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ott@henkel.com" TargetMode="External"/><Relationship Id="rId5" Type="http://schemas.openxmlformats.org/officeDocument/2006/relationships/webSettings" Target="webSettings.xml"/><Relationship Id="rId15" Type="http://schemas.openxmlformats.org/officeDocument/2006/relationships/hyperlink" Target="mailto:vallalati.kommunikacio@henkel.com" TargetMode="External"/><Relationship Id="rId10" Type="http://schemas.openxmlformats.org/officeDocument/2006/relationships/hyperlink" Target="mailto:lars.witteck@henke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eslie.iltgen@henkel.com" TargetMode="External"/><Relationship Id="rId14" Type="http://schemas.openxmlformats.org/officeDocument/2006/relationships/hyperlink" Target="mailto:hanna.philipps@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AC10-3804-4961-9E65-0031E9EA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Template>
  <TotalTime>0</TotalTime>
  <Pages>9</Pages>
  <Words>2937</Words>
  <Characters>20181</Characters>
  <Application>Microsoft Office Word</Application>
  <DocSecurity>0</DocSecurity>
  <Lines>347</Lines>
  <Paragraphs>93</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23025</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80</cp:revision>
  <cp:lastPrinted>2016-11-16T08:11:00Z</cp:lastPrinted>
  <dcterms:created xsi:type="dcterms:W3CDTF">2024-03-04T11:21:00Z</dcterms:created>
  <dcterms:modified xsi:type="dcterms:W3CDTF">2024-03-05T07:15:00Z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1b2f1761ea53f61bf5cbb7788794a095d9e75e416bbb13664ac06edfd13bfd24</vt:lpwstr>
  </property>
</Properties>
</file>