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E9F2" w14:textId="6F527A72" w:rsidR="00333BC8" w:rsidRPr="00620AC6" w:rsidRDefault="00333BC8" w:rsidP="00081692">
      <w:pPr>
        <w:pStyle w:val="MonthDayYear"/>
        <w:tabs>
          <w:tab w:val="left" w:pos="7371"/>
        </w:tabs>
        <w:jc w:val="left"/>
      </w:pPr>
    </w:p>
    <w:p w14:paraId="55D5E39A" w14:textId="1E1CF033" w:rsidR="00B422EC" w:rsidRPr="00620AC6" w:rsidRDefault="00333BC8" w:rsidP="00081692">
      <w:pPr>
        <w:pStyle w:val="MonthDayYear"/>
        <w:tabs>
          <w:tab w:val="left" w:pos="7371"/>
        </w:tabs>
        <w:jc w:val="left"/>
      </w:pPr>
      <w:r w:rsidRPr="00620AC6">
        <w:rPr>
          <w:rFonts w:hint="eastAsia"/>
        </w:rPr>
        <w:tab/>
      </w:r>
      <w:r w:rsidRPr="002C0D59">
        <w:rPr>
          <w:rFonts w:hint="eastAsia"/>
          <w:highlight w:val="yellow"/>
        </w:rPr>
        <w:t>2024</w:t>
      </w:r>
      <w:r w:rsidRPr="002C0D59">
        <w:rPr>
          <w:rFonts w:hint="eastAsia"/>
          <w:highlight w:val="yellow"/>
        </w:rPr>
        <w:t>年</w:t>
      </w:r>
      <w:r w:rsidRPr="002C0D59">
        <w:rPr>
          <w:rFonts w:hint="eastAsia"/>
          <w:highlight w:val="yellow"/>
        </w:rPr>
        <w:t>3</w:t>
      </w:r>
      <w:r w:rsidRPr="002C0D59">
        <w:rPr>
          <w:rFonts w:hint="eastAsia"/>
          <w:highlight w:val="yellow"/>
        </w:rPr>
        <w:t>月</w:t>
      </w:r>
      <w:r w:rsidR="00501563" w:rsidRPr="002C0D59">
        <w:rPr>
          <w:highlight w:val="yellow"/>
        </w:rPr>
        <w:t>6</w:t>
      </w:r>
      <w:r w:rsidRPr="002C0D59">
        <w:rPr>
          <w:rFonts w:hint="eastAsia"/>
          <w:highlight w:val="yellow"/>
        </w:rPr>
        <w:t>日</w:t>
      </w:r>
    </w:p>
    <w:p w14:paraId="166A9534" w14:textId="2FCB7B04" w:rsidR="00497D5E" w:rsidRPr="00620AC6" w:rsidRDefault="00620AC6" w:rsidP="00620AC6">
      <w:pPr>
        <w:pStyle w:val="Topline"/>
        <w:spacing w:after="240"/>
        <w:jc w:val="left"/>
        <w:rPr>
          <w:rFonts w:asciiTheme="majorHAnsi" w:eastAsiaTheme="majorEastAsia" w:hAnsiTheme="majorHAnsi" w:cstheme="majorHAnsi"/>
        </w:rPr>
      </w:pPr>
      <w:r>
        <w:rPr>
          <w:rFonts w:asciiTheme="majorHAnsi" w:eastAsiaTheme="majorEastAsia" w:hAnsiTheme="majorHAnsi"/>
        </w:rPr>
        <w:br/>
      </w:r>
      <w:r w:rsidR="00333BC8" w:rsidRPr="00620AC6">
        <w:rPr>
          <w:rFonts w:asciiTheme="majorHAnsi" w:eastAsiaTheme="majorEastAsia" w:hAnsiTheme="majorHAnsi" w:hint="eastAsia"/>
        </w:rPr>
        <w:t>在充满挑战的环境中加快实施战略增长议程</w:t>
      </w:r>
    </w:p>
    <w:p w14:paraId="3FE075DA" w14:textId="3FFEC88C" w:rsidR="00633B49" w:rsidRPr="00620AC6" w:rsidRDefault="00333BC8" w:rsidP="00C208E2">
      <w:pPr>
        <w:jc w:val="left"/>
        <w:rPr>
          <w:rStyle w:val="Headline"/>
          <w:rFonts w:asciiTheme="majorHAnsi" w:eastAsiaTheme="majorEastAsia" w:hAnsiTheme="majorHAnsi" w:cstheme="majorHAnsi"/>
        </w:rPr>
      </w:pPr>
      <w:r w:rsidRPr="00620AC6">
        <w:rPr>
          <w:rStyle w:val="Headline"/>
          <w:rFonts w:asciiTheme="majorHAnsi" w:eastAsiaTheme="majorEastAsia" w:hAnsiTheme="majorHAnsi" w:hint="eastAsia"/>
        </w:rPr>
        <w:t>汉高</w:t>
      </w:r>
      <w:r w:rsidRPr="00620AC6">
        <w:rPr>
          <w:rStyle w:val="Headline"/>
          <w:rFonts w:asciiTheme="majorHAnsi" w:eastAsiaTheme="majorEastAsia" w:hAnsiTheme="majorHAnsi" w:hint="eastAsia"/>
        </w:rPr>
        <w:t>2023</w:t>
      </w:r>
      <w:r w:rsidRPr="00620AC6">
        <w:rPr>
          <w:rStyle w:val="Headline"/>
          <w:rFonts w:asciiTheme="majorHAnsi" w:eastAsiaTheme="majorEastAsia" w:hAnsiTheme="majorHAnsi" w:hint="eastAsia"/>
        </w:rPr>
        <w:t>年</w:t>
      </w:r>
      <w:r w:rsidR="00FA2DAE" w:rsidRPr="00620AC6">
        <w:rPr>
          <w:rStyle w:val="Headline"/>
          <w:rFonts w:asciiTheme="majorHAnsi" w:eastAsiaTheme="majorEastAsia" w:hAnsiTheme="majorHAnsi" w:hint="eastAsia"/>
        </w:rPr>
        <w:t>有机销售额</w:t>
      </w:r>
      <w:r w:rsidRPr="00620AC6">
        <w:rPr>
          <w:rStyle w:val="Headline"/>
          <w:rFonts w:asciiTheme="majorHAnsi" w:eastAsiaTheme="majorEastAsia" w:hAnsiTheme="majorHAnsi" w:hint="eastAsia"/>
        </w:rPr>
        <w:t>实现非常强劲的增长，</w:t>
      </w:r>
      <w:r w:rsidR="00FA2DAE">
        <w:rPr>
          <w:rStyle w:val="Headline"/>
          <w:rFonts w:asciiTheme="majorHAnsi" w:eastAsiaTheme="majorEastAsia" w:hAnsiTheme="majorHAnsi" w:hint="eastAsia"/>
        </w:rPr>
        <w:t>并</w:t>
      </w:r>
      <w:r w:rsidR="00FA2DAE" w:rsidRPr="00620AC6">
        <w:rPr>
          <w:rStyle w:val="Headline"/>
          <w:rFonts w:asciiTheme="majorHAnsi" w:eastAsiaTheme="majorEastAsia" w:hAnsiTheme="majorHAnsi" w:hint="eastAsia"/>
        </w:rPr>
        <w:t>显著改善</w:t>
      </w:r>
      <w:r w:rsidRPr="00620AC6">
        <w:rPr>
          <w:rStyle w:val="Headline"/>
          <w:rFonts w:asciiTheme="majorHAnsi" w:eastAsiaTheme="majorEastAsia" w:hAnsiTheme="majorHAnsi" w:hint="eastAsia"/>
        </w:rPr>
        <w:t>盈利情况</w:t>
      </w:r>
    </w:p>
    <w:p w14:paraId="5E22EDC4" w14:textId="77777777" w:rsidR="00A54C2A" w:rsidRPr="00620AC6" w:rsidRDefault="00A54C2A" w:rsidP="00C65957">
      <w:pPr>
        <w:spacing w:line="240" w:lineRule="auto"/>
        <w:jc w:val="left"/>
        <w:rPr>
          <w:sz w:val="16"/>
          <w:szCs w:val="16"/>
        </w:rPr>
      </w:pPr>
    </w:p>
    <w:p w14:paraId="7C1E8132" w14:textId="4154E22C" w:rsidR="00333BC8" w:rsidRPr="00501563" w:rsidRDefault="00333BC8" w:rsidP="00501563">
      <w:pPr>
        <w:pStyle w:val="ab"/>
        <w:numPr>
          <w:ilvl w:val="0"/>
          <w:numId w:val="7"/>
        </w:numPr>
        <w:spacing w:after="80"/>
        <w:ind w:left="357" w:right="-108" w:hanging="357"/>
        <w:contextualSpacing w:val="0"/>
        <w:jc w:val="left"/>
        <w:rPr>
          <w:rFonts w:asciiTheme="majorHAnsi" w:eastAsiaTheme="majorEastAsia" w:hAnsiTheme="majorHAnsi" w:cstheme="majorHAnsi"/>
          <w:b/>
          <w:szCs w:val="22"/>
        </w:rPr>
      </w:pPr>
      <w:bookmarkStart w:id="0" w:name="_Hlk64363173"/>
      <w:bookmarkStart w:id="1" w:name="_Hlk43712519"/>
      <w:r w:rsidRPr="00620AC6">
        <w:rPr>
          <w:rFonts w:asciiTheme="majorHAnsi" w:eastAsiaTheme="majorEastAsia" w:hAnsiTheme="majorHAnsi" w:hint="eastAsia"/>
          <w:b/>
        </w:rPr>
        <w:t>2023</w:t>
      </w:r>
      <w:r w:rsidRPr="00620AC6">
        <w:rPr>
          <w:rFonts w:asciiTheme="majorHAnsi" w:eastAsiaTheme="majorEastAsia" w:hAnsiTheme="majorHAnsi" w:hint="eastAsia"/>
          <w:b/>
        </w:rPr>
        <w:t>年业绩表现强劲</w:t>
      </w:r>
      <w:bookmarkEnd w:id="0"/>
      <w:bookmarkEnd w:id="1"/>
    </w:p>
    <w:p w14:paraId="50631AFC" w14:textId="09EDAF9D" w:rsidR="00635616" w:rsidRPr="00620AC6" w:rsidRDefault="00333BC8" w:rsidP="0048769E">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销售额：</w:t>
      </w:r>
      <w:r w:rsidRPr="00620AC6">
        <w:rPr>
          <w:rFonts w:asciiTheme="majorHAnsi" w:eastAsiaTheme="majorEastAsia" w:hAnsiTheme="majorHAnsi" w:hint="eastAsia"/>
          <w:b/>
        </w:rPr>
        <w:t>215</w:t>
      </w:r>
      <w:r w:rsidRPr="00620AC6">
        <w:rPr>
          <w:rFonts w:asciiTheme="majorHAnsi" w:eastAsiaTheme="majorEastAsia" w:hAnsiTheme="majorHAnsi" w:hint="eastAsia"/>
          <w:b/>
        </w:rPr>
        <w:t>亿欧元，有机</w:t>
      </w:r>
      <w:r w:rsidR="00FA2DAE">
        <w:rPr>
          <w:rFonts w:asciiTheme="majorHAnsi" w:eastAsiaTheme="majorEastAsia" w:hAnsiTheme="majorHAnsi" w:hint="eastAsia"/>
          <w:b/>
        </w:rPr>
        <w:t>销售额强劲</w:t>
      </w:r>
      <w:r w:rsidRPr="00620AC6">
        <w:rPr>
          <w:rFonts w:asciiTheme="majorHAnsi" w:eastAsiaTheme="majorEastAsia" w:hAnsiTheme="majorHAnsi" w:hint="eastAsia"/>
          <w:b/>
        </w:rPr>
        <w:t>增长</w:t>
      </w:r>
      <w:r w:rsidR="00FA2DAE">
        <w:rPr>
          <w:rFonts w:asciiTheme="majorHAnsi" w:eastAsiaTheme="majorEastAsia" w:hAnsiTheme="majorHAnsi" w:hint="eastAsia"/>
          <w:b/>
        </w:rPr>
        <w:t>4</w:t>
      </w:r>
      <w:r w:rsidR="00FA2DAE">
        <w:rPr>
          <w:rFonts w:asciiTheme="majorHAnsi" w:eastAsiaTheme="majorEastAsia" w:hAnsiTheme="majorHAnsi"/>
          <w:b/>
        </w:rPr>
        <w:t>.2%</w:t>
      </w:r>
    </w:p>
    <w:p w14:paraId="6851D1BA" w14:textId="7E76C08B" w:rsidR="00E86D6E" w:rsidRPr="00620AC6" w:rsidRDefault="00333BC8" w:rsidP="0048769E">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营业利润（息税前利润）</w:t>
      </w:r>
      <w:r w:rsidRPr="00620AC6">
        <w:rPr>
          <w:rFonts w:asciiTheme="majorHAnsi" w:eastAsiaTheme="majorEastAsia" w:hAnsiTheme="majorHAnsi" w:hint="eastAsia"/>
          <w:b/>
        </w:rPr>
        <w:t>*</w:t>
      </w:r>
      <w:r w:rsidRPr="00620AC6">
        <w:rPr>
          <w:rFonts w:asciiTheme="majorHAnsi" w:eastAsiaTheme="majorEastAsia" w:hAnsiTheme="majorHAnsi" w:hint="eastAsia"/>
          <w:b/>
        </w:rPr>
        <w:t>：</w:t>
      </w:r>
      <w:r w:rsidRPr="00620AC6">
        <w:rPr>
          <w:rFonts w:asciiTheme="majorHAnsi" w:eastAsiaTheme="majorEastAsia" w:hAnsiTheme="majorHAnsi" w:hint="eastAsia"/>
          <w:b/>
        </w:rPr>
        <w:t>26</w:t>
      </w:r>
      <w:r w:rsidRPr="00620AC6">
        <w:rPr>
          <w:rFonts w:asciiTheme="majorHAnsi" w:eastAsiaTheme="majorEastAsia" w:hAnsiTheme="majorHAnsi" w:hint="eastAsia"/>
          <w:b/>
        </w:rPr>
        <w:t>亿欧元，显著增长</w:t>
      </w:r>
      <w:r w:rsidRPr="00620AC6">
        <w:rPr>
          <w:rFonts w:asciiTheme="majorHAnsi" w:eastAsiaTheme="majorEastAsia" w:hAnsiTheme="majorHAnsi" w:hint="eastAsia"/>
          <w:b/>
        </w:rPr>
        <w:t>10.2%</w:t>
      </w:r>
    </w:p>
    <w:p w14:paraId="74237D27" w14:textId="32677E07" w:rsidR="00256174" w:rsidRPr="00620AC6" w:rsidRDefault="00333BC8" w:rsidP="0048769E">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息税前利润率</w:t>
      </w:r>
      <w:r w:rsidRPr="00620AC6">
        <w:rPr>
          <w:rFonts w:asciiTheme="majorHAnsi" w:eastAsiaTheme="majorEastAsia" w:hAnsiTheme="majorHAnsi" w:hint="eastAsia"/>
          <w:b/>
        </w:rPr>
        <w:t>*</w:t>
      </w:r>
      <w:r w:rsidRPr="00620AC6">
        <w:rPr>
          <w:rFonts w:asciiTheme="majorHAnsi" w:eastAsiaTheme="majorEastAsia" w:hAnsiTheme="majorHAnsi" w:hint="eastAsia"/>
          <w:b/>
        </w:rPr>
        <w:t>：</w:t>
      </w:r>
      <w:r w:rsidRPr="00620AC6">
        <w:rPr>
          <w:rFonts w:asciiTheme="majorHAnsi" w:eastAsiaTheme="majorEastAsia" w:hAnsiTheme="majorHAnsi" w:hint="eastAsia"/>
          <w:b/>
        </w:rPr>
        <w:t>11.9%</w:t>
      </w:r>
      <w:r w:rsidRPr="00620AC6">
        <w:rPr>
          <w:rFonts w:asciiTheme="majorHAnsi" w:eastAsiaTheme="majorEastAsia" w:hAnsiTheme="majorHAnsi" w:hint="eastAsia"/>
          <w:b/>
        </w:rPr>
        <w:t>，大幅提高</w:t>
      </w:r>
      <w:r w:rsidRPr="00620AC6">
        <w:rPr>
          <w:rFonts w:asciiTheme="majorHAnsi" w:eastAsiaTheme="majorEastAsia" w:hAnsiTheme="majorHAnsi" w:hint="eastAsia"/>
          <w:b/>
        </w:rPr>
        <w:t>150</w:t>
      </w:r>
      <w:r w:rsidRPr="00620AC6">
        <w:rPr>
          <w:rFonts w:asciiTheme="majorHAnsi" w:eastAsiaTheme="majorEastAsia" w:hAnsiTheme="majorHAnsi" w:hint="eastAsia"/>
          <w:b/>
        </w:rPr>
        <w:t>个基点</w:t>
      </w:r>
    </w:p>
    <w:p w14:paraId="2A509BBD" w14:textId="2CC5A2A3" w:rsidR="00635616" w:rsidRPr="00620AC6" w:rsidRDefault="00333BC8" w:rsidP="00A54C2A">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优先股每股收益（</w:t>
      </w:r>
      <w:r w:rsidRPr="00620AC6">
        <w:rPr>
          <w:rFonts w:asciiTheme="majorHAnsi" w:eastAsiaTheme="majorEastAsia" w:hAnsiTheme="majorHAnsi" w:hint="eastAsia"/>
          <w:b/>
        </w:rPr>
        <w:t>EPS</w:t>
      </w:r>
      <w:r w:rsidRPr="00620AC6">
        <w:rPr>
          <w:rFonts w:asciiTheme="majorHAnsi" w:eastAsiaTheme="majorEastAsia" w:hAnsiTheme="majorHAnsi" w:hint="eastAsia"/>
          <w:b/>
        </w:rPr>
        <w:t>）</w:t>
      </w:r>
      <w:r w:rsidRPr="00620AC6">
        <w:rPr>
          <w:rFonts w:asciiTheme="majorHAnsi" w:eastAsiaTheme="majorEastAsia" w:hAnsiTheme="majorHAnsi" w:hint="eastAsia"/>
          <w:b/>
        </w:rPr>
        <w:t>*</w:t>
      </w:r>
      <w:r w:rsidRPr="00620AC6">
        <w:rPr>
          <w:rFonts w:asciiTheme="majorHAnsi" w:eastAsiaTheme="majorEastAsia" w:hAnsiTheme="majorHAnsi" w:hint="eastAsia"/>
          <w:b/>
        </w:rPr>
        <w:t>显著增长：</w:t>
      </w:r>
      <w:r w:rsidRPr="00620AC6">
        <w:rPr>
          <w:rFonts w:asciiTheme="majorHAnsi" w:eastAsiaTheme="majorEastAsia" w:hAnsiTheme="majorHAnsi" w:hint="eastAsia"/>
          <w:b/>
        </w:rPr>
        <w:t>4.35</w:t>
      </w:r>
      <w:r w:rsidRPr="00620AC6">
        <w:rPr>
          <w:rFonts w:asciiTheme="majorHAnsi" w:eastAsiaTheme="majorEastAsia" w:hAnsiTheme="majorHAnsi" w:hint="eastAsia"/>
          <w:b/>
        </w:rPr>
        <w:t>欧元，按固定汇率计算增长</w:t>
      </w:r>
      <w:r w:rsidRPr="00620AC6">
        <w:rPr>
          <w:rFonts w:asciiTheme="majorHAnsi" w:eastAsiaTheme="majorEastAsia" w:hAnsiTheme="majorHAnsi" w:hint="eastAsia"/>
          <w:b/>
        </w:rPr>
        <w:t>20.0%</w:t>
      </w:r>
    </w:p>
    <w:p w14:paraId="303431FE" w14:textId="3BBD35B5" w:rsidR="000F333E" w:rsidRPr="00620AC6" w:rsidRDefault="00333BC8"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自由现金流再创新高，达到</w:t>
      </w:r>
      <w:r w:rsidRPr="00620AC6">
        <w:rPr>
          <w:rFonts w:asciiTheme="majorHAnsi" w:eastAsiaTheme="majorEastAsia" w:hAnsiTheme="majorHAnsi" w:hint="eastAsia"/>
          <w:b/>
        </w:rPr>
        <w:t>26</w:t>
      </w:r>
      <w:r w:rsidRPr="00620AC6">
        <w:rPr>
          <w:rFonts w:asciiTheme="majorHAnsi" w:eastAsiaTheme="majorEastAsia" w:hAnsiTheme="majorHAnsi" w:hint="eastAsia"/>
          <w:b/>
        </w:rPr>
        <w:t>亿欧元</w:t>
      </w:r>
    </w:p>
    <w:p w14:paraId="24CC4569" w14:textId="67C6232C" w:rsidR="003B79E1" w:rsidRPr="00620AC6" w:rsidRDefault="00333BC8" w:rsidP="00314B5C">
      <w:pPr>
        <w:pStyle w:val="ab"/>
        <w:numPr>
          <w:ilvl w:val="0"/>
          <w:numId w:val="7"/>
        </w:numPr>
        <w:spacing w:after="80"/>
        <w:ind w:left="357" w:right="-108" w:hanging="357"/>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拟稳定派息：优先股每股</w:t>
      </w:r>
      <w:r w:rsidRPr="00620AC6">
        <w:rPr>
          <w:rFonts w:asciiTheme="majorHAnsi" w:eastAsiaTheme="majorEastAsia" w:hAnsiTheme="majorHAnsi" w:hint="eastAsia"/>
          <w:b/>
        </w:rPr>
        <w:t>1.85</w:t>
      </w:r>
      <w:r w:rsidRPr="00620AC6">
        <w:rPr>
          <w:rFonts w:asciiTheme="majorHAnsi" w:eastAsiaTheme="majorEastAsia" w:hAnsiTheme="majorHAnsi" w:hint="eastAsia"/>
          <w:b/>
        </w:rPr>
        <w:t>欧元</w:t>
      </w:r>
    </w:p>
    <w:p w14:paraId="718ADD21" w14:textId="59C5B591" w:rsidR="003B0BD0" w:rsidRPr="00620AC6" w:rsidRDefault="00333BC8" w:rsidP="00314B5C">
      <w:pPr>
        <w:numPr>
          <w:ilvl w:val="0"/>
          <w:numId w:val="7"/>
        </w:numPr>
        <w:spacing w:after="80"/>
        <w:ind w:left="357" w:right="-108" w:hanging="357"/>
        <w:jc w:val="left"/>
        <w:rPr>
          <w:rFonts w:asciiTheme="majorHAnsi" w:eastAsiaTheme="majorEastAsia" w:hAnsiTheme="majorHAnsi" w:cstheme="majorHAnsi"/>
          <w:b/>
          <w:szCs w:val="22"/>
        </w:rPr>
      </w:pPr>
      <w:r w:rsidRPr="00620AC6">
        <w:rPr>
          <w:rFonts w:asciiTheme="majorHAnsi" w:eastAsiaTheme="majorEastAsia" w:hAnsiTheme="majorHAnsi" w:hint="eastAsia"/>
          <w:b/>
        </w:rPr>
        <w:t>进一步加快实施目标性增长议程</w:t>
      </w:r>
    </w:p>
    <w:p w14:paraId="10A21537" w14:textId="34FD10B8" w:rsidR="00CD61BB" w:rsidRPr="00620AC6" w:rsidRDefault="00333BC8" w:rsidP="00FA5086">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消费品牌业务部：合并</w:t>
      </w:r>
      <w:r w:rsidR="006940E2">
        <w:rPr>
          <w:rFonts w:asciiTheme="majorHAnsi" w:eastAsiaTheme="majorEastAsia" w:hAnsiTheme="majorHAnsi" w:hint="eastAsia"/>
          <w:b/>
        </w:rPr>
        <w:t>进程</w:t>
      </w:r>
      <w:r w:rsidRPr="00620AC6">
        <w:rPr>
          <w:rFonts w:asciiTheme="majorHAnsi" w:eastAsiaTheme="majorEastAsia" w:hAnsiTheme="majorHAnsi" w:hint="eastAsia"/>
          <w:b/>
        </w:rPr>
        <w:t>快于计划</w:t>
      </w:r>
    </w:p>
    <w:p w14:paraId="78F02862" w14:textId="2DA27143" w:rsidR="00497D5E" w:rsidRPr="00620AC6" w:rsidRDefault="00333BC8"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粘合剂技术业务部：新的组织更加强调以客户为中心</w:t>
      </w:r>
    </w:p>
    <w:p w14:paraId="0B992B5E" w14:textId="1CAF4741" w:rsidR="00CA11E8" w:rsidRPr="00620AC6" w:rsidRDefault="00333BC8"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两</w:t>
      </w:r>
      <w:r w:rsidR="006940E2">
        <w:rPr>
          <w:rFonts w:asciiTheme="majorHAnsi" w:eastAsiaTheme="majorEastAsia" w:hAnsiTheme="majorHAnsi" w:hint="eastAsia"/>
          <w:b/>
        </w:rPr>
        <w:t>大</w:t>
      </w:r>
      <w:r w:rsidRPr="00620AC6">
        <w:rPr>
          <w:rFonts w:asciiTheme="majorHAnsi" w:eastAsiaTheme="majorEastAsia" w:hAnsiTheme="majorHAnsi" w:hint="eastAsia"/>
          <w:b/>
        </w:rPr>
        <w:t>业务部</w:t>
      </w:r>
      <w:r w:rsidR="006940E2">
        <w:rPr>
          <w:rFonts w:asciiTheme="majorHAnsi" w:eastAsiaTheme="majorEastAsia" w:hAnsiTheme="majorHAnsi" w:hint="eastAsia"/>
          <w:b/>
        </w:rPr>
        <w:t>门</w:t>
      </w:r>
      <w:r w:rsidRPr="00620AC6">
        <w:rPr>
          <w:rFonts w:asciiTheme="majorHAnsi" w:eastAsiaTheme="majorEastAsia" w:hAnsiTheme="majorHAnsi" w:hint="eastAsia"/>
          <w:b/>
        </w:rPr>
        <w:t>都</w:t>
      </w:r>
      <w:r w:rsidR="006940E2">
        <w:rPr>
          <w:rFonts w:asciiTheme="majorHAnsi" w:eastAsiaTheme="majorEastAsia" w:hAnsiTheme="majorHAnsi" w:hint="eastAsia"/>
          <w:b/>
        </w:rPr>
        <w:t>因针对性的收购而壮大</w:t>
      </w:r>
    </w:p>
    <w:p w14:paraId="5D16A815" w14:textId="3C0851C5" w:rsidR="009A743E" w:rsidRPr="00620AC6" w:rsidRDefault="00333BC8"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在关键领域推动可持续发展</w:t>
      </w:r>
    </w:p>
    <w:p w14:paraId="5A937B4F" w14:textId="676EE716" w:rsidR="00A54C2A" w:rsidRPr="00620AC6" w:rsidRDefault="00333BC8" w:rsidP="00705B2A">
      <w:pPr>
        <w:numPr>
          <w:ilvl w:val="0"/>
          <w:numId w:val="7"/>
        </w:numPr>
        <w:spacing w:after="80"/>
        <w:ind w:left="357" w:right="-108" w:hanging="357"/>
        <w:jc w:val="left"/>
        <w:rPr>
          <w:rFonts w:asciiTheme="majorHAnsi" w:eastAsiaTheme="majorEastAsia" w:hAnsiTheme="majorHAnsi" w:cstheme="majorHAnsi"/>
          <w:b/>
          <w:szCs w:val="22"/>
        </w:rPr>
      </w:pPr>
      <w:r w:rsidRPr="00620AC6">
        <w:rPr>
          <w:rFonts w:asciiTheme="majorHAnsi" w:eastAsiaTheme="majorEastAsia" w:hAnsiTheme="majorHAnsi" w:hint="eastAsia"/>
          <w:b/>
        </w:rPr>
        <w:t>2024</w:t>
      </w:r>
      <w:r w:rsidRPr="00620AC6">
        <w:rPr>
          <w:rFonts w:asciiTheme="majorHAnsi" w:eastAsiaTheme="majorEastAsia" w:hAnsiTheme="majorHAnsi" w:hint="eastAsia"/>
          <w:b/>
        </w:rPr>
        <w:t>财年展望</w:t>
      </w:r>
      <w:r w:rsidRPr="00620AC6">
        <w:rPr>
          <w:rFonts w:asciiTheme="majorHAnsi" w:eastAsiaTheme="majorEastAsia" w:hAnsiTheme="majorHAnsi" w:hint="eastAsia"/>
          <w:b/>
        </w:rPr>
        <w:t xml:space="preserve"> - </w:t>
      </w:r>
      <w:r w:rsidRPr="00620AC6">
        <w:rPr>
          <w:rFonts w:asciiTheme="majorHAnsi" w:eastAsiaTheme="majorEastAsia" w:hAnsiTheme="majorHAnsi" w:hint="eastAsia"/>
          <w:b/>
        </w:rPr>
        <w:t>聚焦盈利性增长</w:t>
      </w:r>
    </w:p>
    <w:p w14:paraId="66EE683A" w14:textId="302ECBB0" w:rsidR="00A54C2A" w:rsidRPr="00620AC6" w:rsidRDefault="00333BC8" w:rsidP="00A54C2A">
      <w:pPr>
        <w:pStyle w:val="ab"/>
        <w:numPr>
          <w:ilvl w:val="1"/>
          <w:numId w:val="7"/>
        </w:numPr>
        <w:spacing w:after="80" w:line="266" w:lineRule="auto"/>
        <w:ind w:left="1077" w:right="-108" w:hanging="357"/>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有机销售额增长：</w:t>
      </w:r>
      <w:r w:rsidRPr="00620AC6">
        <w:rPr>
          <w:rFonts w:asciiTheme="majorHAnsi" w:eastAsiaTheme="majorEastAsia" w:hAnsiTheme="majorHAnsi" w:hint="eastAsia"/>
          <w:b/>
        </w:rPr>
        <w:t>2.0</w:t>
      </w:r>
      <w:r w:rsidR="006940E2">
        <w:rPr>
          <w:rFonts w:asciiTheme="majorHAnsi" w:eastAsiaTheme="majorEastAsia" w:hAnsiTheme="majorHAnsi"/>
          <w:b/>
        </w:rPr>
        <w:t>%</w:t>
      </w:r>
      <w:r w:rsidR="006940E2">
        <w:rPr>
          <w:rFonts w:asciiTheme="majorHAnsi" w:eastAsiaTheme="majorEastAsia" w:hAnsiTheme="majorHAnsi" w:hint="eastAsia"/>
          <w:b/>
        </w:rPr>
        <w:t>至</w:t>
      </w:r>
      <w:r w:rsidRPr="00620AC6">
        <w:rPr>
          <w:rFonts w:asciiTheme="majorHAnsi" w:eastAsiaTheme="majorEastAsia" w:hAnsiTheme="majorHAnsi" w:hint="eastAsia"/>
          <w:b/>
        </w:rPr>
        <w:t>4.0</w:t>
      </w:r>
      <w:r w:rsidR="006940E2">
        <w:rPr>
          <w:rFonts w:asciiTheme="majorHAnsi" w:eastAsiaTheme="majorEastAsia" w:hAnsiTheme="majorHAnsi" w:hint="eastAsia"/>
          <w:b/>
        </w:rPr>
        <w:t>%</w:t>
      </w:r>
    </w:p>
    <w:p w14:paraId="632173CD" w14:textId="1F5A6907" w:rsidR="00A54C2A" w:rsidRPr="00620AC6" w:rsidRDefault="00333BC8" w:rsidP="00A54C2A">
      <w:pPr>
        <w:pStyle w:val="ab"/>
        <w:numPr>
          <w:ilvl w:val="1"/>
          <w:numId w:val="7"/>
        </w:numPr>
        <w:spacing w:after="80" w:line="266" w:lineRule="auto"/>
        <w:ind w:left="1077" w:right="-108" w:hanging="357"/>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息税前利润率</w:t>
      </w:r>
      <w:r w:rsidRPr="00620AC6">
        <w:rPr>
          <w:rFonts w:asciiTheme="majorHAnsi" w:eastAsiaTheme="majorEastAsia" w:hAnsiTheme="majorHAnsi" w:hint="eastAsia"/>
          <w:b/>
        </w:rPr>
        <w:t>*</w:t>
      </w:r>
      <w:r w:rsidRPr="00620AC6">
        <w:rPr>
          <w:rFonts w:asciiTheme="majorHAnsi" w:eastAsiaTheme="majorEastAsia" w:hAnsiTheme="majorHAnsi" w:hint="eastAsia"/>
          <w:b/>
        </w:rPr>
        <w:t>：</w:t>
      </w:r>
      <w:r w:rsidRPr="00620AC6">
        <w:rPr>
          <w:rFonts w:asciiTheme="majorHAnsi" w:eastAsiaTheme="majorEastAsia" w:hAnsiTheme="majorHAnsi" w:hint="eastAsia"/>
          <w:b/>
        </w:rPr>
        <w:t>12.0</w:t>
      </w:r>
      <w:r w:rsidR="006940E2">
        <w:rPr>
          <w:rFonts w:asciiTheme="majorHAnsi" w:eastAsiaTheme="majorEastAsia" w:hAnsiTheme="majorHAnsi"/>
          <w:b/>
        </w:rPr>
        <w:t>%</w:t>
      </w:r>
      <w:r w:rsidR="006940E2">
        <w:rPr>
          <w:rFonts w:asciiTheme="majorHAnsi" w:eastAsiaTheme="majorEastAsia" w:hAnsiTheme="majorHAnsi" w:hint="eastAsia"/>
          <w:b/>
        </w:rPr>
        <w:t>至</w:t>
      </w:r>
      <w:r w:rsidRPr="00620AC6">
        <w:rPr>
          <w:rFonts w:asciiTheme="majorHAnsi" w:eastAsiaTheme="majorEastAsia" w:hAnsiTheme="majorHAnsi" w:hint="eastAsia"/>
          <w:b/>
        </w:rPr>
        <w:t>13.5</w:t>
      </w:r>
      <w:r w:rsidR="006940E2">
        <w:rPr>
          <w:rFonts w:asciiTheme="majorHAnsi" w:eastAsiaTheme="majorEastAsia" w:hAnsiTheme="majorHAnsi" w:hint="eastAsia"/>
          <w:b/>
        </w:rPr>
        <w:t>%</w:t>
      </w:r>
    </w:p>
    <w:p w14:paraId="15646D8C" w14:textId="6A7C0529" w:rsidR="00A54C2A" w:rsidRPr="00620AC6" w:rsidRDefault="00333BC8" w:rsidP="00205C66">
      <w:pPr>
        <w:pStyle w:val="ab"/>
        <w:numPr>
          <w:ilvl w:val="1"/>
          <w:numId w:val="7"/>
        </w:numPr>
        <w:spacing w:after="80" w:line="266" w:lineRule="auto"/>
        <w:ind w:left="1077" w:right="-108" w:hanging="357"/>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rPr>
        <w:t>优先股每股收益（</w:t>
      </w:r>
      <w:r w:rsidRPr="00620AC6">
        <w:rPr>
          <w:rFonts w:asciiTheme="majorHAnsi" w:eastAsiaTheme="majorEastAsia" w:hAnsiTheme="majorHAnsi" w:hint="eastAsia"/>
          <w:b/>
        </w:rPr>
        <w:t>EPS</w:t>
      </w:r>
      <w:r w:rsidRPr="00620AC6">
        <w:rPr>
          <w:rFonts w:asciiTheme="majorHAnsi" w:eastAsiaTheme="majorEastAsia" w:hAnsiTheme="majorHAnsi" w:hint="eastAsia"/>
          <w:b/>
        </w:rPr>
        <w:t>）</w:t>
      </w:r>
      <w:r w:rsidRPr="00620AC6">
        <w:rPr>
          <w:rFonts w:asciiTheme="majorHAnsi" w:eastAsiaTheme="majorEastAsia" w:hAnsiTheme="majorHAnsi" w:hint="eastAsia"/>
          <w:b/>
        </w:rPr>
        <w:t>*</w:t>
      </w:r>
      <w:r w:rsidRPr="00620AC6">
        <w:rPr>
          <w:rFonts w:asciiTheme="majorHAnsi" w:eastAsiaTheme="majorEastAsia" w:hAnsiTheme="majorHAnsi" w:hint="eastAsia"/>
          <w:b/>
        </w:rPr>
        <w:t>：增长</w:t>
      </w:r>
      <w:r w:rsidRPr="00620AC6">
        <w:rPr>
          <w:rFonts w:asciiTheme="majorHAnsi" w:eastAsiaTheme="majorEastAsia" w:hAnsiTheme="majorHAnsi" w:hint="eastAsia"/>
          <w:b/>
        </w:rPr>
        <w:t>5%</w:t>
      </w:r>
      <w:r w:rsidRPr="00620AC6">
        <w:rPr>
          <w:rFonts w:asciiTheme="majorHAnsi" w:eastAsiaTheme="majorEastAsia" w:hAnsiTheme="majorHAnsi" w:hint="eastAsia"/>
          <w:b/>
        </w:rPr>
        <w:t>至</w:t>
      </w:r>
      <w:r w:rsidRPr="00620AC6">
        <w:rPr>
          <w:rFonts w:asciiTheme="majorHAnsi" w:eastAsiaTheme="majorEastAsia" w:hAnsiTheme="majorHAnsi" w:hint="eastAsia"/>
          <w:b/>
        </w:rPr>
        <w:t>20%</w:t>
      </w:r>
      <w:bookmarkStart w:id="2" w:name="_Hlk160561354"/>
      <w:r w:rsidRPr="00620AC6">
        <w:rPr>
          <w:rFonts w:asciiTheme="majorHAnsi" w:eastAsiaTheme="majorEastAsia" w:hAnsiTheme="majorHAnsi" w:hint="eastAsia"/>
          <w:b/>
        </w:rPr>
        <w:t>（按固定汇率计算）</w:t>
      </w:r>
      <w:bookmarkEnd w:id="2"/>
    </w:p>
    <w:p w14:paraId="48CB40D1" w14:textId="35915AFF" w:rsidR="00A54C2A" w:rsidRPr="00620AC6" w:rsidRDefault="00A54C2A" w:rsidP="00C65957">
      <w:pPr>
        <w:spacing w:line="240" w:lineRule="auto"/>
        <w:rPr>
          <w:rFonts w:cs="Segoe UI"/>
          <w:sz w:val="16"/>
          <w:szCs w:val="16"/>
        </w:rPr>
      </w:pPr>
    </w:p>
    <w:p w14:paraId="0228BF91" w14:textId="4BF106E0" w:rsidR="00CF56F5" w:rsidRDefault="00635616" w:rsidP="00CF56F5">
      <w:pPr>
        <w:rPr>
          <w:b/>
        </w:rPr>
      </w:pPr>
      <w:r w:rsidRPr="00620AC6">
        <w:rPr>
          <w:rFonts w:hint="eastAsia"/>
          <w:b/>
        </w:rPr>
        <w:t>杜塞尔多夫</w:t>
      </w:r>
      <w:r w:rsidRPr="00620AC6">
        <w:rPr>
          <w:rFonts w:hint="eastAsia"/>
          <w:b/>
        </w:rPr>
        <w:t xml:space="preserve"> </w:t>
      </w:r>
      <w:r w:rsidR="002C0D59">
        <w:rPr>
          <w:rFonts w:hint="eastAsia"/>
          <w:b/>
        </w:rPr>
        <w:t>——</w:t>
      </w:r>
      <w:r w:rsidRPr="00620AC6">
        <w:rPr>
          <w:rFonts w:hint="eastAsia"/>
          <w:b/>
        </w:rPr>
        <w:t xml:space="preserve"> </w:t>
      </w:r>
      <w:r w:rsidRPr="00620AC6">
        <w:rPr>
          <w:rFonts w:hint="eastAsia"/>
          <w:b/>
        </w:rPr>
        <w:t>汉高首席执行官卡斯滕·诺贝尔（</w:t>
      </w:r>
      <w:r w:rsidRPr="00620AC6">
        <w:rPr>
          <w:rFonts w:hint="eastAsia"/>
          <w:b/>
        </w:rPr>
        <w:t>Carsten Knobel</w:t>
      </w:r>
      <w:r w:rsidRPr="00620AC6">
        <w:rPr>
          <w:rFonts w:hint="eastAsia"/>
          <w:b/>
        </w:rPr>
        <w:t>）表示：“尽管面对持续严峻的市场环境，我们在</w:t>
      </w:r>
      <w:r w:rsidRPr="00620AC6">
        <w:rPr>
          <w:rFonts w:hint="eastAsia"/>
          <w:b/>
        </w:rPr>
        <w:t>2023</w:t>
      </w:r>
      <w:r w:rsidRPr="00620AC6">
        <w:rPr>
          <w:rFonts w:hint="eastAsia"/>
          <w:b/>
        </w:rPr>
        <w:t>年仍不断推进增长战略，甚至加快了实施</w:t>
      </w:r>
      <w:r w:rsidR="00A1176D">
        <w:rPr>
          <w:rFonts w:hint="eastAsia"/>
          <w:b/>
        </w:rPr>
        <w:t>的</w:t>
      </w:r>
      <w:r w:rsidRPr="00620AC6">
        <w:rPr>
          <w:rFonts w:hint="eastAsia"/>
          <w:b/>
        </w:rPr>
        <w:t>进程。我们实现了</w:t>
      </w:r>
      <w:r w:rsidRPr="00620AC6">
        <w:rPr>
          <w:rFonts w:hint="eastAsia"/>
          <w:b/>
        </w:rPr>
        <w:lastRenderedPageBreak/>
        <w:t>非常强劲的有机销售额增长，并大幅提高了盈利能力。得益于此，我们超越了年初制定的发展预期。这一成就</w:t>
      </w:r>
      <w:r w:rsidR="00A1176D">
        <w:rPr>
          <w:rFonts w:hint="eastAsia"/>
          <w:b/>
        </w:rPr>
        <w:t>是由</w:t>
      </w:r>
      <w:r w:rsidRPr="00620AC6">
        <w:rPr>
          <w:rFonts w:hint="eastAsia"/>
          <w:b/>
        </w:rPr>
        <w:t>粘合剂技术和消费品牌</w:t>
      </w:r>
      <w:r w:rsidR="00A1176D">
        <w:rPr>
          <w:rFonts w:hint="eastAsia"/>
          <w:b/>
        </w:rPr>
        <w:t>两大</w:t>
      </w:r>
      <w:r w:rsidRPr="00620AC6">
        <w:rPr>
          <w:rFonts w:hint="eastAsia"/>
          <w:b/>
        </w:rPr>
        <w:t>业务部</w:t>
      </w:r>
      <w:r w:rsidR="00A1176D">
        <w:rPr>
          <w:rFonts w:hint="eastAsia"/>
          <w:b/>
        </w:rPr>
        <w:t>门所共同推动的</w:t>
      </w:r>
      <w:r w:rsidRPr="00620AC6">
        <w:rPr>
          <w:rFonts w:hint="eastAsia"/>
          <w:b/>
        </w:rPr>
        <w:t>。”</w:t>
      </w:r>
    </w:p>
    <w:p w14:paraId="7835F848" w14:textId="172D89C9" w:rsidR="00260318" w:rsidRPr="00620AC6" w:rsidRDefault="00260318" w:rsidP="00900D3C">
      <w:pPr>
        <w:rPr>
          <w:rFonts w:cs="Segoe UI"/>
          <w:b/>
          <w:bCs/>
          <w:szCs w:val="22"/>
        </w:rPr>
      </w:pPr>
    </w:p>
    <w:p w14:paraId="12FF932E" w14:textId="16317CB3" w:rsidR="00431E14" w:rsidRPr="00620AC6" w:rsidRDefault="00431E14" w:rsidP="00900D3C">
      <w:pPr>
        <w:rPr>
          <w:rFonts w:cs="Segoe UI"/>
          <w:b/>
          <w:bCs/>
          <w:szCs w:val="22"/>
        </w:rPr>
      </w:pPr>
      <w:r w:rsidRPr="00620AC6">
        <w:rPr>
          <w:rFonts w:hint="eastAsia"/>
          <w:b/>
        </w:rPr>
        <w:t>“在合并</w:t>
      </w:r>
      <w:r w:rsidR="00221E7D">
        <w:rPr>
          <w:rFonts w:hint="eastAsia"/>
          <w:b/>
        </w:rPr>
        <w:t>原先的</w:t>
      </w:r>
      <w:r w:rsidRPr="00620AC6">
        <w:rPr>
          <w:rFonts w:hint="eastAsia"/>
          <w:b/>
        </w:rPr>
        <w:t>洗涤剂及家居护理和化妆品</w:t>
      </w:r>
      <w:r w:rsidRPr="00620AC6">
        <w:rPr>
          <w:rFonts w:hint="eastAsia"/>
          <w:b/>
        </w:rPr>
        <w:t>/</w:t>
      </w:r>
      <w:r w:rsidRPr="00620AC6">
        <w:rPr>
          <w:rFonts w:hint="eastAsia"/>
          <w:b/>
        </w:rPr>
        <w:t>美容用品两个业务部门，并组建新的消费品牌业务部方面，我们也取得了比原计划更快的进展。</w:t>
      </w:r>
      <w:r w:rsidR="00EC4E15">
        <w:rPr>
          <w:rFonts w:hint="eastAsia"/>
          <w:b/>
        </w:rPr>
        <w:t>整合所带来的成本节约</w:t>
      </w:r>
      <w:r w:rsidRPr="00620AC6">
        <w:rPr>
          <w:rFonts w:hint="eastAsia"/>
          <w:b/>
        </w:rPr>
        <w:t>和持续的产品组合调整措施也为该业务部的强劲业绩</w:t>
      </w:r>
      <w:r w:rsidR="00EC4E15">
        <w:rPr>
          <w:rFonts w:hint="eastAsia"/>
          <w:b/>
        </w:rPr>
        <w:t>表现</w:t>
      </w:r>
      <w:r w:rsidRPr="00620AC6">
        <w:rPr>
          <w:rFonts w:hint="eastAsia"/>
          <w:b/>
        </w:rPr>
        <w:t>做出了贡献。在粘合剂技术业务部新管理</w:t>
      </w:r>
      <w:r w:rsidR="00272538">
        <w:rPr>
          <w:rFonts w:hint="eastAsia"/>
          <w:b/>
        </w:rPr>
        <w:t>团队</w:t>
      </w:r>
      <w:r w:rsidRPr="00620AC6">
        <w:rPr>
          <w:rFonts w:hint="eastAsia"/>
          <w:b/>
        </w:rPr>
        <w:t>的领导下，我们</w:t>
      </w:r>
      <w:r w:rsidR="00EC4E15">
        <w:rPr>
          <w:rFonts w:hint="eastAsia"/>
          <w:b/>
        </w:rPr>
        <w:t>调整了</w:t>
      </w:r>
      <w:r w:rsidRPr="00620AC6">
        <w:rPr>
          <w:rFonts w:hint="eastAsia"/>
          <w:b/>
        </w:rPr>
        <w:t>组织</w:t>
      </w:r>
      <w:r w:rsidR="00EC4E15">
        <w:rPr>
          <w:rFonts w:hint="eastAsia"/>
          <w:b/>
        </w:rPr>
        <w:t>架构以更贴近</w:t>
      </w:r>
      <w:r w:rsidRPr="00620AC6">
        <w:rPr>
          <w:rFonts w:hint="eastAsia"/>
          <w:b/>
        </w:rPr>
        <w:t>客户。在总体动荡的行业环境中，我们</w:t>
      </w:r>
      <w:r w:rsidR="001F561A" w:rsidRPr="00620AC6">
        <w:rPr>
          <w:rFonts w:hint="eastAsia"/>
          <w:b/>
        </w:rPr>
        <w:t>实现了有机</w:t>
      </w:r>
      <w:r w:rsidRPr="00620AC6">
        <w:rPr>
          <w:rFonts w:hint="eastAsia"/>
          <w:b/>
        </w:rPr>
        <w:t>销售额增长，</w:t>
      </w:r>
      <w:r w:rsidR="00A00E49">
        <w:rPr>
          <w:rFonts w:hint="eastAsia"/>
          <w:b/>
        </w:rPr>
        <w:t>并大幅改善</w:t>
      </w:r>
      <w:r w:rsidRPr="00620AC6">
        <w:rPr>
          <w:rFonts w:hint="eastAsia"/>
          <w:b/>
        </w:rPr>
        <w:t>盈利情况。此外，我们还通过针对性的收购进一步</w:t>
      </w:r>
      <w:r w:rsidR="001816A1">
        <w:rPr>
          <w:rFonts w:hint="eastAsia"/>
          <w:b/>
        </w:rPr>
        <w:t>壮大</w:t>
      </w:r>
      <w:r w:rsidRPr="00620AC6">
        <w:rPr>
          <w:rFonts w:hint="eastAsia"/>
          <w:b/>
        </w:rPr>
        <w:t>了两个业务部</w:t>
      </w:r>
      <w:r w:rsidR="001816A1">
        <w:rPr>
          <w:rFonts w:hint="eastAsia"/>
          <w:b/>
        </w:rPr>
        <w:t>门</w:t>
      </w:r>
      <w:r w:rsidRPr="00620AC6">
        <w:rPr>
          <w:rFonts w:hint="eastAsia"/>
          <w:b/>
        </w:rPr>
        <w:t>。基于出色的业绩，并根据我们的股息政策，我们将在年度股东大会上提议向股东稳定派息。”</w:t>
      </w:r>
    </w:p>
    <w:p w14:paraId="2CECA86B" w14:textId="77777777" w:rsidR="00900D3C" w:rsidRPr="00620AC6" w:rsidRDefault="00900D3C" w:rsidP="00900D3C">
      <w:pPr>
        <w:rPr>
          <w:rFonts w:cs="Segoe UI"/>
          <w:b/>
          <w:bCs/>
          <w:szCs w:val="22"/>
        </w:rPr>
      </w:pPr>
    </w:p>
    <w:p w14:paraId="328BA988" w14:textId="4DF5D247" w:rsidR="00F56FA9" w:rsidRPr="00620AC6" w:rsidRDefault="00333BC8" w:rsidP="00900D3C">
      <w:pPr>
        <w:rPr>
          <w:rFonts w:cs="Segoe UI"/>
          <w:b/>
          <w:bCs/>
          <w:szCs w:val="22"/>
        </w:rPr>
      </w:pPr>
      <w:r w:rsidRPr="00620AC6">
        <w:rPr>
          <w:rFonts w:hint="eastAsia"/>
          <w:b/>
        </w:rPr>
        <w:t>“我要衷心感谢汉高全体员工，正是他们的团队精神和奉献精神才使公司渡过了充满挑战的时期。作为一个强大的全球团队，我们成功推动了目标性增长议程，在所有战略重点上均取得了切实进展，并</w:t>
      </w:r>
      <w:r w:rsidR="001816A1">
        <w:rPr>
          <w:rFonts w:hint="eastAsia"/>
          <w:b/>
        </w:rPr>
        <w:t>推动</w:t>
      </w:r>
      <w:r w:rsidRPr="00620AC6">
        <w:rPr>
          <w:rFonts w:hint="eastAsia"/>
          <w:b/>
        </w:rPr>
        <w:t>了相关业务的发展。这让我感到非常自豪，并对我们的未来充满信心。”</w:t>
      </w:r>
    </w:p>
    <w:p w14:paraId="37715923" w14:textId="77777777" w:rsidR="002C0D59" w:rsidRDefault="002C0D59" w:rsidP="00900D3C">
      <w:pPr>
        <w:spacing w:after="80"/>
        <w:rPr>
          <w:rFonts w:cs="Segoe UI"/>
          <w:szCs w:val="22"/>
          <w:lang w:eastAsia="de-DE"/>
        </w:rPr>
      </w:pPr>
    </w:p>
    <w:p w14:paraId="2706BE4B" w14:textId="3D98FC9E" w:rsidR="000C47D1" w:rsidRPr="00620AC6" w:rsidRDefault="00333BC8" w:rsidP="000C47D1">
      <w:pPr>
        <w:rPr>
          <w:rFonts w:cs="Segoe UI"/>
          <w:b/>
          <w:bCs/>
          <w:szCs w:val="22"/>
        </w:rPr>
      </w:pPr>
      <w:r w:rsidRPr="00620AC6">
        <w:rPr>
          <w:rFonts w:hint="eastAsia"/>
          <w:b/>
        </w:rPr>
        <w:t>2023</w:t>
      </w:r>
      <w:r w:rsidRPr="00620AC6">
        <w:rPr>
          <w:rFonts w:hint="eastAsia"/>
          <w:b/>
        </w:rPr>
        <w:t>财年集团销售额及盈利表现</w:t>
      </w:r>
    </w:p>
    <w:p w14:paraId="659E997C" w14:textId="06475D0C" w:rsidR="00C15DB5" w:rsidRPr="00620AC6" w:rsidRDefault="00C15DB5" w:rsidP="006C4B3D">
      <w:pPr>
        <w:rPr>
          <w:rFonts w:cs="Segoe UI"/>
          <w:szCs w:val="22"/>
        </w:rPr>
      </w:pPr>
    </w:p>
    <w:p w14:paraId="17098BE0" w14:textId="0F7D32CF" w:rsidR="00915A2F" w:rsidRPr="00620AC6" w:rsidRDefault="00333BC8" w:rsidP="00B42E73">
      <w:pPr>
        <w:rPr>
          <w:rFonts w:cs="Segoe UI"/>
          <w:szCs w:val="22"/>
        </w:rPr>
      </w:pPr>
      <w:r w:rsidRPr="00620AC6">
        <w:rPr>
          <w:rFonts w:hint="eastAsia"/>
        </w:rPr>
        <w:t>汉高集团</w:t>
      </w:r>
      <w:r w:rsidRPr="00620AC6">
        <w:rPr>
          <w:rFonts w:hint="eastAsia"/>
        </w:rPr>
        <w:t>2023</w:t>
      </w:r>
      <w:r w:rsidRPr="00620AC6">
        <w:rPr>
          <w:rFonts w:hint="eastAsia"/>
        </w:rPr>
        <w:t>财年的</w:t>
      </w:r>
      <w:r w:rsidRPr="00620AC6">
        <w:rPr>
          <w:rFonts w:hint="eastAsia"/>
          <w:b/>
          <w:bCs/>
        </w:rPr>
        <w:t>销售额</w:t>
      </w:r>
      <w:r w:rsidRPr="00620AC6">
        <w:rPr>
          <w:rFonts w:hint="eastAsia"/>
        </w:rPr>
        <w:t>达到</w:t>
      </w:r>
      <w:r w:rsidRPr="00620AC6">
        <w:rPr>
          <w:rFonts w:hint="eastAsia"/>
        </w:rPr>
        <w:t>215.14</w:t>
      </w:r>
      <w:r w:rsidRPr="00620AC6">
        <w:rPr>
          <w:rFonts w:hint="eastAsia"/>
        </w:rPr>
        <w:t>亿欧元，与去年相比名义下降</w:t>
      </w:r>
      <w:r w:rsidRPr="00620AC6">
        <w:rPr>
          <w:rFonts w:hint="eastAsia"/>
        </w:rPr>
        <w:t>3.9%</w:t>
      </w:r>
      <w:r w:rsidRPr="00620AC6">
        <w:rPr>
          <w:rFonts w:hint="eastAsia"/>
        </w:rPr>
        <w:t>。外汇因素导致销售额下滑</w:t>
      </w:r>
      <w:r w:rsidRPr="00620AC6">
        <w:rPr>
          <w:rFonts w:hint="eastAsia"/>
        </w:rPr>
        <w:t>4.3%</w:t>
      </w:r>
      <w:r w:rsidRPr="00620AC6">
        <w:rPr>
          <w:rFonts w:hint="eastAsia"/>
        </w:rPr>
        <w:t>。收购</w:t>
      </w:r>
      <w:r w:rsidRPr="00620AC6">
        <w:rPr>
          <w:rFonts w:hint="eastAsia"/>
        </w:rPr>
        <w:t>/</w:t>
      </w:r>
      <w:r w:rsidRPr="00620AC6">
        <w:rPr>
          <w:rFonts w:hint="eastAsia"/>
        </w:rPr>
        <w:t>撤资导致销售额下降</w:t>
      </w:r>
      <w:r w:rsidRPr="00620AC6">
        <w:rPr>
          <w:rFonts w:hint="eastAsia"/>
        </w:rPr>
        <w:t>3.9%</w:t>
      </w:r>
      <w:r w:rsidRPr="00620AC6">
        <w:rPr>
          <w:rFonts w:hint="eastAsia"/>
        </w:rPr>
        <w:t>，这主要是由于</w:t>
      </w:r>
      <w:r w:rsidR="001816A1" w:rsidRPr="00620AC6">
        <w:rPr>
          <w:rFonts w:hint="eastAsia"/>
        </w:rPr>
        <w:t>剥离</w:t>
      </w:r>
      <w:r w:rsidR="001816A1">
        <w:rPr>
          <w:rFonts w:hint="eastAsia"/>
        </w:rPr>
        <w:t>了在</w:t>
      </w:r>
      <w:r w:rsidRPr="00620AC6">
        <w:rPr>
          <w:rFonts w:hint="eastAsia"/>
        </w:rPr>
        <w:t>俄罗斯</w:t>
      </w:r>
      <w:r w:rsidR="001816A1">
        <w:rPr>
          <w:rFonts w:hint="eastAsia"/>
        </w:rPr>
        <w:t>的</w:t>
      </w:r>
      <w:r w:rsidRPr="00620AC6">
        <w:rPr>
          <w:rFonts w:hint="eastAsia"/>
        </w:rPr>
        <w:t>业务活动</w:t>
      </w:r>
      <w:r w:rsidR="001816A1">
        <w:rPr>
          <w:rFonts w:hint="eastAsia"/>
        </w:rPr>
        <w:t>所致</w:t>
      </w:r>
      <w:r w:rsidRPr="00620AC6">
        <w:rPr>
          <w:rFonts w:hint="eastAsia"/>
        </w:rPr>
        <w:t>。</w:t>
      </w:r>
      <w:r w:rsidR="001816A1">
        <w:rPr>
          <w:rFonts w:hint="eastAsia"/>
        </w:rPr>
        <w:t>尽管</w:t>
      </w:r>
      <w:r w:rsidR="001816A1" w:rsidRPr="00620AC6">
        <w:rPr>
          <w:rFonts w:hint="eastAsia"/>
        </w:rPr>
        <w:t>销量有所下滑</w:t>
      </w:r>
      <w:r w:rsidR="001816A1">
        <w:rPr>
          <w:rFonts w:hint="eastAsia"/>
        </w:rPr>
        <w:t>，</w:t>
      </w:r>
      <w:r w:rsidR="001816A1" w:rsidRPr="00620AC6">
        <w:rPr>
          <w:rFonts w:hint="eastAsia"/>
        </w:rPr>
        <w:t>价格以较高个位数百分比增长</w:t>
      </w:r>
      <w:r w:rsidR="001816A1">
        <w:rPr>
          <w:rFonts w:hint="eastAsia"/>
        </w:rPr>
        <w:t>。这推动实现了</w:t>
      </w:r>
      <w:r w:rsidRPr="00620AC6">
        <w:rPr>
          <w:rFonts w:hint="eastAsia"/>
          <w:b/>
          <w:bCs/>
        </w:rPr>
        <w:t>有机销售额</w:t>
      </w:r>
      <w:r w:rsidR="001816A1" w:rsidRPr="00620AC6">
        <w:rPr>
          <w:rFonts w:hint="eastAsia"/>
        </w:rPr>
        <w:t>4.2%</w:t>
      </w:r>
      <w:r w:rsidR="001816A1">
        <w:rPr>
          <w:rFonts w:hint="eastAsia"/>
        </w:rPr>
        <w:t>的强劲</w:t>
      </w:r>
      <w:r w:rsidRPr="00620AC6">
        <w:rPr>
          <w:rFonts w:hint="eastAsia"/>
        </w:rPr>
        <w:t>增长。不过，下半年的销量有了明显的连续性改善。</w:t>
      </w:r>
    </w:p>
    <w:p w14:paraId="6811750A" w14:textId="77777777" w:rsidR="008B3557" w:rsidRPr="00620AC6" w:rsidRDefault="008B3557" w:rsidP="008B3557">
      <w:pPr>
        <w:rPr>
          <w:rFonts w:cs="Segoe UI"/>
          <w:szCs w:val="22"/>
        </w:rPr>
      </w:pPr>
    </w:p>
    <w:p w14:paraId="227794CD" w14:textId="5C6F39F1" w:rsidR="00B42E73" w:rsidRPr="00620AC6" w:rsidRDefault="00333BC8" w:rsidP="00B42E73">
      <w:pPr>
        <w:rPr>
          <w:rFonts w:cs="Segoe UI"/>
          <w:szCs w:val="22"/>
        </w:rPr>
      </w:pPr>
      <w:r w:rsidRPr="00620AC6">
        <w:rPr>
          <w:rFonts w:hint="eastAsia"/>
        </w:rPr>
        <w:t>在移动和电子业务以及工匠、建筑和专业业务领域的推动下，</w:t>
      </w:r>
      <w:r w:rsidRPr="00620AC6">
        <w:rPr>
          <w:rFonts w:hint="eastAsia"/>
          <w:b/>
          <w:bCs/>
        </w:rPr>
        <w:t>粘合剂技术</w:t>
      </w:r>
      <w:r w:rsidRPr="00620AC6">
        <w:rPr>
          <w:rFonts w:hint="eastAsia"/>
        </w:rPr>
        <w:t>业务部实现了强劲的有机销售额增长，</w:t>
      </w:r>
      <w:r w:rsidR="00E05BB1">
        <w:rPr>
          <w:rFonts w:hint="eastAsia"/>
        </w:rPr>
        <w:t>增幅</w:t>
      </w:r>
      <w:r w:rsidRPr="00620AC6">
        <w:rPr>
          <w:rFonts w:hint="eastAsia"/>
        </w:rPr>
        <w:t>达</w:t>
      </w:r>
      <w:r w:rsidRPr="00620AC6">
        <w:rPr>
          <w:rFonts w:hint="eastAsia"/>
        </w:rPr>
        <w:t>3.2%</w:t>
      </w:r>
      <w:r w:rsidRPr="00620AC6">
        <w:rPr>
          <w:rFonts w:hint="eastAsia"/>
        </w:rPr>
        <w:t>。在洗涤剂及家用护理</w:t>
      </w:r>
      <w:r w:rsidR="005E3B74">
        <w:rPr>
          <w:rFonts w:hint="eastAsia"/>
        </w:rPr>
        <w:t>业务以及</w:t>
      </w:r>
      <w:r w:rsidRPr="00620AC6">
        <w:rPr>
          <w:rFonts w:hint="eastAsia"/>
        </w:rPr>
        <w:t>美发业务领域的推动下，</w:t>
      </w:r>
      <w:r w:rsidRPr="00620AC6">
        <w:rPr>
          <w:rFonts w:hint="eastAsia"/>
          <w:b/>
          <w:bCs/>
        </w:rPr>
        <w:t>消费品牌</w:t>
      </w:r>
      <w:r w:rsidRPr="00620AC6">
        <w:rPr>
          <w:rFonts w:hint="eastAsia"/>
        </w:rPr>
        <w:t>业务部实现了</w:t>
      </w:r>
      <w:r w:rsidRPr="00620AC6">
        <w:rPr>
          <w:rFonts w:hint="eastAsia"/>
        </w:rPr>
        <w:t>6.1%</w:t>
      </w:r>
      <w:r w:rsidRPr="00620AC6">
        <w:rPr>
          <w:rFonts w:hint="eastAsia"/>
        </w:rPr>
        <w:t>的强劲有机销售额增长。</w:t>
      </w:r>
    </w:p>
    <w:p w14:paraId="0336CC9F" w14:textId="77777777" w:rsidR="00481EFF" w:rsidRPr="00620AC6" w:rsidRDefault="00481EFF" w:rsidP="00B42E73">
      <w:pPr>
        <w:rPr>
          <w:rFonts w:cs="Segoe UI"/>
          <w:b/>
          <w:bCs/>
          <w:szCs w:val="22"/>
        </w:rPr>
      </w:pPr>
    </w:p>
    <w:p w14:paraId="0D9C51FD" w14:textId="0529B7E2" w:rsidR="00B42E73" w:rsidRPr="00620AC6" w:rsidRDefault="00333BC8" w:rsidP="00B42E73">
      <w:pPr>
        <w:rPr>
          <w:rFonts w:cs="Segoe UI"/>
          <w:szCs w:val="22"/>
        </w:rPr>
      </w:pPr>
      <w:r w:rsidRPr="00620AC6">
        <w:rPr>
          <w:rFonts w:hint="eastAsia"/>
          <w:b/>
          <w:bCs/>
        </w:rPr>
        <w:t>调整后的营业利润</w:t>
      </w:r>
      <w:r w:rsidRPr="00620AC6">
        <w:rPr>
          <w:rFonts w:hint="eastAsia"/>
        </w:rPr>
        <w:t>（调整后的息税前利润）大幅增长</w:t>
      </w:r>
      <w:r w:rsidRPr="00620AC6">
        <w:rPr>
          <w:rFonts w:hint="eastAsia"/>
        </w:rPr>
        <w:t>10.2%</w:t>
      </w:r>
      <w:r w:rsidRPr="00620AC6">
        <w:rPr>
          <w:rFonts w:hint="eastAsia"/>
        </w:rPr>
        <w:t>，达到</w:t>
      </w:r>
      <w:r w:rsidRPr="00620AC6">
        <w:rPr>
          <w:rFonts w:hint="eastAsia"/>
        </w:rPr>
        <w:t>25.56</w:t>
      </w:r>
      <w:r w:rsidRPr="00620AC6">
        <w:rPr>
          <w:rFonts w:hint="eastAsia"/>
        </w:rPr>
        <w:t>亿欧元（去年：</w:t>
      </w:r>
      <w:r w:rsidRPr="00620AC6">
        <w:rPr>
          <w:rFonts w:hint="eastAsia"/>
        </w:rPr>
        <w:t>23.19</w:t>
      </w:r>
      <w:r w:rsidRPr="00620AC6">
        <w:rPr>
          <w:rFonts w:hint="eastAsia"/>
        </w:rPr>
        <w:t>亿欧元）。销售价格的增长</w:t>
      </w:r>
      <w:r w:rsidR="005E3B74">
        <w:rPr>
          <w:rFonts w:hint="eastAsia"/>
        </w:rPr>
        <w:t>、</w:t>
      </w:r>
      <w:r w:rsidRPr="00620AC6">
        <w:rPr>
          <w:rFonts w:hint="eastAsia"/>
        </w:rPr>
        <w:t>降低成本并提高生产和供应链效率的持续措施</w:t>
      </w:r>
      <w:r w:rsidR="005E3B74">
        <w:rPr>
          <w:rFonts w:hint="eastAsia"/>
        </w:rPr>
        <w:t>，</w:t>
      </w:r>
      <w:r w:rsidRPr="00620AC6">
        <w:rPr>
          <w:rFonts w:hint="eastAsia"/>
        </w:rPr>
        <w:t>以及产品组合优化措施</w:t>
      </w:r>
      <w:r w:rsidR="005E3B74">
        <w:rPr>
          <w:rFonts w:hint="eastAsia"/>
        </w:rPr>
        <w:t>所带来的正面效应远超于</w:t>
      </w:r>
      <w:r w:rsidRPr="00620AC6">
        <w:rPr>
          <w:rFonts w:hint="eastAsia"/>
        </w:rPr>
        <w:t>直接材料和物流价格持续上涨对集团盈利能力的负面影响。</w:t>
      </w:r>
      <w:r w:rsidRPr="00620AC6">
        <w:rPr>
          <w:rFonts w:hint="eastAsia"/>
        </w:rPr>
        <w:t xml:space="preserve"> </w:t>
      </w:r>
    </w:p>
    <w:p w14:paraId="0604CD43" w14:textId="77777777" w:rsidR="00B42E73" w:rsidRPr="00620AC6" w:rsidRDefault="00B42E73" w:rsidP="00B42E73">
      <w:pPr>
        <w:rPr>
          <w:rFonts w:cs="Segoe UI"/>
          <w:szCs w:val="22"/>
        </w:rPr>
      </w:pPr>
    </w:p>
    <w:p w14:paraId="4FD1D890" w14:textId="3ABFA8A3" w:rsidR="00B42E73" w:rsidRPr="00620AC6" w:rsidRDefault="00333BC8" w:rsidP="00B42E73">
      <w:pPr>
        <w:rPr>
          <w:rFonts w:cs="Segoe UI"/>
          <w:szCs w:val="22"/>
        </w:rPr>
      </w:pPr>
      <w:r w:rsidRPr="00620AC6">
        <w:rPr>
          <w:rFonts w:hint="eastAsia"/>
          <w:b/>
          <w:bCs/>
        </w:rPr>
        <w:t>调整后的销售回报率</w:t>
      </w:r>
      <w:r w:rsidRPr="00620AC6">
        <w:rPr>
          <w:rFonts w:hint="eastAsia"/>
        </w:rPr>
        <w:t>（调整后的息税前利润率）</w:t>
      </w:r>
      <w:r w:rsidR="005E3B74">
        <w:rPr>
          <w:rFonts w:hint="eastAsia"/>
        </w:rPr>
        <w:t>在</w:t>
      </w:r>
      <w:r w:rsidR="005E3B74" w:rsidRPr="00620AC6">
        <w:rPr>
          <w:rFonts w:hint="eastAsia"/>
        </w:rPr>
        <w:t>2023</w:t>
      </w:r>
      <w:r w:rsidR="005E3B74" w:rsidRPr="00620AC6">
        <w:rPr>
          <w:rFonts w:hint="eastAsia"/>
        </w:rPr>
        <w:t>财年</w:t>
      </w:r>
      <w:r w:rsidRPr="00620AC6">
        <w:rPr>
          <w:rFonts w:hint="eastAsia"/>
        </w:rPr>
        <w:t>同比大幅增长</w:t>
      </w:r>
      <w:r w:rsidR="009D1465">
        <w:rPr>
          <w:rFonts w:hint="eastAsia"/>
        </w:rPr>
        <w:t>，</w:t>
      </w:r>
      <w:r w:rsidR="004313B1">
        <w:rPr>
          <w:rFonts w:hint="eastAsia"/>
        </w:rPr>
        <w:t>达</w:t>
      </w:r>
      <w:r w:rsidRPr="00620AC6">
        <w:rPr>
          <w:rFonts w:hint="eastAsia"/>
        </w:rPr>
        <w:t>11.9%</w:t>
      </w:r>
      <w:r w:rsidRPr="00620AC6">
        <w:rPr>
          <w:rFonts w:hint="eastAsia"/>
        </w:rPr>
        <w:t>（</w:t>
      </w:r>
      <w:r w:rsidRPr="00620AC6">
        <w:rPr>
          <w:rFonts w:hint="eastAsia"/>
        </w:rPr>
        <w:t>2022</w:t>
      </w:r>
      <w:r w:rsidRPr="00620AC6">
        <w:rPr>
          <w:rFonts w:hint="eastAsia"/>
        </w:rPr>
        <w:t>年：</w:t>
      </w:r>
      <w:r w:rsidRPr="00620AC6">
        <w:rPr>
          <w:rFonts w:hint="eastAsia"/>
        </w:rPr>
        <w:t>10.4%</w:t>
      </w:r>
      <w:r w:rsidRPr="00620AC6">
        <w:rPr>
          <w:rFonts w:hint="eastAsia"/>
        </w:rPr>
        <w:t>）。</w:t>
      </w:r>
    </w:p>
    <w:p w14:paraId="3DB05B09" w14:textId="0A338E77" w:rsidR="00325064" w:rsidRPr="00620AC6" w:rsidRDefault="00325064" w:rsidP="00846017">
      <w:pPr>
        <w:rPr>
          <w:rFonts w:cs="Segoe UI"/>
          <w:szCs w:val="22"/>
        </w:rPr>
      </w:pPr>
    </w:p>
    <w:p w14:paraId="5CE058C3" w14:textId="2643BA72" w:rsidR="00400FF5" w:rsidRPr="00620AC6" w:rsidRDefault="00333BC8" w:rsidP="007863BF">
      <w:pPr>
        <w:rPr>
          <w:rFonts w:cs="Segoe UI"/>
          <w:szCs w:val="22"/>
        </w:rPr>
      </w:pPr>
      <w:r w:rsidRPr="00620AC6">
        <w:rPr>
          <w:rFonts w:hint="eastAsia"/>
          <w:b/>
          <w:bCs/>
        </w:rPr>
        <w:t>调整后的优先股每股收益</w:t>
      </w:r>
      <w:r w:rsidRPr="00620AC6">
        <w:rPr>
          <w:rFonts w:hint="eastAsia"/>
        </w:rPr>
        <w:t>也</w:t>
      </w:r>
      <w:r w:rsidR="006959BA">
        <w:rPr>
          <w:rFonts w:hint="eastAsia"/>
        </w:rPr>
        <w:t>显著</w:t>
      </w:r>
      <w:r w:rsidRPr="00620AC6">
        <w:rPr>
          <w:rFonts w:hint="eastAsia"/>
        </w:rPr>
        <w:t>增长</w:t>
      </w:r>
      <w:r w:rsidRPr="00620AC6">
        <w:rPr>
          <w:rFonts w:hint="eastAsia"/>
        </w:rPr>
        <w:t>11.5%</w:t>
      </w:r>
      <w:r w:rsidRPr="00620AC6">
        <w:rPr>
          <w:rFonts w:hint="eastAsia"/>
        </w:rPr>
        <w:t>，达到</w:t>
      </w:r>
      <w:r w:rsidRPr="00620AC6">
        <w:rPr>
          <w:rFonts w:hint="eastAsia"/>
        </w:rPr>
        <w:t>4.35</w:t>
      </w:r>
      <w:r w:rsidRPr="00620AC6">
        <w:rPr>
          <w:rFonts w:hint="eastAsia"/>
        </w:rPr>
        <w:t>欧元（去年：</w:t>
      </w:r>
      <w:r w:rsidRPr="00620AC6">
        <w:rPr>
          <w:rFonts w:hint="eastAsia"/>
        </w:rPr>
        <w:t>3.90</w:t>
      </w:r>
      <w:r w:rsidRPr="00620AC6">
        <w:rPr>
          <w:rFonts w:hint="eastAsia"/>
        </w:rPr>
        <w:t>欧元）。按固定汇率计算，调整后的优先股每股收益增长</w:t>
      </w:r>
      <w:r w:rsidRPr="00620AC6">
        <w:rPr>
          <w:rFonts w:hint="eastAsia"/>
        </w:rPr>
        <w:t>20.0%</w:t>
      </w:r>
      <w:r w:rsidRPr="00620AC6">
        <w:rPr>
          <w:rFonts w:hint="eastAsia"/>
        </w:rPr>
        <w:t>。</w:t>
      </w:r>
      <w:r w:rsidRPr="00620AC6">
        <w:rPr>
          <w:rFonts w:hint="eastAsia"/>
        </w:rPr>
        <w:t xml:space="preserve"> </w:t>
      </w:r>
    </w:p>
    <w:p w14:paraId="6DA00239" w14:textId="77777777" w:rsidR="00400FF5" w:rsidRPr="00620AC6" w:rsidRDefault="00400FF5" w:rsidP="007863BF">
      <w:pPr>
        <w:rPr>
          <w:rFonts w:cs="Segoe UI"/>
          <w:szCs w:val="22"/>
        </w:rPr>
      </w:pPr>
    </w:p>
    <w:p w14:paraId="45A83D7F" w14:textId="1D0FA7BA" w:rsidR="00D07C44" w:rsidRPr="00620AC6" w:rsidRDefault="00333BC8" w:rsidP="00D07C44">
      <w:pPr>
        <w:rPr>
          <w:rFonts w:cs="Segoe UI"/>
          <w:szCs w:val="22"/>
        </w:rPr>
      </w:pPr>
      <w:r w:rsidRPr="00620AC6">
        <w:rPr>
          <w:rFonts w:hint="eastAsia"/>
          <w:b/>
          <w:bCs/>
        </w:rPr>
        <w:t>净营运资本</w:t>
      </w:r>
      <w:r w:rsidRPr="00620AC6">
        <w:rPr>
          <w:rFonts w:hint="eastAsia"/>
        </w:rPr>
        <w:t>占销售额的</w:t>
      </w:r>
      <w:r w:rsidRPr="00620AC6">
        <w:rPr>
          <w:rFonts w:hint="eastAsia"/>
        </w:rPr>
        <w:t>2.6%</w:t>
      </w:r>
      <w:r w:rsidRPr="00620AC6">
        <w:rPr>
          <w:rFonts w:hint="eastAsia"/>
        </w:rPr>
        <w:t>，</w:t>
      </w:r>
      <w:r w:rsidR="006959BA">
        <w:rPr>
          <w:rFonts w:hint="eastAsia"/>
        </w:rPr>
        <w:t>远</w:t>
      </w:r>
      <w:r w:rsidRPr="00620AC6">
        <w:rPr>
          <w:rFonts w:hint="eastAsia"/>
        </w:rPr>
        <w:t>低于去年的水平（</w:t>
      </w:r>
      <w:r w:rsidRPr="00620AC6">
        <w:rPr>
          <w:rFonts w:hint="eastAsia"/>
        </w:rPr>
        <w:t>2022</w:t>
      </w:r>
      <w:r w:rsidRPr="00620AC6">
        <w:rPr>
          <w:rFonts w:hint="eastAsia"/>
        </w:rPr>
        <w:t>年：</w:t>
      </w:r>
      <w:r w:rsidRPr="00620AC6">
        <w:rPr>
          <w:rFonts w:hint="eastAsia"/>
        </w:rPr>
        <w:t>4.5%</w:t>
      </w:r>
      <w:r w:rsidRPr="00620AC6">
        <w:rPr>
          <w:rFonts w:hint="eastAsia"/>
        </w:rPr>
        <w:t>）</w:t>
      </w:r>
      <w:r w:rsidR="006959BA">
        <w:rPr>
          <w:rFonts w:hint="eastAsia"/>
        </w:rPr>
        <w:t>。这</w:t>
      </w:r>
      <w:r w:rsidRPr="00620AC6">
        <w:rPr>
          <w:rFonts w:hint="eastAsia"/>
        </w:rPr>
        <w:t>主要是由于库存减少所致。</w:t>
      </w:r>
    </w:p>
    <w:p w14:paraId="291E101A" w14:textId="7C1E2B62" w:rsidR="005A6C98" w:rsidRPr="00620AC6" w:rsidRDefault="00333BC8" w:rsidP="00D07C44">
      <w:pPr>
        <w:rPr>
          <w:rFonts w:cs="Segoe UI"/>
          <w:szCs w:val="22"/>
        </w:rPr>
      </w:pPr>
      <w:r w:rsidRPr="00620AC6">
        <w:rPr>
          <w:rFonts w:hint="eastAsia"/>
          <w:b/>
          <w:bCs/>
        </w:rPr>
        <w:lastRenderedPageBreak/>
        <w:t>自由现金流</w:t>
      </w:r>
      <w:r w:rsidRPr="00620AC6">
        <w:rPr>
          <w:rFonts w:hint="eastAsia"/>
        </w:rPr>
        <w:t>创下新高，达到</w:t>
      </w:r>
      <w:r w:rsidRPr="00620AC6">
        <w:rPr>
          <w:rFonts w:hint="eastAsia"/>
        </w:rPr>
        <w:t>26.03</w:t>
      </w:r>
      <w:r w:rsidRPr="00620AC6">
        <w:rPr>
          <w:rFonts w:hint="eastAsia"/>
        </w:rPr>
        <w:t>亿欧元，与</w:t>
      </w:r>
      <w:r w:rsidR="006959BA">
        <w:rPr>
          <w:rFonts w:hint="eastAsia"/>
        </w:rPr>
        <w:t>去</w:t>
      </w:r>
      <w:r w:rsidRPr="00620AC6">
        <w:rPr>
          <w:rFonts w:hint="eastAsia"/>
        </w:rPr>
        <w:t>年相比</w:t>
      </w:r>
      <w:r w:rsidR="006959BA">
        <w:rPr>
          <w:rFonts w:hint="eastAsia"/>
        </w:rPr>
        <w:t>有显著的</w:t>
      </w:r>
      <w:r w:rsidRPr="00620AC6">
        <w:rPr>
          <w:rFonts w:hint="eastAsia"/>
        </w:rPr>
        <w:t>增长（</w:t>
      </w:r>
      <w:r w:rsidRPr="00620AC6">
        <w:rPr>
          <w:rFonts w:hint="eastAsia"/>
        </w:rPr>
        <w:t>2022</w:t>
      </w:r>
      <w:r w:rsidRPr="00620AC6">
        <w:rPr>
          <w:rFonts w:hint="eastAsia"/>
        </w:rPr>
        <w:t>年：</w:t>
      </w:r>
      <w:r w:rsidRPr="00620AC6">
        <w:rPr>
          <w:rFonts w:hint="eastAsia"/>
        </w:rPr>
        <w:t>6.53</w:t>
      </w:r>
      <w:r w:rsidRPr="00620AC6">
        <w:rPr>
          <w:rFonts w:hint="eastAsia"/>
        </w:rPr>
        <w:t>亿欧元）。</w:t>
      </w:r>
      <w:r w:rsidR="006959BA">
        <w:rPr>
          <w:rFonts w:hint="eastAsia"/>
        </w:rPr>
        <w:t>这</w:t>
      </w:r>
      <w:r w:rsidRPr="00620AC6">
        <w:rPr>
          <w:rFonts w:hint="eastAsia"/>
        </w:rPr>
        <w:t>主要是由于营业利润增加和净营运资本减少导致经营活动现金流大幅增加。</w:t>
      </w:r>
      <w:r w:rsidRPr="00620AC6">
        <w:rPr>
          <w:rFonts w:hint="eastAsia"/>
        </w:rPr>
        <w:t xml:space="preserve"> </w:t>
      </w:r>
    </w:p>
    <w:p w14:paraId="51ECCF00" w14:textId="77777777" w:rsidR="005A6C98" w:rsidRPr="00620AC6" w:rsidRDefault="005A6C98" w:rsidP="00D07C44">
      <w:pPr>
        <w:rPr>
          <w:rFonts w:cs="Segoe UI"/>
          <w:szCs w:val="22"/>
        </w:rPr>
      </w:pPr>
    </w:p>
    <w:p w14:paraId="517BE6AF" w14:textId="17A5D30E" w:rsidR="00D07C44" w:rsidRPr="00620AC6" w:rsidRDefault="00333BC8" w:rsidP="00D07C44">
      <w:pPr>
        <w:rPr>
          <w:rFonts w:cs="Segoe UI"/>
          <w:szCs w:val="22"/>
        </w:rPr>
      </w:pPr>
      <w:r w:rsidRPr="00620AC6">
        <w:rPr>
          <w:rFonts w:hint="eastAsia"/>
        </w:rPr>
        <w:t>因此，</w:t>
      </w:r>
      <w:r w:rsidRPr="00620AC6">
        <w:rPr>
          <w:rFonts w:hint="eastAsia"/>
          <w:b/>
          <w:bCs/>
        </w:rPr>
        <w:t>净财务状况</w:t>
      </w:r>
      <w:r w:rsidRPr="00620AC6">
        <w:rPr>
          <w:rFonts w:hint="eastAsia"/>
        </w:rPr>
        <w:t>显著改善，达到</w:t>
      </w:r>
      <w:r w:rsidRPr="00620AC6">
        <w:rPr>
          <w:rFonts w:hint="eastAsia"/>
        </w:rPr>
        <w:t>1200</w:t>
      </w:r>
      <w:r w:rsidRPr="00620AC6">
        <w:rPr>
          <w:rFonts w:hint="eastAsia"/>
        </w:rPr>
        <w:t>万欧元（</w:t>
      </w:r>
      <w:r w:rsidRPr="00620AC6">
        <w:rPr>
          <w:rFonts w:hint="eastAsia"/>
        </w:rPr>
        <w:t>2022</w:t>
      </w:r>
      <w:r w:rsidRPr="00620AC6">
        <w:rPr>
          <w:rFonts w:hint="eastAsia"/>
        </w:rPr>
        <w:t>年</w:t>
      </w:r>
      <w:r w:rsidRPr="00620AC6">
        <w:rPr>
          <w:rFonts w:hint="eastAsia"/>
        </w:rPr>
        <w:t>12</w:t>
      </w:r>
      <w:r w:rsidRPr="00620AC6">
        <w:rPr>
          <w:rFonts w:hint="eastAsia"/>
        </w:rPr>
        <w:t>月</w:t>
      </w:r>
      <w:r w:rsidRPr="00620AC6">
        <w:rPr>
          <w:rFonts w:hint="eastAsia"/>
        </w:rPr>
        <w:t>31</w:t>
      </w:r>
      <w:r w:rsidRPr="00620AC6">
        <w:rPr>
          <w:rFonts w:hint="eastAsia"/>
        </w:rPr>
        <w:t>日：</w:t>
      </w:r>
      <w:r w:rsidRPr="00620AC6">
        <w:rPr>
          <w:rFonts w:hint="eastAsia"/>
        </w:rPr>
        <w:t>-12.67</w:t>
      </w:r>
      <w:r w:rsidRPr="00620AC6">
        <w:rPr>
          <w:rFonts w:hint="eastAsia"/>
        </w:rPr>
        <w:t>亿欧元）。</w:t>
      </w:r>
    </w:p>
    <w:p w14:paraId="7449E561" w14:textId="51F1A10A" w:rsidR="004C0686" w:rsidRPr="00620AC6" w:rsidRDefault="004C0686" w:rsidP="66EB6E8A">
      <w:pPr>
        <w:rPr>
          <w:rFonts w:cs="Segoe UI"/>
        </w:rPr>
      </w:pPr>
    </w:p>
    <w:p w14:paraId="5E84DE7A" w14:textId="5E470AB8" w:rsidR="00D07C44" w:rsidRDefault="00333BC8" w:rsidP="00D07C44">
      <w:r w:rsidRPr="00620AC6">
        <w:rPr>
          <w:rFonts w:hint="eastAsia"/>
        </w:rPr>
        <w:t>管理委员会、监事会和股东委员会将在</w:t>
      </w:r>
      <w:r w:rsidRPr="00620AC6">
        <w:rPr>
          <w:rFonts w:hint="eastAsia"/>
        </w:rPr>
        <w:t>202</w:t>
      </w:r>
      <w:r w:rsidR="001035F3">
        <w:t>4</w:t>
      </w:r>
      <w:r w:rsidRPr="00620AC6">
        <w:rPr>
          <w:rFonts w:hint="eastAsia"/>
        </w:rPr>
        <w:t>年</w:t>
      </w:r>
      <w:r w:rsidRPr="00620AC6">
        <w:rPr>
          <w:rFonts w:hint="eastAsia"/>
        </w:rPr>
        <w:t>4</w:t>
      </w:r>
      <w:r w:rsidRPr="00620AC6">
        <w:rPr>
          <w:rFonts w:hint="eastAsia"/>
        </w:rPr>
        <w:t>月</w:t>
      </w:r>
      <w:r w:rsidRPr="00620AC6">
        <w:rPr>
          <w:rFonts w:hint="eastAsia"/>
        </w:rPr>
        <w:t>2</w:t>
      </w:r>
      <w:r w:rsidR="001035F3">
        <w:t>2</w:t>
      </w:r>
      <w:r w:rsidRPr="00620AC6">
        <w:rPr>
          <w:rFonts w:hint="eastAsia"/>
        </w:rPr>
        <w:t>日的年度股东大会上提议</w:t>
      </w:r>
      <w:r w:rsidRPr="00620AC6">
        <w:rPr>
          <w:rFonts w:hint="eastAsia"/>
          <w:b/>
          <w:bCs/>
        </w:rPr>
        <w:t>股息</w:t>
      </w:r>
      <w:r w:rsidRPr="00620AC6">
        <w:rPr>
          <w:rFonts w:hint="eastAsia"/>
        </w:rPr>
        <w:t>与去年保持一致，即优先股每股</w:t>
      </w:r>
      <w:r w:rsidRPr="00620AC6">
        <w:rPr>
          <w:rFonts w:hint="eastAsia"/>
        </w:rPr>
        <w:t>1.85</w:t>
      </w:r>
      <w:r w:rsidRPr="00620AC6">
        <w:rPr>
          <w:rFonts w:hint="eastAsia"/>
        </w:rPr>
        <w:t>欧元，普通股每股</w:t>
      </w:r>
      <w:r w:rsidRPr="00620AC6">
        <w:rPr>
          <w:rFonts w:hint="eastAsia"/>
        </w:rPr>
        <w:t>1.83</w:t>
      </w:r>
      <w:r w:rsidRPr="00620AC6">
        <w:rPr>
          <w:rFonts w:hint="eastAsia"/>
        </w:rPr>
        <w:t>欧元。这相当于</w:t>
      </w:r>
      <w:r w:rsidRPr="00620AC6">
        <w:rPr>
          <w:rFonts w:hint="eastAsia"/>
        </w:rPr>
        <w:t>42.4%</w:t>
      </w:r>
      <w:r w:rsidRPr="00620AC6">
        <w:rPr>
          <w:rFonts w:hint="eastAsia"/>
        </w:rPr>
        <w:t>的派息率，略高于</w:t>
      </w:r>
      <w:r w:rsidRPr="00620AC6">
        <w:rPr>
          <w:rFonts w:hint="eastAsia"/>
        </w:rPr>
        <w:t>30%</w:t>
      </w:r>
      <w:r w:rsidRPr="00620AC6">
        <w:rPr>
          <w:rFonts w:hint="eastAsia"/>
        </w:rPr>
        <w:t>至</w:t>
      </w:r>
      <w:r w:rsidRPr="00620AC6">
        <w:rPr>
          <w:rFonts w:hint="eastAsia"/>
        </w:rPr>
        <w:t>40%</w:t>
      </w:r>
      <w:r w:rsidRPr="00620AC6">
        <w:rPr>
          <w:rFonts w:hint="eastAsia"/>
        </w:rPr>
        <w:t>的目标范围。由于汉高集团强大的财务基础和净财务状况的改善，这笔支出是可以实现的。这确保了向股东派息的连续性。</w:t>
      </w:r>
    </w:p>
    <w:p w14:paraId="0026F782" w14:textId="77777777" w:rsidR="007109C5" w:rsidRPr="00620AC6" w:rsidRDefault="007109C5" w:rsidP="00D07C44">
      <w:pPr>
        <w:rPr>
          <w:rFonts w:cs="Segoe UI"/>
        </w:rPr>
      </w:pPr>
    </w:p>
    <w:p w14:paraId="0769BEC2" w14:textId="77777777" w:rsidR="00D07C44" w:rsidRPr="00620AC6" w:rsidRDefault="00D07C44" w:rsidP="00D07C44">
      <w:pPr>
        <w:rPr>
          <w:rFonts w:cs="Segoe UI"/>
        </w:rPr>
      </w:pPr>
    </w:p>
    <w:p w14:paraId="4649C4D4" w14:textId="3EC7A74A" w:rsidR="00846017" w:rsidRPr="00620AC6" w:rsidRDefault="00333BC8" w:rsidP="00CD1F32">
      <w:pPr>
        <w:spacing w:after="120"/>
        <w:rPr>
          <w:rFonts w:cs="Segoe UI"/>
          <w:b/>
          <w:bCs/>
          <w:szCs w:val="22"/>
        </w:rPr>
      </w:pPr>
      <w:r w:rsidRPr="00620AC6">
        <w:rPr>
          <w:rFonts w:hint="eastAsia"/>
          <w:b/>
        </w:rPr>
        <w:t>2023</w:t>
      </w:r>
      <w:r w:rsidRPr="00620AC6">
        <w:rPr>
          <w:rFonts w:hint="eastAsia"/>
          <w:b/>
        </w:rPr>
        <w:t>财年业务部门业绩</w:t>
      </w:r>
    </w:p>
    <w:p w14:paraId="56407A61" w14:textId="09D7AC15" w:rsidR="00CD1F32" w:rsidRPr="00620AC6" w:rsidRDefault="00333BC8" w:rsidP="00774A77">
      <w:pPr>
        <w:rPr>
          <w:rFonts w:cs="Segoe UI"/>
          <w:szCs w:val="22"/>
        </w:rPr>
      </w:pPr>
      <w:r w:rsidRPr="00620AC6">
        <w:rPr>
          <w:rFonts w:hint="eastAsia"/>
        </w:rPr>
        <w:t>2023</w:t>
      </w:r>
      <w:r w:rsidRPr="00620AC6">
        <w:rPr>
          <w:rFonts w:hint="eastAsia"/>
        </w:rPr>
        <w:t>财年，</w:t>
      </w:r>
      <w:r w:rsidRPr="00620AC6">
        <w:rPr>
          <w:rFonts w:hint="eastAsia"/>
          <w:b/>
          <w:bCs/>
        </w:rPr>
        <w:t>粘合剂技术业务部</w:t>
      </w:r>
      <w:r w:rsidRPr="00620AC6">
        <w:rPr>
          <w:rFonts w:hint="eastAsia"/>
        </w:rPr>
        <w:t>的</w:t>
      </w:r>
      <w:r w:rsidRPr="00620AC6">
        <w:rPr>
          <w:rFonts w:hint="eastAsia"/>
          <w:b/>
          <w:bCs/>
        </w:rPr>
        <w:t>销售额</w:t>
      </w:r>
      <w:r w:rsidRPr="00620AC6">
        <w:rPr>
          <w:rFonts w:hint="eastAsia"/>
        </w:rPr>
        <w:t>达到</w:t>
      </w:r>
      <w:r w:rsidRPr="00620AC6">
        <w:rPr>
          <w:rFonts w:hint="eastAsia"/>
        </w:rPr>
        <w:t>107.90</w:t>
      </w:r>
      <w:r w:rsidRPr="00620AC6">
        <w:rPr>
          <w:rFonts w:hint="eastAsia"/>
        </w:rPr>
        <w:t>亿欧元，</w:t>
      </w:r>
      <w:r w:rsidR="006959BA">
        <w:rPr>
          <w:rFonts w:hint="eastAsia"/>
        </w:rPr>
        <w:t>受</w:t>
      </w:r>
      <w:r w:rsidRPr="00620AC6">
        <w:rPr>
          <w:rFonts w:hint="eastAsia"/>
        </w:rPr>
        <w:t>汇率因素的负面影响，较去年名义下降</w:t>
      </w:r>
      <w:r w:rsidRPr="00620AC6">
        <w:rPr>
          <w:rFonts w:hint="eastAsia"/>
        </w:rPr>
        <w:t>4.0%</w:t>
      </w:r>
      <w:r w:rsidRPr="00620AC6">
        <w:rPr>
          <w:rFonts w:hint="eastAsia"/>
        </w:rPr>
        <w:t>。</w:t>
      </w:r>
      <w:r w:rsidRPr="00620AC6">
        <w:rPr>
          <w:rFonts w:hint="eastAsia"/>
          <w:b/>
          <w:bCs/>
        </w:rPr>
        <w:t>有机销售额</w:t>
      </w:r>
      <w:r w:rsidRPr="00620AC6">
        <w:rPr>
          <w:rFonts w:hint="eastAsia"/>
        </w:rPr>
        <w:t>增长</w:t>
      </w:r>
      <w:r w:rsidRPr="00620AC6">
        <w:rPr>
          <w:rFonts w:hint="eastAsia"/>
        </w:rPr>
        <w:t>3.2%</w:t>
      </w:r>
      <w:r w:rsidR="006959BA">
        <w:rPr>
          <w:rFonts w:hint="eastAsia"/>
        </w:rPr>
        <w:t>，</w:t>
      </w:r>
      <w:r w:rsidRPr="00620AC6">
        <w:rPr>
          <w:rFonts w:hint="eastAsia"/>
        </w:rPr>
        <w:t>主要得益于价格较去年大幅上涨。总体销量有所下降，主要原因是一些</w:t>
      </w:r>
      <w:r w:rsidR="009E44EF">
        <w:rPr>
          <w:rFonts w:hint="eastAsia"/>
        </w:rPr>
        <w:t>关键</w:t>
      </w:r>
      <w:r w:rsidRPr="00620AC6">
        <w:rPr>
          <w:rFonts w:hint="eastAsia"/>
        </w:rPr>
        <w:t>终端市场的需求依然疲软。随着时间的推移，销量连续回升，在第四季度达到了稳定的水平。</w:t>
      </w:r>
      <w:r w:rsidRPr="00620AC6">
        <w:rPr>
          <w:rFonts w:hint="eastAsia"/>
          <w:b/>
          <w:bCs/>
        </w:rPr>
        <w:t>调整后的营业利润</w:t>
      </w:r>
      <w:r w:rsidRPr="00620AC6">
        <w:rPr>
          <w:rFonts w:hint="eastAsia"/>
        </w:rPr>
        <w:t>为</w:t>
      </w:r>
      <w:r w:rsidRPr="00620AC6">
        <w:rPr>
          <w:rFonts w:hint="eastAsia"/>
        </w:rPr>
        <w:t>15.84</w:t>
      </w:r>
      <w:r w:rsidRPr="00620AC6">
        <w:rPr>
          <w:rFonts w:hint="eastAsia"/>
        </w:rPr>
        <w:t>亿欧元，略高于去年水平。</w:t>
      </w:r>
      <w:r w:rsidRPr="00620AC6">
        <w:rPr>
          <w:rFonts w:hint="eastAsia"/>
          <w:b/>
          <w:bCs/>
        </w:rPr>
        <w:t>调整后的销售回报率</w:t>
      </w:r>
      <w:r w:rsidRPr="00620AC6">
        <w:rPr>
          <w:rFonts w:hint="eastAsia"/>
        </w:rPr>
        <w:t>与</w:t>
      </w:r>
      <w:r w:rsidR="00E819CA">
        <w:rPr>
          <w:rFonts w:hint="eastAsia"/>
        </w:rPr>
        <w:t>去</w:t>
      </w:r>
      <w:r w:rsidRPr="00620AC6">
        <w:rPr>
          <w:rFonts w:hint="eastAsia"/>
        </w:rPr>
        <w:t>年相比增长</w:t>
      </w:r>
      <w:r w:rsidRPr="00620AC6">
        <w:rPr>
          <w:rFonts w:hint="eastAsia"/>
        </w:rPr>
        <w:t>110</w:t>
      </w:r>
      <w:r w:rsidRPr="00620AC6">
        <w:rPr>
          <w:rFonts w:hint="eastAsia"/>
        </w:rPr>
        <w:t>个基点，达到</w:t>
      </w:r>
      <w:r w:rsidRPr="00620AC6">
        <w:rPr>
          <w:rFonts w:hint="eastAsia"/>
        </w:rPr>
        <w:t>14.7%</w:t>
      </w:r>
      <w:r w:rsidRPr="00620AC6">
        <w:rPr>
          <w:rFonts w:hint="eastAsia"/>
        </w:rPr>
        <w:t>。利润率大幅增长的主要原因是价格上涨，同时采取了降低成本和提高效率的措施，从而继续抵消持续上涨的原材料价格。</w:t>
      </w:r>
    </w:p>
    <w:p w14:paraId="282DCCAB" w14:textId="77777777" w:rsidR="004C0686" w:rsidRPr="00620AC6" w:rsidRDefault="004C0686" w:rsidP="00024483">
      <w:pPr>
        <w:rPr>
          <w:rFonts w:cs="Segoe UI"/>
          <w:szCs w:val="22"/>
        </w:rPr>
      </w:pPr>
    </w:p>
    <w:p w14:paraId="6DD280A6" w14:textId="30CECFFB" w:rsidR="00483FB8" w:rsidRPr="00620AC6" w:rsidRDefault="00333BC8" w:rsidP="00483FB8">
      <w:pPr>
        <w:rPr>
          <w:rFonts w:cs="Segoe UI"/>
          <w:szCs w:val="22"/>
        </w:rPr>
      </w:pPr>
      <w:r w:rsidRPr="00620AC6">
        <w:rPr>
          <w:rFonts w:hint="eastAsia"/>
          <w:b/>
          <w:bCs/>
        </w:rPr>
        <w:t>消费品牌</w:t>
      </w:r>
      <w:r w:rsidRPr="00620AC6">
        <w:rPr>
          <w:rFonts w:hint="eastAsia"/>
        </w:rPr>
        <w:t>业务部</w:t>
      </w:r>
      <w:r w:rsidRPr="00620AC6">
        <w:rPr>
          <w:rFonts w:hint="eastAsia"/>
        </w:rPr>
        <w:t>2023</w:t>
      </w:r>
      <w:r w:rsidRPr="00620AC6">
        <w:rPr>
          <w:rFonts w:hint="eastAsia"/>
        </w:rPr>
        <w:t>财年的总</w:t>
      </w:r>
      <w:r w:rsidRPr="00620AC6">
        <w:rPr>
          <w:rFonts w:hint="eastAsia"/>
          <w:b/>
          <w:bCs/>
        </w:rPr>
        <w:t>销售额</w:t>
      </w:r>
      <w:r w:rsidRPr="00620AC6">
        <w:rPr>
          <w:rFonts w:hint="eastAsia"/>
        </w:rPr>
        <w:t>为</w:t>
      </w:r>
      <w:r w:rsidRPr="00620AC6">
        <w:rPr>
          <w:rFonts w:hint="eastAsia"/>
        </w:rPr>
        <w:t>105.65</w:t>
      </w:r>
      <w:r w:rsidRPr="00620AC6">
        <w:rPr>
          <w:rFonts w:hint="eastAsia"/>
        </w:rPr>
        <w:t>亿欧元，较去年名义下降</w:t>
      </w:r>
      <w:r w:rsidRPr="00620AC6">
        <w:rPr>
          <w:rFonts w:hint="eastAsia"/>
        </w:rPr>
        <w:t>3.3%</w:t>
      </w:r>
      <w:r w:rsidRPr="00620AC6">
        <w:rPr>
          <w:rFonts w:hint="eastAsia"/>
        </w:rPr>
        <w:t>。外汇因素导致销售额下降</w:t>
      </w:r>
      <w:r w:rsidRPr="00620AC6">
        <w:rPr>
          <w:rFonts w:hint="eastAsia"/>
        </w:rPr>
        <w:t>4.4%</w:t>
      </w:r>
      <w:r w:rsidRPr="00620AC6">
        <w:rPr>
          <w:rFonts w:hint="eastAsia"/>
        </w:rPr>
        <w:t>。收购</w:t>
      </w:r>
      <w:r w:rsidRPr="00620AC6">
        <w:rPr>
          <w:rFonts w:hint="eastAsia"/>
        </w:rPr>
        <w:t>/</w:t>
      </w:r>
      <w:r w:rsidRPr="00620AC6">
        <w:rPr>
          <w:rFonts w:hint="eastAsia"/>
        </w:rPr>
        <w:t>撤资导致销售额下降</w:t>
      </w:r>
      <w:r w:rsidRPr="00620AC6">
        <w:rPr>
          <w:rFonts w:hint="eastAsia"/>
        </w:rPr>
        <w:t>5.1%</w:t>
      </w:r>
      <w:r w:rsidRPr="00620AC6">
        <w:rPr>
          <w:rFonts w:hint="eastAsia"/>
        </w:rPr>
        <w:t>，这主要是由于出售了在俄罗斯的业务活动。</w:t>
      </w:r>
      <w:r w:rsidRPr="00620AC6">
        <w:rPr>
          <w:rFonts w:hint="eastAsia"/>
          <w:b/>
          <w:bCs/>
        </w:rPr>
        <w:t>有机销售额</w:t>
      </w:r>
      <w:r w:rsidRPr="00620AC6">
        <w:rPr>
          <w:rFonts w:hint="eastAsia"/>
        </w:rPr>
        <w:t>增长</w:t>
      </w:r>
      <w:r w:rsidRPr="00620AC6">
        <w:rPr>
          <w:rFonts w:hint="eastAsia"/>
        </w:rPr>
        <w:t>6.1%</w:t>
      </w:r>
      <w:r w:rsidR="00B81994">
        <w:rPr>
          <w:rFonts w:hint="eastAsia"/>
        </w:rPr>
        <w:t>，</w:t>
      </w:r>
      <w:r w:rsidRPr="00620AC6">
        <w:rPr>
          <w:rFonts w:hint="eastAsia"/>
        </w:rPr>
        <w:t>主要得益于两位数的价格上涨，而销量的下滑则部分归因于持续的产品组合优化措施。不过，销量在下半年实现了显著的连续性改善。</w:t>
      </w:r>
      <w:r w:rsidRPr="00620AC6">
        <w:rPr>
          <w:rFonts w:hint="eastAsia"/>
          <w:b/>
          <w:bCs/>
        </w:rPr>
        <w:t>调整后的营业利润</w:t>
      </w:r>
      <w:r w:rsidRPr="00620AC6">
        <w:rPr>
          <w:rFonts w:hint="eastAsia"/>
        </w:rPr>
        <w:t>达到</w:t>
      </w:r>
      <w:r w:rsidRPr="00620AC6">
        <w:rPr>
          <w:rFonts w:hint="eastAsia"/>
        </w:rPr>
        <w:t>11.15</w:t>
      </w:r>
      <w:r w:rsidRPr="00620AC6">
        <w:rPr>
          <w:rFonts w:hint="eastAsia"/>
        </w:rPr>
        <w:t>亿欧元，与</w:t>
      </w:r>
      <w:r w:rsidR="00401305">
        <w:rPr>
          <w:rFonts w:hint="eastAsia"/>
        </w:rPr>
        <w:t>去</w:t>
      </w:r>
      <w:r w:rsidRPr="00620AC6">
        <w:rPr>
          <w:rFonts w:hint="eastAsia"/>
        </w:rPr>
        <w:t>年（</w:t>
      </w:r>
      <w:r w:rsidRPr="00620AC6">
        <w:rPr>
          <w:rFonts w:hint="eastAsia"/>
        </w:rPr>
        <w:t>9.10</w:t>
      </w:r>
      <w:r w:rsidRPr="00620AC6">
        <w:rPr>
          <w:rFonts w:hint="eastAsia"/>
        </w:rPr>
        <w:t>亿欧元）相比大幅增长。这得益于销售价格的上涨抵消了直接原材料价格的持续走高、持续采取的降低成本、提高生产和供应链效率的措施、整合后的消费品牌业务部</w:t>
      </w:r>
      <w:r w:rsidR="00F32992">
        <w:rPr>
          <w:rFonts w:hint="eastAsia"/>
        </w:rPr>
        <w:t>所带来的成本节约</w:t>
      </w:r>
      <w:r w:rsidRPr="00620AC6">
        <w:rPr>
          <w:rFonts w:hint="eastAsia"/>
        </w:rPr>
        <w:t>以及产品组合优化措施。同时，为加强相关品牌和业务，营销和广告投入也比去年有所增加。尽管</w:t>
      </w:r>
      <w:r w:rsidR="00F32992">
        <w:rPr>
          <w:rFonts w:hint="eastAsia"/>
        </w:rPr>
        <w:t>因</w:t>
      </w:r>
      <w:r w:rsidRPr="00620AC6">
        <w:rPr>
          <w:rFonts w:hint="eastAsia"/>
        </w:rPr>
        <w:t>2023</w:t>
      </w:r>
      <w:r w:rsidRPr="00620AC6">
        <w:rPr>
          <w:rFonts w:hint="eastAsia"/>
        </w:rPr>
        <w:t>年</w:t>
      </w:r>
      <w:r w:rsidRPr="00620AC6">
        <w:rPr>
          <w:rFonts w:hint="eastAsia"/>
        </w:rPr>
        <w:t>4</w:t>
      </w:r>
      <w:r w:rsidRPr="00620AC6">
        <w:rPr>
          <w:rFonts w:hint="eastAsia"/>
        </w:rPr>
        <w:t>月剥离</w:t>
      </w:r>
      <w:r w:rsidR="00F32992">
        <w:rPr>
          <w:rFonts w:hint="eastAsia"/>
        </w:rPr>
        <w:t>了</w:t>
      </w:r>
      <w:r w:rsidRPr="00620AC6">
        <w:rPr>
          <w:rFonts w:hint="eastAsia"/>
        </w:rPr>
        <w:t>俄罗斯业务活动</w:t>
      </w:r>
      <w:r w:rsidR="00F32992">
        <w:rPr>
          <w:rFonts w:hint="eastAsia"/>
        </w:rPr>
        <w:t>而缺少了这部分</w:t>
      </w:r>
      <w:r w:rsidRPr="00620AC6">
        <w:rPr>
          <w:rFonts w:hint="eastAsia"/>
        </w:rPr>
        <w:t>的收益，</w:t>
      </w:r>
      <w:r w:rsidRPr="00620AC6">
        <w:rPr>
          <w:rFonts w:hint="eastAsia"/>
          <w:b/>
          <w:bCs/>
        </w:rPr>
        <w:t>调整后的销售回报率</w:t>
      </w:r>
      <w:r w:rsidRPr="00620AC6">
        <w:rPr>
          <w:rFonts w:hint="eastAsia"/>
        </w:rPr>
        <w:t>达到</w:t>
      </w:r>
      <w:r w:rsidRPr="00620AC6">
        <w:rPr>
          <w:rFonts w:hint="eastAsia"/>
        </w:rPr>
        <w:t>10.6%</w:t>
      </w:r>
      <w:r w:rsidRPr="00620AC6">
        <w:rPr>
          <w:rFonts w:hint="eastAsia"/>
        </w:rPr>
        <w:t>，与去年相比增长了</w:t>
      </w:r>
      <w:r w:rsidRPr="00620AC6">
        <w:rPr>
          <w:rFonts w:hint="eastAsia"/>
        </w:rPr>
        <w:t>220</w:t>
      </w:r>
      <w:r w:rsidRPr="00620AC6">
        <w:rPr>
          <w:rFonts w:hint="eastAsia"/>
        </w:rPr>
        <w:t>个基点。</w:t>
      </w:r>
    </w:p>
    <w:p w14:paraId="4E4F76CD" w14:textId="77777777" w:rsidR="00BD4384" w:rsidRDefault="00BD4384" w:rsidP="00582D0E">
      <w:pPr>
        <w:spacing w:after="120"/>
        <w:rPr>
          <w:rFonts w:cs="Segoe UI"/>
          <w:b/>
          <w:bCs/>
          <w:szCs w:val="22"/>
          <w:lang w:eastAsia="de-DE"/>
        </w:rPr>
      </w:pPr>
    </w:p>
    <w:p w14:paraId="425ACFEE" w14:textId="77777777" w:rsidR="00D6386D" w:rsidRPr="00620AC6" w:rsidRDefault="00D6386D" w:rsidP="00582D0E">
      <w:pPr>
        <w:spacing w:after="120"/>
        <w:rPr>
          <w:rFonts w:cs="Segoe UI"/>
          <w:b/>
          <w:bCs/>
          <w:szCs w:val="22"/>
          <w:lang w:eastAsia="de-DE"/>
        </w:rPr>
      </w:pPr>
    </w:p>
    <w:p w14:paraId="69A7790B" w14:textId="5074D945" w:rsidR="00EC0199" w:rsidRPr="00620AC6" w:rsidRDefault="00333BC8" w:rsidP="00582D0E">
      <w:pPr>
        <w:spacing w:after="120"/>
        <w:rPr>
          <w:rFonts w:cs="Segoe UI"/>
          <w:b/>
          <w:bCs/>
          <w:szCs w:val="22"/>
        </w:rPr>
      </w:pPr>
      <w:r w:rsidRPr="00620AC6">
        <w:rPr>
          <w:rFonts w:hint="eastAsia"/>
          <w:b/>
        </w:rPr>
        <w:t>2024</w:t>
      </w:r>
      <w:r w:rsidRPr="00620AC6">
        <w:rPr>
          <w:rFonts w:hint="eastAsia"/>
          <w:b/>
        </w:rPr>
        <w:t>财年展望</w:t>
      </w:r>
    </w:p>
    <w:p w14:paraId="51F1CEC8" w14:textId="699DABB6" w:rsidR="002A252E" w:rsidRPr="00620AC6" w:rsidRDefault="00333BC8" w:rsidP="002A252E">
      <w:pPr>
        <w:rPr>
          <w:rFonts w:cs="Segoe UI"/>
          <w:szCs w:val="22"/>
        </w:rPr>
      </w:pPr>
      <w:r w:rsidRPr="00620AC6">
        <w:rPr>
          <w:rFonts w:hint="eastAsia"/>
        </w:rPr>
        <w:t>预计</w:t>
      </w:r>
      <w:r w:rsidRPr="00620AC6">
        <w:rPr>
          <w:rFonts w:hint="eastAsia"/>
        </w:rPr>
        <w:t>2024</w:t>
      </w:r>
      <w:r w:rsidRPr="00620AC6">
        <w:rPr>
          <w:rFonts w:hint="eastAsia"/>
        </w:rPr>
        <w:t>年全球经济产出将适度增长。因此，假定汉高消费品业务关键领域的行业需求和消费需求都会适度增长。根据目前的估计，</w:t>
      </w:r>
      <w:r w:rsidRPr="00620AC6">
        <w:rPr>
          <w:rFonts w:hint="eastAsia"/>
        </w:rPr>
        <w:t>2024</w:t>
      </w:r>
      <w:r w:rsidRPr="00620AC6">
        <w:rPr>
          <w:rFonts w:hint="eastAsia"/>
        </w:rPr>
        <w:t>财年的全球通胀率预计将低于去年，但总体仍将处于较高水平。此外，利率预计仍</w:t>
      </w:r>
      <w:r w:rsidR="00F32992">
        <w:rPr>
          <w:rFonts w:hint="eastAsia"/>
        </w:rPr>
        <w:t>将高于</w:t>
      </w:r>
      <w:r w:rsidRPr="00620AC6">
        <w:rPr>
          <w:rFonts w:hint="eastAsia"/>
        </w:rPr>
        <w:t>前几年</w:t>
      </w:r>
      <w:r w:rsidR="00F32992">
        <w:rPr>
          <w:rFonts w:hint="eastAsia"/>
        </w:rPr>
        <w:t>水平</w:t>
      </w:r>
      <w:r w:rsidRPr="00620AC6">
        <w:rPr>
          <w:rFonts w:hint="eastAsia"/>
        </w:rPr>
        <w:t>。</w:t>
      </w:r>
    </w:p>
    <w:p w14:paraId="66C47406" w14:textId="77777777" w:rsidR="002A252E" w:rsidRPr="00620AC6" w:rsidRDefault="002A252E" w:rsidP="002A252E">
      <w:pPr>
        <w:rPr>
          <w:rFonts w:cs="Segoe UI"/>
          <w:szCs w:val="22"/>
        </w:rPr>
      </w:pPr>
    </w:p>
    <w:p w14:paraId="4CEACB4B" w14:textId="570FC72C" w:rsidR="00980E69" w:rsidRPr="00620AC6" w:rsidRDefault="00333BC8" w:rsidP="00877C32">
      <w:pPr>
        <w:rPr>
          <w:rFonts w:cs="Segoe UI"/>
          <w:szCs w:val="22"/>
        </w:rPr>
      </w:pPr>
      <w:r w:rsidRPr="00620AC6">
        <w:rPr>
          <w:rFonts w:hint="eastAsia"/>
        </w:rPr>
        <w:t>汉高预计外汇销售额的换算将产生</w:t>
      </w:r>
      <w:r w:rsidRPr="00620AC6">
        <w:rPr>
          <w:rFonts w:hint="eastAsia"/>
        </w:rPr>
        <w:t>5%</w:t>
      </w:r>
      <w:r w:rsidRPr="00620AC6">
        <w:rPr>
          <w:rFonts w:hint="eastAsia"/>
        </w:rPr>
        <w:t>左右的负面影响。预计直接原材料价格与</w:t>
      </w:r>
      <w:r w:rsidR="0038757C" w:rsidRPr="00620AC6">
        <w:rPr>
          <w:rFonts w:hint="eastAsia"/>
        </w:rPr>
        <w:t>2023</w:t>
      </w:r>
      <w:r w:rsidR="0038757C" w:rsidRPr="00620AC6">
        <w:rPr>
          <w:rFonts w:hint="eastAsia"/>
        </w:rPr>
        <w:t>年的</w:t>
      </w:r>
      <w:r w:rsidRPr="00620AC6">
        <w:rPr>
          <w:rFonts w:hint="eastAsia"/>
        </w:rPr>
        <w:t>年度平均价格持平。</w:t>
      </w:r>
    </w:p>
    <w:p w14:paraId="3E29EADF" w14:textId="77777777" w:rsidR="002A252E" w:rsidRPr="00620AC6" w:rsidRDefault="002A252E" w:rsidP="00877C32">
      <w:pPr>
        <w:rPr>
          <w:rFonts w:cs="Segoe UI"/>
          <w:szCs w:val="22"/>
        </w:rPr>
      </w:pPr>
    </w:p>
    <w:p w14:paraId="46488DF6" w14:textId="7D659EC0" w:rsidR="002A252E" w:rsidRPr="00620AC6" w:rsidRDefault="00333BC8" w:rsidP="002A252E">
      <w:pPr>
        <w:rPr>
          <w:rFonts w:cs="Segoe UI"/>
          <w:szCs w:val="22"/>
        </w:rPr>
      </w:pPr>
      <w:r w:rsidRPr="00620AC6">
        <w:rPr>
          <w:rFonts w:hint="eastAsia"/>
        </w:rPr>
        <w:t>考虑到这些因素，汉高预计</w:t>
      </w:r>
      <w:r w:rsidRPr="00620AC6">
        <w:rPr>
          <w:rFonts w:hint="eastAsia"/>
        </w:rPr>
        <w:t>2024</w:t>
      </w:r>
      <w:r w:rsidRPr="00620AC6">
        <w:rPr>
          <w:rFonts w:hint="eastAsia"/>
        </w:rPr>
        <w:t>财年</w:t>
      </w:r>
      <w:r w:rsidRPr="00620AC6">
        <w:rPr>
          <w:rFonts w:hint="eastAsia"/>
          <w:b/>
          <w:bCs/>
        </w:rPr>
        <w:t>有机销售额增长</w:t>
      </w:r>
      <w:r w:rsidRPr="00620AC6">
        <w:rPr>
          <w:rFonts w:hint="eastAsia"/>
        </w:rPr>
        <w:t>幅度为</w:t>
      </w:r>
      <w:r w:rsidRPr="00620AC6">
        <w:rPr>
          <w:rFonts w:hint="eastAsia"/>
        </w:rPr>
        <w:t>2.0%</w:t>
      </w:r>
      <w:r w:rsidRPr="00620AC6">
        <w:rPr>
          <w:rFonts w:hint="eastAsia"/>
        </w:rPr>
        <w:t>至</w:t>
      </w:r>
      <w:r w:rsidRPr="00620AC6">
        <w:rPr>
          <w:rFonts w:hint="eastAsia"/>
        </w:rPr>
        <w:t>4.0%</w:t>
      </w:r>
      <w:r w:rsidRPr="00620AC6">
        <w:rPr>
          <w:rFonts w:hint="eastAsia"/>
        </w:rPr>
        <w:t>，两个业务部的增长幅度预计都在这个范围内。</w:t>
      </w:r>
      <w:r w:rsidRPr="00620AC6">
        <w:rPr>
          <w:rFonts w:hint="eastAsia"/>
          <w:b/>
          <w:bCs/>
        </w:rPr>
        <w:t>调整后的销售回报率（调整后的息税前利润率）</w:t>
      </w:r>
      <w:r w:rsidRPr="00620AC6">
        <w:rPr>
          <w:rFonts w:hint="eastAsia"/>
        </w:rPr>
        <w:t>预计为</w:t>
      </w:r>
      <w:r w:rsidRPr="00620AC6">
        <w:rPr>
          <w:rFonts w:hint="eastAsia"/>
        </w:rPr>
        <w:t>12.0%</w:t>
      </w:r>
      <w:r w:rsidRPr="00620AC6">
        <w:rPr>
          <w:rFonts w:hint="eastAsia"/>
        </w:rPr>
        <w:t>至</w:t>
      </w:r>
      <w:r w:rsidRPr="00620AC6">
        <w:rPr>
          <w:rFonts w:hint="eastAsia"/>
        </w:rPr>
        <w:t>13.5%</w:t>
      </w:r>
      <w:r w:rsidRPr="00620AC6">
        <w:rPr>
          <w:rFonts w:hint="eastAsia"/>
        </w:rPr>
        <w:t>。粘合剂技术业务部调整后的销售回报率预计为</w:t>
      </w:r>
      <w:r w:rsidRPr="00620AC6">
        <w:rPr>
          <w:rFonts w:hint="eastAsia"/>
        </w:rPr>
        <w:t>15.0%</w:t>
      </w:r>
      <w:r w:rsidRPr="00620AC6">
        <w:rPr>
          <w:rFonts w:hint="eastAsia"/>
        </w:rPr>
        <w:t>至</w:t>
      </w:r>
      <w:r w:rsidRPr="00620AC6">
        <w:rPr>
          <w:rFonts w:hint="eastAsia"/>
        </w:rPr>
        <w:t>16.5%</w:t>
      </w:r>
      <w:r w:rsidRPr="00620AC6">
        <w:rPr>
          <w:rFonts w:hint="eastAsia"/>
        </w:rPr>
        <w:t>，而消费品牌业务部预计为</w:t>
      </w:r>
      <w:r w:rsidRPr="00620AC6">
        <w:rPr>
          <w:rFonts w:hint="eastAsia"/>
        </w:rPr>
        <w:t>11.0%</w:t>
      </w:r>
      <w:r w:rsidRPr="00620AC6">
        <w:rPr>
          <w:rFonts w:hint="eastAsia"/>
        </w:rPr>
        <w:t>至</w:t>
      </w:r>
      <w:r w:rsidRPr="00620AC6">
        <w:rPr>
          <w:rFonts w:hint="eastAsia"/>
        </w:rPr>
        <w:t>12.5%</w:t>
      </w:r>
      <w:r w:rsidRPr="00620AC6">
        <w:rPr>
          <w:rFonts w:hint="eastAsia"/>
        </w:rPr>
        <w:t>。对于按固定汇率计算的</w:t>
      </w:r>
      <w:r w:rsidRPr="00620AC6">
        <w:rPr>
          <w:rFonts w:hint="eastAsia"/>
          <w:b/>
          <w:bCs/>
        </w:rPr>
        <w:t>调整后优先股每股收益（</w:t>
      </w:r>
      <w:r w:rsidRPr="00620AC6">
        <w:rPr>
          <w:rFonts w:hint="eastAsia"/>
          <w:b/>
          <w:bCs/>
        </w:rPr>
        <w:t>EPS</w:t>
      </w:r>
      <w:r w:rsidRPr="00620AC6">
        <w:rPr>
          <w:rFonts w:hint="eastAsia"/>
          <w:b/>
          <w:bCs/>
        </w:rPr>
        <w:t>）</w:t>
      </w:r>
      <w:r w:rsidRPr="00620AC6">
        <w:rPr>
          <w:rFonts w:hint="eastAsia"/>
        </w:rPr>
        <w:t>，汉高预计增长幅度为</w:t>
      </w:r>
      <w:r w:rsidRPr="00620AC6">
        <w:rPr>
          <w:rFonts w:hint="eastAsia"/>
        </w:rPr>
        <w:t>5.0%</w:t>
      </w:r>
      <w:r w:rsidRPr="00620AC6">
        <w:rPr>
          <w:rFonts w:hint="eastAsia"/>
        </w:rPr>
        <w:t>至</w:t>
      </w:r>
      <w:r w:rsidRPr="00620AC6">
        <w:rPr>
          <w:rFonts w:hint="eastAsia"/>
        </w:rPr>
        <w:t>20.0%</w:t>
      </w:r>
      <w:r w:rsidRPr="00620AC6">
        <w:rPr>
          <w:rFonts w:hint="eastAsia"/>
        </w:rPr>
        <w:t>。</w:t>
      </w:r>
      <w:r w:rsidRPr="00620AC6">
        <w:rPr>
          <w:rFonts w:hint="eastAsia"/>
        </w:rPr>
        <w:t xml:space="preserve"> </w:t>
      </w:r>
    </w:p>
    <w:p w14:paraId="00718CC3" w14:textId="77777777" w:rsidR="000C47D1" w:rsidRPr="00620AC6" w:rsidRDefault="000C47D1" w:rsidP="00877C32">
      <w:pPr>
        <w:rPr>
          <w:rFonts w:cs="Segoe UI"/>
          <w:szCs w:val="22"/>
        </w:rPr>
      </w:pPr>
    </w:p>
    <w:p w14:paraId="7F66DF8A" w14:textId="30A90B13" w:rsidR="00846017" w:rsidRPr="00620AC6" w:rsidRDefault="00333BC8" w:rsidP="00846017">
      <w:pPr>
        <w:spacing w:after="120"/>
        <w:rPr>
          <w:rFonts w:cs="Segoe UI"/>
          <w:szCs w:val="22"/>
        </w:rPr>
      </w:pPr>
      <w:r w:rsidRPr="00620AC6">
        <w:rPr>
          <w:rFonts w:hint="eastAsia"/>
          <w:b/>
        </w:rPr>
        <w:t>所有战略优先事项均取得重大进展</w:t>
      </w:r>
    </w:p>
    <w:p w14:paraId="289AA14D" w14:textId="1695200C" w:rsidR="00846017" w:rsidRPr="00620AC6" w:rsidRDefault="00333BC8" w:rsidP="0081325C">
      <w:pPr>
        <w:rPr>
          <w:rFonts w:cs="Segoe UI"/>
          <w:szCs w:val="22"/>
        </w:rPr>
      </w:pPr>
      <w:r w:rsidRPr="00620AC6">
        <w:rPr>
          <w:rFonts w:hint="eastAsia"/>
        </w:rPr>
        <w:t>在充满挑战的宏观经济和地缘政治环境中，公司在上一财年</w:t>
      </w:r>
      <w:r w:rsidR="00576BED">
        <w:rPr>
          <w:rFonts w:hint="eastAsia"/>
        </w:rPr>
        <w:t>仍</w:t>
      </w:r>
      <w:r w:rsidR="008F4022">
        <w:rPr>
          <w:rFonts w:hint="eastAsia"/>
        </w:rPr>
        <w:t>不断得到</w:t>
      </w:r>
      <w:r w:rsidRPr="00620AC6">
        <w:rPr>
          <w:rFonts w:hint="eastAsia"/>
        </w:rPr>
        <w:t>进一步的发展。目标性增长战略框架以更快的速度得到实施。在过去的四年中，汉高在架构、团队和文化等众多方面都发生了根本性的</w:t>
      </w:r>
      <w:r w:rsidR="004033C2">
        <w:rPr>
          <w:rFonts w:hint="eastAsia"/>
        </w:rPr>
        <w:t>改变</w:t>
      </w:r>
      <w:r w:rsidR="00736188">
        <w:rPr>
          <w:rFonts w:hint="eastAsia"/>
        </w:rPr>
        <w:t>，</w:t>
      </w:r>
      <w:r w:rsidRPr="00620AC6">
        <w:rPr>
          <w:rFonts w:hint="eastAsia"/>
        </w:rPr>
        <w:t>而这些</w:t>
      </w:r>
      <w:r w:rsidR="003005CD">
        <w:rPr>
          <w:rFonts w:hint="eastAsia"/>
        </w:rPr>
        <w:t>改变</w:t>
      </w:r>
      <w:r w:rsidRPr="00620AC6">
        <w:rPr>
          <w:rFonts w:hint="eastAsia"/>
        </w:rPr>
        <w:t>都取得了切实的成果。在过去的一年中，有三个重要项目对汉高产生了重大影响，并得到了成功实施，极大</w:t>
      </w:r>
      <w:r w:rsidR="004359AC">
        <w:rPr>
          <w:rFonts w:hint="eastAsia"/>
        </w:rPr>
        <w:t>地</w:t>
      </w:r>
      <w:r w:rsidRPr="00620AC6">
        <w:rPr>
          <w:rFonts w:hint="eastAsia"/>
        </w:rPr>
        <w:t>推动了汉高的转型。</w:t>
      </w:r>
    </w:p>
    <w:p w14:paraId="74EC06AD" w14:textId="4EDD8CCA" w:rsidR="00335660" w:rsidRPr="00620AC6" w:rsidRDefault="00335660" w:rsidP="00877C32">
      <w:pPr>
        <w:rPr>
          <w:rFonts w:cs="Segoe UI"/>
          <w:szCs w:val="22"/>
        </w:rPr>
      </w:pPr>
    </w:p>
    <w:p w14:paraId="7A080CB6" w14:textId="4B834318" w:rsidR="00AF0B6F" w:rsidRPr="00620AC6" w:rsidRDefault="00333BC8" w:rsidP="00AF0B6F">
      <w:pPr>
        <w:spacing w:after="120"/>
        <w:rPr>
          <w:rFonts w:cs="Segoe UI"/>
          <w:b/>
          <w:bCs/>
          <w:i/>
          <w:iCs/>
          <w:szCs w:val="22"/>
        </w:rPr>
      </w:pPr>
      <w:r w:rsidRPr="00620AC6">
        <w:rPr>
          <w:rFonts w:hint="eastAsia"/>
          <w:b/>
          <w:i/>
        </w:rPr>
        <w:t>出售俄罗斯业务</w:t>
      </w:r>
    </w:p>
    <w:p w14:paraId="71F0BD1E" w14:textId="71FB24ED" w:rsidR="003D4AD2" w:rsidRPr="00620AC6" w:rsidRDefault="00333BC8" w:rsidP="001E165A">
      <w:pPr>
        <w:rPr>
          <w:rFonts w:cs="Segoe UI"/>
          <w:szCs w:val="22"/>
        </w:rPr>
      </w:pPr>
      <w:r w:rsidRPr="00620AC6">
        <w:rPr>
          <w:rFonts w:hint="eastAsia"/>
        </w:rPr>
        <w:t>2022</w:t>
      </w:r>
      <w:r w:rsidRPr="00620AC6">
        <w:rPr>
          <w:rFonts w:hint="eastAsia"/>
        </w:rPr>
        <w:t>年</w:t>
      </w:r>
      <w:r w:rsidRPr="00620AC6">
        <w:rPr>
          <w:rFonts w:hint="eastAsia"/>
        </w:rPr>
        <w:t>4</w:t>
      </w:r>
      <w:r w:rsidRPr="00620AC6">
        <w:rPr>
          <w:rFonts w:hint="eastAsia"/>
        </w:rPr>
        <w:t>月，在</w:t>
      </w:r>
      <w:r w:rsidR="0048194E">
        <w:rPr>
          <w:rFonts w:hint="eastAsia"/>
        </w:rPr>
        <w:t>俄乌冲突发生的</w:t>
      </w:r>
      <w:r w:rsidRPr="00620AC6">
        <w:rPr>
          <w:rFonts w:hint="eastAsia"/>
        </w:rPr>
        <w:t>几周后，汉高就决定退出在俄罗斯的业务活动。随后是非常复杂的撤资过程。</w:t>
      </w:r>
      <w:r w:rsidRPr="00620AC6">
        <w:rPr>
          <w:rFonts w:hint="eastAsia"/>
        </w:rPr>
        <w:t>2023</w:t>
      </w:r>
      <w:r w:rsidRPr="00620AC6">
        <w:rPr>
          <w:rFonts w:hint="eastAsia"/>
        </w:rPr>
        <w:t>年</w:t>
      </w:r>
      <w:r w:rsidRPr="00620AC6">
        <w:rPr>
          <w:rFonts w:hint="eastAsia"/>
        </w:rPr>
        <w:t>4</w:t>
      </w:r>
      <w:r w:rsidRPr="00620AC6">
        <w:rPr>
          <w:rFonts w:hint="eastAsia"/>
        </w:rPr>
        <w:t>月，汉高终于得以将其在俄罗斯的业务出售给了由当地金融投资者组成的财团。商定的收购价格约为</w:t>
      </w:r>
      <w:r w:rsidRPr="00620AC6">
        <w:rPr>
          <w:rFonts w:hint="eastAsia"/>
        </w:rPr>
        <w:t>6</w:t>
      </w:r>
      <w:r w:rsidRPr="00620AC6">
        <w:rPr>
          <w:rFonts w:hint="eastAsia"/>
        </w:rPr>
        <w:t>亿欧元。</w:t>
      </w:r>
    </w:p>
    <w:p w14:paraId="3D8B6280" w14:textId="77777777" w:rsidR="003D4AD2" w:rsidRPr="00620AC6" w:rsidRDefault="003D4AD2" w:rsidP="00AF0B6F">
      <w:pPr>
        <w:rPr>
          <w:rFonts w:cs="Segoe UI"/>
          <w:szCs w:val="22"/>
          <w:lang w:eastAsia="de-DE"/>
        </w:rPr>
      </w:pPr>
    </w:p>
    <w:p w14:paraId="732571A0" w14:textId="4AC49D9F" w:rsidR="001F1D6D" w:rsidRPr="00620AC6" w:rsidRDefault="00333BC8" w:rsidP="007B3774">
      <w:pPr>
        <w:spacing w:after="120"/>
        <w:jc w:val="left"/>
        <w:rPr>
          <w:rFonts w:cs="Segoe UI"/>
          <w:b/>
          <w:bCs/>
          <w:i/>
          <w:iCs/>
          <w:szCs w:val="22"/>
        </w:rPr>
      </w:pPr>
      <w:r w:rsidRPr="00620AC6">
        <w:rPr>
          <w:rFonts w:hint="eastAsia"/>
          <w:b/>
          <w:i/>
        </w:rPr>
        <w:t>消费品牌业务部：合并</w:t>
      </w:r>
      <w:r w:rsidR="00DF7893">
        <w:rPr>
          <w:rFonts w:hint="eastAsia"/>
          <w:b/>
          <w:i/>
        </w:rPr>
        <w:t>进程</w:t>
      </w:r>
      <w:r w:rsidRPr="00620AC6">
        <w:rPr>
          <w:rFonts w:hint="eastAsia"/>
          <w:b/>
          <w:i/>
        </w:rPr>
        <w:t>快于计划</w:t>
      </w:r>
    </w:p>
    <w:p w14:paraId="6B2C8F0B" w14:textId="04B6912C" w:rsidR="007B3774" w:rsidRPr="00620AC6" w:rsidRDefault="00333BC8" w:rsidP="00A24EFA">
      <w:pPr>
        <w:rPr>
          <w:rFonts w:cs="Segoe UI"/>
          <w:szCs w:val="22"/>
        </w:rPr>
      </w:pPr>
      <w:r w:rsidRPr="00620AC6">
        <w:rPr>
          <w:rFonts w:hint="eastAsia"/>
        </w:rPr>
        <w:t>随着将</w:t>
      </w:r>
      <w:r w:rsidR="007D27B1">
        <w:rPr>
          <w:rFonts w:hint="eastAsia"/>
        </w:rPr>
        <w:t>原先的</w:t>
      </w:r>
      <w:r w:rsidRPr="00620AC6">
        <w:rPr>
          <w:rFonts w:hint="eastAsia"/>
        </w:rPr>
        <w:t>洗涤剂及家用护理</w:t>
      </w:r>
      <w:r w:rsidR="007D27B1">
        <w:rPr>
          <w:rFonts w:hint="eastAsia"/>
        </w:rPr>
        <w:t>以及</w:t>
      </w:r>
      <w:r w:rsidRPr="00620AC6">
        <w:rPr>
          <w:rFonts w:hint="eastAsia"/>
        </w:rPr>
        <w:t>化妆品</w:t>
      </w:r>
      <w:r w:rsidRPr="00620AC6">
        <w:rPr>
          <w:rFonts w:hint="eastAsia"/>
        </w:rPr>
        <w:t>/</w:t>
      </w:r>
      <w:r w:rsidRPr="00620AC6">
        <w:rPr>
          <w:rFonts w:hint="eastAsia"/>
        </w:rPr>
        <w:t>美容用品两个消费业务合并为新的消费品牌业务部，汉高将全部类别的所有消费品牌整合到了一起，其中包括宝莹（</w:t>
      </w:r>
      <w:r w:rsidRPr="00620AC6">
        <w:rPr>
          <w:rFonts w:hint="eastAsia"/>
        </w:rPr>
        <w:t>Persil</w:t>
      </w:r>
      <w:r w:rsidRPr="00620AC6">
        <w:rPr>
          <w:rFonts w:hint="eastAsia"/>
        </w:rPr>
        <w:t>）和施华蔻（</w:t>
      </w:r>
      <w:r w:rsidRPr="00620AC6">
        <w:rPr>
          <w:rFonts w:hint="eastAsia"/>
        </w:rPr>
        <w:t>Schwarzkopf</w:t>
      </w:r>
      <w:r w:rsidRPr="00620AC6">
        <w:rPr>
          <w:rFonts w:hint="eastAsia"/>
        </w:rPr>
        <w:t>）等标志性品牌，以及成功的美发沙龙业务。汉高</w:t>
      </w:r>
      <w:r w:rsidR="00570C13">
        <w:rPr>
          <w:rFonts w:hint="eastAsia"/>
        </w:rPr>
        <w:t>由此</w:t>
      </w:r>
      <w:r w:rsidRPr="00620AC6">
        <w:rPr>
          <w:rFonts w:hint="eastAsia"/>
        </w:rPr>
        <w:t>建立了一个多类别平台，以实现动态增长。</w:t>
      </w:r>
      <w:r w:rsidRPr="00620AC6">
        <w:rPr>
          <w:rFonts w:hint="eastAsia"/>
        </w:rPr>
        <w:t>2023</w:t>
      </w:r>
      <w:r w:rsidRPr="00620AC6">
        <w:rPr>
          <w:rFonts w:hint="eastAsia"/>
        </w:rPr>
        <w:t>年</w:t>
      </w:r>
      <w:r w:rsidRPr="00620AC6">
        <w:rPr>
          <w:rFonts w:hint="eastAsia"/>
        </w:rPr>
        <w:t>1</w:t>
      </w:r>
      <w:r w:rsidRPr="00620AC6">
        <w:rPr>
          <w:rFonts w:hint="eastAsia"/>
        </w:rPr>
        <w:t>月，该新业务部正式“上线”。</w:t>
      </w:r>
    </w:p>
    <w:p w14:paraId="547DFA9B" w14:textId="77777777" w:rsidR="007B3774" w:rsidRPr="00620AC6" w:rsidRDefault="007B3774" w:rsidP="00AF0B6F">
      <w:pPr>
        <w:rPr>
          <w:rFonts w:cs="Segoe UI"/>
          <w:szCs w:val="22"/>
          <w:lang w:eastAsia="de-DE"/>
        </w:rPr>
      </w:pPr>
    </w:p>
    <w:p w14:paraId="10210969" w14:textId="47ECC56A" w:rsidR="007B3774" w:rsidRPr="00620AC6" w:rsidRDefault="00333BC8" w:rsidP="00A24EFA">
      <w:r w:rsidRPr="00620AC6">
        <w:rPr>
          <w:rFonts w:hint="eastAsia"/>
        </w:rPr>
        <w:t>新组织也展现出了成功势头：从</w:t>
      </w:r>
      <w:r w:rsidR="008A7101">
        <w:rPr>
          <w:rFonts w:hint="eastAsia"/>
        </w:rPr>
        <w:t>成立</w:t>
      </w:r>
      <w:r w:rsidRPr="00620AC6">
        <w:rPr>
          <w:rFonts w:hint="eastAsia"/>
        </w:rPr>
        <w:t>起，汉高消费品牌业务</w:t>
      </w:r>
      <w:r w:rsidR="008A7101">
        <w:rPr>
          <w:rFonts w:hint="eastAsia"/>
        </w:rPr>
        <w:t>部</w:t>
      </w:r>
      <w:r w:rsidRPr="00620AC6">
        <w:rPr>
          <w:rFonts w:hint="eastAsia"/>
        </w:rPr>
        <w:t>实现或超过了关键指标和财务目标，例如实现了非常强劲的有机增长，调整后的息税前利润率也恢复到两位数水平。与此同时，整合</w:t>
      </w:r>
      <w:r w:rsidR="00737DCE">
        <w:rPr>
          <w:rFonts w:hint="eastAsia"/>
        </w:rPr>
        <w:t>的进程</w:t>
      </w:r>
      <w:r w:rsidRPr="00620AC6">
        <w:rPr>
          <w:rFonts w:hint="eastAsia"/>
        </w:rPr>
        <w:t>也比原计划快得多。这反映在</w:t>
      </w:r>
      <w:r w:rsidRPr="00620AC6">
        <w:rPr>
          <w:rFonts w:hint="eastAsia"/>
        </w:rPr>
        <w:t>2023</w:t>
      </w:r>
      <w:r w:rsidRPr="00620AC6">
        <w:rPr>
          <w:rFonts w:hint="eastAsia"/>
        </w:rPr>
        <w:t>年节省的成本中。对于到</w:t>
      </w:r>
      <w:r w:rsidRPr="00620AC6">
        <w:rPr>
          <w:rFonts w:hint="eastAsia"/>
        </w:rPr>
        <w:t>2024</w:t>
      </w:r>
      <w:r w:rsidRPr="00620AC6">
        <w:rPr>
          <w:rFonts w:hint="eastAsia"/>
        </w:rPr>
        <w:t>年底节省约</w:t>
      </w:r>
      <w:r w:rsidRPr="00620AC6">
        <w:rPr>
          <w:rFonts w:hint="eastAsia"/>
        </w:rPr>
        <w:t>2.5</w:t>
      </w:r>
      <w:r w:rsidRPr="00620AC6">
        <w:rPr>
          <w:rFonts w:hint="eastAsia"/>
        </w:rPr>
        <w:t>亿欧元净成本的目标，截至</w:t>
      </w:r>
      <w:r w:rsidRPr="00620AC6">
        <w:rPr>
          <w:rFonts w:hint="eastAsia"/>
        </w:rPr>
        <w:t>2023</w:t>
      </w:r>
      <w:r w:rsidRPr="00620AC6">
        <w:rPr>
          <w:rFonts w:hint="eastAsia"/>
        </w:rPr>
        <w:t>年</w:t>
      </w:r>
      <w:r w:rsidR="00902486">
        <w:rPr>
          <w:rFonts w:hint="eastAsia"/>
        </w:rPr>
        <w:t>年</w:t>
      </w:r>
      <w:r w:rsidRPr="00620AC6">
        <w:rPr>
          <w:rFonts w:hint="eastAsia"/>
        </w:rPr>
        <w:t>底已实现超过</w:t>
      </w:r>
      <w:r w:rsidRPr="00620AC6">
        <w:rPr>
          <w:rFonts w:hint="eastAsia"/>
        </w:rPr>
        <w:t>2</w:t>
      </w:r>
      <w:r w:rsidRPr="00620AC6">
        <w:rPr>
          <w:rFonts w:hint="eastAsia"/>
        </w:rPr>
        <w:t>亿欧元。第一阶段的</w:t>
      </w:r>
      <w:r w:rsidR="00A91369">
        <w:rPr>
          <w:rFonts w:hint="eastAsia"/>
        </w:rPr>
        <w:t>成本节约</w:t>
      </w:r>
      <w:r w:rsidRPr="00620AC6">
        <w:rPr>
          <w:rFonts w:hint="eastAsia"/>
        </w:rPr>
        <w:t>目标总额也增至</w:t>
      </w:r>
      <w:r w:rsidRPr="00620AC6">
        <w:rPr>
          <w:rFonts w:hint="eastAsia"/>
        </w:rPr>
        <w:t>2.75</w:t>
      </w:r>
      <w:r w:rsidRPr="00620AC6">
        <w:rPr>
          <w:rFonts w:hint="eastAsia"/>
        </w:rPr>
        <w:t>亿欧元。</w:t>
      </w:r>
    </w:p>
    <w:p w14:paraId="5C107779" w14:textId="77777777" w:rsidR="00FA6184" w:rsidRPr="00620AC6" w:rsidRDefault="00FA6184" w:rsidP="00A24EFA"/>
    <w:p w14:paraId="03D62E17" w14:textId="2C4A079E" w:rsidR="003D0795" w:rsidRPr="00620AC6" w:rsidRDefault="00333BC8" w:rsidP="003D0795">
      <w:pPr>
        <w:rPr>
          <w:rFonts w:cs="Segoe UI"/>
          <w:szCs w:val="22"/>
        </w:rPr>
      </w:pPr>
      <w:r w:rsidRPr="00620AC6">
        <w:rPr>
          <w:rFonts w:hint="eastAsia"/>
        </w:rPr>
        <w:t>整合的第二阶段也已启动，重点是优化消费品牌业务部的供应链网络。此外，第一批</w:t>
      </w:r>
      <w:r w:rsidR="00041750">
        <w:rPr>
          <w:rFonts w:hint="eastAsia"/>
        </w:rPr>
        <w:t>整合的</w:t>
      </w:r>
      <w:r w:rsidRPr="00620AC6">
        <w:rPr>
          <w:rFonts w:hint="eastAsia"/>
        </w:rPr>
        <w:t>国家还引入了所谓的“</w:t>
      </w:r>
      <w:r w:rsidRPr="00620AC6">
        <w:rPr>
          <w:rFonts w:hint="eastAsia"/>
        </w:rPr>
        <w:t>1-1-1</w:t>
      </w:r>
      <w:r w:rsidRPr="00620AC6">
        <w:rPr>
          <w:rFonts w:hint="eastAsia"/>
        </w:rPr>
        <w:t>原则”。这意味着：一份订单、一次交货、一张发票。</w:t>
      </w:r>
      <w:r w:rsidRPr="00620AC6">
        <w:rPr>
          <w:rFonts w:hint="eastAsia"/>
        </w:rPr>
        <w:t>2023</w:t>
      </w:r>
      <w:r w:rsidRPr="00620AC6">
        <w:rPr>
          <w:rFonts w:hint="eastAsia"/>
        </w:rPr>
        <w:t>年，整合的第二阶段已节省了约</w:t>
      </w:r>
      <w:r w:rsidRPr="00620AC6">
        <w:rPr>
          <w:rFonts w:hint="eastAsia"/>
        </w:rPr>
        <w:t>8000</w:t>
      </w:r>
      <w:r w:rsidRPr="00620AC6">
        <w:rPr>
          <w:rFonts w:hint="eastAsia"/>
        </w:rPr>
        <w:t>万欧元的成本。第二阶段的预期节</w:t>
      </w:r>
      <w:r w:rsidR="004E7414">
        <w:rPr>
          <w:rFonts w:hint="eastAsia"/>
        </w:rPr>
        <w:t>约</w:t>
      </w:r>
      <w:r w:rsidRPr="00620AC6">
        <w:rPr>
          <w:rFonts w:hint="eastAsia"/>
        </w:rPr>
        <w:t>总额也从至少</w:t>
      </w:r>
      <w:r w:rsidRPr="00620AC6">
        <w:rPr>
          <w:rFonts w:hint="eastAsia"/>
        </w:rPr>
        <w:t>1.5</w:t>
      </w:r>
      <w:r w:rsidRPr="00620AC6">
        <w:rPr>
          <w:rFonts w:hint="eastAsia"/>
        </w:rPr>
        <w:t>亿欧元增加到约</w:t>
      </w:r>
      <w:r w:rsidR="00581EC9" w:rsidRPr="00620AC6">
        <w:t>2. 5</w:t>
      </w:r>
      <w:r w:rsidR="00581EC9" w:rsidRPr="00620AC6">
        <w:t>亿欧元。整合的两个阶段将</w:t>
      </w:r>
      <w:r w:rsidR="00581EC9" w:rsidRPr="00620AC6">
        <w:rPr>
          <w:rFonts w:hint="eastAsia"/>
        </w:rPr>
        <w:t>在</w:t>
      </w:r>
      <w:r w:rsidRPr="00620AC6">
        <w:rPr>
          <w:rFonts w:hint="eastAsia"/>
        </w:rPr>
        <w:t>2026</w:t>
      </w:r>
      <w:r w:rsidRPr="00620AC6">
        <w:rPr>
          <w:rFonts w:hint="eastAsia"/>
        </w:rPr>
        <w:t>年底前全面完成，预计节省的总成本将从</w:t>
      </w:r>
      <w:r w:rsidRPr="00620AC6">
        <w:rPr>
          <w:rFonts w:hint="eastAsia"/>
        </w:rPr>
        <w:t>4</w:t>
      </w:r>
      <w:r w:rsidRPr="00620AC6">
        <w:rPr>
          <w:rFonts w:hint="eastAsia"/>
        </w:rPr>
        <w:t>亿欧元增加到</w:t>
      </w:r>
      <w:r w:rsidRPr="00620AC6">
        <w:rPr>
          <w:rFonts w:hint="eastAsia"/>
        </w:rPr>
        <w:t>5.25</w:t>
      </w:r>
      <w:r w:rsidRPr="00620AC6">
        <w:rPr>
          <w:rFonts w:hint="eastAsia"/>
        </w:rPr>
        <w:t>亿欧元。</w:t>
      </w:r>
    </w:p>
    <w:p w14:paraId="4B99B477" w14:textId="77777777" w:rsidR="003D0795" w:rsidRPr="00620AC6" w:rsidRDefault="003D0795" w:rsidP="003D0795">
      <w:pPr>
        <w:rPr>
          <w:rFonts w:cs="Segoe UI"/>
          <w:szCs w:val="22"/>
          <w:lang w:eastAsia="de-DE"/>
        </w:rPr>
      </w:pPr>
    </w:p>
    <w:p w14:paraId="60141A5A" w14:textId="6F5FA782" w:rsidR="003D0795" w:rsidRPr="00620AC6" w:rsidRDefault="00333BC8" w:rsidP="003D0795">
      <w:pPr>
        <w:rPr>
          <w:rFonts w:cs="Segoe UI"/>
          <w:szCs w:val="22"/>
        </w:rPr>
      </w:pPr>
      <w:r w:rsidRPr="00620AC6">
        <w:rPr>
          <w:rFonts w:hint="eastAsia"/>
        </w:rPr>
        <w:lastRenderedPageBreak/>
        <w:t>与此同时，汉高对相关业务进行了投资，以进一步加强品牌和创新，例如大幅增加营销和销售投入，以推动未来增长，并进一步提高业务盈利能力。</w:t>
      </w:r>
    </w:p>
    <w:p w14:paraId="182E4452" w14:textId="77777777" w:rsidR="007B3774" w:rsidRPr="00620AC6" w:rsidRDefault="007B3774" w:rsidP="007B3774">
      <w:pPr>
        <w:rPr>
          <w:rFonts w:cs="Segoe UI"/>
          <w:szCs w:val="22"/>
          <w:lang w:eastAsia="de-DE"/>
        </w:rPr>
      </w:pPr>
    </w:p>
    <w:p w14:paraId="389A724B" w14:textId="4F3930A2" w:rsidR="00C84AC6" w:rsidRPr="00620AC6" w:rsidRDefault="00333BC8" w:rsidP="005110D3">
      <w:pPr>
        <w:spacing w:after="120"/>
        <w:rPr>
          <w:rFonts w:cs="Segoe UI"/>
          <w:b/>
          <w:bCs/>
          <w:i/>
          <w:iCs/>
          <w:szCs w:val="22"/>
        </w:rPr>
      </w:pPr>
      <w:r w:rsidRPr="00620AC6">
        <w:rPr>
          <w:rFonts w:hint="eastAsia"/>
          <w:b/>
          <w:i/>
        </w:rPr>
        <w:t>粘合剂技术业务部的进一步发展</w:t>
      </w:r>
    </w:p>
    <w:p w14:paraId="0D1576C5" w14:textId="49F7F9FA" w:rsidR="00C84AC6" w:rsidRPr="00620AC6" w:rsidRDefault="00333BC8" w:rsidP="008C2A5C">
      <w:pPr>
        <w:rPr>
          <w:rFonts w:cs="Segoe UI"/>
          <w:szCs w:val="22"/>
        </w:rPr>
      </w:pPr>
      <w:r w:rsidRPr="00620AC6">
        <w:rPr>
          <w:rFonts w:hint="eastAsia"/>
        </w:rPr>
        <w:t>为了进一步利用全球领先的市场地位，并推动该业务部的发展，汉高对粘合剂技术业务</w:t>
      </w:r>
      <w:r w:rsidR="00EA400B">
        <w:rPr>
          <w:rFonts w:hint="eastAsia"/>
        </w:rPr>
        <w:t>部</w:t>
      </w:r>
      <w:r w:rsidRPr="00620AC6">
        <w:rPr>
          <w:rFonts w:hint="eastAsia"/>
        </w:rPr>
        <w:t>的最高管理层进行了多次调整，在</w:t>
      </w:r>
      <w:r w:rsidRPr="00620AC6">
        <w:rPr>
          <w:rFonts w:hint="eastAsia"/>
        </w:rPr>
        <w:t>2023</w:t>
      </w:r>
      <w:r w:rsidRPr="00620AC6">
        <w:rPr>
          <w:rFonts w:hint="eastAsia"/>
        </w:rPr>
        <w:t>财年组建了一个更加多元化和国际化的团队。同时，</w:t>
      </w:r>
      <w:r w:rsidR="005F7F0E">
        <w:rPr>
          <w:rFonts w:hint="eastAsia"/>
        </w:rPr>
        <w:t>汉高</w:t>
      </w:r>
      <w:r w:rsidRPr="00620AC6">
        <w:rPr>
          <w:rFonts w:hint="eastAsia"/>
        </w:rPr>
        <w:t>对组织</w:t>
      </w:r>
      <w:r w:rsidR="00E40F7F">
        <w:rPr>
          <w:rFonts w:hint="eastAsia"/>
        </w:rPr>
        <w:t>架构</w:t>
      </w:r>
      <w:r w:rsidRPr="00620AC6">
        <w:rPr>
          <w:rFonts w:hint="eastAsia"/>
        </w:rPr>
        <w:t>进行了优化，以进一步加强与客户和市场的联系。新的架构包括三个业务领域：移动和电子业务、包装和消费品业务、工匠</w:t>
      </w:r>
      <w:r w:rsidR="00915ECE">
        <w:rPr>
          <w:rFonts w:hint="eastAsia"/>
        </w:rPr>
        <w:t>、建筑</w:t>
      </w:r>
      <w:r w:rsidRPr="00620AC6">
        <w:rPr>
          <w:rFonts w:hint="eastAsia"/>
        </w:rPr>
        <w:t>和专业业务。</w:t>
      </w:r>
      <w:r w:rsidR="00047774">
        <w:rPr>
          <w:rFonts w:hint="eastAsia"/>
        </w:rPr>
        <w:t>新架构</w:t>
      </w:r>
      <w:r w:rsidRPr="00620AC6">
        <w:rPr>
          <w:rFonts w:hint="eastAsia"/>
        </w:rPr>
        <w:t>建立于</w:t>
      </w:r>
      <w:r w:rsidRPr="00620AC6">
        <w:rPr>
          <w:rFonts w:hint="eastAsia"/>
        </w:rPr>
        <w:t>2023</w:t>
      </w:r>
      <w:r w:rsidRPr="00620AC6">
        <w:rPr>
          <w:rFonts w:hint="eastAsia"/>
        </w:rPr>
        <w:t>年，并在财务报告中得到充分反映。</w:t>
      </w:r>
    </w:p>
    <w:p w14:paraId="79B50343" w14:textId="77777777" w:rsidR="00B363D9" w:rsidRPr="00620AC6" w:rsidRDefault="00B363D9" w:rsidP="00582D0E">
      <w:pPr>
        <w:spacing w:after="120"/>
        <w:rPr>
          <w:rFonts w:cs="Segoe UI"/>
          <w:b/>
          <w:bCs/>
          <w:szCs w:val="22"/>
          <w:lang w:eastAsia="de-DE"/>
        </w:rPr>
      </w:pPr>
    </w:p>
    <w:p w14:paraId="1856961A" w14:textId="19B0F2B5" w:rsidR="003C7959" w:rsidRPr="00620AC6" w:rsidRDefault="00333BC8" w:rsidP="00582D0E">
      <w:pPr>
        <w:spacing w:after="120"/>
        <w:rPr>
          <w:rFonts w:cs="Segoe UI"/>
          <w:b/>
          <w:bCs/>
          <w:szCs w:val="22"/>
        </w:rPr>
      </w:pPr>
      <w:r w:rsidRPr="00620AC6">
        <w:rPr>
          <w:rFonts w:hint="eastAsia"/>
          <w:b/>
        </w:rPr>
        <w:t>所有战略优先事项均取得进一步进展</w:t>
      </w:r>
    </w:p>
    <w:p w14:paraId="19B6A18B" w14:textId="4E8AB8E9" w:rsidR="008C2A5C" w:rsidRPr="00620AC6" w:rsidRDefault="00333BC8" w:rsidP="00DE567C">
      <w:pPr>
        <w:autoSpaceDE w:val="0"/>
        <w:autoSpaceDN w:val="0"/>
        <w:adjustRightInd w:val="0"/>
        <w:rPr>
          <w:rFonts w:cs="Segoe UI"/>
          <w:bCs/>
          <w:szCs w:val="22"/>
        </w:rPr>
      </w:pPr>
      <w:r w:rsidRPr="00620AC6">
        <w:rPr>
          <w:rFonts w:hint="eastAsia"/>
        </w:rPr>
        <w:t>汉高在上一财年继续系统</w:t>
      </w:r>
      <w:r w:rsidR="004E3615">
        <w:rPr>
          <w:rFonts w:hint="eastAsia"/>
        </w:rPr>
        <w:t>地</w:t>
      </w:r>
      <w:r w:rsidRPr="00620AC6">
        <w:rPr>
          <w:rFonts w:hint="eastAsia"/>
        </w:rPr>
        <w:t>实施其增长战略，并在各个领域取得了重要进展。公司进一步发展其业务和品牌组合，加强在创新、可持续发展和数字化领域的竞争优势，优化运营模式，并培养企业文化。</w:t>
      </w:r>
    </w:p>
    <w:p w14:paraId="02BF1EFC" w14:textId="5BA357FF" w:rsidR="005110D3" w:rsidRPr="00620AC6" w:rsidRDefault="005110D3" w:rsidP="00DE567C">
      <w:pPr>
        <w:autoSpaceDE w:val="0"/>
        <w:autoSpaceDN w:val="0"/>
        <w:adjustRightInd w:val="0"/>
        <w:rPr>
          <w:rFonts w:cs="Segoe UI"/>
          <w:bCs/>
          <w:szCs w:val="22"/>
        </w:rPr>
      </w:pPr>
    </w:p>
    <w:p w14:paraId="7F8E7335" w14:textId="59D46850" w:rsidR="00273099" w:rsidRPr="00620AC6" w:rsidRDefault="00333BC8" w:rsidP="005E5014">
      <w:pPr>
        <w:autoSpaceDE w:val="0"/>
        <w:autoSpaceDN w:val="0"/>
        <w:adjustRightInd w:val="0"/>
        <w:rPr>
          <w:rFonts w:cs="Segoe UI"/>
          <w:bCs/>
          <w:szCs w:val="22"/>
        </w:rPr>
      </w:pPr>
      <w:r w:rsidRPr="00620AC6">
        <w:rPr>
          <w:rFonts w:hint="eastAsia"/>
        </w:rPr>
        <w:t>作为</w:t>
      </w:r>
      <w:r w:rsidRPr="00620AC6">
        <w:rPr>
          <w:rFonts w:hint="eastAsia"/>
          <w:b/>
          <w:bCs/>
        </w:rPr>
        <w:t>积极产品组合管理</w:t>
      </w:r>
      <w:r w:rsidRPr="00620AC6">
        <w:rPr>
          <w:rFonts w:hint="eastAsia"/>
        </w:rPr>
        <w:t>的一部分，除了终止或剥离活动外，汉高还通过收购进一步发展其产品组合。对于消费品牌业务部，汉高在</w:t>
      </w:r>
      <w:r w:rsidR="00441FC6" w:rsidRPr="00620AC6">
        <w:rPr>
          <w:rFonts w:hint="eastAsia"/>
        </w:rPr>
        <w:t>2022</w:t>
      </w:r>
      <w:r w:rsidR="00441FC6" w:rsidRPr="00620AC6">
        <w:rPr>
          <w:rFonts w:hint="eastAsia"/>
        </w:rPr>
        <w:t>年初</w:t>
      </w:r>
      <w:r w:rsidRPr="00620AC6">
        <w:rPr>
          <w:rFonts w:hint="eastAsia"/>
        </w:rPr>
        <w:t>宣布合并两大消费品业务后，剥离或终止了总销售额约</w:t>
      </w:r>
      <w:r w:rsidRPr="00620AC6">
        <w:rPr>
          <w:rFonts w:hint="eastAsia"/>
        </w:rPr>
        <w:t>6.5</w:t>
      </w:r>
      <w:r w:rsidRPr="00620AC6">
        <w:rPr>
          <w:rFonts w:hint="eastAsia"/>
        </w:rPr>
        <w:t>亿欧元的品牌和业务活动。例如，北美空气清新剂业务已于</w:t>
      </w:r>
      <w:r w:rsidRPr="00620AC6">
        <w:rPr>
          <w:rFonts w:hint="eastAsia"/>
        </w:rPr>
        <w:t>2023</w:t>
      </w:r>
      <w:r w:rsidRPr="00620AC6">
        <w:rPr>
          <w:rFonts w:hint="eastAsia"/>
        </w:rPr>
        <w:t>年剥离。与此同时，汉高在新西兰收购了洗涤剂及家用护理品牌</w:t>
      </w:r>
      <w:r w:rsidRPr="00620AC6">
        <w:rPr>
          <w:rFonts w:hint="eastAsia"/>
        </w:rPr>
        <w:t>Earthwise</w:t>
      </w:r>
      <w:r w:rsidRPr="00620AC6">
        <w:rPr>
          <w:rFonts w:hint="eastAsia"/>
        </w:rPr>
        <w:t>，强化了其产品组合。在粘合剂技术业务部，汉高通过收购</w:t>
      </w:r>
      <w:r w:rsidRPr="00620AC6">
        <w:rPr>
          <w:rFonts w:hint="eastAsia"/>
        </w:rPr>
        <w:t>Critica Infrastructure</w:t>
      </w:r>
      <w:r w:rsidRPr="00620AC6">
        <w:rPr>
          <w:rFonts w:hint="eastAsia"/>
        </w:rPr>
        <w:t>扩展了在维护、修理和大修领域的产品组合</w:t>
      </w:r>
      <w:r w:rsidR="003B7003">
        <w:rPr>
          <w:rFonts w:hint="eastAsia"/>
        </w:rPr>
        <w:t>。</w:t>
      </w:r>
      <w:r w:rsidRPr="00620AC6">
        <w:rPr>
          <w:rFonts w:hint="eastAsia"/>
        </w:rPr>
        <w:t>Critica Infrastructure</w:t>
      </w:r>
      <w:r w:rsidRPr="00620AC6">
        <w:rPr>
          <w:rFonts w:hint="eastAsia"/>
        </w:rPr>
        <w:t>是一家专门提供创新纤维复合材料解决方案的公司，其产品可用于多个工业应用领域的维修。通过该交易，汉高为其粘合剂产品组合增加了一项极具吸引力的相邻业务，并为后续增长创造平台。</w:t>
      </w:r>
      <w:r w:rsidRPr="00620AC6">
        <w:rPr>
          <w:rFonts w:hint="eastAsia"/>
        </w:rPr>
        <w:t>2024</w:t>
      </w:r>
      <w:r w:rsidRPr="00620AC6">
        <w:rPr>
          <w:rFonts w:hint="eastAsia"/>
        </w:rPr>
        <w:t>年初，汉高继续通过针对性的收购</w:t>
      </w:r>
      <w:r w:rsidR="001A0362">
        <w:rPr>
          <w:rFonts w:hint="eastAsia"/>
        </w:rPr>
        <w:t>壮大</w:t>
      </w:r>
      <w:r w:rsidRPr="00620AC6">
        <w:rPr>
          <w:rFonts w:hint="eastAsia"/>
        </w:rPr>
        <w:t>这两个业务部</w:t>
      </w:r>
      <w:r w:rsidR="001A0362">
        <w:rPr>
          <w:rFonts w:hint="eastAsia"/>
        </w:rPr>
        <w:t>门</w:t>
      </w:r>
      <w:r w:rsidRPr="00620AC6">
        <w:rPr>
          <w:rFonts w:hint="eastAsia"/>
        </w:rPr>
        <w:t>，</w:t>
      </w:r>
      <w:r w:rsidR="0027615C">
        <w:rPr>
          <w:rFonts w:hint="eastAsia"/>
        </w:rPr>
        <w:t>包括</w:t>
      </w:r>
      <w:r w:rsidRPr="00620AC6">
        <w:rPr>
          <w:rFonts w:hint="eastAsia"/>
        </w:rPr>
        <w:t>在中国收购了护发品牌沙宣（</w:t>
      </w:r>
      <w:r w:rsidRPr="00620AC6">
        <w:rPr>
          <w:rFonts w:hint="eastAsia"/>
        </w:rPr>
        <w:t>Vidal Sassoon</w:t>
      </w:r>
      <w:r w:rsidRPr="00620AC6">
        <w:rPr>
          <w:rFonts w:hint="eastAsia"/>
        </w:rPr>
        <w:t>），</w:t>
      </w:r>
      <w:r w:rsidR="0027615C">
        <w:rPr>
          <w:rFonts w:hint="eastAsia"/>
        </w:rPr>
        <w:t>以及</w:t>
      </w:r>
      <w:r w:rsidRPr="00620AC6">
        <w:rPr>
          <w:rFonts w:hint="eastAsia"/>
        </w:rPr>
        <w:t>在工业维</w:t>
      </w:r>
      <w:r w:rsidR="00B1410E">
        <w:rPr>
          <w:rFonts w:hint="eastAsia"/>
        </w:rPr>
        <w:t>修</w:t>
      </w:r>
      <w:r w:rsidRPr="00620AC6">
        <w:rPr>
          <w:rFonts w:hint="eastAsia"/>
        </w:rPr>
        <w:t>领域收购了</w:t>
      </w:r>
      <w:r w:rsidRPr="00620AC6">
        <w:rPr>
          <w:rFonts w:hint="eastAsia"/>
        </w:rPr>
        <w:t>Seal for Life</w:t>
      </w:r>
      <w:r w:rsidRPr="00620AC6">
        <w:rPr>
          <w:rFonts w:hint="eastAsia"/>
        </w:rPr>
        <w:t>。</w:t>
      </w:r>
    </w:p>
    <w:p w14:paraId="28D8395D" w14:textId="77777777" w:rsidR="00273099" w:rsidRPr="00620AC6" w:rsidRDefault="00273099" w:rsidP="00DE567C">
      <w:pPr>
        <w:autoSpaceDE w:val="0"/>
        <w:autoSpaceDN w:val="0"/>
        <w:adjustRightInd w:val="0"/>
        <w:rPr>
          <w:rFonts w:cs="Segoe UI"/>
          <w:bCs/>
          <w:szCs w:val="22"/>
        </w:rPr>
      </w:pPr>
    </w:p>
    <w:p w14:paraId="42B54CE1" w14:textId="3EBA20CE" w:rsidR="004F4F5A" w:rsidRPr="00620AC6" w:rsidRDefault="00333BC8" w:rsidP="00D47B60">
      <w:pPr>
        <w:rPr>
          <w:rFonts w:cs="Segoe UI"/>
          <w:bCs/>
          <w:szCs w:val="22"/>
        </w:rPr>
      </w:pPr>
      <w:r w:rsidRPr="00620AC6">
        <w:rPr>
          <w:rFonts w:hint="eastAsia"/>
        </w:rPr>
        <w:t>2023</w:t>
      </w:r>
      <w:r w:rsidRPr="00620AC6">
        <w:rPr>
          <w:rFonts w:hint="eastAsia"/>
        </w:rPr>
        <w:t>年，汉高再次向市场推出众多</w:t>
      </w:r>
      <w:r w:rsidRPr="00620AC6">
        <w:rPr>
          <w:rFonts w:hint="eastAsia"/>
          <w:b/>
          <w:bCs/>
        </w:rPr>
        <w:t>创新产品</w:t>
      </w:r>
      <w:r w:rsidRPr="00620AC6">
        <w:rPr>
          <w:rFonts w:hint="eastAsia"/>
        </w:rPr>
        <w:t>，以响应重要的趋势，为客户和消费者创造价值。在粘合剂技术业务领域，汉高推出了一种用于粘合驾驶辅助系统摄像头的新解决方案。这使得汽车行业能够快速、稳健地生产摄像头，同时确保下一代自动驾驶汽车</w:t>
      </w:r>
      <w:r w:rsidR="00381536">
        <w:rPr>
          <w:rFonts w:hint="eastAsia"/>
        </w:rPr>
        <w:t>具有</w:t>
      </w:r>
      <w:r w:rsidRPr="00620AC6">
        <w:rPr>
          <w:rFonts w:hint="eastAsia"/>
        </w:rPr>
        <w:t>更高的安全性。在消费品牌业务领域，</w:t>
      </w:r>
      <w:r w:rsidR="00E66011" w:rsidRPr="00620AC6">
        <w:rPr>
          <w:rFonts w:hint="eastAsia"/>
        </w:rPr>
        <w:t>已在</w:t>
      </w:r>
      <w:r w:rsidR="00E66011" w:rsidRPr="00620AC6">
        <w:rPr>
          <w:rFonts w:hint="eastAsia"/>
        </w:rPr>
        <w:t>30</w:t>
      </w:r>
      <w:r w:rsidR="00E66011" w:rsidRPr="00620AC6">
        <w:rPr>
          <w:rFonts w:hint="eastAsia"/>
        </w:rPr>
        <w:t>多个国家上市</w:t>
      </w:r>
      <w:r w:rsidR="00E66011">
        <w:rPr>
          <w:rFonts w:hint="eastAsia"/>
        </w:rPr>
        <w:t>的</w:t>
      </w:r>
      <w:r w:rsidRPr="00620AC6">
        <w:rPr>
          <w:rFonts w:hint="eastAsia"/>
        </w:rPr>
        <w:t>宝莹</w:t>
      </w:r>
      <w:r w:rsidR="00050CE5">
        <w:rPr>
          <w:rFonts w:hint="eastAsia"/>
        </w:rPr>
        <w:t>酵素洗衣液（</w:t>
      </w:r>
      <w:r w:rsidRPr="00620AC6">
        <w:rPr>
          <w:rFonts w:hint="eastAsia"/>
        </w:rPr>
        <w:t>Deep Clean</w:t>
      </w:r>
      <w:r w:rsidR="00050CE5">
        <w:rPr>
          <w:rFonts w:hint="eastAsia"/>
        </w:rPr>
        <w:t>）</w:t>
      </w:r>
      <w:r w:rsidRPr="00620AC6">
        <w:rPr>
          <w:rFonts w:hint="eastAsia"/>
        </w:rPr>
        <w:t>推出了一种采用创新酶技术的新配方。该产品具有出色的去污能力，同时还能防止洗衣机产生异味。汉高还重新推出了整个</w:t>
      </w:r>
      <w:r w:rsidRPr="00620AC6">
        <w:rPr>
          <w:rFonts w:hint="eastAsia"/>
        </w:rPr>
        <w:t>Got2b</w:t>
      </w:r>
      <w:r w:rsidRPr="00620AC6">
        <w:rPr>
          <w:rFonts w:hint="eastAsia"/>
        </w:rPr>
        <w:t>定型产品组合，采用了新的包装设计，并通过素食配方、天然成分和更环保的包装提高了可持续性。</w:t>
      </w:r>
    </w:p>
    <w:p w14:paraId="4F5F1716" w14:textId="03CBFC9D" w:rsidR="004F4F5A" w:rsidRPr="00620AC6" w:rsidRDefault="004F4F5A" w:rsidP="00851A55">
      <w:pPr>
        <w:autoSpaceDE w:val="0"/>
        <w:autoSpaceDN w:val="0"/>
        <w:adjustRightInd w:val="0"/>
        <w:rPr>
          <w:rFonts w:cs="Segoe UI"/>
          <w:bCs/>
          <w:szCs w:val="22"/>
        </w:rPr>
      </w:pPr>
    </w:p>
    <w:p w14:paraId="3E2BB567" w14:textId="0F01B44A" w:rsidR="00B11099" w:rsidRPr="00620AC6" w:rsidRDefault="00333BC8" w:rsidP="00130F3C">
      <w:pPr>
        <w:rPr>
          <w:rFonts w:cs="Segoe UI"/>
          <w:bCs/>
          <w:szCs w:val="22"/>
        </w:rPr>
      </w:pPr>
      <w:r w:rsidRPr="00620AC6">
        <w:rPr>
          <w:rFonts w:hint="eastAsia"/>
        </w:rPr>
        <w:t>此外，汉高还在业务</w:t>
      </w:r>
      <w:r w:rsidR="00121911">
        <w:rPr>
          <w:rFonts w:hint="eastAsia"/>
        </w:rPr>
        <w:t>中</w:t>
      </w:r>
      <w:r w:rsidRPr="00620AC6">
        <w:rPr>
          <w:rFonts w:hint="eastAsia"/>
        </w:rPr>
        <w:t>进一步巩固了</w:t>
      </w:r>
      <w:r w:rsidRPr="00620AC6">
        <w:rPr>
          <w:rFonts w:hint="eastAsia"/>
          <w:b/>
          <w:bCs/>
        </w:rPr>
        <w:t>可持续发展</w:t>
      </w:r>
      <w:r w:rsidRPr="00620AC6">
        <w:rPr>
          <w:rFonts w:hint="eastAsia"/>
        </w:rPr>
        <w:t>。在此背景下，气候保护是汉高“</w:t>
      </w:r>
      <w:r w:rsidRPr="00620AC6">
        <w:rPr>
          <w:rFonts w:hint="eastAsia"/>
        </w:rPr>
        <w:t>2030+</w:t>
      </w:r>
      <w:r w:rsidRPr="00620AC6">
        <w:rPr>
          <w:rFonts w:hint="eastAsia"/>
        </w:rPr>
        <w:t>可持续发展目标框架”的重要支柱之一，并在整个业务价值链中不断得到加强。</w:t>
      </w:r>
      <w:r w:rsidR="00E20A28">
        <w:rPr>
          <w:rFonts w:hint="eastAsia"/>
        </w:rPr>
        <w:t>其</w:t>
      </w:r>
      <w:r w:rsidRPr="00620AC6">
        <w:rPr>
          <w:rFonts w:hint="eastAsia"/>
        </w:rPr>
        <w:t>重点之一就是扩大可再生能源的使用，推动到</w:t>
      </w:r>
      <w:r w:rsidRPr="00620AC6">
        <w:rPr>
          <w:rFonts w:hint="eastAsia"/>
        </w:rPr>
        <w:t>2030</w:t>
      </w:r>
      <w:r w:rsidRPr="00620AC6">
        <w:rPr>
          <w:rFonts w:hint="eastAsia"/>
        </w:rPr>
        <w:t>年</w:t>
      </w:r>
      <w:r w:rsidR="0084270A">
        <w:rPr>
          <w:rFonts w:hint="eastAsia"/>
        </w:rPr>
        <w:t>在运营中</w:t>
      </w:r>
      <w:r w:rsidRPr="00620AC6">
        <w:rPr>
          <w:rFonts w:hint="eastAsia"/>
        </w:rPr>
        <w:t>实现</w:t>
      </w:r>
      <w:r w:rsidR="0084270A">
        <w:rPr>
          <w:rFonts w:hint="eastAsia"/>
        </w:rPr>
        <w:t>气候正效益</w:t>
      </w:r>
      <w:r w:rsidRPr="00620AC6">
        <w:rPr>
          <w:rFonts w:hint="eastAsia"/>
        </w:rPr>
        <w:t>的宏伟目标。在这方面，汉高取得了重大进展。公司在</w:t>
      </w:r>
      <w:r w:rsidRPr="00620AC6">
        <w:rPr>
          <w:rFonts w:hint="eastAsia"/>
        </w:rPr>
        <w:t>2023</w:t>
      </w:r>
      <w:r w:rsidRPr="00620AC6">
        <w:rPr>
          <w:rFonts w:hint="eastAsia"/>
        </w:rPr>
        <w:t>年将</w:t>
      </w:r>
      <w:r w:rsidRPr="00620AC6">
        <w:rPr>
          <w:rFonts w:hint="eastAsia"/>
        </w:rPr>
        <w:t>14</w:t>
      </w:r>
      <w:r w:rsidRPr="00620AC6">
        <w:rPr>
          <w:rFonts w:hint="eastAsia"/>
        </w:rPr>
        <w:t>个生产</w:t>
      </w:r>
      <w:r w:rsidR="00135427">
        <w:rPr>
          <w:rFonts w:hint="eastAsia"/>
        </w:rPr>
        <w:t>基地</w:t>
      </w:r>
      <w:r w:rsidRPr="00620AC6">
        <w:rPr>
          <w:rFonts w:hint="eastAsia"/>
        </w:rPr>
        <w:t>转变为了碳中和模式。截至</w:t>
      </w:r>
      <w:r w:rsidRPr="00620AC6">
        <w:rPr>
          <w:rFonts w:hint="eastAsia"/>
        </w:rPr>
        <w:t>2023</w:t>
      </w:r>
      <w:r w:rsidRPr="00620AC6">
        <w:rPr>
          <w:rFonts w:hint="eastAsia"/>
        </w:rPr>
        <w:t>年底，汉</w:t>
      </w:r>
      <w:r w:rsidRPr="00620AC6">
        <w:rPr>
          <w:rFonts w:hint="eastAsia"/>
        </w:rPr>
        <w:lastRenderedPageBreak/>
        <w:t>高将每吨产品的二氧化碳排放量减少了</w:t>
      </w:r>
      <w:r w:rsidRPr="00620AC6">
        <w:rPr>
          <w:rFonts w:hint="eastAsia"/>
        </w:rPr>
        <w:t>61%</w:t>
      </w:r>
      <w:r w:rsidRPr="00620AC6">
        <w:rPr>
          <w:rFonts w:hint="eastAsia"/>
        </w:rPr>
        <w:t>（与</w:t>
      </w:r>
      <w:r w:rsidRPr="00620AC6">
        <w:rPr>
          <w:rFonts w:hint="eastAsia"/>
        </w:rPr>
        <w:t>2010</w:t>
      </w:r>
      <w:r w:rsidRPr="00620AC6">
        <w:rPr>
          <w:rFonts w:hint="eastAsia"/>
        </w:rPr>
        <w:t>基准年相比）。作为公司可持续发展工作的一部分，汉高还强调更具可持续性的产品组合，例如</w:t>
      </w:r>
      <w:r w:rsidR="00BE4FAB">
        <w:rPr>
          <w:rFonts w:hint="eastAsia"/>
        </w:rPr>
        <w:t>提高可再生</w:t>
      </w:r>
      <w:r w:rsidR="004375F6">
        <w:rPr>
          <w:rFonts w:hint="eastAsia"/>
        </w:rPr>
        <w:t>及回收</w:t>
      </w:r>
      <w:r w:rsidRPr="00620AC6">
        <w:rPr>
          <w:rFonts w:hint="eastAsia"/>
        </w:rPr>
        <w:t>材料</w:t>
      </w:r>
      <w:r w:rsidR="00BE4FAB">
        <w:rPr>
          <w:rFonts w:hint="eastAsia"/>
        </w:rPr>
        <w:t>的使用比例</w:t>
      </w:r>
      <w:r w:rsidRPr="00620AC6">
        <w:rPr>
          <w:rFonts w:hint="eastAsia"/>
        </w:rPr>
        <w:t>，并更加系统性地跟踪这方面的进展。</w:t>
      </w:r>
    </w:p>
    <w:p w14:paraId="0552A6D7" w14:textId="77777777" w:rsidR="009555CA" w:rsidRPr="00620AC6" w:rsidRDefault="009555CA" w:rsidP="006A5AB1">
      <w:pPr>
        <w:rPr>
          <w:rFonts w:cs="Segoe UI"/>
          <w:bCs/>
          <w:szCs w:val="22"/>
        </w:rPr>
      </w:pPr>
    </w:p>
    <w:p w14:paraId="6C8582C6" w14:textId="38406D6C" w:rsidR="00D73AAF" w:rsidRPr="00620AC6" w:rsidRDefault="00333BC8" w:rsidP="00D73AAF">
      <w:pPr>
        <w:rPr>
          <w:rFonts w:cs="Segoe UI"/>
          <w:szCs w:val="22"/>
        </w:rPr>
      </w:pPr>
      <w:r w:rsidRPr="00620AC6">
        <w:rPr>
          <w:rFonts w:hint="eastAsia"/>
        </w:rPr>
        <w:t>汉高在</w:t>
      </w:r>
      <w:r w:rsidRPr="00620AC6">
        <w:rPr>
          <w:rFonts w:hint="eastAsia"/>
          <w:b/>
          <w:bCs/>
        </w:rPr>
        <w:t>数字化</w:t>
      </w:r>
      <w:r w:rsidRPr="00620AC6">
        <w:rPr>
          <w:rFonts w:hint="eastAsia"/>
        </w:rPr>
        <w:t>领域也取得了进一步进展。在数字化业务部“</w:t>
      </w:r>
      <w:r w:rsidRPr="00620AC6">
        <w:rPr>
          <w:rFonts w:hint="eastAsia"/>
        </w:rPr>
        <w:t>Henkel dx</w:t>
      </w:r>
      <w:r w:rsidRPr="00620AC6">
        <w:rPr>
          <w:rFonts w:hint="eastAsia"/>
        </w:rPr>
        <w:t>”，公司继续优化内部结构，加强数字专业技术的发展，并进一步推动创新文化。汉高还深化了与</w:t>
      </w:r>
      <w:r w:rsidR="004313B1">
        <w:rPr>
          <w:rFonts w:hint="eastAsia"/>
        </w:rPr>
        <w:t>思爱普（</w:t>
      </w:r>
      <w:r w:rsidRPr="00620AC6">
        <w:rPr>
          <w:rFonts w:hint="eastAsia"/>
        </w:rPr>
        <w:t>SAP</w:t>
      </w:r>
      <w:r w:rsidR="004313B1">
        <w:rPr>
          <w:rFonts w:hint="eastAsia"/>
        </w:rPr>
        <w:t>）</w:t>
      </w:r>
      <w:r w:rsidRPr="00620AC6">
        <w:rPr>
          <w:rFonts w:hint="eastAsia"/>
        </w:rPr>
        <w:t>、微软和</w:t>
      </w:r>
      <w:r w:rsidRPr="00620AC6">
        <w:rPr>
          <w:rFonts w:hint="eastAsia"/>
        </w:rPr>
        <w:t>Adobe</w:t>
      </w:r>
      <w:r w:rsidRPr="00620AC6">
        <w:rPr>
          <w:rFonts w:hint="eastAsia"/>
        </w:rPr>
        <w:t>等全球领先数字化公司的战略合作伙伴关系。这使得汉高能够将尖端技术整合到自己的数字平台和项目中。通过加快数字创新</w:t>
      </w:r>
      <w:r w:rsidR="00834C5A">
        <w:rPr>
          <w:rFonts w:hint="eastAsia"/>
        </w:rPr>
        <w:t>、</w:t>
      </w:r>
      <w:r w:rsidRPr="00620AC6">
        <w:rPr>
          <w:rFonts w:hint="eastAsia"/>
        </w:rPr>
        <w:t>采取一致的平台战略以及所有业务部门和职能部门之间的密切协作，</w:t>
      </w:r>
      <w:r w:rsidR="00BE1B89">
        <w:rPr>
          <w:rFonts w:hint="eastAsia"/>
        </w:rPr>
        <w:t>汉高</w:t>
      </w:r>
      <w:r w:rsidRPr="00620AC6">
        <w:rPr>
          <w:rFonts w:hint="eastAsia"/>
        </w:rPr>
        <w:t>去年进一步提高了</w:t>
      </w:r>
      <w:r w:rsidRPr="00620AC6">
        <w:rPr>
          <w:rFonts w:hint="eastAsia"/>
        </w:rPr>
        <w:t>IT</w:t>
      </w:r>
      <w:r w:rsidRPr="00620AC6">
        <w:rPr>
          <w:rFonts w:hint="eastAsia"/>
        </w:rPr>
        <w:t>效率，并为公司创造了新的业务机遇，例如在</w:t>
      </w:r>
      <w:r w:rsidR="00916E3C">
        <w:rPr>
          <w:rFonts w:hint="eastAsia"/>
        </w:rPr>
        <w:t>企业对企业（</w:t>
      </w:r>
      <w:r w:rsidRPr="00620AC6">
        <w:rPr>
          <w:rFonts w:hint="eastAsia"/>
        </w:rPr>
        <w:t>B2B</w:t>
      </w:r>
      <w:r w:rsidR="00916E3C">
        <w:rPr>
          <w:rFonts w:hint="eastAsia"/>
        </w:rPr>
        <w:t>）的</w:t>
      </w:r>
      <w:r w:rsidRPr="00620AC6">
        <w:rPr>
          <w:rFonts w:hint="eastAsia"/>
        </w:rPr>
        <w:t>市场领域。</w:t>
      </w:r>
    </w:p>
    <w:p w14:paraId="0ED6E6EB" w14:textId="77777777" w:rsidR="00D73AAF" w:rsidRPr="00620AC6" w:rsidRDefault="00D73AAF" w:rsidP="00D73AAF">
      <w:pPr>
        <w:rPr>
          <w:rFonts w:cs="Segoe UI"/>
          <w:szCs w:val="22"/>
          <w:lang w:eastAsia="de-DE"/>
        </w:rPr>
      </w:pPr>
    </w:p>
    <w:p w14:paraId="7EFC5D0F" w14:textId="183CDC02" w:rsidR="004024D9" w:rsidRPr="00620AC6" w:rsidRDefault="00333BC8" w:rsidP="002938CA">
      <w:pPr>
        <w:rPr>
          <w:rFonts w:cs="Segoe UI"/>
          <w:szCs w:val="22"/>
        </w:rPr>
      </w:pPr>
      <w:r w:rsidRPr="00620AC6">
        <w:rPr>
          <w:rFonts w:hint="eastAsia"/>
        </w:rPr>
        <w:t>此外，以“</w:t>
      </w:r>
      <w:r w:rsidRPr="00620AC6">
        <w:rPr>
          <w:rFonts w:hint="eastAsia"/>
        </w:rPr>
        <w:t>Pioneers at heart for the good of generations</w:t>
      </w:r>
      <w:r w:rsidRPr="00620AC6">
        <w:rPr>
          <w:rFonts w:hint="eastAsia"/>
        </w:rPr>
        <w:t>”的企业目标和汉高既定的“领导力承诺”为基础，</w:t>
      </w:r>
      <w:r w:rsidR="007B247E">
        <w:rPr>
          <w:rFonts w:hint="eastAsia"/>
        </w:rPr>
        <w:t>公司</w:t>
      </w:r>
      <w:r w:rsidR="00E72379" w:rsidRPr="00620AC6">
        <w:rPr>
          <w:rFonts w:hint="eastAsia"/>
        </w:rPr>
        <w:t>进一步加强</w:t>
      </w:r>
      <w:r w:rsidR="00E72379">
        <w:rPr>
          <w:rFonts w:hint="eastAsia"/>
        </w:rPr>
        <w:t>了</w:t>
      </w:r>
      <w:r w:rsidR="00330CEE">
        <w:rPr>
          <w:rFonts w:hint="eastAsia"/>
          <w:b/>
          <w:bCs/>
        </w:rPr>
        <w:t>企业</w:t>
      </w:r>
      <w:r w:rsidRPr="00620AC6">
        <w:rPr>
          <w:rFonts w:hint="eastAsia"/>
          <w:b/>
          <w:bCs/>
        </w:rPr>
        <w:t>文化</w:t>
      </w:r>
      <w:r w:rsidRPr="00620AC6">
        <w:rPr>
          <w:rFonts w:hint="eastAsia"/>
        </w:rPr>
        <w:t>。另一个重点领域是实施全面的“</w:t>
      </w:r>
      <w:r w:rsidR="00184F80">
        <w:rPr>
          <w:rFonts w:hint="eastAsia"/>
        </w:rPr>
        <w:t>灵活办公</w:t>
      </w:r>
      <w:r w:rsidRPr="00620AC6">
        <w:rPr>
          <w:rFonts w:hint="eastAsia"/>
        </w:rPr>
        <w:t>”概念，</w:t>
      </w:r>
      <w:r w:rsidR="00DC670E">
        <w:rPr>
          <w:rFonts w:hint="eastAsia"/>
        </w:rPr>
        <w:t>为</w:t>
      </w:r>
      <w:r w:rsidRPr="00620AC6">
        <w:rPr>
          <w:rFonts w:hint="eastAsia"/>
        </w:rPr>
        <w:t>移动办公、数字</w:t>
      </w:r>
      <w:r w:rsidR="00834C5A">
        <w:rPr>
          <w:rFonts w:hint="eastAsia"/>
        </w:rPr>
        <w:t>化办公环境</w:t>
      </w:r>
      <w:r w:rsidRPr="00620AC6">
        <w:rPr>
          <w:rFonts w:hint="eastAsia"/>
        </w:rPr>
        <w:t>和员工健康等主题，以及新的全球“多元、平等及包容（</w:t>
      </w:r>
      <w:r w:rsidRPr="00620AC6">
        <w:rPr>
          <w:rFonts w:hint="eastAsia"/>
        </w:rPr>
        <w:t>DEI</w:t>
      </w:r>
      <w:r w:rsidRPr="00620AC6">
        <w:rPr>
          <w:rFonts w:hint="eastAsia"/>
        </w:rPr>
        <w:t>）”倡议</w:t>
      </w:r>
      <w:r w:rsidR="007B247E">
        <w:rPr>
          <w:rFonts w:hint="eastAsia"/>
        </w:rPr>
        <w:t>搭建</w:t>
      </w:r>
      <w:r w:rsidR="00DC670E" w:rsidRPr="00620AC6">
        <w:rPr>
          <w:rFonts w:hint="eastAsia"/>
        </w:rPr>
        <w:t>了全球框架</w:t>
      </w:r>
      <w:r w:rsidRPr="00620AC6">
        <w:rPr>
          <w:rFonts w:hint="eastAsia"/>
        </w:rPr>
        <w:t>。</w:t>
      </w:r>
    </w:p>
    <w:p w14:paraId="5EFBE324" w14:textId="38941398" w:rsidR="00A12378" w:rsidRPr="00620AC6" w:rsidRDefault="00A12378" w:rsidP="00D06825">
      <w:pPr>
        <w:rPr>
          <w:rFonts w:cs="Segoe UI"/>
          <w:b/>
          <w:bCs/>
          <w:szCs w:val="22"/>
          <w:lang w:eastAsia="de-DE"/>
        </w:rPr>
      </w:pPr>
    </w:p>
    <w:p w14:paraId="4E273764" w14:textId="41A50B8B" w:rsidR="00ED2EB9" w:rsidRPr="00620AC6" w:rsidRDefault="00333BC8" w:rsidP="001058F1">
      <w:pPr>
        <w:rPr>
          <w:rFonts w:cs="Segoe UI"/>
          <w:szCs w:val="22"/>
        </w:rPr>
      </w:pPr>
      <w:r w:rsidRPr="00620AC6">
        <w:rPr>
          <w:rFonts w:hint="eastAsia"/>
        </w:rPr>
        <w:t>卡斯滕·诺贝尔总结称：“</w:t>
      </w:r>
      <w:bookmarkStart w:id="3" w:name="_Hlk160561274"/>
      <w:r w:rsidRPr="00620AC6">
        <w:rPr>
          <w:rFonts w:hint="eastAsia"/>
        </w:rPr>
        <w:t>我们在</w:t>
      </w:r>
      <w:r w:rsidRPr="00620AC6">
        <w:rPr>
          <w:rFonts w:hint="eastAsia"/>
        </w:rPr>
        <w:t>2023</w:t>
      </w:r>
      <w:r w:rsidRPr="00620AC6">
        <w:rPr>
          <w:rFonts w:hint="eastAsia"/>
        </w:rPr>
        <w:t>年实现了强劲的业绩</w:t>
      </w:r>
      <w:r w:rsidR="00F2154E">
        <w:rPr>
          <w:rFonts w:hint="eastAsia"/>
        </w:rPr>
        <w:t>表现</w:t>
      </w:r>
      <w:r w:rsidRPr="00620AC6">
        <w:rPr>
          <w:rFonts w:hint="eastAsia"/>
        </w:rPr>
        <w:t>，在所有战略层面持续实施了目标性增长议程，并推动了公司的转型。我坚信，我们</w:t>
      </w:r>
      <w:r w:rsidR="005314EA">
        <w:rPr>
          <w:rFonts w:hint="eastAsia"/>
        </w:rPr>
        <w:t>在正确的轨道上贯彻</w:t>
      </w:r>
      <w:r w:rsidRPr="00620AC6">
        <w:rPr>
          <w:rFonts w:hint="eastAsia"/>
        </w:rPr>
        <w:t>正确的战略。我们可以满怀信心地展望</w:t>
      </w:r>
      <w:r w:rsidRPr="00620AC6">
        <w:rPr>
          <w:rFonts w:hint="eastAsia"/>
        </w:rPr>
        <w:t>2024</w:t>
      </w:r>
      <w:r w:rsidRPr="00620AC6">
        <w:rPr>
          <w:rFonts w:hint="eastAsia"/>
        </w:rPr>
        <w:t>年</w:t>
      </w:r>
      <w:r w:rsidR="005314EA">
        <w:rPr>
          <w:rFonts w:hint="eastAsia"/>
        </w:rPr>
        <w:t>及</w:t>
      </w:r>
      <w:r w:rsidR="004E4A17">
        <w:rPr>
          <w:rFonts w:hint="eastAsia"/>
        </w:rPr>
        <w:t>未来</w:t>
      </w:r>
      <w:r w:rsidRPr="00620AC6">
        <w:rPr>
          <w:rFonts w:hint="eastAsia"/>
        </w:rPr>
        <w:t>的几年，并将全力以赴实现我们的宏伟目标。</w:t>
      </w:r>
      <w:bookmarkEnd w:id="3"/>
      <w:r w:rsidRPr="00620AC6">
        <w:rPr>
          <w:rFonts w:hint="eastAsia"/>
        </w:rPr>
        <w:t>”</w:t>
      </w:r>
    </w:p>
    <w:p w14:paraId="7DE81847" w14:textId="77777777" w:rsidR="00B940EB" w:rsidRPr="00620AC6" w:rsidRDefault="00B940EB" w:rsidP="00A60F91">
      <w:pPr>
        <w:rPr>
          <w:rStyle w:val="AboutandContactHeadline"/>
        </w:rPr>
      </w:pPr>
    </w:p>
    <w:p w14:paraId="1FB97B42" w14:textId="77777777" w:rsidR="00427BEA" w:rsidRDefault="00427BEA" w:rsidP="00427BEA">
      <w:pPr>
        <w:rPr>
          <w:rFonts w:eastAsia="PMingLiU"/>
          <w:b/>
          <w:bCs/>
          <w:sz w:val="18"/>
          <w:szCs w:val="18"/>
        </w:rPr>
      </w:pPr>
    </w:p>
    <w:p w14:paraId="4CA40D24" w14:textId="77777777" w:rsidR="00410D8B" w:rsidRPr="006C3257" w:rsidRDefault="00410D8B" w:rsidP="00410D8B">
      <w:pPr>
        <w:rPr>
          <w:rFonts w:cs="Segoe UI"/>
          <w:sz w:val="18"/>
          <w:szCs w:val="18"/>
        </w:rPr>
      </w:pPr>
      <w:r w:rsidRPr="006C3257">
        <w:rPr>
          <w:rFonts w:cs="Segoe UI" w:hint="eastAsia"/>
          <w:sz w:val="18"/>
          <w:szCs w:val="18"/>
        </w:rPr>
        <w:t>*</w:t>
      </w:r>
      <w:r w:rsidRPr="006C3257">
        <w:rPr>
          <w:rFonts w:cs="Segoe UI" w:hint="eastAsia"/>
          <w:sz w:val="18"/>
          <w:szCs w:val="18"/>
        </w:rPr>
        <w:t>对一次性费用和收入以及重组费用进行了调整。</w:t>
      </w:r>
    </w:p>
    <w:p w14:paraId="52BBF40C" w14:textId="77777777" w:rsidR="00410D8B" w:rsidRDefault="00410D8B" w:rsidP="00427BEA">
      <w:pPr>
        <w:rPr>
          <w:rFonts w:eastAsia="PMingLiU"/>
          <w:b/>
          <w:bCs/>
          <w:sz w:val="18"/>
          <w:szCs w:val="18"/>
        </w:rPr>
      </w:pPr>
    </w:p>
    <w:p w14:paraId="263E2C77" w14:textId="68116D7F" w:rsidR="00410D8B" w:rsidRDefault="00410D8B" w:rsidP="00410D8B">
      <w:pPr>
        <w:jc w:val="center"/>
        <w:rPr>
          <w:rFonts w:eastAsia="PMingLiU"/>
          <w:b/>
          <w:bCs/>
          <w:sz w:val="18"/>
          <w:szCs w:val="18"/>
        </w:rPr>
      </w:pPr>
      <w:r>
        <w:rPr>
          <w:rFonts w:eastAsia="PMingLiU"/>
          <w:b/>
          <w:bCs/>
          <w:sz w:val="18"/>
          <w:szCs w:val="18"/>
        </w:rPr>
        <w:t>***</w:t>
      </w:r>
    </w:p>
    <w:p w14:paraId="62E37FA0" w14:textId="77777777" w:rsidR="00410D8B" w:rsidRPr="00620AC6" w:rsidRDefault="00410D8B" w:rsidP="00427BEA">
      <w:pPr>
        <w:rPr>
          <w:rFonts w:eastAsia="PMingLiU"/>
          <w:b/>
          <w:bCs/>
          <w:sz w:val="18"/>
          <w:szCs w:val="18"/>
        </w:rPr>
      </w:pPr>
    </w:p>
    <w:p w14:paraId="7C63E301" w14:textId="2F36FF93" w:rsidR="0036418F" w:rsidRPr="00620AC6" w:rsidRDefault="00333BC8" w:rsidP="0036418F">
      <w:pPr>
        <w:rPr>
          <w:sz w:val="18"/>
          <w:szCs w:val="18"/>
        </w:rPr>
      </w:pPr>
      <w:r w:rsidRPr="00620AC6">
        <w:rPr>
          <w:rStyle w:val="AboutandContactHeadline"/>
          <w:rFonts w:hint="eastAsia"/>
        </w:rPr>
        <w:t>关于汉高</w:t>
      </w:r>
    </w:p>
    <w:p w14:paraId="2BFD53AB" w14:textId="01EE39D9" w:rsidR="003A6506" w:rsidRPr="00620AC6" w:rsidRDefault="00333BC8" w:rsidP="003A6506">
      <w:pPr>
        <w:rPr>
          <w:rStyle w:val="AboutandContactBody"/>
        </w:rPr>
      </w:pPr>
      <w:r w:rsidRPr="00620AC6">
        <w:rPr>
          <w:rStyle w:val="AboutandContactBody"/>
          <w:rFonts w:hint="eastAsia"/>
        </w:rPr>
        <w:t>汉高凭借其品牌、创新和技术，在全球工业和消费品领域中拥有领先的市场地位。汉高粘合剂技术业务部是全球粘合剂、密封剂和功能性涂层市场的领导者。</w:t>
      </w:r>
      <w:r w:rsidR="007E074F" w:rsidRPr="00596CED">
        <w:rPr>
          <w:rStyle w:val="AboutandContactBody"/>
          <w:rFonts w:hint="eastAsia"/>
        </w:rPr>
        <w:t>汉高消费品牌</w:t>
      </w:r>
      <w:r w:rsidRPr="00620AC6">
        <w:rPr>
          <w:rStyle w:val="AboutandContactBody"/>
          <w:rFonts w:hint="eastAsia"/>
        </w:rPr>
        <w:t>在各国市场和品类占据领先地位，在洗涤剂及家用护理和美发领域尤为突出。乐泰（</w:t>
      </w:r>
      <w:r w:rsidRPr="00620AC6">
        <w:rPr>
          <w:rStyle w:val="AboutandContactBody"/>
          <w:rFonts w:hint="eastAsia"/>
        </w:rPr>
        <w:t>Loctite</w:t>
      </w:r>
      <w:r w:rsidRPr="00620AC6">
        <w:rPr>
          <w:rStyle w:val="AboutandContactBody"/>
          <w:rFonts w:hint="eastAsia"/>
        </w:rPr>
        <w:t>）、宝莹（</w:t>
      </w:r>
      <w:r w:rsidRPr="00620AC6">
        <w:rPr>
          <w:rStyle w:val="AboutandContactBody"/>
          <w:rFonts w:hint="eastAsia"/>
        </w:rPr>
        <w:t xml:space="preserve"> Persil</w:t>
      </w:r>
      <w:r w:rsidRPr="00620AC6">
        <w:rPr>
          <w:rStyle w:val="AboutandContactBody"/>
          <w:rFonts w:hint="eastAsia"/>
        </w:rPr>
        <w:t>）和施华蔻（</w:t>
      </w:r>
      <w:r w:rsidRPr="00620AC6">
        <w:rPr>
          <w:rStyle w:val="AboutandContactBody"/>
          <w:rFonts w:hint="eastAsia"/>
        </w:rPr>
        <w:t>Schwarzkopf</w:t>
      </w:r>
      <w:r w:rsidRPr="00620AC6">
        <w:rPr>
          <w:rStyle w:val="AboutandContactBody"/>
          <w:rFonts w:hint="eastAsia"/>
        </w:rPr>
        <w:t>）是公司的三大核心品牌。</w:t>
      </w:r>
      <w:r w:rsidRPr="00620AC6">
        <w:rPr>
          <w:rStyle w:val="AboutandContactBody"/>
          <w:rFonts w:hint="eastAsia"/>
        </w:rPr>
        <w:t>2023</w:t>
      </w:r>
      <w:r w:rsidRPr="00620AC6">
        <w:rPr>
          <w:rStyle w:val="AboutandContactBody"/>
          <w:rFonts w:hint="eastAsia"/>
        </w:rPr>
        <w:t>财年，汉高实现销售额逾</w:t>
      </w:r>
      <w:r w:rsidRPr="00620AC6">
        <w:rPr>
          <w:rStyle w:val="AboutandContactBody"/>
          <w:rFonts w:hint="eastAsia"/>
        </w:rPr>
        <w:t>215</w:t>
      </w:r>
      <w:r w:rsidRPr="00620AC6">
        <w:rPr>
          <w:rStyle w:val="AboutandContactBody"/>
          <w:rFonts w:hint="eastAsia"/>
        </w:rPr>
        <w:t>亿欧元，调整后营业利润</w:t>
      </w:r>
      <w:r w:rsidR="00E3549D">
        <w:rPr>
          <w:rStyle w:val="AboutandContactBody"/>
          <w:rFonts w:hint="eastAsia"/>
        </w:rPr>
        <w:t>约为</w:t>
      </w:r>
      <w:r w:rsidRPr="00620AC6">
        <w:rPr>
          <w:rStyle w:val="AboutandContactBody"/>
          <w:rFonts w:hint="eastAsia"/>
        </w:rPr>
        <w:t>26</w:t>
      </w:r>
      <w:r w:rsidRPr="00620AC6">
        <w:rPr>
          <w:rStyle w:val="AboutandContactBody"/>
          <w:rFonts w:hint="eastAsia"/>
        </w:rPr>
        <w:t>亿欧元。汉高的优先股已列入德国</w:t>
      </w:r>
      <w:r w:rsidRPr="00620AC6">
        <w:rPr>
          <w:rStyle w:val="AboutandContactBody"/>
          <w:rFonts w:hint="eastAsia"/>
        </w:rPr>
        <w:t>DAX</w:t>
      </w:r>
      <w:r w:rsidRPr="00620AC6">
        <w:rPr>
          <w:rStyle w:val="AboutandContactBody"/>
          <w:rFonts w:hint="eastAsia"/>
        </w:rPr>
        <w:t>指数。可持续发展在汉高有着悠久的传统，公司确立有明晰的可持续发展战略和具体目标。成立于</w:t>
      </w:r>
      <w:r w:rsidRPr="00620AC6">
        <w:rPr>
          <w:rStyle w:val="AboutandContactBody"/>
          <w:rFonts w:hint="eastAsia"/>
        </w:rPr>
        <w:t>1876</w:t>
      </w:r>
      <w:r w:rsidRPr="00620AC6">
        <w:rPr>
          <w:rStyle w:val="AboutandContactBody"/>
          <w:rFonts w:hint="eastAsia"/>
        </w:rPr>
        <w:t>年</w:t>
      </w:r>
      <w:r w:rsidR="009F0C93">
        <w:rPr>
          <w:rStyle w:val="AboutandContactBody"/>
          <w:rFonts w:hint="eastAsia"/>
        </w:rPr>
        <w:t>，</w:t>
      </w:r>
      <w:r w:rsidR="001D457C">
        <w:rPr>
          <w:rStyle w:val="AboutandContactBody"/>
          <w:rFonts w:hint="eastAsia"/>
        </w:rPr>
        <w:t>汉高</w:t>
      </w:r>
      <w:r w:rsidR="009F0C93" w:rsidRPr="00620AC6">
        <w:rPr>
          <w:rStyle w:val="AboutandContactBody"/>
          <w:rFonts w:hint="eastAsia"/>
        </w:rPr>
        <w:t>如今</w:t>
      </w:r>
      <w:r w:rsidRPr="00620AC6">
        <w:rPr>
          <w:rStyle w:val="AboutandContactBody"/>
          <w:rFonts w:hint="eastAsia"/>
        </w:rPr>
        <w:t>在全球范围内约有</w:t>
      </w:r>
      <w:r w:rsidRPr="00620AC6">
        <w:rPr>
          <w:rStyle w:val="AboutandContactBody"/>
          <w:rFonts w:hint="eastAsia"/>
        </w:rPr>
        <w:t>4.8</w:t>
      </w:r>
      <w:r w:rsidRPr="00620AC6">
        <w:rPr>
          <w:rStyle w:val="AboutandContactBody"/>
          <w:rFonts w:hint="eastAsia"/>
        </w:rPr>
        <w:t>万名员工，在强大的企业文化、共同的价值观与企业目标“</w:t>
      </w:r>
      <w:r w:rsidRPr="00620AC6">
        <w:rPr>
          <w:rStyle w:val="AboutandContactBody"/>
          <w:rFonts w:hint="eastAsia"/>
        </w:rPr>
        <w:t>Pioneers at heart for the good of generations</w:t>
      </w:r>
      <w:r w:rsidRPr="00620AC6">
        <w:rPr>
          <w:rStyle w:val="AboutandContactBody"/>
          <w:rFonts w:hint="eastAsia"/>
        </w:rPr>
        <w:t>”的引领下，融合为一支多元化的团队。更多资讯，敬请访问</w:t>
      </w:r>
      <w:r w:rsidRPr="00620AC6">
        <w:rPr>
          <w:rStyle w:val="AboutandContactBody"/>
          <w:rFonts w:hint="eastAsia"/>
        </w:rPr>
        <w:t xml:space="preserve"> </w:t>
      </w:r>
      <w:hyperlink r:id="rId12" w:history="1">
        <w:r w:rsidRPr="00620AC6">
          <w:rPr>
            <w:rStyle w:val="a7"/>
            <w:rFonts w:hint="eastAsia"/>
          </w:rPr>
          <w:t>www.henkel.com</w:t>
        </w:r>
      </w:hyperlink>
      <w:r w:rsidRPr="00620AC6">
        <w:rPr>
          <w:rStyle w:val="AboutandContactBody"/>
          <w:rFonts w:hint="eastAsia"/>
        </w:rPr>
        <w:t xml:space="preserve"> </w:t>
      </w:r>
    </w:p>
    <w:p w14:paraId="277DA1D7" w14:textId="0CECA6B2" w:rsidR="0036418F" w:rsidRPr="00620AC6" w:rsidRDefault="0036418F" w:rsidP="0036418F">
      <w:pPr>
        <w:spacing w:line="240" w:lineRule="auto"/>
        <w:jc w:val="left"/>
        <w:rPr>
          <w:rFonts w:eastAsiaTheme="minorHAnsi" w:cstheme="minorBidi"/>
          <w:sz w:val="14"/>
          <w:szCs w:val="14"/>
        </w:rPr>
      </w:pPr>
    </w:p>
    <w:p w14:paraId="5E01E814" w14:textId="77777777" w:rsidR="0036418F" w:rsidRPr="00620AC6" w:rsidRDefault="0036418F" w:rsidP="0036418F">
      <w:pPr>
        <w:spacing w:line="240" w:lineRule="auto"/>
        <w:jc w:val="left"/>
        <w:rPr>
          <w:rFonts w:eastAsiaTheme="minorHAnsi" w:cstheme="minorBidi"/>
          <w:sz w:val="14"/>
          <w:szCs w:val="14"/>
        </w:rPr>
      </w:pPr>
    </w:p>
    <w:p w14:paraId="1B6DC7DC" w14:textId="77777777" w:rsidR="0036418F" w:rsidRDefault="0036418F" w:rsidP="0036418F">
      <w:pPr>
        <w:spacing w:line="240" w:lineRule="auto"/>
        <w:jc w:val="left"/>
        <w:rPr>
          <w:rFonts w:eastAsiaTheme="minorEastAsia" w:cstheme="minorBidi"/>
          <w:sz w:val="14"/>
          <w:szCs w:val="14"/>
        </w:rPr>
      </w:pPr>
    </w:p>
    <w:p w14:paraId="19B67B17" w14:textId="77777777" w:rsidR="0036418F" w:rsidRPr="00620AC6" w:rsidRDefault="0036418F" w:rsidP="0036418F">
      <w:pPr>
        <w:pStyle w:val="He01Flietext"/>
        <w:rPr>
          <w:sz w:val="14"/>
          <w:szCs w:val="14"/>
        </w:rPr>
      </w:pPr>
      <w:r w:rsidRPr="00620AC6">
        <w:rPr>
          <w:rFonts w:hint="eastAsia"/>
          <w:sz w:val="14"/>
        </w:rPr>
        <w:t>本文件所含提及未来业务发展、财务业绩及其他与汉高未来相关的事件或发展的声明，由此构成前瞻性声明。前瞻性表述的特点是使用诸如期望、打算、计划、预测、假设、相信、预计、预期、预见和类似的表述。这些表述乃汉高股份及两合公司管理层基于现有的预测和假设。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089CEDDC" w14:textId="40F65A8B" w:rsidR="0036418F" w:rsidRPr="00620AC6" w:rsidRDefault="00333BC8" w:rsidP="0036418F">
      <w:pPr>
        <w:pStyle w:val="He01Flietext"/>
        <w:rPr>
          <w:sz w:val="14"/>
          <w:szCs w:val="14"/>
        </w:rPr>
      </w:pPr>
      <w:r w:rsidRPr="00620AC6">
        <w:rPr>
          <w:rFonts w:hint="eastAsia"/>
          <w:sz w:val="14"/>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075DD5DC" w14:textId="64BE17ED" w:rsidR="0036418F" w:rsidRDefault="00333BC8" w:rsidP="0036418F">
      <w:pPr>
        <w:spacing w:line="240" w:lineRule="auto"/>
        <w:jc w:val="left"/>
        <w:rPr>
          <w:sz w:val="14"/>
        </w:rPr>
      </w:pPr>
      <w:r w:rsidRPr="00620AC6">
        <w:rPr>
          <w:rFonts w:hint="eastAsia"/>
          <w:sz w:val="14"/>
        </w:rPr>
        <w:t>本文件仅供参考，并不构成任何对证券的投资建议、出售要约或购买要约。</w:t>
      </w:r>
    </w:p>
    <w:p w14:paraId="44A75EDD" w14:textId="77777777" w:rsidR="00D76D3A" w:rsidRDefault="00D76D3A" w:rsidP="0036418F">
      <w:pPr>
        <w:spacing w:line="240" w:lineRule="auto"/>
        <w:jc w:val="left"/>
        <w:rPr>
          <w:sz w:val="14"/>
        </w:rPr>
      </w:pPr>
    </w:p>
    <w:p w14:paraId="65C595EB" w14:textId="77777777" w:rsidR="00D76D3A" w:rsidRDefault="00D76D3A" w:rsidP="0036418F">
      <w:pPr>
        <w:spacing w:line="240" w:lineRule="auto"/>
        <w:jc w:val="left"/>
        <w:rPr>
          <w:sz w:val="14"/>
        </w:rPr>
      </w:pPr>
    </w:p>
    <w:p w14:paraId="1A06E9CD" w14:textId="77777777" w:rsidR="00D76D3A" w:rsidRPr="00596CED" w:rsidRDefault="00D76D3A" w:rsidP="00D76D3A">
      <w:pPr>
        <w:tabs>
          <w:tab w:val="left" w:pos="1080"/>
          <w:tab w:val="left" w:pos="4500"/>
        </w:tabs>
        <w:spacing w:line="264" w:lineRule="auto"/>
        <w:rPr>
          <w:rStyle w:val="AboutandContactBody"/>
          <w:rFonts w:cs="Segoe UI"/>
          <w:b/>
          <w:bCs/>
          <w:szCs w:val="18"/>
        </w:rPr>
      </w:pPr>
      <w:r w:rsidRPr="00596CED">
        <w:rPr>
          <w:rStyle w:val="AboutandContactBody"/>
          <w:rFonts w:cs="Segoe UI" w:hint="eastAsia"/>
          <w:b/>
          <w:bCs/>
          <w:szCs w:val="18"/>
        </w:rPr>
        <w:t>媒体联系人</w:t>
      </w:r>
    </w:p>
    <w:p w14:paraId="16441DFD" w14:textId="77777777" w:rsidR="00D76D3A" w:rsidRPr="00596CED" w:rsidRDefault="00D76D3A" w:rsidP="00D76D3A">
      <w:pPr>
        <w:tabs>
          <w:tab w:val="left" w:pos="1080"/>
          <w:tab w:val="left" w:pos="4500"/>
        </w:tabs>
        <w:spacing w:line="264" w:lineRule="auto"/>
        <w:rPr>
          <w:rStyle w:val="AboutandContactBody"/>
          <w:rFonts w:cs="Segoe UI"/>
          <w:b/>
          <w:szCs w:val="18"/>
        </w:rPr>
      </w:pPr>
    </w:p>
    <w:p w14:paraId="4E3F3572" w14:textId="24C877B2" w:rsidR="00D76D3A" w:rsidRPr="00596CED" w:rsidRDefault="00D76D3A" w:rsidP="00D76D3A">
      <w:pPr>
        <w:tabs>
          <w:tab w:val="left" w:pos="1080"/>
          <w:tab w:val="left" w:pos="4500"/>
        </w:tabs>
        <w:spacing w:line="264" w:lineRule="auto"/>
        <w:rPr>
          <w:rStyle w:val="AboutandContactBody"/>
          <w:rFonts w:cs="Segoe UI"/>
          <w:bCs/>
          <w:szCs w:val="18"/>
        </w:rPr>
      </w:pPr>
      <w:r w:rsidRPr="006A390A">
        <w:rPr>
          <w:rFonts w:cs="Arial"/>
          <w:b/>
          <w:sz w:val="20"/>
          <w:lang w:val="en-CA" w:eastAsia="de-DE"/>
        </w:rPr>
        <w:t>Louise Cheung</w:t>
      </w:r>
      <w:r w:rsidRPr="00596CED">
        <w:rPr>
          <w:rStyle w:val="AboutandContactBody"/>
          <w:rFonts w:cs="Segoe UI"/>
          <w:szCs w:val="18"/>
        </w:rPr>
        <w:tab/>
      </w:r>
    </w:p>
    <w:p w14:paraId="69F23BA4" w14:textId="67BFE110" w:rsidR="00D76D3A" w:rsidRPr="00596CED" w:rsidRDefault="00D76D3A" w:rsidP="00D76D3A">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rPr>
        <w:t>电话：</w:t>
      </w:r>
      <w:r w:rsidRPr="00596CED">
        <w:rPr>
          <w:rStyle w:val="AboutandContactBody"/>
          <w:rFonts w:cs="Segoe UI"/>
          <w:szCs w:val="18"/>
        </w:rPr>
        <w:t>+86</w:t>
      </w:r>
      <w:r w:rsidR="006A390A">
        <w:rPr>
          <w:rStyle w:val="AboutandContactBody"/>
          <w:rFonts w:cs="Segoe UI"/>
          <w:szCs w:val="18"/>
        </w:rPr>
        <w:t xml:space="preserve"> </w:t>
      </w:r>
      <w:r w:rsidRPr="00596CED">
        <w:rPr>
          <w:rStyle w:val="AboutandContactBody"/>
          <w:rFonts w:cs="Segoe UI"/>
          <w:szCs w:val="18"/>
        </w:rPr>
        <w:t>21</w:t>
      </w:r>
      <w:r w:rsidR="006A390A">
        <w:rPr>
          <w:rStyle w:val="AboutandContactBody"/>
          <w:rFonts w:cs="Segoe UI"/>
          <w:szCs w:val="18"/>
        </w:rPr>
        <w:t xml:space="preserve"> </w:t>
      </w:r>
      <w:r w:rsidRPr="00596CED">
        <w:rPr>
          <w:rStyle w:val="AboutandContactBody"/>
          <w:rFonts w:cs="Segoe UI"/>
          <w:szCs w:val="18"/>
        </w:rPr>
        <w:t>2891</w:t>
      </w:r>
      <w:r w:rsidR="006A390A">
        <w:rPr>
          <w:rStyle w:val="AboutandContactBody"/>
          <w:rFonts w:cs="Segoe UI"/>
          <w:szCs w:val="18"/>
        </w:rPr>
        <w:t xml:space="preserve"> </w:t>
      </w:r>
      <w:r w:rsidRPr="00596CED">
        <w:rPr>
          <w:rStyle w:val="AboutandContactBody"/>
          <w:rFonts w:cs="Segoe UI"/>
          <w:szCs w:val="18"/>
        </w:rPr>
        <w:t>5152</w:t>
      </w:r>
      <w:r w:rsidRPr="00596CED">
        <w:rPr>
          <w:rStyle w:val="AboutandContactBody"/>
          <w:rFonts w:cs="Segoe UI"/>
          <w:szCs w:val="18"/>
        </w:rPr>
        <w:tab/>
      </w:r>
    </w:p>
    <w:p w14:paraId="12D4B508" w14:textId="21F2A05E" w:rsidR="00D76D3A" w:rsidRDefault="00D76D3A" w:rsidP="00D76D3A">
      <w:pPr>
        <w:spacing w:line="240" w:lineRule="auto"/>
        <w:jc w:val="left"/>
        <w:rPr>
          <w:rFonts w:cs="Segoe UI"/>
          <w:sz w:val="18"/>
          <w:szCs w:val="18"/>
        </w:rPr>
      </w:pPr>
      <w:r w:rsidRPr="00596CED">
        <w:rPr>
          <w:rStyle w:val="AboutandContactBody"/>
          <w:rFonts w:cs="Segoe UI" w:hint="eastAsia"/>
          <w:szCs w:val="18"/>
        </w:rPr>
        <w:t>邮箱：</w:t>
      </w:r>
      <w:hyperlink r:id="rId13" w:history="1">
        <w:r w:rsidRPr="00E5636F">
          <w:rPr>
            <w:rStyle w:val="a7"/>
            <w:rFonts w:cs="Segoe UI"/>
          </w:rPr>
          <w:t>louise.cheung@henkel.com</w:t>
        </w:r>
      </w:hyperlink>
    </w:p>
    <w:p w14:paraId="1E42C0A8" w14:textId="77777777" w:rsidR="00D76D3A" w:rsidRDefault="00D76D3A" w:rsidP="00D76D3A">
      <w:pPr>
        <w:spacing w:line="240" w:lineRule="auto"/>
        <w:jc w:val="left"/>
        <w:rPr>
          <w:rFonts w:cs="Segoe UI"/>
          <w:sz w:val="18"/>
          <w:szCs w:val="18"/>
        </w:rPr>
      </w:pPr>
    </w:p>
    <w:p w14:paraId="02FF2835" w14:textId="77777777" w:rsidR="006A390A" w:rsidRPr="00D014F1" w:rsidRDefault="006A390A" w:rsidP="006A390A">
      <w:pPr>
        <w:tabs>
          <w:tab w:val="left" w:pos="851"/>
          <w:tab w:val="left" w:pos="4536"/>
          <w:tab w:val="left" w:pos="4962"/>
          <w:tab w:val="left" w:pos="5387"/>
        </w:tabs>
        <w:spacing w:line="360" w:lineRule="auto"/>
        <w:rPr>
          <w:rFonts w:cs="Arial"/>
          <w:b/>
          <w:sz w:val="20"/>
          <w:szCs w:val="18"/>
        </w:rPr>
      </w:pPr>
      <w:r w:rsidRPr="00D014F1">
        <w:rPr>
          <w:rFonts w:cs="Arial"/>
          <w:b/>
          <w:sz w:val="20"/>
          <w:szCs w:val="18"/>
          <w:lang w:val="en-CA" w:eastAsia="de-DE"/>
        </w:rPr>
        <w:t xml:space="preserve">Liki </w:t>
      </w:r>
      <w:r w:rsidRPr="00D014F1">
        <w:rPr>
          <w:rFonts w:cs="Arial"/>
          <w:b/>
          <w:sz w:val="20"/>
          <w:szCs w:val="18"/>
          <w:lang w:val="en-CA"/>
        </w:rPr>
        <w:t>Qin</w:t>
      </w:r>
      <w:r w:rsidRPr="00D014F1">
        <w:rPr>
          <w:rFonts w:cs="Arial" w:hint="eastAsia"/>
          <w:b/>
          <w:sz w:val="20"/>
          <w:szCs w:val="18"/>
          <w:lang w:val="en-CA"/>
        </w:rPr>
        <w:t>秦莉佳</w:t>
      </w:r>
      <w:r w:rsidRPr="00D014F1">
        <w:rPr>
          <w:rFonts w:cs="Arial"/>
          <w:b/>
          <w:sz w:val="20"/>
          <w:szCs w:val="18"/>
          <w:lang w:eastAsia="de-DE"/>
        </w:rPr>
        <w:tab/>
      </w:r>
    </w:p>
    <w:p w14:paraId="11B62ADC" w14:textId="77777777" w:rsidR="006A390A" w:rsidRPr="00D014F1" w:rsidRDefault="006A390A" w:rsidP="006A390A">
      <w:pPr>
        <w:tabs>
          <w:tab w:val="left" w:pos="709"/>
          <w:tab w:val="left" w:pos="4500"/>
          <w:tab w:val="left" w:pos="5245"/>
        </w:tabs>
        <w:spacing w:line="264" w:lineRule="auto"/>
        <w:rPr>
          <w:rFonts w:cs="Arial"/>
          <w:color w:val="000000"/>
          <w:sz w:val="20"/>
          <w:szCs w:val="18"/>
          <w:lang w:eastAsia="de-DE"/>
        </w:rPr>
      </w:pPr>
      <w:r w:rsidRPr="006A390A">
        <w:rPr>
          <w:rStyle w:val="AboutandContactBody"/>
          <w:rFonts w:cs="Segoe UI" w:hint="eastAsia"/>
        </w:rPr>
        <w:t>电话</w:t>
      </w:r>
      <w:r w:rsidRPr="006A390A">
        <w:rPr>
          <w:rStyle w:val="AboutandContactBody"/>
          <w:rFonts w:cs="Segoe UI"/>
        </w:rPr>
        <w:t>: +86 21 2891 4386</w:t>
      </w:r>
      <w:r w:rsidRPr="00D014F1">
        <w:rPr>
          <w:rFonts w:cs="Arial"/>
          <w:sz w:val="20"/>
          <w:szCs w:val="18"/>
          <w:lang w:eastAsia="de-DE"/>
        </w:rPr>
        <w:tab/>
      </w:r>
    </w:p>
    <w:p w14:paraId="1496F6D8" w14:textId="318A9280" w:rsidR="006A390A" w:rsidRPr="00A12BF7" w:rsidRDefault="006A390A" w:rsidP="006A390A">
      <w:pPr>
        <w:tabs>
          <w:tab w:val="left" w:pos="1080"/>
          <w:tab w:val="left" w:pos="4500"/>
        </w:tabs>
        <w:rPr>
          <w:rFonts w:cs="Arial"/>
          <w:sz w:val="18"/>
          <w:szCs w:val="18"/>
          <w:lang w:val="en-CA"/>
        </w:rPr>
      </w:pPr>
      <w:r w:rsidRPr="00A12BF7">
        <w:rPr>
          <w:rFonts w:cs="Arial" w:hint="eastAsia"/>
          <w:sz w:val="18"/>
          <w:szCs w:val="18"/>
        </w:rPr>
        <w:t>邮件</w:t>
      </w:r>
      <w:r w:rsidRPr="00A12BF7">
        <w:rPr>
          <w:rFonts w:cs="Arial"/>
          <w:sz w:val="18"/>
          <w:szCs w:val="18"/>
          <w:lang w:eastAsia="de-DE"/>
        </w:rPr>
        <w:t xml:space="preserve">: </w:t>
      </w:r>
      <w:hyperlink r:id="rId14" w:history="1">
        <w:r w:rsidR="00A12BF7" w:rsidRPr="00A12BF7">
          <w:rPr>
            <w:rStyle w:val="a7"/>
            <w:rFonts w:cs="Arial"/>
            <w:lang w:val="en-CA"/>
          </w:rPr>
          <w:t>liki.qin@henkel.com</w:t>
        </w:r>
      </w:hyperlink>
    </w:p>
    <w:p w14:paraId="45EDF16C" w14:textId="77777777" w:rsidR="00A12BF7" w:rsidRPr="00DB6E05" w:rsidRDefault="00A12BF7" w:rsidP="006A390A">
      <w:pPr>
        <w:tabs>
          <w:tab w:val="left" w:pos="1080"/>
          <w:tab w:val="left" w:pos="4500"/>
        </w:tabs>
        <w:rPr>
          <w:rStyle w:val="AboutandContactBody"/>
          <w:rFonts w:asciiTheme="majorHAnsi" w:hAnsiTheme="majorHAnsi" w:cstheme="majorHAnsi"/>
          <w:b/>
          <w:szCs w:val="18"/>
        </w:rPr>
      </w:pPr>
    </w:p>
    <w:p w14:paraId="0308696D" w14:textId="77777777" w:rsidR="00D76D3A" w:rsidRPr="00620AC6" w:rsidRDefault="00D76D3A" w:rsidP="00D76D3A">
      <w:pPr>
        <w:spacing w:line="240" w:lineRule="auto"/>
        <w:jc w:val="left"/>
        <w:rPr>
          <w:rStyle w:val="AboutandContactBody"/>
          <w:rFonts w:asciiTheme="majorHAnsi" w:eastAsiaTheme="majorEastAsia" w:hAnsiTheme="majorHAnsi" w:cs="Calibri Light"/>
          <w:b/>
          <w:szCs w:val="18"/>
        </w:rPr>
      </w:pPr>
    </w:p>
    <w:p w14:paraId="21C1E210" w14:textId="5AD855ED" w:rsidR="001909A1" w:rsidRPr="00620AC6" w:rsidRDefault="001909A1">
      <w:pPr>
        <w:spacing w:line="240" w:lineRule="auto"/>
        <w:jc w:val="left"/>
        <w:rPr>
          <w:rStyle w:val="AboutandContactBody"/>
          <w:rFonts w:asciiTheme="majorHAnsi" w:eastAsiaTheme="majorEastAsia" w:hAnsiTheme="majorHAnsi" w:cs="Calibri Light"/>
          <w:b/>
          <w:szCs w:val="18"/>
        </w:rPr>
      </w:pPr>
    </w:p>
    <w:sectPr w:rsidR="001909A1" w:rsidRPr="00620AC6" w:rsidSect="00745328">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3F7A" w14:textId="77777777" w:rsidR="00745328" w:rsidRDefault="00745328">
      <w:r>
        <w:separator/>
      </w:r>
    </w:p>
  </w:endnote>
  <w:endnote w:type="continuationSeparator" w:id="0">
    <w:p w14:paraId="3346D3FC" w14:textId="77777777" w:rsidR="00745328" w:rsidRDefault="00745328">
      <w:r>
        <w:continuationSeparator/>
      </w:r>
    </w:p>
  </w:endnote>
  <w:endnote w:type="continuationNotice" w:id="1">
    <w:p w14:paraId="752A49EF" w14:textId="77777777" w:rsidR="00745328" w:rsidRDefault="007453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A390" w14:textId="77777777" w:rsidR="00207120" w:rsidRDefault="00207120" w:rsidP="00333BC8">
    <w:pPr>
      <w:pStyle w:val="a4"/>
      <w:tabs>
        <w:tab w:val="clear" w:pos="7083"/>
        <w:tab w:val="clear" w:pos="8640"/>
        <w:tab w:val="right" w:pos="9071"/>
      </w:tabs>
      <w:jc w:val="both"/>
    </w:pPr>
  </w:p>
  <w:p w14:paraId="53754681" w14:textId="3D1BED1F" w:rsidR="00333BC8" w:rsidRPr="00620AC6" w:rsidRDefault="00333BC8" w:rsidP="00333BC8">
    <w:pPr>
      <w:pStyle w:val="a4"/>
      <w:tabs>
        <w:tab w:val="clear" w:pos="7083"/>
        <w:tab w:val="clear" w:pos="8640"/>
        <w:tab w:val="right" w:pos="9071"/>
      </w:tabs>
      <w:jc w:val="both"/>
    </w:pPr>
    <w:r w:rsidRPr="00620AC6">
      <w:rPr>
        <w:rFonts w:hint="eastAsia"/>
      </w:rPr>
      <w:t>Henkel AG &amp; Co. KGaA</w:t>
    </w:r>
    <w:r w:rsidRPr="00620AC6">
      <w:rPr>
        <w:rFonts w:hint="eastAsia"/>
      </w:rPr>
      <w:tab/>
      <w:t xml:space="preserve">Page </w:t>
    </w:r>
    <w:r w:rsidRPr="00620AC6">
      <w:rPr>
        <w:rFonts w:hint="eastAsia"/>
      </w:rPr>
      <w:fldChar w:fldCharType="begin"/>
    </w:r>
    <w:r w:rsidRPr="00620AC6">
      <w:rPr>
        <w:rFonts w:hint="eastAsia"/>
      </w:rPr>
      <w:instrText xml:space="preserve"> PAGE  \* Arabic  \* MERGEFORMAT </w:instrText>
    </w:r>
    <w:r w:rsidRPr="00620AC6">
      <w:rPr>
        <w:rFonts w:hint="eastAsia"/>
      </w:rPr>
      <w:fldChar w:fldCharType="separate"/>
    </w:r>
    <w:r w:rsidRPr="00620AC6">
      <w:rPr>
        <w:rFonts w:hint="eastAsia"/>
      </w:rPr>
      <w:t>2</w:t>
    </w:r>
    <w:r w:rsidRPr="00620AC6">
      <w:rPr>
        <w:rFonts w:hint="eastAsia"/>
      </w:rPr>
      <w:fldChar w:fldCharType="end"/>
    </w:r>
    <w:r w:rsidRPr="00620AC6">
      <w:rPr>
        <w:rFonts w:hint="eastAsia"/>
      </w:rPr>
      <w:t>/</w:t>
    </w:r>
    <w:fldSimple w:instr="NUMPAGES  \* Arabic  \* MERGEFORMAT">
      <w:r w:rsidRPr="00620AC6">
        <w:rPr>
          <w:rFonts w:hint="eastAsia"/>
        </w:rPr>
        <w:t>11</w:t>
      </w:r>
    </w:fldSimple>
  </w:p>
  <w:p w14:paraId="637D10C9" w14:textId="76BAB6AF" w:rsidR="00CF6F33" w:rsidRPr="00620AC6" w:rsidRDefault="00112A28" w:rsidP="00112A28">
    <w:pPr>
      <w:pStyle w:val="a4"/>
      <w:tabs>
        <w:tab w:val="clear" w:pos="7083"/>
        <w:tab w:val="clear" w:pos="8640"/>
        <w:tab w:val="right" w:pos="9071"/>
      </w:tabs>
      <w:jc w:val="both"/>
    </w:pPr>
    <w:r w:rsidRPr="00620AC6">
      <w:rPr>
        <w:rFonts w:hint="eastAsia"/>
      </w:rPr>
      <w:t>汉高股份有限及两合公司</w:t>
    </w:r>
    <w:r w:rsidRPr="00620AC6">
      <w:rPr>
        <w:rFonts w:hint="eastAsia"/>
      </w:rPr>
      <w:tab/>
    </w:r>
    <w:r w:rsidRPr="00620AC6">
      <w:rPr>
        <w:rFonts w:hint="eastAsia"/>
      </w:rPr>
      <w:t>页码</w:t>
    </w:r>
    <w:r w:rsidRPr="00620AC6">
      <w:fldChar w:fldCharType="begin"/>
    </w:r>
    <w:r w:rsidRPr="00620AC6">
      <w:instrText xml:space="preserve"> PAGE  \* Arabic  \* MERGEFORMAT </w:instrText>
    </w:r>
    <w:r w:rsidRPr="00620AC6">
      <w:fldChar w:fldCharType="separate"/>
    </w:r>
    <w:r w:rsidRPr="00620AC6">
      <w:t>2</w:t>
    </w:r>
    <w:r w:rsidRPr="00620AC6">
      <w:fldChar w:fldCharType="end"/>
    </w:r>
    <w:r w:rsidRPr="00620AC6">
      <w:rPr>
        <w:rFonts w:hint="eastAsia"/>
      </w:rPr>
      <w:t>/</w:t>
    </w:r>
    <w:fldSimple w:instr="NUMPAGES  \* Arabic  \* MERGEFORMAT">
      <w:r w:rsidRPr="00620AC6">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D00F" w14:textId="77777777" w:rsidR="00AF0FA7" w:rsidRDefault="00AF0FA7" w:rsidP="00992A11">
    <w:pPr>
      <w:pStyle w:val="a4"/>
    </w:pPr>
    <w:r>
      <w:t>Page</w:t>
    </w:r>
    <w:r w:rsidRPr="00992A11">
      <w:t xml:space="preserve"> </w:t>
    </w:r>
    <w:r w:rsidRPr="00992A11">
      <w:fldChar w:fldCharType="begin"/>
    </w:r>
    <w:r w:rsidRPr="00992A11">
      <w:instrText xml:space="preserve"> PAGE  \* Arabic  \* MERGEFORMAT </w:instrText>
    </w:r>
    <w:r w:rsidRPr="00992A11">
      <w:fldChar w:fldCharType="separate"/>
    </w:r>
    <w:r>
      <w:t>1</w:t>
    </w:r>
    <w:r w:rsidRPr="00992A11">
      <w:fldChar w:fldCharType="end"/>
    </w:r>
    <w:r w:rsidRPr="00992A11">
      <w:t>/</w:t>
    </w:r>
    <w:fldSimple w:instr=" NUMPAGES  \* Arabic  \* MERGEFORMAT ">
      <w:r>
        <w:t>10</w:t>
      </w:r>
    </w:fldSimple>
  </w:p>
  <w:p w14:paraId="577A058E" w14:textId="384B28ED" w:rsidR="00CF6F33" w:rsidRPr="00992A11" w:rsidRDefault="00C91653" w:rsidP="00992A11">
    <w:pPr>
      <w:pStyle w:val="a4"/>
    </w:pPr>
    <w:r>
      <w:rPr>
        <w:rFonts w:hint="eastAsia"/>
      </w:rPr>
      <w:drawing>
        <wp:anchor distT="0" distB="0" distL="114300" distR="114300" simplePos="0" relativeHeight="251659265" behindDoc="0" locked="0" layoutInCell="1" allowOverlap="1" wp14:anchorId="3B461DEE" wp14:editId="081AB4FC">
          <wp:simplePos x="0" y="0"/>
          <wp:positionH relativeFrom="margin">
            <wp:align>left</wp:align>
          </wp:positionH>
          <wp:positionV relativeFrom="paragraph">
            <wp:posOffset>-466090</wp:posOffset>
          </wp:positionV>
          <wp:extent cx="5317636" cy="478792"/>
          <wp:effectExtent l="0" t="0" r="0" b="0"/>
          <wp:wrapThrough wrapText="bothSides">
            <wp:wrapPolygon edited="0">
              <wp:start x="0" y="0"/>
              <wp:lineTo x="0" y="20626"/>
              <wp:lineTo x="21512" y="20626"/>
              <wp:lineTo x="21512" y="0"/>
              <wp:lineTo x="0" y="0"/>
            </wp:wrapPolygon>
          </wp:wrapThrough>
          <wp:docPr id="1278599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extLst>
                      <a:ext uri="{28A0092B-C50C-407E-A947-70E740481C1C}">
                        <a14:useLocalDpi xmlns:a14="http://schemas.microsoft.com/office/drawing/2010/main" val="0"/>
                      </a:ext>
                    </a:extLst>
                  </a:blip>
                  <a:stretch>
                    <a:fillRect/>
                  </a:stretch>
                </pic:blipFill>
                <pic:spPr>
                  <a:xfrm>
                    <a:off x="0" y="0"/>
                    <a:ext cx="5317636" cy="478792"/>
                  </a:xfrm>
                  <a:prstGeom prst="rect">
                    <a:avLst/>
                  </a:prstGeom>
                </pic:spPr>
              </pic:pic>
            </a:graphicData>
          </a:graphic>
          <wp14:sizeRelH relativeFrom="page">
            <wp14:pctWidth>0</wp14:pctWidth>
          </wp14:sizeRelH>
          <wp14:sizeRelV relativeFrom="page">
            <wp14:pctHeight>0</wp14:pctHeight>
          </wp14:sizeRelV>
        </wp:anchor>
      </w:drawing>
    </w:r>
    <w:r>
      <w:rPr>
        <w:rFonts w:hint="eastAsia"/>
      </w:rPr>
      <w:t>页码</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Pr>
        <w:rFonts w:hint="eastAsia"/>
      </w:rP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B39A" w14:textId="77777777" w:rsidR="00745328" w:rsidRDefault="00745328">
      <w:r>
        <w:separator/>
      </w:r>
    </w:p>
  </w:footnote>
  <w:footnote w:type="continuationSeparator" w:id="0">
    <w:p w14:paraId="221220B4" w14:textId="77777777" w:rsidR="00745328" w:rsidRDefault="00745328">
      <w:r>
        <w:continuationSeparator/>
      </w:r>
    </w:p>
  </w:footnote>
  <w:footnote w:type="continuationNotice" w:id="1">
    <w:p w14:paraId="629AFD09" w14:textId="77777777" w:rsidR="00745328" w:rsidRDefault="007453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5B6580F" w:rsidR="00CF6F33" w:rsidRPr="00AF0FA7" w:rsidRDefault="0059722C" w:rsidP="00EB46D9">
    <w:pPr>
      <w:pStyle w:val="a3"/>
    </w:pPr>
    <w:r w:rsidRPr="00AF0FA7">
      <w:rPr>
        <w:rFonts w:hint="eastAsia"/>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AF0FA7">
      <w:rPr>
        <w:rFonts w:hint="eastAsia"/>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E57E062"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01563" w:rsidRPr="00AF0FA7">
      <w:rPr>
        <w:rFonts w:hint="eastAsia"/>
      </w:rPr>
      <w:t xml:space="preserve"> </w:t>
    </w:r>
    <w:r w:rsidRPr="00AF0FA7">
      <w:rPr>
        <w:rFonts w:hint="eastAsia"/>
      </w:rPr>
      <w:br/>
    </w:r>
    <w:r w:rsidRPr="00AF0FA7">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322993">
    <w:abstractNumId w:val="1"/>
  </w:num>
  <w:num w:numId="2" w16cid:durableId="165293174">
    <w:abstractNumId w:val="0"/>
  </w:num>
  <w:num w:numId="3" w16cid:durableId="1508134485">
    <w:abstractNumId w:val="7"/>
  </w:num>
  <w:num w:numId="4" w16cid:durableId="1234970366">
    <w:abstractNumId w:val="4"/>
  </w:num>
  <w:num w:numId="5" w16cid:durableId="1008554684">
    <w:abstractNumId w:val="2"/>
  </w:num>
  <w:num w:numId="6" w16cid:durableId="933825870">
    <w:abstractNumId w:val="5"/>
  </w:num>
  <w:num w:numId="7" w16cid:durableId="912852597">
    <w:abstractNumId w:val="3"/>
  </w:num>
  <w:num w:numId="8" w16cid:durableId="162569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11C3D"/>
    <w:rsid w:val="00014FC1"/>
    <w:rsid w:val="00016137"/>
    <w:rsid w:val="000161F4"/>
    <w:rsid w:val="00020DC3"/>
    <w:rsid w:val="00021C67"/>
    <w:rsid w:val="00024147"/>
    <w:rsid w:val="00024483"/>
    <w:rsid w:val="000256A9"/>
    <w:rsid w:val="00026EEE"/>
    <w:rsid w:val="000301F0"/>
    <w:rsid w:val="00030557"/>
    <w:rsid w:val="00030701"/>
    <w:rsid w:val="00030F51"/>
    <w:rsid w:val="000343EB"/>
    <w:rsid w:val="00035A84"/>
    <w:rsid w:val="00040816"/>
    <w:rsid w:val="00040CC9"/>
    <w:rsid w:val="00041750"/>
    <w:rsid w:val="00041F81"/>
    <w:rsid w:val="000425ED"/>
    <w:rsid w:val="00043308"/>
    <w:rsid w:val="00045CCB"/>
    <w:rsid w:val="00047774"/>
    <w:rsid w:val="00050CE5"/>
    <w:rsid w:val="000510FC"/>
    <w:rsid w:val="00051555"/>
    <w:rsid w:val="00051E86"/>
    <w:rsid w:val="00054AFE"/>
    <w:rsid w:val="000552CB"/>
    <w:rsid w:val="0005544E"/>
    <w:rsid w:val="000575F9"/>
    <w:rsid w:val="000618FC"/>
    <w:rsid w:val="00065410"/>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357F"/>
    <w:rsid w:val="00083A35"/>
    <w:rsid w:val="00083A61"/>
    <w:rsid w:val="00083DAB"/>
    <w:rsid w:val="0008406B"/>
    <w:rsid w:val="00084918"/>
    <w:rsid w:val="00090DB6"/>
    <w:rsid w:val="00090E73"/>
    <w:rsid w:val="00091F11"/>
    <w:rsid w:val="00094235"/>
    <w:rsid w:val="00096AD4"/>
    <w:rsid w:val="000A05E0"/>
    <w:rsid w:val="000A06FB"/>
    <w:rsid w:val="000A31D3"/>
    <w:rsid w:val="000A50CF"/>
    <w:rsid w:val="000A511E"/>
    <w:rsid w:val="000A64B3"/>
    <w:rsid w:val="000A6C25"/>
    <w:rsid w:val="000B005C"/>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31D9"/>
    <w:rsid w:val="000D40C6"/>
    <w:rsid w:val="000D5AF1"/>
    <w:rsid w:val="000D6C67"/>
    <w:rsid w:val="000E0CAB"/>
    <w:rsid w:val="000E1B84"/>
    <w:rsid w:val="000E2F62"/>
    <w:rsid w:val="000E38ED"/>
    <w:rsid w:val="000E45C7"/>
    <w:rsid w:val="000E4D29"/>
    <w:rsid w:val="000E5075"/>
    <w:rsid w:val="000E7F24"/>
    <w:rsid w:val="000F03BE"/>
    <w:rsid w:val="000F1757"/>
    <w:rsid w:val="000F225B"/>
    <w:rsid w:val="000F333E"/>
    <w:rsid w:val="000F41BC"/>
    <w:rsid w:val="000F48E9"/>
    <w:rsid w:val="000F4DAE"/>
    <w:rsid w:val="000F52F8"/>
    <w:rsid w:val="000F7ADB"/>
    <w:rsid w:val="000F7FAF"/>
    <w:rsid w:val="00100D8B"/>
    <w:rsid w:val="00102045"/>
    <w:rsid w:val="00103537"/>
    <w:rsid w:val="001035F3"/>
    <w:rsid w:val="0010421C"/>
    <w:rsid w:val="0010465B"/>
    <w:rsid w:val="0010570F"/>
    <w:rsid w:val="001058F1"/>
    <w:rsid w:val="00105975"/>
    <w:rsid w:val="00110090"/>
    <w:rsid w:val="0011116D"/>
    <w:rsid w:val="00111386"/>
    <w:rsid w:val="001118DF"/>
    <w:rsid w:val="00111F4D"/>
    <w:rsid w:val="00112A28"/>
    <w:rsid w:val="00113571"/>
    <w:rsid w:val="00114DDF"/>
    <w:rsid w:val="00115230"/>
    <w:rsid w:val="00115B5F"/>
    <w:rsid w:val="001162B4"/>
    <w:rsid w:val="00116DF3"/>
    <w:rsid w:val="00121911"/>
    <w:rsid w:val="00122B90"/>
    <w:rsid w:val="00122CBC"/>
    <w:rsid w:val="0012414B"/>
    <w:rsid w:val="00124FA3"/>
    <w:rsid w:val="00126C65"/>
    <w:rsid w:val="00126D4A"/>
    <w:rsid w:val="00130F3C"/>
    <w:rsid w:val="00131762"/>
    <w:rsid w:val="001318EB"/>
    <w:rsid w:val="00132DA9"/>
    <w:rsid w:val="0013305B"/>
    <w:rsid w:val="00133B99"/>
    <w:rsid w:val="00135427"/>
    <w:rsid w:val="0013569C"/>
    <w:rsid w:val="00135939"/>
    <w:rsid w:val="001369E3"/>
    <w:rsid w:val="001375DD"/>
    <w:rsid w:val="00142EFB"/>
    <w:rsid w:val="001438BF"/>
    <w:rsid w:val="001443BD"/>
    <w:rsid w:val="00144A87"/>
    <w:rsid w:val="00145B62"/>
    <w:rsid w:val="00146193"/>
    <w:rsid w:val="00152022"/>
    <w:rsid w:val="00152026"/>
    <w:rsid w:val="00152A41"/>
    <w:rsid w:val="001577E9"/>
    <w:rsid w:val="00157A59"/>
    <w:rsid w:val="0016138C"/>
    <w:rsid w:val="00162D60"/>
    <w:rsid w:val="001640D5"/>
    <w:rsid w:val="001653D7"/>
    <w:rsid w:val="001659FB"/>
    <w:rsid w:val="00172C99"/>
    <w:rsid w:val="001731CE"/>
    <w:rsid w:val="00175ACB"/>
    <w:rsid w:val="00175C72"/>
    <w:rsid w:val="001800F9"/>
    <w:rsid w:val="00180F93"/>
    <w:rsid w:val="001816A1"/>
    <w:rsid w:val="00181B06"/>
    <w:rsid w:val="00184F80"/>
    <w:rsid w:val="0018672E"/>
    <w:rsid w:val="001909A1"/>
    <w:rsid w:val="00197E9B"/>
    <w:rsid w:val="001A0362"/>
    <w:rsid w:val="001A1185"/>
    <w:rsid w:val="001A2B7A"/>
    <w:rsid w:val="001A3D77"/>
    <w:rsid w:val="001B30F7"/>
    <w:rsid w:val="001B31F0"/>
    <w:rsid w:val="001B4862"/>
    <w:rsid w:val="001B710A"/>
    <w:rsid w:val="001B771D"/>
    <w:rsid w:val="001B7C20"/>
    <w:rsid w:val="001C0B32"/>
    <w:rsid w:val="001C2D66"/>
    <w:rsid w:val="001C36F7"/>
    <w:rsid w:val="001C4BE1"/>
    <w:rsid w:val="001C5338"/>
    <w:rsid w:val="001C69B9"/>
    <w:rsid w:val="001C7F21"/>
    <w:rsid w:val="001D1497"/>
    <w:rsid w:val="001D2787"/>
    <w:rsid w:val="001D457C"/>
    <w:rsid w:val="001D5534"/>
    <w:rsid w:val="001D63D9"/>
    <w:rsid w:val="001D7ADF"/>
    <w:rsid w:val="001E0F71"/>
    <w:rsid w:val="001E165A"/>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35F8"/>
    <w:rsid w:val="001F39FC"/>
    <w:rsid w:val="001F4AC3"/>
    <w:rsid w:val="001F4CAC"/>
    <w:rsid w:val="001F52E0"/>
    <w:rsid w:val="001F561A"/>
    <w:rsid w:val="001F590C"/>
    <w:rsid w:val="001F7110"/>
    <w:rsid w:val="001F773D"/>
    <w:rsid w:val="001F7E96"/>
    <w:rsid w:val="002005F5"/>
    <w:rsid w:val="00202284"/>
    <w:rsid w:val="0020528D"/>
    <w:rsid w:val="0020543B"/>
    <w:rsid w:val="00205A66"/>
    <w:rsid w:val="002063CF"/>
    <w:rsid w:val="00206613"/>
    <w:rsid w:val="00207120"/>
    <w:rsid w:val="0020756B"/>
    <w:rsid w:val="00207E75"/>
    <w:rsid w:val="00210D86"/>
    <w:rsid w:val="0021158F"/>
    <w:rsid w:val="00212488"/>
    <w:rsid w:val="002129A6"/>
    <w:rsid w:val="002151DB"/>
    <w:rsid w:val="00220628"/>
    <w:rsid w:val="00221A45"/>
    <w:rsid w:val="00221BA0"/>
    <w:rsid w:val="00221E7D"/>
    <w:rsid w:val="002260C7"/>
    <w:rsid w:val="002304D2"/>
    <w:rsid w:val="002338C1"/>
    <w:rsid w:val="00233D04"/>
    <w:rsid w:val="00234ABD"/>
    <w:rsid w:val="00236491"/>
    <w:rsid w:val="00236C3B"/>
    <w:rsid w:val="00236E2A"/>
    <w:rsid w:val="00237F62"/>
    <w:rsid w:val="00241E10"/>
    <w:rsid w:val="0024586A"/>
    <w:rsid w:val="0024601F"/>
    <w:rsid w:val="00247773"/>
    <w:rsid w:val="002502E1"/>
    <w:rsid w:val="00250F80"/>
    <w:rsid w:val="0025124F"/>
    <w:rsid w:val="002518A2"/>
    <w:rsid w:val="002528B3"/>
    <w:rsid w:val="002537A7"/>
    <w:rsid w:val="0025551F"/>
    <w:rsid w:val="00255F8C"/>
    <w:rsid w:val="00256174"/>
    <w:rsid w:val="00256F0C"/>
    <w:rsid w:val="00257231"/>
    <w:rsid w:val="00260318"/>
    <w:rsid w:val="00261C23"/>
    <w:rsid w:val="00262C05"/>
    <w:rsid w:val="002715AF"/>
    <w:rsid w:val="002717F0"/>
    <w:rsid w:val="00272538"/>
    <w:rsid w:val="0027301C"/>
    <w:rsid w:val="00273099"/>
    <w:rsid w:val="0027615C"/>
    <w:rsid w:val="00281D14"/>
    <w:rsid w:val="00282C13"/>
    <w:rsid w:val="002833D8"/>
    <w:rsid w:val="00285669"/>
    <w:rsid w:val="00286BF6"/>
    <w:rsid w:val="002903B7"/>
    <w:rsid w:val="002938CA"/>
    <w:rsid w:val="00295E54"/>
    <w:rsid w:val="002962D7"/>
    <w:rsid w:val="00296C33"/>
    <w:rsid w:val="002A0D7B"/>
    <w:rsid w:val="002A0DF7"/>
    <w:rsid w:val="002A252E"/>
    <w:rsid w:val="002A268C"/>
    <w:rsid w:val="002A2975"/>
    <w:rsid w:val="002A460D"/>
    <w:rsid w:val="002A505B"/>
    <w:rsid w:val="002A5EE9"/>
    <w:rsid w:val="002A60E0"/>
    <w:rsid w:val="002B1AA8"/>
    <w:rsid w:val="002B1E87"/>
    <w:rsid w:val="002B687A"/>
    <w:rsid w:val="002C0D59"/>
    <w:rsid w:val="002C1344"/>
    <w:rsid w:val="002C14B8"/>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3D5A"/>
    <w:rsid w:val="002E4FFB"/>
    <w:rsid w:val="002E63A7"/>
    <w:rsid w:val="002E650E"/>
    <w:rsid w:val="002E6E2F"/>
    <w:rsid w:val="002E7DED"/>
    <w:rsid w:val="002F0334"/>
    <w:rsid w:val="002F2A7B"/>
    <w:rsid w:val="002F4AB2"/>
    <w:rsid w:val="002F5944"/>
    <w:rsid w:val="002F7BC2"/>
    <w:rsid w:val="002F7E11"/>
    <w:rsid w:val="0030037C"/>
    <w:rsid w:val="003005CD"/>
    <w:rsid w:val="00304087"/>
    <w:rsid w:val="003053DC"/>
    <w:rsid w:val="003054B0"/>
    <w:rsid w:val="003057B1"/>
    <w:rsid w:val="003062AD"/>
    <w:rsid w:val="00310ACD"/>
    <w:rsid w:val="00312C23"/>
    <w:rsid w:val="0031379F"/>
    <w:rsid w:val="00313A9C"/>
    <w:rsid w:val="00314B5C"/>
    <w:rsid w:val="0031621E"/>
    <w:rsid w:val="00316A16"/>
    <w:rsid w:val="00320A26"/>
    <w:rsid w:val="003212F3"/>
    <w:rsid w:val="00321344"/>
    <w:rsid w:val="00321788"/>
    <w:rsid w:val="00325064"/>
    <w:rsid w:val="0032545F"/>
    <w:rsid w:val="00325EC9"/>
    <w:rsid w:val="003279C6"/>
    <w:rsid w:val="0032B295"/>
    <w:rsid w:val="00330CEE"/>
    <w:rsid w:val="00331A3E"/>
    <w:rsid w:val="00333BC8"/>
    <w:rsid w:val="0033451C"/>
    <w:rsid w:val="00335660"/>
    <w:rsid w:val="00335994"/>
    <w:rsid w:val="00336854"/>
    <w:rsid w:val="0033769B"/>
    <w:rsid w:val="0034015C"/>
    <w:rsid w:val="00341409"/>
    <w:rsid w:val="00341CAE"/>
    <w:rsid w:val="003442F4"/>
    <w:rsid w:val="00344546"/>
    <w:rsid w:val="003455CF"/>
    <w:rsid w:val="0034716E"/>
    <w:rsid w:val="00350CB4"/>
    <w:rsid w:val="00353705"/>
    <w:rsid w:val="00355536"/>
    <w:rsid w:val="003562E8"/>
    <w:rsid w:val="003614D7"/>
    <w:rsid w:val="0036357D"/>
    <w:rsid w:val="0036418F"/>
    <w:rsid w:val="003649BC"/>
    <w:rsid w:val="00364F7E"/>
    <w:rsid w:val="00365E44"/>
    <w:rsid w:val="00365ED2"/>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1536"/>
    <w:rsid w:val="00384F62"/>
    <w:rsid w:val="00385438"/>
    <w:rsid w:val="003858E5"/>
    <w:rsid w:val="0038757C"/>
    <w:rsid w:val="003877B6"/>
    <w:rsid w:val="00391539"/>
    <w:rsid w:val="003921B7"/>
    <w:rsid w:val="00393887"/>
    <w:rsid w:val="00393F1B"/>
    <w:rsid w:val="00394C6B"/>
    <w:rsid w:val="0039610B"/>
    <w:rsid w:val="00397C2B"/>
    <w:rsid w:val="003A290F"/>
    <w:rsid w:val="003A4AAA"/>
    <w:rsid w:val="003A4B10"/>
    <w:rsid w:val="003A4E2E"/>
    <w:rsid w:val="003A4E62"/>
    <w:rsid w:val="003A58F2"/>
    <w:rsid w:val="003A5A6A"/>
    <w:rsid w:val="003A6506"/>
    <w:rsid w:val="003A775E"/>
    <w:rsid w:val="003B02F2"/>
    <w:rsid w:val="003B0BD0"/>
    <w:rsid w:val="003B0CDD"/>
    <w:rsid w:val="003B1069"/>
    <w:rsid w:val="003B38CC"/>
    <w:rsid w:val="003B390A"/>
    <w:rsid w:val="003B3D53"/>
    <w:rsid w:val="003B4E3A"/>
    <w:rsid w:val="003B6373"/>
    <w:rsid w:val="003B7003"/>
    <w:rsid w:val="003B79E1"/>
    <w:rsid w:val="003C0E8C"/>
    <w:rsid w:val="003C15DE"/>
    <w:rsid w:val="003C2096"/>
    <w:rsid w:val="003C2889"/>
    <w:rsid w:val="003C34C9"/>
    <w:rsid w:val="003C4EB2"/>
    <w:rsid w:val="003C5E05"/>
    <w:rsid w:val="003C63D0"/>
    <w:rsid w:val="003C7959"/>
    <w:rsid w:val="003D0795"/>
    <w:rsid w:val="003D3968"/>
    <w:rsid w:val="003D42AF"/>
    <w:rsid w:val="003D4AD2"/>
    <w:rsid w:val="003D5E11"/>
    <w:rsid w:val="003D73C0"/>
    <w:rsid w:val="003E031D"/>
    <w:rsid w:val="003E4599"/>
    <w:rsid w:val="003E7305"/>
    <w:rsid w:val="003F0C1C"/>
    <w:rsid w:val="003F1AF3"/>
    <w:rsid w:val="003F25E4"/>
    <w:rsid w:val="003F2AC0"/>
    <w:rsid w:val="003F4804"/>
    <w:rsid w:val="003F4AAA"/>
    <w:rsid w:val="003F4D8D"/>
    <w:rsid w:val="003F66A4"/>
    <w:rsid w:val="00400FF5"/>
    <w:rsid w:val="00401305"/>
    <w:rsid w:val="00401508"/>
    <w:rsid w:val="00401688"/>
    <w:rsid w:val="004024D9"/>
    <w:rsid w:val="0040257E"/>
    <w:rsid w:val="004033C2"/>
    <w:rsid w:val="0040386D"/>
    <w:rsid w:val="00404188"/>
    <w:rsid w:val="00406435"/>
    <w:rsid w:val="004066F9"/>
    <w:rsid w:val="00406CBE"/>
    <w:rsid w:val="004073DC"/>
    <w:rsid w:val="00410D8B"/>
    <w:rsid w:val="004137C0"/>
    <w:rsid w:val="004138F3"/>
    <w:rsid w:val="004217E7"/>
    <w:rsid w:val="00421F20"/>
    <w:rsid w:val="00423B63"/>
    <w:rsid w:val="00427BEA"/>
    <w:rsid w:val="00430120"/>
    <w:rsid w:val="004313B1"/>
    <w:rsid w:val="004313E7"/>
    <w:rsid w:val="00431E14"/>
    <w:rsid w:val="00432542"/>
    <w:rsid w:val="004339B2"/>
    <w:rsid w:val="004359AC"/>
    <w:rsid w:val="004375F6"/>
    <w:rsid w:val="00441FC6"/>
    <w:rsid w:val="00444A70"/>
    <w:rsid w:val="0044763B"/>
    <w:rsid w:val="00452696"/>
    <w:rsid w:val="00453F32"/>
    <w:rsid w:val="00456A53"/>
    <w:rsid w:val="0046213C"/>
    <w:rsid w:val="00462518"/>
    <w:rsid w:val="0046266D"/>
    <w:rsid w:val="004629B3"/>
    <w:rsid w:val="0046376E"/>
    <w:rsid w:val="00463B50"/>
    <w:rsid w:val="0046587C"/>
    <w:rsid w:val="0046690F"/>
    <w:rsid w:val="00470AEA"/>
    <w:rsid w:val="00471116"/>
    <w:rsid w:val="00472FEC"/>
    <w:rsid w:val="00476830"/>
    <w:rsid w:val="004770F6"/>
    <w:rsid w:val="004812D2"/>
    <w:rsid w:val="0048194E"/>
    <w:rsid w:val="00481EFF"/>
    <w:rsid w:val="00483B28"/>
    <w:rsid w:val="00483FB8"/>
    <w:rsid w:val="004858E1"/>
    <w:rsid w:val="00485EF2"/>
    <w:rsid w:val="004864A1"/>
    <w:rsid w:val="0048769E"/>
    <w:rsid w:val="00490A03"/>
    <w:rsid w:val="00490B0D"/>
    <w:rsid w:val="00490E5D"/>
    <w:rsid w:val="004923BD"/>
    <w:rsid w:val="00492B0A"/>
    <w:rsid w:val="00492D88"/>
    <w:rsid w:val="00493327"/>
    <w:rsid w:val="0049382E"/>
    <w:rsid w:val="00494DBE"/>
    <w:rsid w:val="00495CE6"/>
    <w:rsid w:val="004971BF"/>
    <w:rsid w:val="00497D5E"/>
    <w:rsid w:val="004A144D"/>
    <w:rsid w:val="004A1D27"/>
    <w:rsid w:val="004A323C"/>
    <w:rsid w:val="004B0801"/>
    <w:rsid w:val="004B1117"/>
    <w:rsid w:val="004B1A6B"/>
    <w:rsid w:val="004B1FC8"/>
    <w:rsid w:val="004B339A"/>
    <w:rsid w:val="004B54E8"/>
    <w:rsid w:val="004B773C"/>
    <w:rsid w:val="004C0138"/>
    <w:rsid w:val="004C0686"/>
    <w:rsid w:val="004C12E8"/>
    <w:rsid w:val="004C130C"/>
    <w:rsid w:val="004C1578"/>
    <w:rsid w:val="004C174B"/>
    <w:rsid w:val="004C33BA"/>
    <w:rsid w:val="004C47EA"/>
    <w:rsid w:val="004C4FEB"/>
    <w:rsid w:val="004C5E81"/>
    <w:rsid w:val="004C6570"/>
    <w:rsid w:val="004C678C"/>
    <w:rsid w:val="004C6B79"/>
    <w:rsid w:val="004C7345"/>
    <w:rsid w:val="004D059B"/>
    <w:rsid w:val="004D09F9"/>
    <w:rsid w:val="004D0E64"/>
    <w:rsid w:val="004D304E"/>
    <w:rsid w:val="004D4543"/>
    <w:rsid w:val="004D48A8"/>
    <w:rsid w:val="004D4CB6"/>
    <w:rsid w:val="004D4DCB"/>
    <w:rsid w:val="004D636F"/>
    <w:rsid w:val="004D7755"/>
    <w:rsid w:val="004E0907"/>
    <w:rsid w:val="004E20CF"/>
    <w:rsid w:val="004E2324"/>
    <w:rsid w:val="004E28C9"/>
    <w:rsid w:val="004E3341"/>
    <w:rsid w:val="004E3615"/>
    <w:rsid w:val="004E4A17"/>
    <w:rsid w:val="004E5124"/>
    <w:rsid w:val="004E59A3"/>
    <w:rsid w:val="004E7414"/>
    <w:rsid w:val="004E7E3A"/>
    <w:rsid w:val="004F10C1"/>
    <w:rsid w:val="004F1C5E"/>
    <w:rsid w:val="004F3E47"/>
    <w:rsid w:val="004F4CC8"/>
    <w:rsid w:val="004F4F5A"/>
    <w:rsid w:val="004F51FF"/>
    <w:rsid w:val="004F5AD9"/>
    <w:rsid w:val="00501563"/>
    <w:rsid w:val="0050159C"/>
    <w:rsid w:val="005022B7"/>
    <w:rsid w:val="00502E62"/>
    <w:rsid w:val="00506B8A"/>
    <w:rsid w:val="005110D3"/>
    <w:rsid w:val="00520A65"/>
    <w:rsid w:val="005218B8"/>
    <w:rsid w:val="0052212B"/>
    <w:rsid w:val="005221A8"/>
    <w:rsid w:val="005230C7"/>
    <w:rsid w:val="0052625A"/>
    <w:rsid w:val="005266EA"/>
    <w:rsid w:val="00527072"/>
    <w:rsid w:val="0053001D"/>
    <w:rsid w:val="005314EA"/>
    <w:rsid w:val="0053411B"/>
    <w:rsid w:val="00534B46"/>
    <w:rsid w:val="00535018"/>
    <w:rsid w:val="005355DB"/>
    <w:rsid w:val="00535866"/>
    <w:rsid w:val="00540358"/>
    <w:rsid w:val="00540A05"/>
    <w:rsid w:val="00540D47"/>
    <w:rsid w:val="005428D7"/>
    <w:rsid w:val="00542D43"/>
    <w:rsid w:val="005463C3"/>
    <w:rsid w:val="005465A3"/>
    <w:rsid w:val="00547C7C"/>
    <w:rsid w:val="005506D5"/>
    <w:rsid w:val="00550864"/>
    <w:rsid w:val="00551983"/>
    <w:rsid w:val="00551D6C"/>
    <w:rsid w:val="00553580"/>
    <w:rsid w:val="005550A8"/>
    <w:rsid w:val="0055571E"/>
    <w:rsid w:val="00556F67"/>
    <w:rsid w:val="00557849"/>
    <w:rsid w:val="00563009"/>
    <w:rsid w:val="005635B7"/>
    <w:rsid w:val="005652E8"/>
    <w:rsid w:val="0056772E"/>
    <w:rsid w:val="00567A17"/>
    <w:rsid w:val="00570C13"/>
    <w:rsid w:val="00573152"/>
    <w:rsid w:val="0057602A"/>
    <w:rsid w:val="0057667C"/>
    <w:rsid w:val="00576BDA"/>
    <w:rsid w:val="00576BED"/>
    <w:rsid w:val="00577DB4"/>
    <w:rsid w:val="00580A11"/>
    <w:rsid w:val="00581EC9"/>
    <w:rsid w:val="005826DA"/>
    <w:rsid w:val="00582943"/>
    <w:rsid w:val="00582D0E"/>
    <w:rsid w:val="00582E09"/>
    <w:rsid w:val="005833F0"/>
    <w:rsid w:val="00584F1C"/>
    <w:rsid w:val="00586280"/>
    <w:rsid w:val="005865FC"/>
    <w:rsid w:val="005869CE"/>
    <w:rsid w:val="00586CAF"/>
    <w:rsid w:val="005873E9"/>
    <w:rsid w:val="00587A90"/>
    <w:rsid w:val="00591180"/>
    <w:rsid w:val="00592E9F"/>
    <w:rsid w:val="0059722C"/>
    <w:rsid w:val="005977A6"/>
    <w:rsid w:val="00597D07"/>
    <w:rsid w:val="00597DD6"/>
    <w:rsid w:val="005A16E6"/>
    <w:rsid w:val="005A30D7"/>
    <w:rsid w:val="005A3846"/>
    <w:rsid w:val="005A678F"/>
    <w:rsid w:val="005A6C98"/>
    <w:rsid w:val="005A7DE8"/>
    <w:rsid w:val="005A7E97"/>
    <w:rsid w:val="005B2CD2"/>
    <w:rsid w:val="005B632A"/>
    <w:rsid w:val="005B6A58"/>
    <w:rsid w:val="005C5A83"/>
    <w:rsid w:val="005C7112"/>
    <w:rsid w:val="005D0561"/>
    <w:rsid w:val="005D0AD9"/>
    <w:rsid w:val="005D1A67"/>
    <w:rsid w:val="005D22F6"/>
    <w:rsid w:val="005D6774"/>
    <w:rsid w:val="005D68AA"/>
    <w:rsid w:val="005D6BD1"/>
    <w:rsid w:val="005E060E"/>
    <w:rsid w:val="005E0C30"/>
    <w:rsid w:val="005E1DCB"/>
    <w:rsid w:val="005E33E0"/>
    <w:rsid w:val="005E3B1A"/>
    <w:rsid w:val="005E3B74"/>
    <w:rsid w:val="005E3FBB"/>
    <w:rsid w:val="005E5014"/>
    <w:rsid w:val="005E66B4"/>
    <w:rsid w:val="005E69D9"/>
    <w:rsid w:val="005E6CB1"/>
    <w:rsid w:val="005E7116"/>
    <w:rsid w:val="005E7971"/>
    <w:rsid w:val="005F17D1"/>
    <w:rsid w:val="005F27F4"/>
    <w:rsid w:val="005F3239"/>
    <w:rsid w:val="005F39BF"/>
    <w:rsid w:val="005F566C"/>
    <w:rsid w:val="005F6567"/>
    <w:rsid w:val="005F676D"/>
    <w:rsid w:val="005F7A8A"/>
    <w:rsid w:val="005F7F0E"/>
    <w:rsid w:val="00600998"/>
    <w:rsid w:val="00600ACF"/>
    <w:rsid w:val="00605B10"/>
    <w:rsid w:val="00605DFE"/>
    <w:rsid w:val="00607094"/>
    <w:rsid w:val="00607256"/>
    <w:rsid w:val="0060790C"/>
    <w:rsid w:val="0060791E"/>
    <w:rsid w:val="00611F08"/>
    <w:rsid w:val="00613BF1"/>
    <w:rsid w:val="00613FDB"/>
    <w:rsid w:val="006144B1"/>
    <w:rsid w:val="00615A5C"/>
    <w:rsid w:val="006177FF"/>
    <w:rsid w:val="0062077F"/>
    <w:rsid w:val="00620AC6"/>
    <w:rsid w:val="00621BC7"/>
    <w:rsid w:val="00622033"/>
    <w:rsid w:val="00630644"/>
    <w:rsid w:val="006335F1"/>
    <w:rsid w:val="006336FD"/>
    <w:rsid w:val="00633B49"/>
    <w:rsid w:val="006345B6"/>
    <w:rsid w:val="00635616"/>
    <w:rsid w:val="00635712"/>
    <w:rsid w:val="00635984"/>
    <w:rsid w:val="00635F41"/>
    <w:rsid w:val="006368FF"/>
    <w:rsid w:val="006377D4"/>
    <w:rsid w:val="00640135"/>
    <w:rsid w:val="006402FF"/>
    <w:rsid w:val="0064107F"/>
    <w:rsid w:val="00643D8A"/>
    <w:rsid w:val="006445BE"/>
    <w:rsid w:val="00645A5C"/>
    <w:rsid w:val="00647AB9"/>
    <w:rsid w:val="00650894"/>
    <w:rsid w:val="0065112B"/>
    <w:rsid w:val="00652091"/>
    <w:rsid w:val="00652229"/>
    <w:rsid w:val="00652793"/>
    <w:rsid w:val="006528DE"/>
    <w:rsid w:val="00655B14"/>
    <w:rsid w:val="00657789"/>
    <w:rsid w:val="00660320"/>
    <w:rsid w:val="0066187E"/>
    <w:rsid w:val="00662375"/>
    <w:rsid w:val="006626CA"/>
    <w:rsid w:val="00663487"/>
    <w:rsid w:val="00672382"/>
    <w:rsid w:val="006733BB"/>
    <w:rsid w:val="00676E80"/>
    <w:rsid w:val="00681257"/>
    <w:rsid w:val="006822E9"/>
    <w:rsid w:val="00682643"/>
    <w:rsid w:val="00682EB9"/>
    <w:rsid w:val="00682F1E"/>
    <w:rsid w:val="0068378C"/>
    <w:rsid w:val="006839D3"/>
    <w:rsid w:val="0068441A"/>
    <w:rsid w:val="0068699A"/>
    <w:rsid w:val="00690B19"/>
    <w:rsid w:val="006940E2"/>
    <w:rsid w:val="006959BA"/>
    <w:rsid w:val="0069650C"/>
    <w:rsid w:val="006A0A3C"/>
    <w:rsid w:val="006A1ED8"/>
    <w:rsid w:val="006A390A"/>
    <w:rsid w:val="006A59E9"/>
    <w:rsid w:val="006A5AB1"/>
    <w:rsid w:val="006A75B8"/>
    <w:rsid w:val="006A79F0"/>
    <w:rsid w:val="006A7D5B"/>
    <w:rsid w:val="006B048F"/>
    <w:rsid w:val="006B31CF"/>
    <w:rsid w:val="006B359D"/>
    <w:rsid w:val="006B47EE"/>
    <w:rsid w:val="006B499F"/>
    <w:rsid w:val="006B54C6"/>
    <w:rsid w:val="006B6043"/>
    <w:rsid w:val="006B617F"/>
    <w:rsid w:val="006C1600"/>
    <w:rsid w:val="006C1FB8"/>
    <w:rsid w:val="006C2BB0"/>
    <w:rsid w:val="006C3257"/>
    <w:rsid w:val="006C33BE"/>
    <w:rsid w:val="006C4B3D"/>
    <w:rsid w:val="006C5B53"/>
    <w:rsid w:val="006C7E78"/>
    <w:rsid w:val="006D064D"/>
    <w:rsid w:val="006D098F"/>
    <w:rsid w:val="006D185F"/>
    <w:rsid w:val="006D20E3"/>
    <w:rsid w:val="006D2218"/>
    <w:rsid w:val="006D2D8B"/>
    <w:rsid w:val="006D33E1"/>
    <w:rsid w:val="006D38C6"/>
    <w:rsid w:val="006D4996"/>
    <w:rsid w:val="006D4A25"/>
    <w:rsid w:val="006D535B"/>
    <w:rsid w:val="006D54AB"/>
    <w:rsid w:val="006D58E5"/>
    <w:rsid w:val="006E1084"/>
    <w:rsid w:val="006E10B2"/>
    <w:rsid w:val="006E1FA9"/>
    <w:rsid w:val="006E2D24"/>
    <w:rsid w:val="006E3006"/>
    <w:rsid w:val="006E4F02"/>
    <w:rsid w:val="006E5032"/>
    <w:rsid w:val="006E5BDA"/>
    <w:rsid w:val="006E7AC9"/>
    <w:rsid w:val="006F0FC7"/>
    <w:rsid w:val="006F2895"/>
    <w:rsid w:val="006F39A9"/>
    <w:rsid w:val="006F3D9D"/>
    <w:rsid w:val="006F524E"/>
    <w:rsid w:val="006F5D57"/>
    <w:rsid w:val="006F643F"/>
    <w:rsid w:val="006F670F"/>
    <w:rsid w:val="006F77F3"/>
    <w:rsid w:val="0070057A"/>
    <w:rsid w:val="0070063C"/>
    <w:rsid w:val="00700D69"/>
    <w:rsid w:val="00702921"/>
    <w:rsid w:val="00703272"/>
    <w:rsid w:val="0070362C"/>
    <w:rsid w:val="00705B2A"/>
    <w:rsid w:val="00705BBE"/>
    <w:rsid w:val="0070733C"/>
    <w:rsid w:val="007102D5"/>
    <w:rsid w:val="007109C5"/>
    <w:rsid w:val="00710C5D"/>
    <w:rsid w:val="0071348C"/>
    <w:rsid w:val="00717273"/>
    <w:rsid w:val="00720FD4"/>
    <w:rsid w:val="00723C6D"/>
    <w:rsid w:val="00724550"/>
    <w:rsid w:val="00724AF2"/>
    <w:rsid w:val="00730624"/>
    <w:rsid w:val="0073096C"/>
    <w:rsid w:val="0073100D"/>
    <w:rsid w:val="00731368"/>
    <w:rsid w:val="00733429"/>
    <w:rsid w:val="00733A46"/>
    <w:rsid w:val="00735E2D"/>
    <w:rsid w:val="00736188"/>
    <w:rsid w:val="00736F2C"/>
    <w:rsid w:val="00737DCE"/>
    <w:rsid w:val="007419C8"/>
    <w:rsid w:val="00742398"/>
    <w:rsid w:val="007432A9"/>
    <w:rsid w:val="00745328"/>
    <w:rsid w:val="00745C0B"/>
    <w:rsid w:val="00746050"/>
    <w:rsid w:val="00746118"/>
    <w:rsid w:val="00746C7F"/>
    <w:rsid w:val="007507B5"/>
    <w:rsid w:val="0075091D"/>
    <w:rsid w:val="00750EC4"/>
    <w:rsid w:val="00751831"/>
    <w:rsid w:val="0075201B"/>
    <w:rsid w:val="00753A24"/>
    <w:rsid w:val="0075430D"/>
    <w:rsid w:val="0075779F"/>
    <w:rsid w:val="0076354B"/>
    <w:rsid w:val="007658F3"/>
    <w:rsid w:val="00766EA2"/>
    <w:rsid w:val="00767034"/>
    <w:rsid w:val="00772188"/>
    <w:rsid w:val="0077222A"/>
    <w:rsid w:val="00773909"/>
    <w:rsid w:val="0077433B"/>
    <w:rsid w:val="00774A77"/>
    <w:rsid w:val="00774E1E"/>
    <w:rsid w:val="007803ED"/>
    <w:rsid w:val="007813D0"/>
    <w:rsid w:val="007845AC"/>
    <w:rsid w:val="0078594A"/>
    <w:rsid w:val="00785993"/>
    <w:rsid w:val="00785A0D"/>
    <w:rsid w:val="007863BF"/>
    <w:rsid w:val="007866E2"/>
    <w:rsid w:val="00786BA3"/>
    <w:rsid w:val="0079202F"/>
    <w:rsid w:val="0079203E"/>
    <w:rsid w:val="007934C3"/>
    <w:rsid w:val="00794903"/>
    <w:rsid w:val="00795486"/>
    <w:rsid w:val="00795AF2"/>
    <w:rsid w:val="00795E4F"/>
    <w:rsid w:val="007A0287"/>
    <w:rsid w:val="007A09FC"/>
    <w:rsid w:val="007A2AAD"/>
    <w:rsid w:val="007A2C9D"/>
    <w:rsid w:val="007A4432"/>
    <w:rsid w:val="007A59E9"/>
    <w:rsid w:val="007A784E"/>
    <w:rsid w:val="007A7E31"/>
    <w:rsid w:val="007B02A0"/>
    <w:rsid w:val="007B247E"/>
    <w:rsid w:val="007B278C"/>
    <w:rsid w:val="007B2DAD"/>
    <w:rsid w:val="007B3774"/>
    <w:rsid w:val="007B4939"/>
    <w:rsid w:val="007B499C"/>
    <w:rsid w:val="007B4D4B"/>
    <w:rsid w:val="007B58C6"/>
    <w:rsid w:val="007B7467"/>
    <w:rsid w:val="007B76D8"/>
    <w:rsid w:val="007C0646"/>
    <w:rsid w:val="007C1E5E"/>
    <w:rsid w:val="007C1E9D"/>
    <w:rsid w:val="007C3AE3"/>
    <w:rsid w:val="007C6C51"/>
    <w:rsid w:val="007D0000"/>
    <w:rsid w:val="007D27B1"/>
    <w:rsid w:val="007D2A02"/>
    <w:rsid w:val="007D5EA2"/>
    <w:rsid w:val="007D6144"/>
    <w:rsid w:val="007D62A4"/>
    <w:rsid w:val="007D6CE5"/>
    <w:rsid w:val="007E074F"/>
    <w:rsid w:val="007E0917"/>
    <w:rsid w:val="007E1736"/>
    <w:rsid w:val="007E25DD"/>
    <w:rsid w:val="007E2887"/>
    <w:rsid w:val="007E3318"/>
    <w:rsid w:val="007E6EA1"/>
    <w:rsid w:val="007F0F63"/>
    <w:rsid w:val="007F2B1E"/>
    <w:rsid w:val="007F4590"/>
    <w:rsid w:val="007F62B4"/>
    <w:rsid w:val="007F7DF9"/>
    <w:rsid w:val="00800FD6"/>
    <w:rsid w:val="00801517"/>
    <w:rsid w:val="00801E05"/>
    <w:rsid w:val="00803557"/>
    <w:rsid w:val="00804966"/>
    <w:rsid w:val="0080510A"/>
    <w:rsid w:val="0080596A"/>
    <w:rsid w:val="00805CBF"/>
    <w:rsid w:val="0080696E"/>
    <w:rsid w:val="00810AC4"/>
    <w:rsid w:val="0081218E"/>
    <w:rsid w:val="0081228B"/>
    <w:rsid w:val="0081325C"/>
    <w:rsid w:val="00813492"/>
    <w:rsid w:val="00814DE2"/>
    <w:rsid w:val="008177EE"/>
    <w:rsid w:val="00817895"/>
    <w:rsid w:val="00817AE8"/>
    <w:rsid w:val="00817DE8"/>
    <w:rsid w:val="008229F5"/>
    <w:rsid w:val="008231DF"/>
    <w:rsid w:val="008259DE"/>
    <w:rsid w:val="00825FCD"/>
    <w:rsid w:val="0082699A"/>
    <w:rsid w:val="00827F2A"/>
    <w:rsid w:val="00832633"/>
    <w:rsid w:val="00832767"/>
    <w:rsid w:val="0083342C"/>
    <w:rsid w:val="00833869"/>
    <w:rsid w:val="00833C10"/>
    <w:rsid w:val="00833CEB"/>
    <w:rsid w:val="00834C5A"/>
    <w:rsid w:val="0083662B"/>
    <w:rsid w:val="008372D2"/>
    <w:rsid w:val="008377BC"/>
    <w:rsid w:val="00840FE2"/>
    <w:rsid w:val="0084270A"/>
    <w:rsid w:val="00844C17"/>
    <w:rsid w:val="0084509A"/>
    <w:rsid w:val="00846017"/>
    <w:rsid w:val="00847726"/>
    <w:rsid w:val="00851033"/>
    <w:rsid w:val="00851A55"/>
    <w:rsid w:val="00851CB1"/>
    <w:rsid w:val="00852511"/>
    <w:rsid w:val="0085252F"/>
    <w:rsid w:val="00855FD0"/>
    <w:rsid w:val="00856791"/>
    <w:rsid w:val="00857408"/>
    <w:rsid w:val="008578A9"/>
    <w:rsid w:val="0086072A"/>
    <w:rsid w:val="0086088F"/>
    <w:rsid w:val="008614F1"/>
    <w:rsid w:val="008639B3"/>
    <w:rsid w:val="00863C1A"/>
    <w:rsid w:val="0086470F"/>
    <w:rsid w:val="00865882"/>
    <w:rsid w:val="00866CDD"/>
    <w:rsid w:val="00866E73"/>
    <w:rsid w:val="008712FE"/>
    <w:rsid w:val="0087142D"/>
    <w:rsid w:val="00872928"/>
    <w:rsid w:val="00872DA6"/>
    <w:rsid w:val="00873416"/>
    <w:rsid w:val="00873956"/>
    <w:rsid w:val="0087538C"/>
    <w:rsid w:val="00875CB0"/>
    <w:rsid w:val="008770CC"/>
    <w:rsid w:val="00877800"/>
    <w:rsid w:val="00877C32"/>
    <w:rsid w:val="00880E72"/>
    <w:rsid w:val="00881236"/>
    <w:rsid w:val="0088176E"/>
    <w:rsid w:val="008825EE"/>
    <w:rsid w:val="00882DE4"/>
    <w:rsid w:val="0088313E"/>
    <w:rsid w:val="0088596E"/>
    <w:rsid w:val="00885D26"/>
    <w:rsid w:val="00886C54"/>
    <w:rsid w:val="008870ED"/>
    <w:rsid w:val="008877FC"/>
    <w:rsid w:val="0089796A"/>
    <w:rsid w:val="0089799B"/>
    <w:rsid w:val="008A2375"/>
    <w:rsid w:val="008A54B6"/>
    <w:rsid w:val="008A6BF3"/>
    <w:rsid w:val="008A7101"/>
    <w:rsid w:val="008B1B65"/>
    <w:rsid w:val="008B3557"/>
    <w:rsid w:val="008B39E0"/>
    <w:rsid w:val="008B4302"/>
    <w:rsid w:val="008B605A"/>
    <w:rsid w:val="008C093B"/>
    <w:rsid w:val="008C0E76"/>
    <w:rsid w:val="008C1037"/>
    <w:rsid w:val="008C2665"/>
    <w:rsid w:val="008C2A5C"/>
    <w:rsid w:val="008C6041"/>
    <w:rsid w:val="008C74E3"/>
    <w:rsid w:val="008C77DC"/>
    <w:rsid w:val="008D0936"/>
    <w:rsid w:val="008D0A2A"/>
    <w:rsid w:val="008D403B"/>
    <w:rsid w:val="008D4707"/>
    <w:rsid w:val="008D76C5"/>
    <w:rsid w:val="008E0A04"/>
    <w:rsid w:val="008E0AFA"/>
    <w:rsid w:val="008E4291"/>
    <w:rsid w:val="008E4F56"/>
    <w:rsid w:val="008E6747"/>
    <w:rsid w:val="008E75D3"/>
    <w:rsid w:val="008F02E9"/>
    <w:rsid w:val="008F0CE4"/>
    <w:rsid w:val="008F125E"/>
    <w:rsid w:val="008F1CC5"/>
    <w:rsid w:val="008F2B54"/>
    <w:rsid w:val="008F2CC5"/>
    <w:rsid w:val="008F4022"/>
    <w:rsid w:val="008F4C1E"/>
    <w:rsid w:val="008F4D2F"/>
    <w:rsid w:val="008F510A"/>
    <w:rsid w:val="00900235"/>
    <w:rsid w:val="00900D3C"/>
    <w:rsid w:val="00902486"/>
    <w:rsid w:val="00906292"/>
    <w:rsid w:val="00914B5B"/>
    <w:rsid w:val="00915A2F"/>
    <w:rsid w:val="00915ECE"/>
    <w:rsid w:val="00916E3C"/>
    <w:rsid w:val="00917162"/>
    <w:rsid w:val="009172B9"/>
    <w:rsid w:val="009178AA"/>
    <w:rsid w:val="00923001"/>
    <w:rsid w:val="009235A0"/>
    <w:rsid w:val="009238BF"/>
    <w:rsid w:val="009251CC"/>
    <w:rsid w:val="0092714E"/>
    <w:rsid w:val="00927661"/>
    <w:rsid w:val="00931E24"/>
    <w:rsid w:val="009324F0"/>
    <w:rsid w:val="009343E4"/>
    <w:rsid w:val="0093478F"/>
    <w:rsid w:val="00936826"/>
    <w:rsid w:val="00940B3D"/>
    <w:rsid w:val="00942002"/>
    <w:rsid w:val="00942359"/>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BC"/>
    <w:rsid w:val="00963A06"/>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E69"/>
    <w:rsid w:val="0098334C"/>
    <w:rsid w:val="00984643"/>
    <w:rsid w:val="0098576C"/>
    <w:rsid w:val="0098579A"/>
    <w:rsid w:val="00991475"/>
    <w:rsid w:val="009918DD"/>
    <w:rsid w:val="0099195A"/>
    <w:rsid w:val="00991BD2"/>
    <w:rsid w:val="00992407"/>
    <w:rsid w:val="00992A11"/>
    <w:rsid w:val="00994681"/>
    <w:rsid w:val="0099486A"/>
    <w:rsid w:val="009A0E26"/>
    <w:rsid w:val="009A16EC"/>
    <w:rsid w:val="009A22C2"/>
    <w:rsid w:val="009A743E"/>
    <w:rsid w:val="009A7CF6"/>
    <w:rsid w:val="009B05FB"/>
    <w:rsid w:val="009B173A"/>
    <w:rsid w:val="009B1B55"/>
    <w:rsid w:val="009B29B7"/>
    <w:rsid w:val="009B3199"/>
    <w:rsid w:val="009B3B37"/>
    <w:rsid w:val="009B63F4"/>
    <w:rsid w:val="009B7D1F"/>
    <w:rsid w:val="009C088E"/>
    <w:rsid w:val="009C17DC"/>
    <w:rsid w:val="009C37AB"/>
    <w:rsid w:val="009C4C7A"/>
    <w:rsid w:val="009C4D35"/>
    <w:rsid w:val="009C5E51"/>
    <w:rsid w:val="009C7B68"/>
    <w:rsid w:val="009D1465"/>
    <w:rsid w:val="009D1522"/>
    <w:rsid w:val="009D3F41"/>
    <w:rsid w:val="009D51F0"/>
    <w:rsid w:val="009D7252"/>
    <w:rsid w:val="009E1FF6"/>
    <w:rsid w:val="009E3CAF"/>
    <w:rsid w:val="009E3F48"/>
    <w:rsid w:val="009E44EF"/>
    <w:rsid w:val="009E53A5"/>
    <w:rsid w:val="009E5EB4"/>
    <w:rsid w:val="009F0C93"/>
    <w:rsid w:val="009F2D47"/>
    <w:rsid w:val="009F563C"/>
    <w:rsid w:val="009F610E"/>
    <w:rsid w:val="00A00DA9"/>
    <w:rsid w:val="00A00E49"/>
    <w:rsid w:val="00A00F7E"/>
    <w:rsid w:val="00A044D6"/>
    <w:rsid w:val="00A04ADB"/>
    <w:rsid w:val="00A04F89"/>
    <w:rsid w:val="00A05F11"/>
    <w:rsid w:val="00A0734F"/>
    <w:rsid w:val="00A102BD"/>
    <w:rsid w:val="00A1176D"/>
    <w:rsid w:val="00A11E0F"/>
    <w:rsid w:val="00A12378"/>
    <w:rsid w:val="00A12BF7"/>
    <w:rsid w:val="00A141E9"/>
    <w:rsid w:val="00A15D78"/>
    <w:rsid w:val="00A15EBE"/>
    <w:rsid w:val="00A17F5B"/>
    <w:rsid w:val="00A216E5"/>
    <w:rsid w:val="00A24EFA"/>
    <w:rsid w:val="00A26744"/>
    <w:rsid w:val="00A26CB6"/>
    <w:rsid w:val="00A30A00"/>
    <w:rsid w:val="00A32F82"/>
    <w:rsid w:val="00A32F8B"/>
    <w:rsid w:val="00A34F9F"/>
    <w:rsid w:val="00A36481"/>
    <w:rsid w:val="00A36675"/>
    <w:rsid w:val="00A3756F"/>
    <w:rsid w:val="00A40DD8"/>
    <w:rsid w:val="00A42D6F"/>
    <w:rsid w:val="00A43870"/>
    <w:rsid w:val="00A4474B"/>
    <w:rsid w:val="00A45A62"/>
    <w:rsid w:val="00A462DC"/>
    <w:rsid w:val="00A4657C"/>
    <w:rsid w:val="00A4785A"/>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7C9"/>
    <w:rsid w:val="00A66DB1"/>
    <w:rsid w:val="00A67A92"/>
    <w:rsid w:val="00A70DC6"/>
    <w:rsid w:val="00A74FDC"/>
    <w:rsid w:val="00A77192"/>
    <w:rsid w:val="00A77425"/>
    <w:rsid w:val="00A8089F"/>
    <w:rsid w:val="00A82FCC"/>
    <w:rsid w:val="00A839A0"/>
    <w:rsid w:val="00A842D5"/>
    <w:rsid w:val="00A87870"/>
    <w:rsid w:val="00A903F3"/>
    <w:rsid w:val="00A90F18"/>
    <w:rsid w:val="00A90FFB"/>
    <w:rsid w:val="00A91369"/>
    <w:rsid w:val="00A9149D"/>
    <w:rsid w:val="00A91A70"/>
    <w:rsid w:val="00A9302F"/>
    <w:rsid w:val="00A957F6"/>
    <w:rsid w:val="00A959CF"/>
    <w:rsid w:val="00A97316"/>
    <w:rsid w:val="00AA010B"/>
    <w:rsid w:val="00AA0D54"/>
    <w:rsid w:val="00AA1B85"/>
    <w:rsid w:val="00AA25BB"/>
    <w:rsid w:val="00AA3290"/>
    <w:rsid w:val="00AA46F0"/>
    <w:rsid w:val="00AA6481"/>
    <w:rsid w:val="00AA7270"/>
    <w:rsid w:val="00AB0C08"/>
    <w:rsid w:val="00AB1CB6"/>
    <w:rsid w:val="00AB1D9A"/>
    <w:rsid w:val="00AB4A1F"/>
    <w:rsid w:val="00AB5C61"/>
    <w:rsid w:val="00AC3540"/>
    <w:rsid w:val="00AC3D15"/>
    <w:rsid w:val="00AC4D14"/>
    <w:rsid w:val="00AC5055"/>
    <w:rsid w:val="00AD0C22"/>
    <w:rsid w:val="00AD1AD7"/>
    <w:rsid w:val="00AD1AE2"/>
    <w:rsid w:val="00AD3290"/>
    <w:rsid w:val="00AD38B4"/>
    <w:rsid w:val="00AD442C"/>
    <w:rsid w:val="00AD44FE"/>
    <w:rsid w:val="00AD5A37"/>
    <w:rsid w:val="00AD759B"/>
    <w:rsid w:val="00AE0165"/>
    <w:rsid w:val="00AE05A4"/>
    <w:rsid w:val="00AE177E"/>
    <w:rsid w:val="00AE25FC"/>
    <w:rsid w:val="00AE400C"/>
    <w:rsid w:val="00AE43A0"/>
    <w:rsid w:val="00AE49F1"/>
    <w:rsid w:val="00AE4A1C"/>
    <w:rsid w:val="00AE4B7A"/>
    <w:rsid w:val="00AE4E4B"/>
    <w:rsid w:val="00AE5532"/>
    <w:rsid w:val="00AE74D8"/>
    <w:rsid w:val="00AF0B6F"/>
    <w:rsid w:val="00AF0FA7"/>
    <w:rsid w:val="00AF1D69"/>
    <w:rsid w:val="00AF30D0"/>
    <w:rsid w:val="00AF36D4"/>
    <w:rsid w:val="00AF41FA"/>
    <w:rsid w:val="00AF71EB"/>
    <w:rsid w:val="00B00988"/>
    <w:rsid w:val="00B01405"/>
    <w:rsid w:val="00B052E8"/>
    <w:rsid w:val="00B05CCA"/>
    <w:rsid w:val="00B100C9"/>
    <w:rsid w:val="00B11099"/>
    <w:rsid w:val="00B12D8D"/>
    <w:rsid w:val="00B1410E"/>
    <w:rsid w:val="00B14271"/>
    <w:rsid w:val="00B16270"/>
    <w:rsid w:val="00B20837"/>
    <w:rsid w:val="00B22578"/>
    <w:rsid w:val="00B23C16"/>
    <w:rsid w:val="00B23C52"/>
    <w:rsid w:val="00B259E1"/>
    <w:rsid w:val="00B2685D"/>
    <w:rsid w:val="00B26D1E"/>
    <w:rsid w:val="00B30351"/>
    <w:rsid w:val="00B30D28"/>
    <w:rsid w:val="00B33837"/>
    <w:rsid w:val="00B33C2A"/>
    <w:rsid w:val="00B34685"/>
    <w:rsid w:val="00B34A14"/>
    <w:rsid w:val="00B34A1C"/>
    <w:rsid w:val="00B35967"/>
    <w:rsid w:val="00B363D9"/>
    <w:rsid w:val="00B422EC"/>
    <w:rsid w:val="00B42E73"/>
    <w:rsid w:val="00B44875"/>
    <w:rsid w:val="00B44C07"/>
    <w:rsid w:val="00B46320"/>
    <w:rsid w:val="00B4657A"/>
    <w:rsid w:val="00B47F0A"/>
    <w:rsid w:val="00B50B6B"/>
    <w:rsid w:val="00B54329"/>
    <w:rsid w:val="00B54885"/>
    <w:rsid w:val="00B54BFF"/>
    <w:rsid w:val="00B554C9"/>
    <w:rsid w:val="00B56AD9"/>
    <w:rsid w:val="00B57158"/>
    <w:rsid w:val="00B5778D"/>
    <w:rsid w:val="00B614C0"/>
    <w:rsid w:val="00B634AB"/>
    <w:rsid w:val="00B63624"/>
    <w:rsid w:val="00B6743E"/>
    <w:rsid w:val="00B7037B"/>
    <w:rsid w:val="00B7136E"/>
    <w:rsid w:val="00B726D4"/>
    <w:rsid w:val="00B72969"/>
    <w:rsid w:val="00B758FD"/>
    <w:rsid w:val="00B76807"/>
    <w:rsid w:val="00B77D24"/>
    <w:rsid w:val="00B806A5"/>
    <w:rsid w:val="00B81994"/>
    <w:rsid w:val="00B8214F"/>
    <w:rsid w:val="00B82B43"/>
    <w:rsid w:val="00B82B48"/>
    <w:rsid w:val="00B85133"/>
    <w:rsid w:val="00B8643A"/>
    <w:rsid w:val="00B86A4F"/>
    <w:rsid w:val="00B93035"/>
    <w:rsid w:val="00B940EB"/>
    <w:rsid w:val="00B9431C"/>
    <w:rsid w:val="00B95798"/>
    <w:rsid w:val="00B958E8"/>
    <w:rsid w:val="00B97E4A"/>
    <w:rsid w:val="00BA09B2"/>
    <w:rsid w:val="00BA0F35"/>
    <w:rsid w:val="00BA0F79"/>
    <w:rsid w:val="00BA465D"/>
    <w:rsid w:val="00BA50E9"/>
    <w:rsid w:val="00BA52C0"/>
    <w:rsid w:val="00BA5B46"/>
    <w:rsid w:val="00BA63D4"/>
    <w:rsid w:val="00BB2D73"/>
    <w:rsid w:val="00BB400D"/>
    <w:rsid w:val="00BB45BA"/>
    <w:rsid w:val="00BB48B2"/>
    <w:rsid w:val="00BB4A3A"/>
    <w:rsid w:val="00BB5D0B"/>
    <w:rsid w:val="00BB629C"/>
    <w:rsid w:val="00BC01A4"/>
    <w:rsid w:val="00BC0995"/>
    <w:rsid w:val="00BC1761"/>
    <w:rsid w:val="00BC19ED"/>
    <w:rsid w:val="00BC513A"/>
    <w:rsid w:val="00BC6C56"/>
    <w:rsid w:val="00BC6DE2"/>
    <w:rsid w:val="00BC6E62"/>
    <w:rsid w:val="00BD013A"/>
    <w:rsid w:val="00BD1D31"/>
    <w:rsid w:val="00BD2510"/>
    <w:rsid w:val="00BD3A53"/>
    <w:rsid w:val="00BD4384"/>
    <w:rsid w:val="00BD5A19"/>
    <w:rsid w:val="00BD656A"/>
    <w:rsid w:val="00BD6D1B"/>
    <w:rsid w:val="00BE1B89"/>
    <w:rsid w:val="00BE2403"/>
    <w:rsid w:val="00BE2D0A"/>
    <w:rsid w:val="00BE47D4"/>
    <w:rsid w:val="00BE4FAB"/>
    <w:rsid w:val="00BE5B84"/>
    <w:rsid w:val="00BE793A"/>
    <w:rsid w:val="00BE7A0B"/>
    <w:rsid w:val="00BF114D"/>
    <w:rsid w:val="00BF2B82"/>
    <w:rsid w:val="00BF2CEB"/>
    <w:rsid w:val="00BF432A"/>
    <w:rsid w:val="00BF6E82"/>
    <w:rsid w:val="00C060C7"/>
    <w:rsid w:val="00C06DCC"/>
    <w:rsid w:val="00C07F92"/>
    <w:rsid w:val="00C10EA4"/>
    <w:rsid w:val="00C11D25"/>
    <w:rsid w:val="00C13217"/>
    <w:rsid w:val="00C15BEC"/>
    <w:rsid w:val="00C15DB5"/>
    <w:rsid w:val="00C208E2"/>
    <w:rsid w:val="00C21897"/>
    <w:rsid w:val="00C2288E"/>
    <w:rsid w:val="00C22B54"/>
    <w:rsid w:val="00C24279"/>
    <w:rsid w:val="00C24C17"/>
    <w:rsid w:val="00C31595"/>
    <w:rsid w:val="00C31B25"/>
    <w:rsid w:val="00C3309D"/>
    <w:rsid w:val="00C3411D"/>
    <w:rsid w:val="00C34357"/>
    <w:rsid w:val="00C34829"/>
    <w:rsid w:val="00C35585"/>
    <w:rsid w:val="00C363B8"/>
    <w:rsid w:val="00C3758F"/>
    <w:rsid w:val="00C40B88"/>
    <w:rsid w:val="00C44489"/>
    <w:rsid w:val="00C44FC2"/>
    <w:rsid w:val="00C47D87"/>
    <w:rsid w:val="00C47FCD"/>
    <w:rsid w:val="00C50FA6"/>
    <w:rsid w:val="00C5376E"/>
    <w:rsid w:val="00C554C1"/>
    <w:rsid w:val="00C55AEE"/>
    <w:rsid w:val="00C5701B"/>
    <w:rsid w:val="00C6069A"/>
    <w:rsid w:val="00C61BDC"/>
    <w:rsid w:val="00C61F7F"/>
    <w:rsid w:val="00C64D40"/>
    <w:rsid w:val="00C65957"/>
    <w:rsid w:val="00C66218"/>
    <w:rsid w:val="00C677C9"/>
    <w:rsid w:val="00C70DBC"/>
    <w:rsid w:val="00C71E80"/>
    <w:rsid w:val="00C7750A"/>
    <w:rsid w:val="00C808A6"/>
    <w:rsid w:val="00C84AC6"/>
    <w:rsid w:val="00C855DB"/>
    <w:rsid w:val="00C855F3"/>
    <w:rsid w:val="00C86270"/>
    <w:rsid w:val="00C8767C"/>
    <w:rsid w:val="00C87790"/>
    <w:rsid w:val="00C90C20"/>
    <w:rsid w:val="00C91653"/>
    <w:rsid w:val="00C948CF"/>
    <w:rsid w:val="00C94F88"/>
    <w:rsid w:val="00C95798"/>
    <w:rsid w:val="00C95A74"/>
    <w:rsid w:val="00C97091"/>
    <w:rsid w:val="00C97260"/>
    <w:rsid w:val="00C97391"/>
    <w:rsid w:val="00CA11E8"/>
    <w:rsid w:val="00CA14A5"/>
    <w:rsid w:val="00CA1AB8"/>
    <w:rsid w:val="00CA2001"/>
    <w:rsid w:val="00CA2B10"/>
    <w:rsid w:val="00CA3F11"/>
    <w:rsid w:val="00CA5256"/>
    <w:rsid w:val="00CA5564"/>
    <w:rsid w:val="00CB078E"/>
    <w:rsid w:val="00CB3782"/>
    <w:rsid w:val="00CB4D20"/>
    <w:rsid w:val="00CB5B6C"/>
    <w:rsid w:val="00CB74E3"/>
    <w:rsid w:val="00CC052E"/>
    <w:rsid w:val="00CC06E5"/>
    <w:rsid w:val="00CC0B14"/>
    <w:rsid w:val="00CC5B9C"/>
    <w:rsid w:val="00CD02DF"/>
    <w:rsid w:val="00CD10A5"/>
    <w:rsid w:val="00CD16BE"/>
    <w:rsid w:val="00CD179F"/>
    <w:rsid w:val="00CD1F32"/>
    <w:rsid w:val="00CD2268"/>
    <w:rsid w:val="00CD4616"/>
    <w:rsid w:val="00CD56AF"/>
    <w:rsid w:val="00CD5FFA"/>
    <w:rsid w:val="00CD608B"/>
    <w:rsid w:val="00CD61BB"/>
    <w:rsid w:val="00CE33D5"/>
    <w:rsid w:val="00CE4712"/>
    <w:rsid w:val="00CE6073"/>
    <w:rsid w:val="00CE761C"/>
    <w:rsid w:val="00CF4EED"/>
    <w:rsid w:val="00CF56F5"/>
    <w:rsid w:val="00CF5D37"/>
    <w:rsid w:val="00CF6353"/>
    <w:rsid w:val="00CF6F33"/>
    <w:rsid w:val="00D02248"/>
    <w:rsid w:val="00D04429"/>
    <w:rsid w:val="00D04B47"/>
    <w:rsid w:val="00D04E37"/>
    <w:rsid w:val="00D063B8"/>
    <w:rsid w:val="00D06825"/>
    <w:rsid w:val="00D07467"/>
    <w:rsid w:val="00D076E6"/>
    <w:rsid w:val="00D07C44"/>
    <w:rsid w:val="00D17185"/>
    <w:rsid w:val="00D17E3B"/>
    <w:rsid w:val="00D203EB"/>
    <w:rsid w:val="00D2306F"/>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2D5"/>
    <w:rsid w:val="00D45043"/>
    <w:rsid w:val="00D46D7D"/>
    <w:rsid w:val="00D47B60"/>
    <w:rsid w:val="00D51576"/>
    <w:rsid w:val="00D519AF"/>
    <w:rsid w:val="00D51A5C"/>
    <w:rsid w:val="00D532A9"/>
    <w:rsid w:val="00D5437A"/>
    <w:rsid w:val="00D5611E"/>
    <w:rsid w:val="00D5653B"/>
    <w:rsid w:val="00D56C30"/>
    <w:rsid w:val="00D5726D"/>
    <w:rsid w:val="00D572AC"/>
    <w:rsid w:val="00D6071F"/>
    <w:rsid w:val="00D61D6E"/>
    <w:rsid w:val="00D62EF1"/>
    <w:rsid w:val="00D6309D"/>
    <w:rsid w:val="00D6386D"/>
    <w:rsid w:val="00D644CA"/>
    <w:rsid w:val="00D64EA0"/>
    <w:rsid w:val="00D66FC2"/>
    <w:rsid w:val="00D70079"/>
    <w:rsid w:val="00D7044E"/>
    <w:rsid w:val="00D704A8"/>
    <w:rsid w:val="00D73AAF"/>
    <w:rsid w:val="00D76C7E"/>
    <w:rsid w:val="00D76D3A"/>
    <w:rsid w:val="00D771DE"/>
    <w:rsid w:val="00D7776D"/>
    <w:rsid w:val="00D81AEF"/>
    <w:rsid w:val="00D82A42"/>
    <w:rsid w:val="00D834F1"/>
    <w:rsid w:val="00D83609"/>
    <w:rsid w:val="00D83AA6"/>
    <w:rsid w:val="00D85C0D"/>
    <w:rsid w:val="00D866CB"/>
    <w:rsid w:val="00D86909"/>
    <w:rsid w:val="00D87A9A"/>
    <w:rsid w:val="00D909F8"/>
    <w:rsid w:val="00D9152C"/>
    <w:rsid w:val="00D92179"/>
    <w:rsid w:val="00D922C6"/>
    <w:rsid w:val="00D9293F"/>
    <w:rsid w:val="00D92DE7"/>
    <w:rsid w:val="00D93598"/>
    <w:rsid w:val="00D93FDD"/>
    <w:rsid w:val="00D942F8"/>
    <w:rsid w:val="00D97A5B"/>
    <w:rsid w:val="00DA1E18"/>
    <w:rsid w:val="00DA2009"/>
    <w:rsid w:val="00DA585A"/>
    <w:rsid w:val="00DA7695"/>
    <w:rsid w:val="00DA7741"/>
    <w:rsid w:val="00DA7769"/>
    <w:rsid w:val="00DB05B1"/>
    <w:rsid w:val="00DB0740"/>
    <w:rsid w:val="00DB2823"/>
    <w:rsid w:val="00DB2D74"/>
    <w:rsid w:val="00DB3786"/>
    <w:rsid w:val="00DB44A1"/>
    <w:rsid w:val="00DB59E8"/>
    <w:rsid w:val="00DB5A79"/>
    <w:rsid w:val="00DC2465"/>
    <w:rsid w:val="00DC2E38"/>
    <w:rsid w:val="00DC4078"/>
    <w:rsid w:val="00DC5E2C"/>
    <w:rsid w:val="00DC670E"/>
    <w:rsid w:val="00DC7D48"/>
    <w:rsid w:val="00DD0253"/>
    <w:rsid w:val="00DD145A"/>
    <w:rsid w:val="00DD512E"/>
    <w:rsid w:val="00DD5EC8"/>
    <w:rsid w:val="00DD7BEC"/>
    <w:rsid w:val="00DE083E"/>
    <w:rsid w:val="00DE0C22"/>
    <w:rsid w:val="00DE1177"/>
    <w:rsid w:val="00DE2CEA"/>
    <w:rsid w:val="00DE3101"/>
    <w:rsid w:val="00DE567C"/>
    <w:rsid w:val="00DE6154"/>
    <w:rsid w:val="00DE634D"/>
    <w:rsid w:val="00DE6A3C"/>
    <w:rsid w:val="00DE74F4"/>
    <w:rsid w:val="00DE7C8B"/>
    <w:rsid w:val="00DE7F97"/>
    <w:rsid w:val="00DF0AAF"/>
    <w:rsid w:val="00DF1010"/>
    <w:rsid w:val="00DF2244"/>
    <w:rsid w:val="00DF334D"/>
    <w:rsid w:val="00DF3850"/>
    <w:rsid w:val="00DF53D9"/>
    <w:rsid w:val="00DF5AEA"/>
    <w:rsid w:val="00DF5B5F"/>
    <w:rsid w:val="00DF5D49"/>
    <w:rsid w:val="00DF63F6"/>
    <w:rsid w:val="00DF7893"/>
    <w:rsid w:val="00DF7992"/>
    <w:rsid w:val="00DF7BD0"/>
    <w:rsid w:val="00E00C8E"/>
    <w:rsid w:val="00E011E0"/>
    <w:rsid w:val="00E0219D"/>
    <w:rsid w:val="00E0276A"/>
    <w:rsid w:val="00E0374B"/>
    <w:rsid w:val="00E05BB1"/>
    <w:rsid w:val="00E0632F"/>
    <w:rsid w:val="00E06C36"/>
    <w:rsid w:val="00E071A9"/>
    <w:rsid w:val="00E07D26"/>
    <w:rsid w:val="00E10B28"/>
    <w:rsid w:val="00E117FD"/>
    <w:rsid w:val="00E12CA7"/>
    <w:rsid w:val="00E12E0A"/>
    <w:rsid w:val="00E13747"/>
    <w:rsid w:val="00E14758"/>
    <w:rsid w:val="00E20A28"/>
    <w:rsid w:val="00E21088"/>
    <w:rsid w:val="00E23C5E"/>
    <w:rsid w:val="00E23E29"/>
    <w:rsid w:val="00E23EAE"/>
    <w:rsid w:val="00E24632"/>
    <w:rsid w:val="00E25155"/>
    <w:rsid w:val="00E25AEA"/>
    <w:rsid w:val="00E27C2C"/>
    <w:rsid w:val="00E30D26"/>
    <w:rsid w:val="00E30DEF"/>
    <w:rsid w:val="00E30ED2"/>
    <w:rsid w:val="00E31276"/>
    <w:rsid w:val="00E3155D"/>
    <w:rsid w:val="00E32102"/>
    <w:rsid w:val="00E34666"/>
    <w:rsid w:val="00E3549D"/>
    <w:rsid w:val="00E36A66"/>
    <w:rsid w:val="00E37F70"/>
    <w:rsid w:val="00E40F7F"/>
    <w:rsid w:val="00E41377"/>
    <w:rsid w:val="00E41985"/>
    <w:rsid w:val="00E426CD"/>
    <w:rsid w:val="00E42B89"/>
    <w:rsid w:val="00E446C1"/>
    <w:rsid w:val="00E46BCD"/>
    <w:rsid w:val="00E51CCC"/>
    <w:rsid w:val="00E52079"/>
    <w:rsid w:val="00E545D7"/>
    <w:rsid w:val="00E547FE"/>
    <w:rsid w:val="00E54960"/>
    <w:rsid w:val="00E55927"/>
    <w:rsid w:val="00E5669C"/>
    <w:rsid w:val="00E60ECA"/>
    <w:rsid w:val="00E613AB"/>
    <w:rsid w:val="00E637B6"/>
    <w:rsid w:val="00E66011"/>
    <w:rsid w:val="00E663B6"/>
    <w:rsid w:val="00E66BBE"/>
    <w:rsid w:val="00E6780D"/>
    <w:rsid w:val="00E71DFE"/>
    <w:rsid w:val="00E72379"/>
    <w:rsid w:val="00E73083"/>
    <w:rsid w:val="00E758B9"/>
    <w:rsid w:val="00E76025"/>
    <w:rsid w:val="00E76B45"/>
    <w:rsid w:val="00E819CA"/>
    <w:rsid w:val="00E82FE5"/>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400B"/>
    <w:rsid w:val="00EA539B"/>
    <w:rsid w:val="00EA5A89"/>
    <w:rsid w:val="00EA5BDB"/>
    <w:rsid w:val="00EA63FA"/>
    <w:rsid w:val="00EB0A73"/>
    <w:rsid w:val="00EB0B55"/>
    <w:rsid w:val="00EB3A98"/>
    <w:rsid w:val="00EB404B"/>
    <w:rsid w:val="00EB46D9"/>
    <w:rsid w:val="00EB6EF6"/>
    <w:rsid w:val="00EC0199"/>
    <w:rsid w:val="00EC03A3"/>
    <w:rsid w:val="00EC0E64"/>
    <w:rsid w:val="00EC142D"/>
    <w:rsid w:val="00EC1E16"/>
    <w:rsid w:val="00EC2DD1"/>
    <w:rsid w:val="00EC3F80"/>
    <w:rsid w:val="00EC4BA5"/>
    <w:rsid w:val="00EC4E15"/>
    <w:rsid w:val="00EC52DA"/>
    <w:rsid w:val="00EC6F28"/>
    <w:rsid w:val="00ED0024"/>
    <w:rsid w:val="00ED0EA0"/>
    <w:rsid w:val="00ED0F85"/>
    <w:rsid w:val="00ED12B4"/>
    <w:rsid w:val="00ED2B5C"/>
    <w:rsid w:val="00ED2EB9"/>
    <w:rsid w:val="00ED3269"/>
    <w:rsid w:val="00ED3A18"/>
    <w:rsid w:val="00ED3AB7"/>
    <w:rsid w:val="00ED3C57"/>
    <w:rsid w:val="00EE1A8C"/>
    <w:rsid w:val="00EE3FED"/>
    <w:rsid w:val="00EE4643"/>
    <w:rsid w:val="00EE529F"/>
    <w:rsid w:val="00EE65B6"/>
    <w:rsid w:val="00EE7C86"/>
    <w:rsid w:val="00EF0D3F"/>
    <w:rsid w:val="00EF1330"/>
    <w:rsid w:val="00EF15FF"/>
    <w:rsid w:val="00EF31D8"/>
    <w:rsid w:val="00EF55E6"/>
    <w:rsid w:val="00EF5707"/>
    <w:rsid w:val="00EF5C37"/>
    <w:rsid w:val="00EF6F1F"/>
    <w:rsid w:val="00EF70EC"/>
    <w:rsid w:val="00EF7111"/>
    <w:rsid w:val="00EF7D1A"/>
    <w:rsid w:val="00F02759"/>
    <w:rsid w:val="00F03B49"/>
    <w:rsid w:val="00F0448F"/>
    <w:rsid w:val="00F0716C"/>
    <w:rsid w:val="00F100F5"/>
    <w:rsid w:val="00F105AE"/>
    <w:rsid w:val="00F108A8"/>
    <w:rsid w:val="00F13319"/>
    <w:rsid w:val="00F14353"/>
    <w:rsid w:val="00F145E4"/>
    <w:rsid w:val="00F1628B"/>
    <w:rsid w:val="00F2154E"/>
    <w:rsid w:val="00F22E81"/>
    <w:rsid w:val="00F263E5"/>
    <w:rsid w:val="00F270E9"/>
    <w:rsid w:val="00F27440"/>
    <w:rsid w:val="00F275C0"/>
    <w:rsid w:val="00F317B5"/>
    <w:rsid w:val="00F32992"/>
    <w:rsid w:val="00F33348"/>
    <w:rsid w:val="00F346B6"/>
    <w:rsid w:val="00F3472D"/>
    <w:rsid w:val="00F36145"/>
    <w:rsid w:val="00F37BDD"/>
    <w:rsid w:val="00F40716"/>
    <w:rsid w:val="00F41503"/>
    <w:rsid w:val="00F417D4"/>
    <w:rsid w:val="00F432CF"/>
    <w:rsid w:val="00F437FD"/>
    <w:rsid w:val="00F4479A"/>
    <w:rsid w:val="00F44D82"/>
    <w:rsid w:val="00F45589"/>
    <w:rsid w:val="00F46207"/>
    <w:rsid w:val="00F466C8"/>
    <w:rsid w:val="00F469A9"/>
    <w:rsid w:val="00F46B50"/>
    <w:rsid w:val="00F47C20"/>
    <w:rsid w:val="00F504BB"/>
    <w:rsid w:val="00F50B46"/>
    <w:rsid w:val="00F50D1F"/>
    <w:rsid w:val="00F51545"/>
    <w:rsid w:val="00F521DE"/>
    <w:rsid w:val="00F541D4"/>
    <w:rsid w:val="00F553CE"/>
    <w:rsid w:val="00F56043"/>
    <w:rsid w:val="00F56BD8"/>
    <w:rsid w:val="00F56FA9"/>
    <w:rsid w:val="00F60E46"/>
    <w:rsid w:val="00F6171A"/>
    <w:rsid w:val="00F62306"/>
    <w:rsid w:val="00F6269A"/>
    <w:rsid w:val="00F635FC"/>
    <w:rsid w:val="00F63D03"/>
    <w:rsid w:val="00F658D8"/>
    <w:rsid w:val="00F65E2F"/>
    <w:rsid w:val="00F67385"/>
    <w:rsid w:val="00F67DF1"/>
    <w:rsid w:val="00F7054E"/>
    <w:rsid w:val="00F7137C"/>
    <w:rsid w:val="00F72A09"/>
    <w:rsid w:val="00F74E67"/>
    <w:rsid w:val="00F8309B"/>
    <w:rsid w:val="00F833C9"/>
    <w:rsid w:val="00F86C8E"/>
    <w:rsid w:val="00F90064"/>
    <w:rsid w:val="00F94217"/>
    <w:rsid w:val="00F9586C"/>
    <w:rsid w:val="00F96AFD"/>
    <w:rsid w:val="00F96F4C"/>
    <w:rsid w:val="00FA07F4"/>
    <w:rsid w:val="00FA1398"/>
    <w:rsid w:val="00FA1515"/>
    <w:rsid w:val="00FA2DAE"/>
    <w:rsid w:val="00FA2E19"/>
    <w:rsid w:val="00FA5086"/>
    <w:rsid w:val="00FA6184"/>
    <w:rsid w:val="00FA697F"/>
    <w:rsid w:val="00FB0147"/>
    <w:rsid w:val="00FB0F92"/>
    <w:rsid w:val="00FB2FB3"/>
    <w:rsid w:val="00FB3846"/>
    <w:rsid w:val="00FB5059"/>
    <w:rsid w:val="00FB5521"/>
    <w:rsid w:val="00FB610D"/>
    <w:rsid w:val="00FB626E"/>
    <w:rsid w:val="00FC4477"/>
    <w:rsid w:val="00FC46FB"/>
    <w:rsid w:val="00FC752C"/>
    <w:rsid w:val="00FC7B66"/>
    <w:rsid w:val="00FD0D94"/>
    <w:rsid w:val="00FD106C"/>
    <w:rsid w:val="00FD2BD3"/>
    <w:rsid w:val="00FD3DEF"/>
    <w:rsid w:val="00FD4CCA"/>
    <w:rsid w:val="00FD58B1"/>
    <w:rsid w:val="00FE04BA"/>
    <w:rsid w:val="00FE234B"/>
    <w:rsid w:val="00FE2A9E"/>
    <w:rsid w:val="00FE34B3"/>
    <w:rsid w:val="00FE3700"/>
    <w:rsid w:val="00FE46B7"/>
    <w:rsid w:val="00FE4CEC"/>
    <w:rsid w:val="00FF0420"/>
    <w:rsid w:val="00FF41B8"/>
    <w:rsid w:val="00FF5B79"/>
    <w:rsid w:val="00FF5FCC"/>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eastAsia="宋体" w:hAnsi="Arial" w:cs="Arial"/>
      <w:b/>
      <w:bCs/>
      <w:kern w:val="32"/>
      <w:sz w:val="36"/>
      <w:szCs w:val="32"/>
      <w:lang w:val="de-DE"/>
    </w:rPr>
  </w:style>
  <w:style w:type="character" w:styleId="a7">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eastAsia="宋体" w:hAnsi="Segoe UI"/>
      <w:bCs/>
      <w:noProof/>
      <w:sz w:val="12"/>
      <w:szCs w:val="24"/>
      <w:lang w:val="de-DE"/>
    </w:rPr>
  </w:style>
  <w:style w:type="character" w:styleId="a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eastAsia="宋体" w:hAnsi="Segoe UI"/>
      <w:sz w:val="18"/>
    </w:rPr>
  </w:style>
  <w:style w:type="character" w:customStyle="1" w:styleId="AboutandContactHeadline">
    <w:name w:val="About and Contact Headline"/>
    <w:basedOn w:val="a0"/>
    <w:rsid w:val="00336854"/>
    <w:rPr>
      <w:rFonts w:ascii="Segoe UI" w:eastAsia="宋体" w:hAnsi="Segoe UI"/>
      <w:b/>
      <w:bCs/>
      <w:sz w:val="18"/>
    </w:rPr>
  </w:style>
  <w:style w:type="paragraph" w:styleId="ab">
    <w:name w:val="List Paragraph"/>
    <w:basedOn w:val="a"/>
    <w:uiPriority w:val="34"/>
    <w:qFormat/>
    <w:rsid w:val="00635616"/>
    <w:pPr>
      <w:ind w:left="720"/>
      <w:contextualSpacing/>
    </w:pPr>
  </w:style>
  <w:style w:type="character" w:styleId="ac">
    <w:name w:val="annotation reference"/>
    <w:rsid w:val="00846017"/>
    <w:rPr>
      <w:sz w:val="16"/>
      <w:szCs w:val="16"/>
    </w:rPr>
  </w:style>
  <w:style w:type="paragraph" w:styleId="ad">
    <w:name w:val="annotation text"/>
    <w:basedOn w:val="a"/>
    <w:link w:val="ae"/>
    <w:rsid w:val="00846017"/>
    <w:pPr>
      <w:spacing w:line="260" w:lineRule="atLeast"/>
      <w:jc w:val="left"/>
    </w:pPr>
    <w:rPr>
      <w:rFonts w:ascii="Arial" w:hAnsi="Arial"/>
      <w:sz w:val="20"/>
      <w:szCs w:val="20"/>
      <w:lang w:val="de-DE"/>
    </w:rPr>
  </w:style>
  <w:style w:type="character" w:customStyle="1" w:styleId="ae">
    <w:name w:val="批注文字 字符"/>
    <w:basedOn w:val="a0"/>
    <w:link w:val="ad"/>
    <w:rsid w:val="00846017"/>
    <w:rPr>
      <w:rFonts w:ascii="Arial" w:eastAsia="宋体" w:hAnsi="Arial"/>
      <w:sz w:val="20"/>
      <w:szCs w:val="20"/>
      <w:lang w:val="de-DE"/>
    </w:rPr>
  </w:style>
  <w:style w:type="paragraph" w:styleId="af">
    <w:name w:val="annotation subject"/>
    <w:basedOn w:val="ad"/>
    <w:next w:val="ad"/>
    <w:link w:val="af0"/>
    <w:rsid w:val="0020528D"/>
    <w:pPr>
      <w:spacing w:line="240" w:lineRule="auto"/>
      <w:jc w:val="both"/>
    </w:pPr>
    <w:rPr>
      <w:rFonts w:ascii="Segoe UI" w:hAnsi="Segoe UI"/>
      <w:b/>
      <w:bCs/>
      <w:lang w:val="en-US"/>
    </w:rPr>
  </w:style>
  <w:style w:type="character" w:customStyle="1" w:styleId="af0">
    <w:name w:val="批注主题 字符"/>
    <w:basedOn w:val="ae"/>
    <w:link w:val="af"/>
    <w:rsid w:val="0020528D"/>
    <w:rPr>
      <w:rFonts w:ascii="Arial" w:eastAsia="宋体" w:hAnsi="Arial"/>
      <w:b/>
      <w:bCs/>
      <w:sz w:val="20"/>
      <w:szCs w:val="20"/>
      <w:lang w:val="de-DE"/>
    </w:rPr>
  </w:style>
  <w:style w:type="paragraph" w:styleId="af1">
    <w:name w:val="Revision"/>
    <w:hidden/>
    <w:uiPriority w:val="62"/>
    <w:unhideWhenUsed/>
    <w:rsid w:val="006E2D24"/>
    <w:rPr>
      <w:sz w:val="22"/>
    </w:rPr>
  </w:style>
  <w:style w:type="paragraph" w:customStyle="1" w:styleId="He04Funote">
    <w:name w:val="_He_04_Fußnote"/>
    <w:next w:val="a"/>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af2">
    <w:name w:val="footnote reference"/>
    <w:basedOn w:val="a0"/>
    <w:uiPriority w:val="99"/>
    <w:unhideWhenUsed/>
    <w:rsid w:val="00A90F18"/>
    <w:rPr>
      <w:vertAlign w:val="superscript"/>
    </w:rPr>
  </w:style>
  <w:style w:type="paragraph" w:styleId="af3">
    <w:name w:val="Normal (Web)"/>
    <w:basedOn w:val="a"/>
    <w:rsid w:val="00CF56F5"/>
    <w:rPr>
      <w:rFonts w:ascii="Times New Roman" w:hAnsi="Times New Roman"/>
      <w:sz w:val="24"/>
    </w:rPr>
  </w:style>
  <w:style w:type="paragraph" w:customStyle="1" w:styleId="He01Flietext">
    <w:name w:val="_He_01_Fließtext"/>
    <w:qFormat/>
    <w:rsid w:val="0036418F"/>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589">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3184356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51645035">
      <w:bodyDiv w:val="1"/>
      <w:marLeft w:val="0"/>
      <w:marRight w:val="0"/>
      <w:marTop w:val="0"/>
      <w:marBottom w:val="0"/>
      <w:divBdr>
        <w:top w:val="none" w:sz="0" w:space="0" w:color="auto"/>
        <w:left w:val="none" w:sz="0" w:space="0" w:color="auto"/>
        <w:bottom w:val="none" w:sz="0" w:space="0" w:color="auto"/>
        <w:right w:val="none" w:sz="0" w:space="0" w:color="auto"/>
      </w:divBdr>
    </w:div>
    <w:div w:id="1552184407">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e.cheung@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ki.qi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0FCCBF54-28EE-4544-922A-14A41FE4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998</Words>
  <Characters>5695</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6680</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cp:revision>
  <cp:lastPrinted>2024-02-27T11:16:00Z</cp:lastPrinted>
  <dcterms:created xsi:type="dcterms:W3CDTF">2024-03-06T10:20:00Z</dcterms:created>
  <dcterms:modified xsi:type="dcterms:W3CDTF">2024-03-06T10:20:00Z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