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5D50" w14:textId="77777777" w:rsidR="006A74C6" w:rsidRPr="00910978" w:rsidRDefault="005D26C7">
      <w:pPr>
        <w:pStyle w:val="MonthDayYear"/>
        <w:tabs>
          <w:tab w:val="left" w:pos="7371"/>
        </w:tabs>
        <w:jc w:val="left"/>
        <w:rPr>
          <w:lang w:val="cs-CZ"/>
        </w:rPr>
      </w:pPr>
      <w:r w:rsidRPr="00910978">
        <w:rPr>
          <w:lang w:val="cs-CZ"/>
        </w:rPr>
        <w:tab/>
        <w:t>4. březen 2024</w:t>
      </w:r>
    </w:p>
    <w:p w14:paraId="1DD85D51" w14:textId="77777777" w:rsidR="006A74C6" w:rsidRPr="00910978" w:rsidRDefault="005D26C7">
      <w:pPr>
        <w:pStyle w:val="Topline"/>
        <w:spacing w:after="240"/>
        <w:rPr>
          <w:lang w:val="cs-CZ"/>
        </w:rPr>
      </w:pPr>
      <w:r w:rsidRPr="00910978">
        <w:rPr>
          <w:lang w:val="cs-CZ"/>
        </w:rPr>
        <w:t xml:space="preserve">Zrychlení implementace strategické agendy růstu v náročném trhovém prostředí </w:t>
      </w:r>
    </w:p>
    <w:p w14:paraId="1DD85D52" w14:textId="77777777" w:rsidR="006A74C6" w:rsidRPr="00910978" w:rsidRDefault="005D26C7">
      <w:pPr>
        <w:jc w:val="left"/>
        <w:rPr>
          <w:rStyle w:val="Headline"/>
          <w:lang w:val="cs-CZ"/>
        </w:rPr>
      </w:pPr>
      <w:r w:rsidRPr="00910978">
        <w:rPr>
          <w:rStyle w:val="Headline"/>
          <w:lang w:val="cs-CZ"/>
        </w:rPr>
        <w:t xml:space="preserve">Společnost </w:t>
      </w:r>
      <w:proofErr w:type="spellStart"/>
      <w:r w:rsidRPr="00910978">
        <w:rPr>
          <w:rStyle w:val="Headline"/>
          <w:lang w:val="cs-CZ"/>
        </w:rPr>
        <w:t>Henkel</w:t>
      </w:r>
      <w:proofErr w:type="spellEnd"/>
      <w:r w:rsidRPr="00910978">
        <w:rPr>
          <w:rStyle w:val="Headline"/>
          <w:lang w:val="cs-CZ"/>
        </w:rPr>
        <w:t xml:space="preserve"> dosáhla v roce 2023 výrazného organického růstu obratu a zlepšení výnosů</w:t>
      </w:r>
    </w:p>
    <w:p w14:paraId="1DD85D53" w14:textId="77777777" w:rsidR="006A74C6" w:rsidRPr="00910978" w:rsidRDefault="006A74C6">
      <w:pPr>
        <w:spacing w:line="240" w:lineRule="auto"/>
        <w:jc w:val="left"/>
        <w:rPr>
          <w:sz w:val="16"/>
          <w:szCs w:val="16"/>
          <w:lang w:val="cs-CZ"/>
        </w:rPr>
      </w:pPr>
    </w:p>
    <w:p w14:paraId="1DD85D54" w14:textId="77777777" w:rsidR="006A74C6" w:rsidRPr="00910978" w:rsidRDefault="005D26C7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bookmarkStart w:id="0" w:name="_Hlk43712519"/>
      <w:r w:rsidRPr="00910978">
        <w:rPr>
          <w:b/>
          <w:bCs/>
          <w:lang w:val="cs-CZ"/>
        </w:rPr>
        <w:t>S</w:t>
      </w:r>
      <w:bookmarkStart w:id="1" w:name="_Hlk64363173"/>
      <w:bookmarkEnd w:id="0"/>
      <w:r w:rsidRPr="00910978">
        <w:rPr>
          <w:b/>
          <w:bCs/>
          <w:lang w:val="cs-CZ"/>
        </w:rPr>
        <w:t>ilné hospodářské výsledky za rok 202</w:t>
      </w:r>
      <w:bookmarkEnd w:id="1"/>
      <w:r w:rsidRPr="00910978">
        <w:rPr>
          <w:b/>
          <w:bCs/>
          <w:lang w:val="cs-CZ"/>
        </w:rPr>
        <w:t>3</w:t>
      </w:r>
    </w:p>
    <w:p w14:paraId="1DD85D55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Obrat: 21,5 miliardy eur, velmi silný organický růst na úrovni 4,2 procenta</w:t>
      </w:r>
    </w:p>
    <w:p w14:paraId="1DD85D56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Provozní zisk (EBIT)*: 2,6 miliardy eur, výrazný nárůst o 10,2 procenta</w:t>
      </w:r>
    </w:p>
    <w:p w14:paraId="1DD85D57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Marže EBIT*: 11,9 procenta, zlepšení až o 150 bazických bodů</w:t>
      </w:r>
    </w:p>
    <w:p w14:paraId="1DD85D58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 xml:space="preserve">Výrazně vyšší výnos na prioritní akcii (EPS)*: 4,35 eura, </w:t>
      </w:r>
      <w:r w:rsidRPr="00910978">
        <w:rPr>
          <w:b/>
          <w:bCs/>
          <w:lang w:val="cs-CZ"/>
        </w:rPr>
        <w:br/>
        <w:t>+20,0 procent při konstantních kurzových sazbách</w:t>
      </w:r>
    </w:p>
    <w:p w14:paraId="1DD85D59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 xml:space="preserve">Volný cash </w:t>
      </w:r>
      <w:proofErr w:type="spellStart"/>
      <w:r w:rsidRPr="00910978">
        <w:rPr>
          <w:b/>
          <w:bCs/>
          <w:lang w:val="cs-CZ"/>
        </w:rPr>
        <w:t>flow</w:t>
      </w:r>
      <w:proofErr w:type="spellEnd"/>
      <w:r w:rsidRPr="00910978">
        <w:rPr>
          <w:b/>
          <w:bCs/>
          <w:lang w:val="cs-CZ"/>
        </w:rPr>
        <w:t xml:space="preserve"> na nové rekordní úrovni 2,6 miliardy eur</w:t>
      </w:r>
    </w:p>
    <w:p w14:paraId="1DD85D5A" w14:textId="77777777" w:rsidR="006A74C6" w:rsidRPr="00910978" w:rsidRDefault="005D26C7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Stabilní dividendy: 1,85 eura na prioritní akcii</w:t>
      </w:r>
    </w:p>
    <w:p w14:paraId="1DD85D5B" w14:textId="77777777" w:rsidR="006A74C6" w:rsidRPr="00910978" w:rsidRDefault="005D26C7">
      <w:pPr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Další zrychlení implementace agendy smysluplného růstu</w:t>
      </w:r>
    </w:p>
    <w:p w14:paraId="1DD85D5C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proofErr w:type="spellStart"/>
      <w:r w:rsidRPr="00910978">
        <w:rPr>
          <w:b/>
          <w:bCs/>
          <w:lang w:val="cs-CZ"/>
        </w:rPr>
        <w:t>Consumer</w:t>
      </w:r>
      <w:proofErr w:type="spellEnd"/>
      <w:r w:rsidRPr="00910978">
        <w:rPr>
          <w:b/>
          <w:bCs/>
          <w:lang w:val="cs-CZ"/>
        </w:rPr>
        <w:t xml:space="preserve"> </w:t>
      </w:r>
      <w:proofErr w:type="spellStart"/>
      <w:r w:rsidRPr="00910978">
        <w:rPr>
          <w:b/>
          <w:bCs/>
          <w:lang w:val="cs-CZ"/>
        </w:rPr>
        <w:t>Brands</w:t>
      </w:r>
      <w:proofErr w:type="spellEnd"/>
      <w:r w:rsidRPr="00910978">
        <w:rPr>
          <w:b/>
          <w:bCs/>
          <w:lang w:val="cs-CZ"/>
        </w:rPr>
        <w:t>: Sloučení postupuje rychleji, než bylo plánováno</w:t>
      </w:r>
    </w:p>
    <w:p w14:paraId="1DD85D5D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proofErr w:type="spellStart"/>
      <w:r w:rsidRPr="00910978">
        <w:rPr>
          <w:b/>
          <w:bCs/>
          <w:lang w:val="cs-CZ"/>
        </w:rPr>
        <w:t>Adhesive</w:t>
      </w:r>
      <w:proofErr w:type="spellEnd"/>
      <w:r w:rsidRPr="00910978">
        <w:rPr>
          <w:b/>
          <w:bCs/>
          <w:lang w:val="cs-CZ"/>
        </w:rPr>
        <w:t xml:space="preserve"> Technologies: Nová organizační struktura s větším zaměřením na zákazníka</w:t>
      </w:r>
    </w:p>
    <w:p w14:paraId="1DD85D5E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Obě obchodní divize posílili díky cíleným akvizicím</w:t>
      </w:r>
    </w:p>
    <w:p w14:paraId="1DD85D5F" w14:textId="77777777" w:rsidR="006A74C6" w:rsidRPr="00910978" w:rsidRDefault="005D26C7">
      <w:pPr>
        <w:pStyle w:val="Odsekzoznamu"/>
        <w:numPr>
          <w:ilvl w:val="1"/>
          <w:numId w:val="2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Další posílení trvalé udržitelnosti v klíčových oblastech</w:t>
      </w:r>
    </w:p>
    <w:p w14:paraId="1DD85D60" w14:textId="77777777" w:rsidR="006A74C6" w:rsidRPr="00910978" w:rsidRDefault="005D26C7">
      <w:pPr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Výhled na finanční rok 2024 – s důrazem na růst ziskovosti</w:t>
      </w:r>
    </w:p>
    <w:p w14:paraId="1DD85D61" w14:textId="77777777" w:rsidR="006A74C6" w:rsidRPr="00910978" w:rsidRDefault="005D26C7">
      <w:pPr>
        <w:pStyle w:val="Odsekzoznamu"/>
        <w:numPr>
          <w:ilvl w:val="1"/>
          <w:numId w:val="3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Organický růst obratu: 2,0 až 4,0 %</w:t>
      </w:r>
    </w:p>
    <w:p w14:paraId="1DD85D62" w14:textId="77777777" w:rsidR="006A74C6" w:rsidRPr="00910978" w:rsidRDefault="005D26C7">
      <w:pPr>
        <w:pStyle w:val="Odsekzoznamu"/>
        <w:numPr>
          <w:ilvl w:val="1"/>
          <w:numId w:val="3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>Marže EBIT*: 12,0 až 13,5 %</w:t>
      </w:r>
    </w:p>
    <w:p w14:paraId="1DD85D63" w14:textId="77777777" w:rsidR="006A74C6" w:rsidRPr="00910978" w:rsidRDefault="005D26C7">
      <w:pPr>
        <w:pStyle w:val="Odsekzoznamu"/>
        <w:numPr>
          <w:ilvl w:val="1"/>
          <w:numId w:val="3"/>
        </w:numPr>
        <w:spacing w:after="80" w:line="266" w:lineRule="auto"/>
        <w:jc w:val="left"/>
        <w:rPr>
          <w:b/>
          <w:bCs/>
          <w:lang w:val="cs-CZ"/>
        </w:rPr>
      </w:pPr>
      <w:r w:rsidRPr="00910978">
        <w:rPr>
          <w:b/>
          <w:bCs/>
          <w:lang w:val="cs-CZ"/>
        </w:rPr>
        <w:t xml:space="preserve">Výnos na prioritní akcii (EPS)*: zvýšení o 5 až 20 % </w:t>
      </w:r>
      <w:r w:rsidRPr="00910978">
        <w:rPr>
          <w:b/>
          <w:bCs/>
          <w:lang w:val="cs-CZ"/>
        </w:rPr>
        <w:br/>
        <w:t>(při konstantních kurzových sazbách)</w:t>
      </w:r>
    </w:p>
    <w:p w14:paraId="1DD85D64" w14:textId="77777777" w:rsidR="006A74C6" w:rsidRPr="00910978" w:rsidRDefault="006A74C6">
      <w:pPr>
        <w:spacing w:line="240" w:lineRule="auto"/>
        <w:rPr>
          <w:sz w:val="16"/>
          <w:szCs w:val="16"/>
          <w:lang w:val="cs-CZ"/>
        </w:rPr>
      </w:pPr>
    </w:p>
    <w:p w14:paraId="1DD85D65" w14:textId="77777777" w:rsidR="006A74C6" w:rsidRPr="00910978" w:rsidRDefault="005D26C7">
      <w:pPr>
        <w:rPr>
          <w:b/>
          <w:bCs/>
          <w:lang w:val="cs-CZ"/>
        </w:rPr>
      </w:pPr>
      <w:r w:rsidRPr="00910978">
        <w:rPr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D85DAB" wp14:editId="1DD85DAC">
                <wp:simplePos x="0" y="0"/>
                <wp:positionH relativeFrom="page">
                  <wp:posOffset>860676</wp:posOffset>
                </wp:positionH>
                <wp:positionV relativeFrom="page">
                  <wp:posOffset>9361585</wp:posOffset>
                </wp:positionV>
                <wp:extent cx="5413375" cy="232409"/>
                <wp:effectExtent l="0" t="0" r="0" b="0"/>
                <wp:wrapNone/>
                <wp:docPr id="1073741827" name="officeArt object" descr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7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D85DB5" w14:textId="77777777" w:rsidR="006A74C6" w:rsidRDefault="005D26C7">
                            <w:pPr>
                              <w:pStyle w:val="He04Funote"/>
                            </w:pPr>
                            <w:r w:rsidRPr="00320C99">
                              <w:rPr>
                                <w:sz w:val="12"/>
                                <w:szCs w:val="12"/>
                                <w:lang w:val="pl-PL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Upravené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jednorazové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výdavky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príjmy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reštrukturalizaci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85DA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feld 10" style="position:absolute;left:0;text-align:left;margin-left:67.75pt;margin-top:737.15pt;width:426.25pt;height:18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" stroked="f" strokeweight="1pt">
                <v:stroke miterlimit="4"/>
                <v:textbox inset="1.27mm,1.27mm,1.27mm,1.27mm">
                  <w:txbxContent>
                    <w:p w14:paraId="1DD85DB5" w14:textId="77777777" w:rsidR="006A74C6" w:rsidRDefault="005D26C7">
                      <w:pPr>
                        <w:pStyle w:val="He04Funote"/>
                      </w:pPr>
                      <w:r w:rsidRPr="00320C99">
                        <w:rPr>
                          <w:sz w:val="12"/>
                          <w:szCs w:val="12"/>
                          <w:lang w:val="pl-PL"/>
                        </w:rPr>
                        <w:t xml:space="preserve">*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Upravené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o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jednorazové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výdavky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príjmy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náklady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na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reš</w:t>
                      </w:r>
                      <w:r>
                        <w:rPr>
                          <w:sz w:val="12"/>
                          <w:szCs w:val="12"/>
                        </w:rPr>
                        <w:t>trukturalizaci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0978">
        <w:rPr>
          <w:b/>
          <w:bCs/>
          <w:lang w:val="cs-CZ"/>
        </w:rPr>
        <w:t xml:space="preserve">Düsseldorf – </w:t>
      </w:r>
      <w:r w:rsidRPr="00910978">
        <w:rPr>
          <w:b/>
          <w:bCs/>
          <w:i/>
          <w:iCs/>
          <w:lang w:val="cs-CZ"/>
        </w:rPr>
        <w:t xml:space="preserve">„I přes dlouhodobě náročné trhové prostředí se nám v roce 2023 dařilo důsledně postupovat kupředu, a dokonce zrychlit implementaci naší strategie růstu. Dosáhli jsme velmi silného nárůstu organického obratu a výrazně jsme zvýšili ziskovost. </w:t>
      </w:r>
      <w:r w:rsidRPr="00910978">
        <w:rPr>
          <w:b/>
          <w:bCs/>
          <w:i/>
          <w:iCs/>
          <w:lang w:val="cs-CZ"/>
        </w:rPr>
        <w:lastRenderedPageBreak/>
        <w:t xml:space="preserve">Tím se nám podařilo překročit výhled, jež jsme představili na začátku roku. K úspěšnému vývoji přispěly obě obchodní divize, </w:t>
      </w:r>
      <w:proofErr w:type="spellStart"/>
      <w:r w:rsidRPr="00910978">
        <w:rPr>
          <w:b/>
          <w:bCs/>
          <w:i/>
          <w:iCs/>
          <w:lang w:val="cs-CZ"/>
        </w:rPr>
        <w:t>Adhesive</w:t>
      </w:r>
      <w:proofErr w:type="spellEnd"/>
      <w:r w:rsidRPr="00910978">
        <w:rPr>
          <w:b/>
          <w:bCs/>
          <w:i/>
          <w:iCs/>
          <w:lang w:val="cs-CZ"/>
        </w:rPr>
        <w:t xml:space="preserve"> Technologies i </w:t>
      </w:r>
      <w:proofErr w:type="spellStart"/>
      <w:r w:rsidRPr="00910978">
        <w:rPr>
          <w:b/>
          <w:bCs/>
          <w:i/>
          <w:iCs/>
          <w:lang w:val="cs-CZ"/>
        </w:rPr>
        <w:t>Consumer</w:t>
      </w:r>
      <w:proofErr w:type="spellEnd"/>
      <w:r w:rsidRPr="00910978">
        <w:rPr>
          <w:b/>
          <w:bCs/>
          <w:i/>
          <w:iCs/>
          <w:lang w:val="cs-CZ"/>
        </w:rPr>
        <w:t xml:space="preserve"> </w:t>
      </w:r>
      <w:proofErr w:type="spellStart"/>
      <w:r w:rsidRPr="00910978">
        <w:rPr>
          <w:b/>
          <w:bCs/>
          <w:i/>
          <w:iCs/>
          <w:lang w:val="cs-CZ"/>
        </w:rPr>
        <w:t>Brands</w:t>
      </w:r>
      <w:proofErr w:type="spellEnd"/>
      <w:r w:rsidRPr="00910978">
        <w:rPr>
          <w:b/>
          <w:bCs/>
          <w:i/>
          <w:iCs/>
          <w:lang w:val="cs-CZ"/>
        </w:rPr>
        <w:t>,“</w:t>
      </w:r>
      <w:r w:rsidRPr="00910978">
        <w:rPr>
          <w:b/>
          <w:bCs/>
          <w:lang w:val="cs-CZ"/>
        </w:rPr>
        <w:t xml:space="preserve"> řekl předseda představenstva společnosti </w:t>
      </w:r>
      <w:proofErr w:type="spellStart"/>
      <w:r w:rsidRPr="00910978">
        <w:rPr>
          <w:b/>
          <w:bCs/>
          <w:lang w:val="cs-CZ"/>
        </w:rPr>
        <w:t>Henkel</w:t>
      </w:r>
      <w:proofErr w:type="spellEnd"/>
      <w:r w:rsidRPr="00910978">
        <w:rPr>
          <w:b/>
          <w:bCs/>
          <w:lang w:val="cs-CZ"/>
        </w:rPr>
        <w:t xml:space="preserve"> </w:t>
      </w:r>
      <w:proofErr w:type="spellStart"/>
      <w:r w:rsidRPr="00910978">
        <w:rPr>
          <w:b/>
          <w:bCs/>
          <w:lang w:val="cs-CZ"/>
        </w:rPr>
        <w:t>Carsten</w:t>
      </w:r>
      <w:proofErr w:type="spellEnd"/>
      <w:r w:rsidRPr="00910978">
        <w:rPr>
          <w:b/>
          <w:bCs/>
          <w:lang w:val="cs-CZ"/>
        </w:rPr>
        <w:t xml:space="preserve"> </w:t>
      </w:r>
      <w:proofErr w:type="spellStart"/>
      <w:r w:rsidRPr="00910978">
        <w:rPr>
          <w:b/>
          <w:bCs/>
          <w:lang w:val="cs-CZ"/>
        </w:rPr>
        <w:t>Knobel</w:t>
      </w:r>
      <w:proofErr w:type="spellEnd"/>
      <w:r w:rsidRPr="00910978">
        <w:rPr>
          <w:b/>
          <w:bCs/>
          <w:lang w:val="cs-CZ"/>
        </w:rPr>
        <w:t>.</w:t>
      </w:r>
    </w:p>
    <w:p w14:paraId="1DD85D66" w14:textId="77777777" w:rsidR="006A74C6" w:rsidRPr="00910978" w:rsidRDefault="006A74C6">
      <w:pPr>
        <w:rPr>
          <w:b/>
          <w:bCs/>
          <w:lang w:val="cs-CZ"/>
        </w:rPr>
      </w:pPr>
    </w:p>
    <w:p w14:paraId="1DD85D67" w14:textId="6AF8EE86" w:rsidR="006A74C6" w:rsidRPr="00910978" w:rsidRDefault="005D26C7">
      <w:pPr>
        <w:rPr>
          <w:b/>
          <w:bCs/>
          <w:i/>
          <w:iCs/>
          <w:lang w:val="cs-CZ"/>
        </w:rPr>
      </w:pPr>
      <w:r w:rsidRPr="00910978">
        <w:rPr>
          <w:b/>
          <w:bCs/>
          <w:i/>
          <w:iCs/>
          <w:lang w:val="cs-CZ"/>
        </w:rPr>
        <w:t xml:space="preserve">„Zároveň jsme proti původním plánům urychlili sloučení našich dvou bývalých spotřebitelských divizí, </w:t>
      </w:r>
      <w:proofErr w:type="spellStart"/>
      <w:r w:rsidRPr="00910978">
        <w:rPr>
          <w:b/>
          <w:bCs/>
          <w:i/>
          <w:iCs/>
          <w:lang w:val="cs-CZ"/>
        </w:rPr>
        <w:t>Laundry</w:t>
      </w:r>
      <w:proofErr w:type="spellEnd"/>
      <w:r w:rsidRPr="00910978">
        <w:rPr>
          <w:b/>
          <w:bCs/>
          <w:i/>
          <w:iCs/>
          <w:lang w:val="cs-CZ"/>
        </w:rPr>
        <w:t xml:space="preserve"> &amp; </w:t>
      </w:r>
      <w:proofErr w:type="spellStart"/>
      <w:r w:rsidRPr="00910978">
        <w:rPr>
          <w:b/>
          <w:bCs/>
          <w:i/>
          <w:iCs/>
          <w:lang w:val="cs-CZ"/>
        </w:rPr>
        <w:t>Home</w:t>
      </w:r>
      <w:proofErr w:type="spellEnd"/>
      <w:r w:rsidRPr="00910978">
        <w:rPr>
          <w:b/>
          <w:bCs/>
          <w:i/>
          <w:iCs/>
          <w:lang w:val="cs-CZ"/>
        </w:rPr>
        <w:t xml:space="preserve"> Care a </w:t>
      </w:r>
      <w:proofErr w:type="spellStart"/>
      <w:r w:rsidRPr="00910978">
        <w:rPr>
          <w:b/>
          <w:bCs/>
          <w:i/>
          <w:iCs/>
          <w:lang w:val="cs-CZ"/>
        </w:rPr>
        <w:t>Beauty</w:t>
      </w:r>
      <w:proofErr w:type="spellEnd"/>
      <w:r w:rsidRPr="00910978">
        <w:rPr>
          <w:b/>
          <w:bCs/>
          <w:i/>
          <w:iCs/>
          <w:lang w:val="cs-CZ"/>
        </w:rPr>
        <w:t xml:space="preserve"> Care, jehož výsledkem je nová obchodní divize </w:t>
      </w:r>
      <w:proofErr w:type="spellStart"/>
      <w:r w:rsidRPr="00910978">
        <w:rPr>
          <w:b/>
          <w:bCs/>
          <w:i/>
          <w:iCs/>
          <w:lang w:val="cs-CZ"/>
        </w:rPr>
        <w:t>Consumer</w:t>
      </w:r>
      <w:proofErr w:type="spellEnd"/>
      <w:r w:rsidRPr="00910978">
        <w:rPr>
          <w:b/>
          <w:bCs/>
          <w:i/>
          <w:iCs/>
          <w:lang w:val="cs-CZ"/>
        </w:rPr>
        <w:t xml:space="preserve"> </w:t>
      </w:r>
      <w:proofErr w:type="spellStart"/>
      <w:r w:rsidRPr="00910978">
        <w:rPr>
          <w:b/>
          <w:bCs/>
          <w:i/>
          <w:iCs/>
          <w:lang w:val="cs-CZ"/>
        </w:rPr>
        <w:t>Brands</w:t>
      </w:r>
      <w:proofErr w:type="spellEnd"/>
      <w:r w:rsidRPr="00910978">
        <w:rPr>
          <w:b/>
          <w:bCs/>
          <w:i/>
          <w:iCs/>
          <w:lang w:val="cs-CZ"/>
        </w:rPr>
        <w:t xml:space="preserve">. K silným obchodním výsledkům této obchodní divize přispěly také úspory z integrace a pokračující portfoliová opatření. Pod novým vedením jsme ještě více přizpůsobili organizační strukturu divize </w:t>
      </w:r>
      <w:proofErr w:type="spellStart"/>
      <w:r w:rsidRPr="00910978">
        <w:rPr>
          <w:b/>
          <w:bCs/>
          <w:i/>
          <w:iCs/>
          <w:lang w:val="cs-CZ"/>
        </w:rPr>
        <w:t>Adhesive</w:t>
      </w:r>
      <w:proofErr w:type="spellEnd"/>
      <w:r w:rsidRPr="00910978">
        <w:rPr>
          <w:b/>
          <w:bCs/>
          <w:i/>
          <w:iCs/>
          <w:lang w:val="cs-CZ"/>
        </w:rPr>
        <w:t xml:space="preserve"> Technologies tak, aby lépe naplňovala potřeby našich zákazníků. Zvýšili jsme organický obrat a výrazně jsme zlepšili výnosnost v celkově volatilním průmyslovém prostředí. Kromě toho jsme cílenými akvizicemi dále posílili postavení obou obchodních divizí. Na základě dosažených výsledků a v souladu s naší dividendovou politikou navrhneme na výročním valném shromáždění vyplacení stabilních dividend našim akcionářům.“ </w:t>
      </w:r>
    </w:p>
    <w:p w14:paraId="1DD85D68" w14:textId="77777777" w:rsidR="006A74C6" w:rsidRPr="00910978" w:rsidRDefault="006A74C6">
      <w:pPr>
        <w:rPr>
          <w:b/>
          <w:bCs/>
          <w:lang w:val="cs-CZ"/>
        </w:rPr>
      </w:pPr>
    </w:p>
    <w:p w14:paraId="1DD85D69" w14:textId="6AE37D3F" w:rsidR="006A74C6" w:rsidRPr="00910978" w:rsidRDefault="005D26C7">
      <w:pPr>
        <w:rPr>
          <w:b/>
          <w:bCs/>
          <w:i/>
          <w:iCs/>
          <w:lang w:val="cs-CZ"/>
        </w:rPr>
      </w:pPr>
      <w:r w:rsidRPr="00910978">
        <w:rPr>
          <w:b/>
          <w:bCs/>
          <w:i/>
          <w:iCs/>
          <w:lang w:val="cs-CZ"/>
        </w:rPr>
        <w:t xml:space="preserve">„Rád bych </w:t>
      </w:r>
      <w:proofErr w:type="spellStart"/>
      <w:r w:rsidRPr="00910978">
        <w:rPr>
          <w:b/>
          <w:bCs/>
          <w:i/>
          <w:iCs/>
          <w:lang w:val="cs-CZ"/>
        </w:rPr>
        <w:t>upřímě</w:t>
      </w:r>
      <w:proofErr w:type="spellEnd"/>
      <w:r w:rsidRPr="00910978">
        <w:rPr>
          <w:b/>
          <w:bCs/>
          <w:i/>
          <w:iCs/>
          <w:lang w:val="cs-CZ"/>
        </w:rPr>
        <w:t xml:space="preserve"> poděkoval všem zaměstnancům společnosti </w:t>
      </w:r>
      <w:proofErr w:type="spellStart"/>
      <w:r w:rsidRPr="00910978">
        <w:rPr>
          <w:b/>
          <w:bCs/>
          <w:i/>
          <w:iCs/>
          <w:lang w:val="cs-CZ"/>
        </w:rPr>
        <w:t>Henkel</w:t>
      </w:r>
      <w:proofErr w:type="spellEnd"/>
      <w:r w:rsidRPr="00910978">
        <w:rPr>
          <w:b/>
          <w:bCs/>
          <w:i/>
          <w:iCs/>
          <w:lang w:val="cs-CZ"/>
        </w:rPr>
        <w:t xml:space="preserve"> za jejich týmovou práci a odhodlání, jež nám umožnili provést naši společnost tímto náročným obdobím. Společně se silným globálním týmem jsme dokázali posouvat se kupředu v úspěšné realizaci naší agendy smysluplného růstu, dosáhnout hmatatelného pokroku v plnění všech strategických priorit a dále rozvíjet naše podnikání. Naplňuje mě to hrdostí a velkou důvěrou v naši budoucnost.“</w:t>
      </w:r>
    </w:p>
    <w:p w14:paraId="1DD85D6A" w14:textId="77777777" w:rsidR="006A74C6" w:rsidRPr="00910978" w:rsidRDefault="006A74C6">
      <w:pPr>
        <w:spacing w:after="80"/>
        <w:rPr>
          <w:lang w:val="cs-CZ"/>
        </w:rPr>
      </w:pPr>
    </w:p>
    <w:p w14:paraId="1DD85D6B" w14:textId="77777777" w:rsidR="006A74C6" w:rsidRPr="00910978" w:rsidRDefault="005D26C7">
      <w:pPr>
        <w:rPr>
          <w:b/>
          <w:bCs/>
          <w:lang w:val="cs-CZ"/>
        </w:rPr>
      </w:pPr>
      <w:r w:rsidRPr="00910978">
        <w:rPr>
          <w:b/>
          <w:bCs/>
          <w:lang w:val="cs-CZ"/>
        </w:rPr>
        <w:t>Obrat a výnosy na úrovni skupiny za finanční rok 2023</w:t>
      </w:r>
    </w:p>
    <w:p w14:paraId="1DD85D6C" w14:textId="77777777" w:rsidR="006A74C6" w:rsidRPr="00910978" w:rsidRDefault="006A74C6">
      <w:pPr>
        <w:rPr>
          <w:lang w:val="cs-CZ"/>
        </w:rPr>
      </w:pPr>
    </w:p>
    <w:p w14:paraId="1DD85D6D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>Obrat</w:t>
      </w:r>
      <w:r w:rsidRPr="00910978">
        <w:rPr>
          <w:lang w:val="cs-CZ"/>
        </w:rPr>
        <w:t xml:space="preserve"> skupiny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Group za finanční rok 2023 dosáhl úrovně 21 514 milionů eur, co v nominálním vyjádření představuje meziroční pokles o 3,9 %. Negativní příspěvek kurzových vlivů k vývoji obratu představoval 4,3 %. Akvizice/odprodeje měly na obrat negativní vliv ve výši 3,9 %, především z důvodu odprodeje podnikatelských a obchodních činností v Ruské federaci. Zaznamenali jsme velmi silný </w:t>
      </w:r>
      <w:r w:rsidRPr="00910978">
        <w:rPr>
          <w:b/>
          <w:bCs/>
          <w:lang w:val="cs-CZ"/>
        </w:rPr>
        <w:t>organický růst obratu</w:t>
      </w:r>
      <w:r w:rsidRPr="00910978">
        <w:rPr>
          <w:lang w:val="cs-CZ"/>
        </w:rPr>
        <w:t xml:space="preserve"> na úrovni 4,2 %. K uvedenému vývoji přispělo zvýšení cen v horní části jednociferného procentuálního pásma, zatím co objem prodeje klesl. V druhém pololetí ovšem došlo k jasnému postupnému zlepšování také z pohledu objemu prodeje.</w:t>
      </w:r>
    </w:p>
    <w:p w14:paraId="1DD85D6E" w14:textId="77777777" w:rsidR="006A74C6" w:rsidRPr="00910978" w:rsidRDefault="006A74C6">
      <w:pPr>
        <w:rPr>
          <w:lang w:val="cs-CZ"/>
        </w:rPr>
      </w:pPr>
    </w:p>
    <w:p w14:paraId="1DD85D6F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Obchodní divize </w:t>
      </w:r>
      <w:proofErr w:type="spellStart"/>
      <w:r w:rsidRPr="00910978">
        <w:rPr>
          <w:b/>
          <w:bCs/>
          <w:lang w:val="cs-CZ"/>
        </w:rPr>
        <w:t>Adhesive</w:t>
      </w:r>
      <w:proofErr w:type="spellEnd"/>
      <w:r w:rsidRPr="00910978">
        <w:rPr>
          <w:b/>
          <w:bCs/>
          <w:lang w:val="cs-CZ"/>
        </w:rPr>
        <w:t xml:space="preserve"> Technologies</w:t>
      </w:r>
      <w:r w:rsidRPr="00910978">
        <w:rPr>
          <w:lang w:val="cs-CZ"/>
        </w:rPr>
        <w:t xml:space="preserve"> zaznamenala výrazný organický růst obratu ve výši 3,2 %, jehož hlavním zdrojem byly segmenty mobility a elektroniky a výrobků pro řemeslníky, stavebnictví a profesionály. Na velmi silném organickém růstu obratu divize </w:t>
      </w:r>
      <w:proofErr w:type="spellStart"/>
      <w:r w:rsidRPr="00910978">
        <w:rPr>
          <w:b/>
          <w:bCs/>
          <w:lang w:val="cs-CZ"/>
        </w:rPr>
        <w:t>Consumer</w:t>
      </w:r>
      <w:proofErr w:type="spellEnd"/>
      <w:r w:rsidRPr="00910978">
        <w:rPr>
          <w:b/>
          <w:bCs/>
          <w:lang w:val="cs-CZ"/>
        </w:rPr>
        <w:t xml:space="preserve"> </w:t>
      </w:r>
      <w:proofErr w:type="spellStart"/>
      <w:r w:rsidRPr="00910978">
        <w:rPr>
          <w:b/>
          <w:bCs/>
          <w:lang w:val="cs-CZ"/>
        </w:rPr>
        <w:t>Brands</w:t>
      </w:r>
      <w:proofErr w:type="spellEnd"/>
      <w:r w:rsidRPr="00910978">
        <w:rPr>
          <w:lang w:val="cs-CZ"/>
        </w:rPr>
        <w:t xml:space="preserve"> ve výši 6,1 % měly výrazný podíl především segmenty pracích a čistících prostředků pro domácnost a vlasové kosmetiky.</w:t>
      </w:r>
    </w:p>
    <w:p w14:paraId="1DD85D70" w14:textId="77777777" w:rsidR="006A74C6" w:rsidRPr="00910978" w:rsidRDefault="006A74C6">
      <w:pPr>
        <w:rPr>
          <w:b/>
          <w:bCs/>
          <w:lang w:val="cs-CZ"/>
        </w:rPr>
      </w:pPr>
    </w:p>
    <w:p w14:paraId="1DD85D71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 xml:space="preserve">Upravený provozní zisk </w:t>
      </w:r>
      <w:r w:rsidRPr="00910978">
        <w:rPr>
          <w:lang w:val="cs-CZ"/>
        </w:rPr>
        <w:t xml:space="preserve">(upravený EBIT) se výrazně zvýšil o 10,2 % na 2 556 mil. eur (loni: 2 319 mil. eur). Pozitivní vývoj prodejních cen, pokračující implementace opatření na snižování nákladů a zvyšování efektivnosti výroby a dodavatelského řetězce spolu s opatřeními zaměřenými na optimalizaci produktového portfolia více než kompenzovaly negativní vliv přetrvávajících vysokých cen vstupních materiálů a logistiky na ziskovost celé skupiny. </w:t>
      </w:r>
    </w:p>
    <w:p w14:paraId="1DD85D72" w14:textId="77777777" w:rsidR="006A74C6" w:rsidRPr="00910978" w:rsidRDefault="006A74C6">
      <w:pPr>
        <w:rPr>
          <w:lang w:val="cs-CZ"/>
        </w:rPr>
      </w:pPr>
    </w:p>
    <w:p w14:paraId="1DD85D73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 xml:space="preserve">Upravená výnosnost prodeje </w:t>
      </w:r>
      <w:r w:rsidRPr="00910978">
        <w:rPr>
          <w:lang w:val="cs-CZ"/>
        </w:rPr>
        <w:t>(upravená marže EBIT) na úrovni 11,9 % byla ve finančním roce 2023 meziročně výrazně vyšší (2022: 10,4 %).</w:t>
      </w:r>
    </w:p>
    <w:p w14:paraId="1DD85D74" w14:textId="77777777" w:rsidR="006A74C6" w:rsidRPr="00910978" w:rsidRDefault="006A74C6">
      <w:pPr>
        <w:rPr>
          <w:lang w:val="cs-CZ"/>
        </w:rPr>
      </w:pPr>
    </w:p>
    <w:p w14:paraId="1DD85D75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>Upravený výnos na prioritní akcii</w:t>
      </w:r>
      <w:r w:rsidRPr="00910978">
        <w:rPr>
          <w:lang w:val="cs-CZ"/>
        </w:rPr>
        <w:t xml:space="preserve"> se také výrazně zvýšil, o 11,5 %, na hodnotu 4,35 eura (loni: 3,90 eura). Při konstantních kurzových sazbách představovalo zvýšení upraveného výnosu na prioritní akcii 20,0 %. </w:t>
      </w:r>
    </w:p>
    <w:p w14:paraId="1DD85D76" w14:textId="77777777" w:rsidR="006A74C6" w:rsidRPr="00910978" w:rsidRDefault="006A74C6">
      <w:pPr>
        <w:rPr>
          <w:lang w:val="cs-CZ"/>
        </w:rPr>
      </w:pPr>
    </w:p>
    <w:p w14:paraId="1DD85D77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Poměr </w:t>
      </w:r>
      <w:r w:rsidRPr="00910978">
        <w:rPr>
          <w:b/>
          <w:bCs/>
          <w:lang w:val="cs-CZ"/>
        </w:rPr>
        <w:t>čistého provozního kapitálu</w:t>
      </w:r>
      <w:r w:rsidRPr="00910978">
        <w:rPr>
          <w:lang w:val="cs-CZ"/>
        </w:rPr>
        <w:t xml:space="preserve"> k obratu dosáhl 2,6 %, což je výrazně níže než v loňském roce (2022: 4,5 %), především v důsledku nižších skladových zásob.</w:t>
      </w:r>
    </w:p>
    <w:p w14:paraId="1DD85D78" w14:textId="77777777" w:rsidR="006A74C6" w:rsidRPr="00910978" w:rsidRDefault="006A74C6">
      <w:pPr>
        <w:rPr>
          <w:lang w:val="cs-CZ"/>
        </w:rPr>
      </w:pPr>
    </w:p>
    <w:p w14:paraId="1DD85D79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 xml:space="preserve">Volný cash </w:t>
      </w:r>
      <w:proofErr w:type="spellStart"/>
      <w:r w:rsidRPr="00910978">
        <w:rPr>
          <w:b/>
          <w:bCs/>
          <w:lang w:val="cs-CZ"/>
        </w:rPr>
        <w:t>flow</w:t>
      </w:r>
      <w:proofErr w:type="spellEnd"/>
      <w:r w:rsidRPr="00910978">
        <w:rPr>
          <w:b/>
          <w:bCs/>
          <w:lang w:val="cs-CZ"/>
        </w:rPr>
        <w:t xml:space="preserve"> </w:t>
      </w:r>
      <w:r w:rsidRPr="00910978">
        <w:rPr>
          <w:lang w:val="cs-CZ"/>
        </w:rPr>
        <w:t xml:space="preserve">dosáhl nové rekordní úrovně 2 603 mil. eur, což představuje výrazné zvýšení ve srovnání s předchozím rokem (2022: 653 mil. eur). Důvodem byl podstatně vyšší cash </w:t>
      </w:r>
      <w:proofErr w:type="spellStart"/>
      <w:r w:rsidRPr="00910978">
        <w:rPr>
          <w:lang w:val="cs-CZ"/>
        </w:rPr>
        <w:t>flow</w:t>
      </w:r>
      <w:proofErr w:type="spellEnd"/>
      <w:r w:rsidRPr="00910978">
        <w:rPr>
          <w:lang w:val="cs-CZ"/>
        </w:rPr>
        <w:t xml:space="preserve"> z provozních činností, jehož zdrojem byly vyšší provozní zisk a nižší čistý provozní kapitál. </w:t>
      </w:r>
    </w:p>
    <w:p w14:paraId="1DD85D7A" w14:textId="77777777" w:rsidR="006A74C6" w:rsidRPr="00910978" w:rsidRDefault="006A74C6">
      <w:pPr>
        <w:rPr>
          <w:lang w:val="cs-CZ"/>
        </w:rPr>
      </w:pPr>
    </w:p>
    <w:p w14:paraId="1DD85D7B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Výsledkem je zásadní zlepšení </w:t>
      </w:r>
      <w:r w:rsidRPr="00910978">
        <w:rPr>
          <w:b/>
          <w:bCs/>
          <w:lang w:val="cs-CZ"/>
        </w:rPr>
        <w:t>čisté finanční pozice</w:t>
      </w:r>
      <w:r w:rsidRPr="00910978">
        <w:rPr>
          <w:lang w:val="cs-CZ"/>
        </w:rPr>
        <w:t xml:space="preserve"> na hodnotu 12 mil. eur (k 31. prosinci 2022: -1 267 mil. eur).</w:t>
      </w:r>
    </w:p>
    <w:p w14:paraId="1DD85D7C" w14:textId="77777777" w:rsidR="006A74C6" w:rsidRPr="00910978" w:rsidRDefault="006A74C6">
      <w:pPr>
        <w:rPr>
          <w:lang w:val="cs-CZ"/>
        </w:rPr>
      </w:pPr>
    </w:p>
    <w:p w14:paraId="1DD85D7D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Představenstvo, správní rada a výbor akcionářů předloží výročnímu valnému shromáždění, které se sejde 22. dubna 2024, návrh na vyplacení </w:t>
      </w:r>
      <w:r w:rsidRPr="00910978">
        <w:rPr>
          <w:b/>
          <w:bCs/>
          <w:lang w:val="cs-CZ"/>
        </w:rPr>
        <w:t>dividend</w:t>
      </w:r>
      <w:r w:rsidRPr="00910978">
        <w:rPr>
          <w:lang w:val="cs-CZ"/>
        </w:rPr>
        <w:t xml:space="preserve"> ve stejné výši jako v loňském roce, konkrétně ve výši 1,85 eura na prioritní akcii a 1,83 eura na kmenovou akcii. Podíl vyplácených dividend teda představuje 42,4 %, což je mírně nad cílovým rozpětím 30 - 40 %. Výplata dividend v uvedené výši je možná díky silné finanční základně a pozitivnímu vývoji čisté finanční pozice skupiny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Group, čímž je zároveň zajištěna kontinuita vyplácení dividend akcionářům.</w:t>
      </w:r>
    </w:p>
    <w:p w14:paraId="1DD85D7E" w14:textId="77777777" w:rsidR="006A74C6" w:rsidRPr="00910978" w:rsidRDefault="006A74C6">
      <w:pPr>
        <w:rPr>
          <w:lang w:val="cs-CZ"/>
        </w:rPr>
      </w:pPr>
    </w:p>
    <w:p w14:paraId="1DD85D7F" w14:textId="77777777" w:rsidR="006A74C6" w:rsidRPr="00910978" w:rsidRDefault="005D26C7">
      <w:pPr>
        <w:spacing w:after="120"/>
        <w:rPr>
          <w:b/>
          <w:bCs/>
          <w:lang w:val="cs-CZ"/>
        </w:rPr>
      </w:pPr>
      <w:r w:rsidRPr="00910978">
        <w:rPr>
          <w:b/>
          <w:bCs/>
          <w:lang w:val="cs-CZ"/>
        </w:rPr>
        <w:t>Výsledky obchodních divizí za finanční rok 2023</w:t>
      </w:r>
    </w:p>
    <w:p w14:paraId="1DD85D80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>Obrat</w:t>
      </w:r>
      <w:r w:rsidRPr="00910978">
        <w:rPr>
          <w:lang w:val="cs-CZ"/>
        </w:rPr>
        <w:t xml:space="preserve"> obchodní divize </w:t>
      </w:r>
      <w:proofErr w:type="spellStart"/>
      <w:r w:rsidRPr="00910978">
        <w:rPr>
          <w:b/>
          <w:bCs/>
          <w:lang w:val="cs-CZ"/>
        </w:rPr>
        <w:t>Adhesive</w:t>
      </w:r>
      <w:proofErr w:type="spellEnd"/>
      <w:r w:rsidRPr="00910978">
        <w:rPr>
          <w:b/>
          <w:bCs/>
          <w:lang w:val="cs-CZ"/>
        </w:rPr>
        <w:t xml:space="preserve"> Technologies </w:t>
      </w:r>
      <w:r w:rsidRPr="00910978">
        <w:rPr>
          <w:lang w:val="cs-CZ"/>
        </w:rPr>
        <w:t xml:space="preserve">za finanční rok 2023 dosáhl 10 790 mil. eur a v nominálním vyjádření zaostal o 4,0 % za úrovní předchozího roku, hlavně z důvodu negativních kurzových vlivů. </w:t>
      </w:r>
      <w:r w:rsidRPr="00910978">
        <w:rPr>
          <w:b/>
          <w:bCs/>
          <w:lang w:val="cs-CZ"/>
        </w:rPr>
        <w:t xml:space="preserve">Organicky se </w:t>
      </w:r>
      <w:r w:rsidRPr="00910978">
        <w:rPr>
          <w:lang w:val="cs-CZ"/>
        </w:rPr>
        <w:t xml:space="preserve">ovšem obrat zvýšil o 3,2 %. Uvedený růst obratu byl způsoben především výrazným nárůstem cen ve srovnání s předchozím rokem. Objem prodeje se celkově snížil hlavně z důvodu přetrvávajícího útlumu poptávky na některých klíčových </w:t>
      </w:r>
      <w:r w:rsidRPr="00910978">
        <w:rPr>
          <w:lang w:val="cs-CZ"/>
        </w:rPr>
        <w:lastRenderedPageBreak/>
        <w:t xml:space="preserve">koncových trzích. Během roku se ovšem i v této oblasti začalo projevovat postupné oživení a ve čtvrtém čtvrtletí se objem prodeje stabilizoval. </w:t>
      </w:r>
      <w:r w:rsidRPr="00910978">
        <w:rPr>
          <w:b/>
          <w:bCs/>
          <w:lang w:val="cs-CZ"/>
        </w:rPr>
        <w:t>Upravený provozní zisk</w:t>
      </w:r>
      <w:r w:rsidRPr="00910978">
        <w:rPr>
          <w:lang w:val="cs-CZ"/>
        </w:rPr>
        <w:t xml:space="preserve"> ve výši 1 584 mil. eur byl mírně vyšší než jeho úroveň v předchozím roce. </w:t>
      </w:r>
      <w:r w:rsidRPr="00910978">
        <w:rPr>
          <w:b/>
          <w:bCs/>
          <w:lang w:val="cs-CZ"/>
        </w:rPr>
        <w:t xml:space="preserve">Upravená výnosnost prodeje se </w:t>
      </w:r>
      <w:r w:rsidRPr="00910978">
        <w:rPr>
          <w:lang w:val="cs-CZ"/>
        </w:rPr>
        <w:t>ve srovnání s předchozím rokem zlepšila o 110 bazických bodů a dosáhla úrovně 14,7 %. Výrazné zvýšení marže bylo způsobeno především vyššími cenami produktů v kombinaci s opatřeními na snížení nákladů a zvýšení efektivnosti, jejichž cílem bylo kompenzovat trvale zvýšené ceny vstupních surovin.</w:t>
      </w:r>
    </w:p>
    <w:p w14:paraId="1DD85D81" w14:textId="77777777" w:rsidR="006A74C6" w:rsidRPr="00910978" w:rsidRDefault="006A74C6">
      <w:pPr>
        <w:rPr>
          <w:lang w:val="cs-CZ"/>
        </w:rPr>
      </w:pPr>
    </w:p>
    <w:p w14:paraId="1DD85D82" w14:textId="77777777" w:rsidR="006A74C6" w:rsidRPr="00910978" w:rsidRDefault="005D26C7">
      <w:pPr>
        <w:rPr>
          <w:lang w:val="cs-CZ"/>
        </w:rPr>
      </w:pPr>
      <w:r w:rsidRPr="00910978">
        <w:rPr>
          <w:b/>
          <w:bCs/>
          <w:lang w:val="cs-CZ"/>
        </w:rPr>
        <w:t xml:space="preserve">Obrat </w:t>
      </w:r>
      <w:r w:rsidRPr="00910978">
        <w:rPr>
          <w:lang w:val="cs-CZ"/>
        </w:rPr>
        <w:t xml:space="preserve">obchodní divize </w:t>
      </w:r>
      <w:proofErr w:type="spellStart"/>
      <w:r w:rsidRPr="00910978">
        <w:rPr>
          <w:b/>
          <w:bCs/>
          <w:lang w:val="cs-CZ"/>
        </w:rPr>
        <w:t>Consumer</w:t>
      </w:r>
      <w:proofErr w:type="spellEnd"/>
      <w:r w:rsidRPr="00910978">
        <w:rPr>
          <w:b/>
          <w:bCs/>
          <w:lang w:val="cs-CZ"/>
        </w:rPr>
        <w:t xml:space="preserve"> </w:t>
      </w:r>
      <w:proofErr w:type="spellStart"/>
      <w:r w:rsidRPr="00910978">
        <w:rPr>
          <w:b/>
          <w:bCs/>
          <w:lang w:val="cs-CZ"/>
        </w:rPr>
        <w:t>Brands</w:t>
      </w:r>
      <w:proofErr w:type="spellEnd"/>
      <w:r w:rsidRPr="00910978">
        <w:rPr>
          <w:b/>
          <w:bCs/>
          <w:lang w:val="cs-CZ"/>
        </w:rPr>
        <w:t xml:space="preserve"> </w:t>
      </w:r>
      <w:r w:rsidRPr="00910978">
        <w:rPr>
          <w:lang w:val="cs-CZ"/>
        </w:rPr>
        <w:t xml:space="preserve">dosáhl ve finančním roce 2023 celkové výše 10 565 mil. eur a v nominálním vyjádření se meziročně snížil o 3,3 %. Kurzový vývoj měl na obrat negativní vliv na úrovni 4,4 %. I akvizice/odprodeje měly na obrat negativní vliv, a to ve výši 5,1 %, především z důvodu odprodeje podnikatelských a obchodních činností v Ruské federaci. </w:t>
      </w:r>
      <w:r w:rsidRPr="00910978">
        <w:rPr>
          <w:b/>
          <w:bCs/>
          <w:lang w:val="cs-CZ"/>
        </w:rPr>
        <w:t xml:space="preserve">Organicky se </w:t>
      </w:r>
      <w:r w:rsidRPr="00910978">
        <w:rPr>
          <w:lang w:val="cs-CZ"/>
        </w:rPr>
        <w:t xml:space="preserve">ovšem obrat zvýšil o 6,1 %. K uvedenému růstu obratu přispělo dvojciferné zvýšení cen, zatímco objem prodeje klesl částečně také z důvodu pokračujících opatření na optimalizaci portfolia. Ve druhém pololetí ovšem došlo k jasnému postupnému výraznému zlepšování také z pohledu objemu prodeje. </w:t>
      </w:r>
      <w:r w:rsidRPr="00910978">
        <w:rPr>
          <w:b/>
          <w:bCs/>
          <w:lang w:val="cs-CZ"/>
        </w:rPr>
        <w:t xml:space="preserve">Upravený provozní zisk </w:t>
      </w:r>
      <w:r w:rsidRPr="00910978">
        <w:rPr>
          <w:lang w:val="cs-CZ"/>
        </w:rPr>
        <w:t xml:space="preserve">dosáhl hodnoty 1 115 mil. eur a ve srovnání s předchozím rokem se meziročně výrazně zlepšil (2022: 910 mil. eur). K tomu zlepšení přispěly vyšší prodejní ceny, jejichž cílem bylo kompenzovat vysoké ceny přímých materiálových vstupů, pokračující opatření na snížení nákladů a zvýšení efektivnosti výrobního a dodavatelského řetězce, úspory dosažené integrací obchodní divize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 xml:space="preserve"> a pokračující optimalizace portfolia. Zároveň došlo k meziročnímu zvýšení výdajů na investice do marketingu a reklamy zaměřené na posílení značek a obchodních činností. I přes chybějící výnosy z obchodních a podnikatelských aktivit v Rusku, k jejichž odprodeji došlo v dubnu 2023, </w:t>
      </w:r>
      <w:r w:rsidRPr="00910978">
        <w:rPr>
          <w:b/>
          <w:bCs/>
          <w:lang w:val="cs-CZ"/>
        </w:rPr>
        <w:t>upravená výnosnost prodeje</w:t>
      </w:r>
      <w:r w:rsidRPr="00910978">
        <w:rPr>
          <w:lang w:val="cs-CZ"/>
        </w:rPr>
        <w:t xml:space="preserve"> se meziročně zvýšila o 220 bazických bodů a dosáhla úrovně 10,6 %.</w:t>
      </w:r>
    </w:p>
    <w:p w14:paraId="1DD85D83" w14:textId="77777777" w:rsidR="006A74C6" w:rsidRPr="00910978" w:rsidRDefault="006A74C6">
      <w:pPr>
        <w:spacing w:after="120"/>
        <w:rPr>
          <w:b/>
          <w:bCs/>
          <w:lang w:val="cs-CZ"/>
        </w:rPr>
      </w:pPr>
    </w:p>
    <w:p w14:paraId="1DD85D84" w14:textId="77777777" w:rsidR="006A74C6" w:rsidRPr="00910978" w:rsidRDefault="005D26C7">
      <w:pPr>
        <w:spacing w:after="120"/>
        <w:rPr>
          <w:b/>
          <w:bCs/>
          <w:lang w:val="cs-CZ"/>
        </w:rPr>
      </w:pPr>
      <w:r w:rsidRPr="00910978">
        <w:rPr>
          <w:b/>
          <w:bCs/>
          <w:lang w:val="cs-CZ"/>
        </w:rPr>
        <w:t>Výhled na rok 2024</w:t>
      </w:r>
    </w:p>
    <w:p w14:paraId="1DD85D85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V roce 2024 se očekává mírný růst světové hospodářské produkce. Výsledkem by mělo být také mírné zvýšení poptávky na průmyslových a spotřebitelských trzích v klíčových segmentech spotřebního zboží společnosti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>. Podle aktuálních odhadů by celosvětová inflace měla být v roce 2024 nižší než v loňském roce, ač celkově zůstane na vysoké úrovni. Kromě toho také úrokové sazby pravděpodobně zůstanou výrazně vyšší než v předešlých letech.</w:t>
      </w:r>
    </w:p>
    <w:p w14:paraId="1DD85D86" w14:textId="77777777" w:rsidR="006A74C6" w:rsidRPr="00910978" w:rsidRDefault="006A74C6">
      <w:pPr>
        <w:rPr>
          <w:lang w:val="cs-CZ"/>
        </w:rPr>
      </w:pPr>
    </w:p>
    <w:p w14:paraId="1DD85D87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očekává, že negativní vliv kurzových sazeb na obrat se bude pohybovat uprostřed jednociferného procentuálního pásma. Ceny přímých materiálových vstupů by se ve srovnání s jejich průměrem roku 2023 neměly měnit.</w:t>
      </w:r>
    </w:p>
    <w:p w14:paraId="1DD85D88" w14:textId="77777777" w:rsidR="006A74C6" w:rsidRPr="00910978" w:rsidRDefault="006A74C6">
      <w:pPr>
        <w:rPr>
          <w:lang w:val="cs-CZ"/>
        </w:rPr>
      </w:pPr>
    </w:p>
    <w:p w14:paraId="1DD85D89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lastRenderedPageBreak/>
        <w:t xml:space="preserve">Na základě těchto předpokladů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očekává, že se jí ve finančním roce 2024 podaří vygenerovat </w:t>
      </w:r>
      <w:r w:rsidRPr="00910978">
        <w:rPr>
          <w:b/>
          <w:bCs/>
          <w:lang w:val="cs-CZ"/>
        </w:rPr>
        <w:t>organický růst obratu</w:t>
      </w:r>
      <w:r w:rsidRPr="00910978">
        <w:rPr>
          <w:lang w:val="cs-CZ"/>
        </w:rPr>
        <w:t xml:space="preserve"> v rozsahu 2,0 až 4,0 %, přičemž růstu v tomto rozpětí by měly dosáhnout obě obchodní divize. Očekávaná </w:t>
      </w:r>
      <w:r w:rsidRPr="00910978">
        <w:rPr>
          <w:b/>
          <w:bCs/>
          <w:lang w:val="cs-CZ"/>
        </w:rPr>
        <w:t>upravená výnosnost prodeje (upravená marže EBIT)</w:t>
      </w:r>
      <w:r w:rsidRPr="00910978">
        <w:rPr>
          <w:lang w:val="cs-CZ"/>
        </w:rPr>
        <w:t xml:space="preserve"> se pohybuje v rozsahu 12,0 až 13,5 %. V případě divize </w:t>
      </w:r>
      <w:proofErr w:type="spellStart"/>
      <w:r w:rsidRPr="00910978">
        <w:rPr>
          <w:lang w:val="cs-CZ"/>
        </w:rPr>
        <w:t>Adhesive</w:t>
      </w:r>
      <w:proofErr w:type="spellEnd"/>
      <w:r w:rsidRPr="00910978">
        <w:rPr>
          <w:lang w:val="cs-CZ"/>
        </w:rPr>
        <w:t xml:space="preserve"> Technologies by se upravená výnosnost prodeje měla pohybovat mezi 15,0 až 16,5 %, u divize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 xml:space="preserve"> by to mělo být 11,0 až 12,5 %. V případě </w:t>
      </w:r>
      <w:r w:rsidRPr="00910978">
        <w:rPr>
          <w:b/>
          <w:bCs/>
          <w:lang w:val="cs-CZ"/>
        </w:rPr>
        <w:t>upravených výnosů na prioritní akcii</w:t>
      </w:r>
      <w:r w:rsidRPr="00910978">
        <w:rPr>
          <w:lang w:val="cs-CZ"/>
        </w:rPr>
        <w:t xml:space="preserve"> </w:t>
      </w:r>
      <w:r w:rsidRPr="00910978">
        <w:rPr>
          <w:b/>
          <w:bCs/>
          <w:lang w:val="cs-CZ"/>
        </w:rPr>
        <w:t>(EPS)</w:t>
      </w:r>
      <w:r w:rsidRPr="00910978">
        <w:rPr>
          <w:lang w:val="cs-CZ"/>
        </w:rPr>
        <w:t xml:space="preserve"> při konstantních kurzových sazbách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očekává jejich zvýšení v rozpětí od 5,0 do 20,0 %. </w:t>
      </w:r>
    </w:p>
    <w:p w14:paraId="1DD85D8A" w14:textId="77777777" w:rsidR="006A74C6" w:rsidRPr="00910978" w:rsidRDefault="006A74C6">
      <w:pPr>
        <w:rPr>
          <w:lang w:val="cs-CZ"/>
        </w:rPr>
      </w:pPr>
    </w:p>
    <w:p w14:paraId="1DD85D8B" w14:textId="77777777" w:rsidR="006A74C6" w:rsidRPr="00910978" w:rsidRDefault="005D26C7">
      <w:pPr>
        <w:spacing w:after="120"/>
        <w:rPr>
          <w:lang w:val="cs-CZ"/>
        </w:rPr>
      </w:pPr>
      <w:r w:rsidRPr="00910978">
        <w:rPr>
          <w:b/>
          <w:bCs/>
          <w:lang w:val="cs-CZ"/>
        </w:rPr>
        <w:t>Výrazný pokrok v rámci všech strategických priorit</w:t>
      </w:r>
    </w:p>
    <w:p w14:paraId="1DD85D8C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V uplynulém finančním roce se společnosti dařilo konzistentně rozvíjet své podnikání i přes náročné makroekonomické a geopolitické podmínky. Strategický rámec na dosažení smysluplného růstu se dařilo realizovat ještě rychlejším tempem.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přešla za poslední čtyři roky zásadní transformací v mnoha oblastech včetně své struktury, týmu a firemní kultury. Uvedené změny přinesly hmatatelné výsledky. Na vývoj v loňském roce měly obzvláště výrazný vliv tři konkrétní velké projekty, které byly úspěšně realizované a zásadně posunuly transformaci společnosti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kupředu.</w:t>
      </w:r>
    </w:p>
    <w:p w14:paraId="1DD85D8D" w14:textId="77777777" w:rsidR="006A74C6" w:rsidRPr="00910978" w:rsidRDefault="006A74C6">
      <w:pPr>
        <w:rPr>
          <w:lang w:val="cs-CZ"/>
        </w:rPr>
      </w:pPr>
    </w:p>
    <w:p w14:paraId="1DD85D8E" w14:textId="77777777" w:rsidR="006A74C6" w:rsidRPr="00910978" w:rsidRDefault="005D26C7">
      <w:pPr>
        <w:spacing w:after="120"/>
        <w:rPr>
          <w:b/>
          <w:bCs/>
          <w:i/>
          <w:iCs/>
          <w:lang w:val="cs-CZ"/>
        </w:rPr>
      </w:pPr>
      <w:r w:rsidRPr="00910978">
        <w:rPr>
          <w:b/>
          <w:bCs/>
          <w:i/>
          <w:iCs/>
          <w:lang w:val="cs-CZ"/>
        </w:rPr>
        <w:t>Odprodej podnikatelských aktivit v Rusku</w:t>
      </w:r>
    </w:p>
    <w:p w14:paraId="1DD85D8F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V dubnu 2022, pouhých několik týdnů po ruském útoku na Ukrajinu,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přijala rozhodnutí ukončit své aktivity v Ruské federaci. Následně se začal velmi komplikovaný proces odprodeje ruských aktiv, jež se společnosti podařilo úspěšně ukončit v dubnu 2023, když své podnikatelské aktivity v Rusku prodala konsorciu místních finančních investorů. Domluvená kupní cena dosáhla přibližně 600 milionů eur.</w:t>
      </w:r>
    </w:p>
    <w:p w14:paraId="1DD85D90" w14:textId="77777777" w:rsidR="006A74C6" w:rsidRPr="00910978" w:rsidRDefault="006A74C6">
      <w:pPr>
        <w:rPr>
          <w:lang w:val="cs-CZ"/>
        </w:rPr>
      </w:pPr>
    </w:p>
    <w:p w14:paraId="1DD85D91" w14:textId="77777777" w:rsidR="006A74C6" w:rsidRPr="00910978" w:rsidRDefault="005D26C7">
      <w:pPr>
        <w:spacing w:after="120"/>
        <w:jc w:val="left"/>
        <w:rPr>
          <w:b/>
          <w:bCs/>
          <w:i/>
          <w:iCs/>
          <w:lang w:val="cs-CZ"/>
        </w:rPr>
      </w:pPr>
      <w:proofErr w:type="spellStart"/>
      <w:r w:rsidRPr="00910978">
        <w:rPr>
          <w:b/>
          <w:bCs/>
          <w:i/>
          <w:iCs/>
          <w:lang w:val="cs-CZ"/>
        </w:rPr>
        <w:t>Consumer</w:t>
      </w:r>
      <w:proofErr w:type="spellEnd"/>
      <w:r w:rsidRPr="00910978">
        <w:rPr>
          <w:b/>
          <w:bCs/>
          <w:i/>
          <w:iCs/>
          <w:lang w:val="cs-CZ"/>
        </w:rPr>
        <w:t xml:space="preserve"> </w:t>
      </w:r>
      <w:proofErr w:type="spellStart"/>
      <w:r w:rsidRPr="00910978">
        <w:rPr>
          <w:b/>
          <w:bCs/>
          <w:i/>
          <w:iCs/>
          <w:lang w:val="cs-CZ"/>
        </w:rPr>
        <w:t>Brands</w:t>
      </w:r>
      <w:proofErr w:type="spellEnd"/>
      <w:r w:rsidRPr="00910978">
        <w:rPr>
          <w:b/>
          <w:bCs/>
          <w:i/>
          <w:iCs/>
          <w:lang w:val="cs-CZ"/>
        </w:rPr>
        <w:t>: Sloučení pokračuje rychleji, než se plánovalo</w:t>
      </w:r>
    </w:p>
    <w:p w14:paraId="1DD85D92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Sloučením dvou dřívějších spotřebitelských divizí, </w:t>
      </w:r>
      <w:proofErr w:type="spellStart"/>
      <w:r w:rsidRPr="00910978">
        <w:rPr>
          <w:lang w:val="cs-CZ"/>
        </w:rPr>
        <w:t>Laundry</w:t>
      </w:r>
      <w:proofErr w:type="spellEnd"/>
      <w:r w:rsidRPr="00910978">
        <w:rPr>
          <w:lang w:val="cs-CZ"/>
        </w:rPr>
        <w:t xml:space="preserve"> &amp; </w:t>
      </w:r>
      <w:proofErr w:type="spellStart"/>
      <w:r w:rsidRPr="00910978">
        <w:rPr>
          <w:lang w:val="cs-CZ"/>
        </w:rPr>
        <w:t>Home</w:t>
      </w:r>
      <w:proofErr w:type="spellEnd"/>
      <w:r w:rsidRPr="00910978">
        <w:rPr>
          <w:lang w:val="cs-CZ"/>
        </w:rPr>
        <w:t xml:space="preserve"> Care a </w:t>
      </w:r>
      <w:proofErr w:type="spellStart"/>
      <w:r w:rsidRPr="00910978">
        <w:rPr>
          <w:lang w:val="cs-CZ"/>
        </w:rPr>
        <w:t>Beauty</w:t>
      </w:r>
      <w:proofErr w:type="spellEnd"/>
      <w:r w:rsidRPr="00910978">
        <w:rPr>
          <w:lang w:val="cs-CZ"/>
        </w:rPr>
        <w:t xml:space="preserve"> Care, do nové obchodní divize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 xml:space="preserve">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sjednotila pod jednu střechu všechny své spotřebitelské produkty v rámci všech kategorií, a to včetně takových ikonických značek jako </w:t>
      </w:r>
      <w:proofErr w:type="spellStart"/>
      <w:r w:rsidRPr="00910978">
        <w:rPr>
          <w:lang w:val="cs-CZ"/>
        </w:rPr>
        <w:t>Persil</w:t>
      </w:r>
      <w:proofErr w:type="spellEnd"/>
      <w:r w:rsidRPr="00910978">
        <w:rPr>
          <w:lang w:val="cs-CZ"/>
        </w:rPr>
        <w:t xml:space="preserve"> a </w:t>
      </w:r>
      <w:proofErr w:type="spellStart"/>
      <w:r w:rsidRPr="00910978">
        <w:rPr>
          <w:lang w:val="cs-CZ"/>
        </w:rPr>
        <w:t>Schwarzkopf</w:t>
      </w:r>
      <w:proofErr w:type="spellEnd"/>
      <w:r w:rsidRPr="00910978">
        <w:rPr>
          <w:lang w:val="cs-CZ"/>
        </w:rPr>
        <w:t xml:space="preserve">, a také své úspěšné značky profesionální vlasové kosmetiky. Tím se jí podařilo vybudovat </w:t>
      </w:r>
      <w:proofErr w:type="spellStart"/>
      <w:r w:rsidRPr="00910978">
        <w:rPr>
          <w:lang w:val="cs-CZ"/>
        </w:rPr>
        <w:t>multiproduktovou</w:t>
      </w:r>
      <w:proofErr w:type="spellEnd"/>
      <w:r w:rsidRPr="00910978">
        <w:rPr>
          <w:lang w:val="cs-CZ"/>
        </w:rPr>
        <w:t xml:space="preserve"> platformu s perspektivou dalšího dynamického růstu. Nová obchodní divize začala fungovat v lednu 2023.</w:t>
      </w:r>
    </w:p>
    <w:p w14:paraId="1DD85D93" w14:textId="77777777" w:rsidR="006A74C6" w:rsidRPr="00910978" w:rsidRDefault="006A74C6">
      <w:pPr>
        <w:rPr>
          <w:lang w:val="cs-CZ"/>
        </w:rPr>
      </w:pPr>
    </w:p>
    <w:p w14:paraId="1DD85D94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Nové organizační uspořádání již přináší první úspěchy: od jejího vzniku se divizi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 xml:space="preserve"> daří plnit, nebo dokonce překračovat své klíčové ukazatele a finanční cíle, například v podobě výrazného organického růstu a návratu k dvojciferné upravené marži EBIT. Integrace zároveň postupuje vpřed podstatně rychlejším tempem, než se původně plánovalo, což se </w:t>
      </w:r>
      <w:r w:rsidRPr="00910978">
        <w:rPr>
          <w:lang w:val="cs-CZ"/>
        </w:rPr>
        <w:lastRenderedPageBreak/>
        <w:t>odráží také na úsporách nákladů, jichž se podařilo dosáhnout v roce 2023. Z plánovaného cíle ve výši přibližně 250 milionů eur, jehož se mělo dosáhnout do konce roku 2024, se již ke konci roku 2023 podařilo dosáhnout úspor v objemu 200 milionů eur. Zároveň došlo ke zvýšení celkové cílové hodnoty úspor z fáze 1 na 275 milionů eur.</w:t>
      </w:r>
    </w:p>
    <w:p w14:paraId="1DD85D95" w14:textId="77777777" w:rsidR="006A74C6" w:rsidRPr="00910978" w:rsidRDefault="006A74C6">
      <w:pPr>
        <w:rPr>
          <w:lang w:val="cs-CZ"/>
        </w:rPr>
      </w:pPr>
    </w:p>
    <w:p w14:paraId="1DD85D96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Začala se již i druhá fáze integračního procesu zaměřená na optimalizaci dodavatelské sítě obchodní divize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>. V prvních státech již byl kromě toho zaveden i tzv. princip 1-1-1, teda jedna objednávka, jedna dodávka, jedna faktura. V roce 2023 dosáhly úspory z realizace druhé fáze integrace již přibližně 80 milionů eur. Zvýšila se také očekávaná celková hodnota úspor z fáze 2 z minimálně 150 milionů eur na přibližně 250 milionů eur. V důsledku toho dojde také ke zvýšení celkových očekávaných úspor z obou fází integračního procesu, jež se měly v plném rozsahu projevit do konce roku 2026, ze 400 milionů na 525 milionů eur.</w:t>
      </w:r>
    </w:p>
    <w:p w14:paraId="1DD85D97" w14:textId="77777777" w:rsidR="006A74C6" w:rsidRPr="00910978" w:rsidRDefault="006A74C6">
      <w:pPr>
        <w:rPr>
          <w:lang w:val="cs-CZ"/>
        </w:rPr>
      </w:pPr>
    </w:p>
    <w:p w14:paraId="1DD85D98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zároveň investuje do posilování svých značek a inovací, například v podobě výrazného zvýšení investicí do marketingu a podpory prodeje, jež by měly být zdrojem budoucího růstu a dalšího zvyšování ziskovosti této obchodní divize.</w:t>
      </w:r>
    </w:p>
    <w:p w14:paraId="1DD85D99" w14:textId="77777777" w:rsidR="006A74C6" w:rsidRPr="00910978" w:rsidRDefault="006A74C6">
      <w:pPr>
        <w:rPr>
          <w:lang w:val="cs-CZ"/>
        </w:rPr>
      </w:pPr>
    </w:p>
    <w:p w14:paraId="1DD85D9A" w14:textId="77777777" w:rsidR="006A74C6" w:rsidRPr="00910978" w:rsidRDefault="005D26C7">
      <w:pPr>
        <w:spacing w:after="120"/>
        <w:rPr>
          <w:b/>
          <w:bCs/>
          <w:i/>
          <w:iCs/>
          <w:lang w:val="cs-CZ"/>
        </w:rPr>
      </w:pPr>
      <w:r w:rsidRPr="00910978">
        <w:rPr>
          <w:b/>
          <w:bCs/>
          <w:i/>
          <w:iCs/>
          <w:lang w:val="cs-CZ"/>
        </w:rPr>
        <w:t xml:space="preserve">Další rozvoj obchodní divize </w:t>
      </w:r>
      <w:proofErr w:type="spellStart"/>
      <w:r w:rsidRPr="00910978">
        <w:rPr>
          <w:b/>
          <w:bCs/>
          <w:i/>
          <w:iCs/>
          <w:lang w:val="cs-CZ"/>
        </w:rPr>
        <w:t>Adhesive</w:t>
      </w:r>
      <w:proofErr w:type="spellEnd"/>
      <w:r w:rsidRPr="00910978">
        <w:rPr>
          <w:b/>
          <w:bCs/>
          <w:i/>
          <w:iCs/>
          <w:lang w:val="cs-CZ"/>
        </w:rPr>
        <w:t xml:space="preserve"> Technologies</w:t>
      </w:r>
    </w:p>
    <w:p w14:paraId="1DD85D9B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S cílem lépe využívat výhody vedoucí pozice na světových trzích a posunout její podnikatelské aktivity na vyšší úroveň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udělala ve finančním roce 2023 několik změn ve vrcholovém managementu divize </w:t>
      </w:r>
      <w:proofErr w:type="spellStart"/>
      <w:r w:rsidRPr="00910978">
        <w:rPr>
          <w:lang w:val="cs-CZ"/>
        </w:rPr>
        <w:t>Adhesive</w:t>
      </w:r>
      <w:proofErr w:type="spellEnd"/>
      <w:r w:rsidRPr="00910978">
        <w:rPr>
          <w:lang w:val="cs-CZ"/>
        </w:rPr>
        <w:t xml:space="preserve"> Technologies, jimiž podpořila rozmanitost a posílila mezinárodní charakter manažerského týmu. Zároveň došlo k optimalizaci organizačního nastavení s cílem ještě více se přiblížit k zákazníkům a trhům. Nová organizační struktura zahrnuje tři oblasti podnikání: mobilita a elektronický průmysl, obaly a spotřební zboží a výrobky pro řemeslníky, stavebnictví a profesionály. Nová struktura byla zavedena během roku 2023 a je v plném rozsahu zachycena již i ve finančních výkazech společnosti.</w:t>
      </w:r>
    </w:p>
    <w:p w14:paraId="1DD85D9C" w14:textId="77777777" w:rsidR="006A74C6" w:rsidRPr="00910978" w:rsidRDefault="006A74C6">
      <w:pPr>
        <w:spacing w:after="120"/>
        <w:rPr>
          <w:b/>
          <w:bCs/>
          <w:lang w:val="cs-CZ"/>
        </w:rPr>
      </w:pPr>
    </w:p>
    <w:p w14:paraId="1DD85D9D" w14:textId="77777777" w:rsidR="006A74C6" w:rsidRPr="00910978" w:rsidRDefault="005D26C7">
      <w:pPr>
        <w:spacing w:after="120"/>
        <w:rPr>
          <w:b/>
          <w:bCs/>
          <w:lang w:val="cs-CZ"/>
        </w:rPr>
      </w:pPr>
      <w:r w:rsidRPr="00910978">
        <w:rPr>
          <w:b/>
          <w:bCs/>
          <w:lang w:val="cs-CZ"/>
        </w:rPr>
        <w:t>Další progres v rámci všech strategických prioritních oblastí</w:t>
      </w:r>
    </w:p>
    <w:p w14:paraId="1DD85D9E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pokračovala v uplynulém finančním roce v systematické implementaci své strategie růstu a zaznamenala významný pokrok ve všech jejích oblastech. Společnost dále rozvíjela své podnikatelské aktivity a portfolio značek, zvýšila svou konkurenceschopnost v oblasti inovací, trvalé udržitelnosti a digitalizace, optimalizovala své provozní modely a posílila firemní kulturu. </w:t>
      </w:r>
    </w:p>
    <w:p w14:paraId="1DD85D9F" w14:textId="77777777" w:rsidR="006A74C6" w:rsidRPr="00910978" w:rsidRDefault="006A74C6">
      <w:pPr>
        <w:rPr>
          <w:lang w:val="cs-CZ"/>
        </w:rPr>
      </w:pPr>
    </w:p>
    <w:p w14:paraId="1DD85DA0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V rámci </w:t>
      </w:r>
      <w:r w:rsidRPr="00910978">
        <w:rPr>
          <w:b/>
          <w:bCs/>
          <w:lang w:val="cs-CZ"/>
        </w:rPr>
        <w:t xml:space="preserve">aktivního řízení svého portfolia </w:t>
      </w:r>
      <w:r w:rsidRPr="00910978">
        <w:rPr>
          <w:lang w:val="cs-CZ"/>
        </w:rPr>
        <w:t xml:space="preserve">a navíc k ukončení či odprodeji některých podnikatelských činností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pokračovala v posilování svého portfolia prostřednictvím akvizicí. V rámci divize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 xml:space="preserve">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od oznámení </w:t>
      </w:r>
      <w:r w:rsidRPr="00910978">
        <w:rPr>
          <w:lang w:val="cs-CZ"/>
        </w:rPr>
        <w:lastRenderedPageBreak/>
        <w:t xml:space="preserve">sloučení dvou spotřebitelských divizí počátkem roku 2022 prodala nebo ukončila výrobu značek, které celkově představují obrat v objemu přibližně 650 milionů eur. Součástí těchto změn produktového portfolia v roce 2023 byl například odprodej severoamerické výroby osvěžovačů vzduchu, a naopak, akvizice novozélandské značky udržitelných pracích a čistících prostředků </w:t>
      </w:r>
      <w:proofErr w:type="spellStart"/>
      <w:r w:rsidRPr="00910978">
        <w:rPr>
          <w:lang w:val="cs-CZ"/>
        </w:rPr>
        <w:t>Earthwise</w:t>
      </w:r>
      <w:proofErr w:type="spellEnd"/>
      <w:r w:rsidRPr="00910978">
        <w:rPr>
          <w:lang w:val="cs-CZ"/>
        </w:rPr>
        <w:t xml:space="preserve">. V rámci divize </w:t>
      </w:r>
      <w:proofErr w:type="spellStart"/>
      <w:r w:rsidRPr="00910978">
        <w:rPr>
          <w:lang w:val="cs-CZ"/>
        </w:rPr>
        <w:t>Adhesive</w:t>
      </w:r>
      <w:proofErr w:type="spellEnd"/>
      <w:r w:rsidRPr="00910978">
        <w:rPr>
          <w:lang w:val="cs-CZ"/>
        </w:rPr>
        <w:t xml:space="preserve"> Technologies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rozšířila své portfolio produktů pro údržbu, opravy a rekonstrukce akvizicí společnosti </w:t>
      </w:r>
      <w:proofErr w:type="spellStart"/>
      <w:r w:rsidRPr="00910978">
        <w:rPr>
          <w:lang w:val="cs-CZ"/>
        </w:rPr>
        <w:t>Critica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Infrastructure</w:t>
      </w:r>
      <w:proofErr w:type="spellEnd"/>
      <w:r w:rsidRPr="00910978">
        <w:rPr>
          <w:lang w:val="cs-CZ"/>
        </w:rPr>
        <w:t xml:space="preserve">, která se specializuje na inovativní kompozitní řešení se širokým uplatněním v různých průmyslových odvětvích. Uvedenou transakcí se společnosti podařilo obohatit své portfolio spojovacích a lepících produktů o atraktivní doplňkový trh a vytvořit platformu pro další růst do budoucna. Posilování obou obchodních divizí prostřednictvím cílených akvizicí pokračovalo také na počátku roku 2024, když společnost převzala značku vlasové kosmetiky </w:t>
      </w:r>
      <w:proofErr w:type="spellStart"/>
      <w:r w:rsidRPr="00910978">
        <w:rPr>
          <w:lang w:val="cs-CZ"/>
        </w:rPr>
        <w:t>Vidal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Sassoon</w:t>
      </w:r>
      <w:proofErr w:type="spellEnd"/>
      <w:r w:rsidRPr="00910978">
        <w:rPr>
          <w:lang w:val="cs-CZ"/>
        </w:rPr>
        <w:t xml:space="preserve"> na čínském trhu a společnost </w:t>
      </w:r>
      <w:proofErr w:type="spellStart"/>
      <w:r w:rsidRPr="00910978">
        <w:rPr>
          <w:lang w:val="cs-CZ"/>
        </w:rPr>
        <w:t>Seal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for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Life</w:t>
      </w:r>
      <w:proofErr w:type="spellEnd"/>
      <w:r w:rsidRPr="00910978">
        <w:rPr>
          <w:lang w:val="cs-CZ"/>
        </w:rPr>
        <w:t>, jež působí v oblasti průmyslové údržby a oprav.</w:t>
      </w:r>
    </w:p>
    <w:p w14:paraId="1DD85DA1" w14:textId="77777777" w:rsidR="006A74C6" w:rsidRPr="00910978" w:rsidRDefault="006A74C6">
      <w:pPr>
        <w:rPr>
          <w:lang w:val="cs-CZ"/>
        </w:rPr>
      </w:pPr>
    </w:p>
    <w:p w14:paraId="1DD85DA2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V roce 2023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uvedla na trh množství </w:t>
      </w:r>
      <w:r w:rsidRPr="00910978">
        <w:rPr>
          <w:b/>
          <w:bCs/>
          <w:lang w:val="cs-CZ"/>
        </w:rPr>
        <w:t>inovací</w:t>
      </w:r>
      <w:r w:rsidRPr="00910978">
        <w:rPr>
          <w:lang w:val="cs-CZ"/>
        </w:rPr>
        <w:t xml:space="preserve">, jež reagují na důležité trhové trendy a přinášejí přidanou hodnotu zákazníkům i spotřebitelům. Divize </w:t>
      </w:r>
      <w:proofErr w:type="spellStart"/>
      <w:r w:rsidRPr="00910978">
        <w:rPr>
          <w:lang w:val="cs-CZ"/>
        </w:rPr>
        <w:t>Adhesive</w:t>
      </w:r>
      <w:proofErr w:type="spellEnd"/>
      <w:r w:rsidRPr="00910978">
        <w:rPr>
          <w:lang w:val="cs-CZ"/>
        </w:rPr>
        <w:t xml:space="preserve"> Technologies představila nová řešení pro spoje kamerových čoček používaných v asistenčních systémech v automobilech, jež umožňuje rychlejší a masivnější výrobu kamerových systémů pro automobilový průmysl a zároveň zvyšuje bezpečnost autonomních vozidel nové generace. Obchodní divize </w:t>
      </w:r>
      <w:proofErr w:type="spellStart"/>
      <w:r w:rsidRPr="00910978">
        <w:rPr>
          <w:lang w:val="cs-CZ"/>
        </w:rPr>
        <w:t>Consumer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Brands</w:t>
      </w:r>
      <w:proofErr w:type="spellEnd"/>
      <w:r w:rsidRPr="00910978">
        <w:rPr>
          <w:lang w:val="cs-CZ"/>
        </w:rPr>
        <w:t xml:space="preserve"> představila na více než 30 trzích nový prací prostředek </w:t>
      </w:r>
      <w:proofErr w:type="spellStart"/>
      <w:r w:rsidRPr="00910978">
        <w:rPr>
          <w:lang w:val="cs-CZ"/>
        </w:rPr>
        <w:t>Persil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Deep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Clean</w:t>
      </w:r>
      <w:proofErr w:type="spellEnd"/>
      <w:r w:rsidRPr="00910978">
        <w:rPr>
          <w:lang w:val="cs-CZ"/>
        </w:rPr>
        <w:t xml:space="preserve"> s novým složením, jež využívá inovativní technologie založené na enzymech. Inovované složení přináší perfektní účinky </w:t>
      </w:r>
      <w:proofErr w:type="spellStart"/>
      <w:r w:rsidRPr="00910978">
        <w:rPr>
          <w:lang w:val="cs-CZ"/>
        </w:rPr>
        <w:t>pri</w:t>
      </w:r>
      <w:proofErr w:type="spellEnd"/>
      <w:r w:rsidRPr="00910978">
        <w:rPr>
          <w:lang w:val="cs-CZ"/>
        </w:rPr>
        <w:t xml:space="preserve"> odstraňování skvrn a zároveň zabraňuje vzniku nepříjemného pachu v pračce.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také restartovala celé portfolio stylingových produktů značky Got2b s úplně novým designem a lepší udržitelností díky veganským recepturám, přírodním složkám a ekologičtějším obalovým materiálům.</w:t>
      </w:r>
    </w:p>
    <w:p w14:paraId="1DD85DA3" w14:textId="77777777" w:rsidR="006A74C6" w:rsidRPr="00910978" w:rsidRDefault="006A74C6">
      <w:pPr>
        <w:rPr>
          <w:lang w:val="cs-CZ"/>
        </w:rPr>
      </w:pPr>
    </w:p>
    <w:p w14:paraId="1DD85DA4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 xml:space="preserve">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pokračovala také v dalším upevňovaní principů </w:t>
      </w:r>
      <w:r w:rsidRPr="00910978">
        <w:rPr>
          <w:b/>
          <w:bCs/>
          <w:lang w:val="cs-CZ"/>
        </w:rPr>
        <w:t xml:space="preserve">trvalé udržitelnosti </w:t>
      </w:r>
      <w:r w:rsidRPr="00910978">
        <w:rPr>
          <w:lang w:val="cs-CZ"/>
        </w:rPr>
        <w:t xml:space="preserve">ve svém podnikání. V této souvislosti je ochrana klimatu jedním z důležitých pilířů strategie trvalé udržitelnosti společnosti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pod názvem „</w:t>
      </w:r>
      <w:r w:rsidRPr="00910978">
        <w:rPr>
          <w:i/>
          <w:iCs/>
          <w:lang w:val="cs-CZ"/>
        </w:rPr>
        <w:t xml:space="preserve">2030+ </w:t>
      </w:r>
      <w:proofErr w:type="spellStart"/>
      <w:r w:rsidRPr="00910978">
        <w:rPr>
          <w:i/>
          <w:iCs/>
          <w:lang w:val="cs-CZ"/>
        </w:rPr>
        <w:t>Sustainability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Ambition</w:t>
      </w:r>
      <w:proofErr w:type="spellEnd"/>
      <w:r w:rsidRPr="00910978">
        <w:rPr>
          <w:i/>
          <w:iCs/>
          <w:lang w:val="cs-CZ"/>
        </w:rPr>
        <w:t xml:space="preserve"> Framework</w:t>
      </w:r>
      <w:r w:rsidRPr="00910978">
        <w:rPr>
          <w:lang w:val="cs-CZ"/>
        </w:rPr>
        <w:t>“, jejíž uplatňování společnost nadále prohlubuje v rámci celého hodnotového řetězce svého podnikání. Zvláštní důraz klade na zvýšení používání obnovitelných zdrojů energie s cílem přiblížit se naplnění svého ambiciózního cíle dosáhnout do roku 2030 klimatické neutrality svých provozů, kde se jí v uplynulém roce podařilo udělat významný pokrok. V roce 2023 společnost přešla na uhlíkově neutrální výrobu ve 14 provozovnách a do konce roku se jí podařilo snížit emise CO</w:t>
      </w:r>
      <w:r w:rsidRPr="00910978">
        <w:rPr>
          <w:vertAlign w:val="subscript"/>
          <w:lang w:val="cs-CZ"/>
        </w:rPr>
        <w:t>2</w:t>
      </w:r>
      <w:r w:rsidRPr="00910978">
        <w:rPr>
          <w:lang w:val="cs-CZ"/>
        </w:rPr>
        <w:t xml:space="preserve"> o 61 procent na tunu výroby ve srovnání s výchozím rokem 2010. V rámci aktivit pro zvýšení trvalé udržitelnosti se společnost zaměřuje také na lepší udržitelnost svého produktového portfolia, například v podobě zvýšeného používání obnovitelných a recyklovaných surovin a materiálů a systematičtějším sledováním pokroku, jehož se jí v této oblasti podařilo dosáhnout.</w:t>
      </w:r>
    </w:p>
    <w:p w14:paraId="1DD85DA6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lastRenderedPageBreak/>
        <w:t xml:space="preserve">Společnost dosáhla významného pokroku také v oblasti </w:t>
      </w:r>
      <w:r w:rsidRPr="00910978">
        <w:rPr>
          <w:b/>
          <w:bCs/>
          <w:lang w:val="cs-CZ"/>
        </w:rPr>
        <w:t>digitalizace</w:t>
      </w:r>
      <w:r w:rsidRPr="00910978">
        <w:rPr>
          <w:lang w:val="cs-CZ"/>
        </w:rPr>
        <w:t xml:space="preserve">. V rámci digitální divize </w:t>
      </w:r>
      <w:r w:rsidRPr="00A67B6F">
        <w:rPr>
          <w:i/>
          <w:iCs/>
          <w:lang w:val="cs-CZ"/>
        </w:rPr>
        <w:t>„</w:t>
      </w:r>
      <w:proofErr w:type="spellStart"/>
      <w:r w:rsidRPr="00A67B6F">
        <w:rPr>
          <w:i/>
          <w:iCs/>
          <w:lang w:val="cs-CZ"/>
        </w:rPr>
        <w:t>Henkel</w:t>
      </w:r>
      <w:proofErr w:type="spellEnd"/>
      <w:r w:rsidRPr="00A67B6F">
        <w:rPr>
          <w:i/>
          <w:iCs/>
          <w:lang w:val="cs-CZ"/>
        </w:rPr>
        <w:t xml:space="preserve"> </w:t>
      </w:r>
      <w:proofErr w:type="spellStart"/>
      <w:r w:rsidRPr="00A67B6F">
        <w:rPr>
          <w:i/>
          <w:iCs/>
          <w:lang w:val="cs-CZ"/>
        </w:rPr>
        <w:t>dx</w:t>
      </w:r>
      <w:proofErr w:type="spellEnd"/>
      <w:r w:rsidRPr="00A67B6F">
        <w:rPr>
          <w:i/>
          <w:iCs/>
          <w:lang w:val="cs-CZ"/>
        </w:rPr>
        <w:t>“</w:t>
      </w:r>
      <w:r w:rsidRPr="00910978">
        <w:rPr>
          <w:lang w:val="cs-CZ"/>
        </w:rPr>
        <w:t xml:space="preserve"> společnost pokračovala v optimalizaci jejích interních struktur, posílila rozvoj odborných digitálních dovedností a nadále prosazovala kulturu inovací. Společnost také prohloubila strategickou partnerskou spolupráci s předními světovými digitálními technologickými společnostmi jako SAP, Microsoft a Adobe, což jí umožňuje integrovat špičkové technologie do jejích digitálních platforem a projektů. Zrychlením zavádění digitálních inovací, konzistentní strategií rozvoje digitálních platforem a úzkou spoluprací všech obchodních divizí a funkcí byla společnost loni schopna dále zlepšovat efektivní používání informačních technologií a vytvářet si nové obchodní příležitosti, například na trzích B2B.</w:t>
      </w:r>
    </w:p>
    <w:p w14:paraId="1DD85DA7" w14:textId="77777777" w:rsidR="006A74C6" w:rsidRPr="00910978" w:rsidRDefault="006A74C6">
      <w:pPr>
        <w:rPr>
          <w:lang w:val="cs-CZ"/>
        </w:rPr>
      </w:pPr>
    </w:p>
    <w:p w14:paraId="1DD85DA8" w14:textId="77777777" w:rsidR="006A74C6" w:rsidRPr="00910978" w:rsidRDefault="005D26C7">
      <w:pPr>
        <w:rPr>
          <w:lang w:val="cs-CZ"/>
        </w:rPr>
      </w:pPr>
      <w:r w:rsidRPr="00910978">
        <w:rPr>
          <w:lang w:val="cs-CZ"/>
        </w:rPr>
        <w:t>V souladu s korporátním mottem „</w:t>
      </w:r>
      <w:proofErr w:type="spellStart"/>
      <w:r w:rsidRPr="00910978">
        <w:rPr>
          <w:i/>
          <w:iCs/>
          <w:lang w:val="cs-CZ"/>
        </w:rPr>
        <w:t>Pioneers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at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heart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of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the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good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of</w:t>
      </w:r>
      <w:proofErr w:type="spellEnd"/>
      <w:r w:rsidRPr="00910978">
        <w:rPr>
          <w:i/>
          <w:iCs/>
          <w:lang w:val="cs-CZ"/>
        </w:rPr>
        <w:t xml:space="preserve"> </w:t>
      </w:r>
      <w:proofErr w:type="spellStart"/>
      <w:r w:rsidRPr="00910978">
        <w:rPr>
          <w:i/>
          <w:iCs/>
          <w:lang w:val="cs-CZ"/>
        </w:rPr>
        <w:t>generations</w:t>
      </w:r>
      <w:proofErr w:type="spellEnd"/>
      <w:r w:rsidRPr="00910978">
        <w:rPr>
          <w:lang w:val="cs-CZ"/>
        </w:rPr>
        <w:t>“ a se zavedenými závazky „</w:t>
      </w:r>
      <w:r w:rsidRPr="00910978">
        <w:rPr>
          <w:i/>
          <w:iCs/>
          <w:lang w:val="cs-CZ"/>
        </w:rPr>
        <w:t xml:space="preserve">Leadership </w:t>
      </w:r>
      <w:proofErr w:type="spellStart"/>
      <w:r w:rsidRPr="00910978">
        <w:rPr>
          <w:i/>
          <w:iCs/>
          <w:lang w:val="cs-CZ"/>
        </w:rPr>
        <w:t>Commitments</w:t>
      </w:r>
      <w:proofErr w:type="spellEnd"/>
      <w:r w:rsidRPr="00910978">
        <w:rPr>
          <w:lang w:val="cs-CZ"/>
        </w:rPr>
        <w:t xml:space="preserve">“ společnost </w:t>
      </w:r>
      <w:proofErr w:type="spellStart"/>
      <w:r w:rsidRPr="00910978">
        <w:rPr>
          <w:lang w:val="cs-CZ"/>
        </w:rPr>
        <w:t>Henkel</w:t>
      </w:r>
      <w:proofErr w:type="spellEnd"/>
      <w:r w:rsidRPr="00910978">
        <w:rPr>
          <w:lang w:val="cs-CZ"/>
        </w:rPr>
        <w:t xml:space="preserve"> v loňském roce pokračovala také v posilování své </w:t>
      </w:r>
      <w:r w:rsidRPr="00910978">
        <w:rPr>
          <w:b/>
          <w:bCs/>
          <w:lang w:val="cs-CZ"/>
        </w:rPr>
        <w:t>firemní kultury.</w:t>
      </w:r>
      <w:r w:rsidRPr="00910978">
        <w:rPr>
          <w:lang w:val="cs-CZ"/>
        </w:rPr>
        <w:t xml:space="preserve"> Mezi další klíčové oblasti, na než se loni zaměřila, patří i holistický koncept „</w:t>
      </w:r>
      <w:r w:rsidRPr="00910978">
        <w:rPr>
          <w:i/>
          <w:iCs/>
          <w:lang w:val="cs-CZ"/>
        </w:rPr>
        <w:t xml:space="preserve">Smart </w:t>
      </w:r>
      <w:proofErr w:type="spellStart"/>
      <w:r w:rsidRPr="00910978">
        <w:rPr>
          <w:i/>
          <w:iCs/>
          <w:lang w:val="cs-CZ"/>
        </w:rPr>
        <w:t>Work</w:t>
      </w:r>
      <w:proofErr w:type="spellEnd"/>
      <w:r w:rsidRPr="00910978">
        <w:rPr>
          <w:lang w:val="cs-CZ"/>
        </w:rPr>
        <w:t>“, jež představuje globální rámec pro témata jako mobilní práce, digitální pracovní prostor nebo zdraví zaměstnanců, jakož i nové globální iniciativy v oblasti rozmanitosti, rovnosti a inkluze (DEI).</w:t>
      </w:r>
    </w:p>
    <w:p w14:paraId="1DD85DA9" w14:textId="77777777" w:rsidR="006A74C6" w:rsidRPr="00910978" w:rsidRDefault="006A74C6">
      <w:pPr>
        <w:rPr>
          <w:b/>
          <w:bCs/>
          <w:lang w:val="cs-CZ"/>
        </w:rPr>
      </w:pPr>
    </w:p>
    <w:p w14:paraId="1DD85DAA" w14:textId="5C8AA14D" w:rsidR="006A74C6" w:rsidRPr="00910978" w:rsidRDefault="005D26C7">
      <w:pPr>
        <w:rPr>
          <w:lang w:val="cs-CZ"/>
        </w:rPr>
      </w:pPr>
      <w:r w:rsidRPr="00A67B6F">
        <w:rPr>
          <w:i/>
          <w:iCs/>
          <w:lang w:val="cs-CZ"/>
        </w:rPr>
        <w:t>„V roce 2023 jsme dosáhli silných hospodářských výsledků, důsledně jsme implementovali naši agendu smysluplného růstu ve všech strategických oblastech a pokročili jsme v transformaci naší společnosti. Jsem pevně přesvědčen, že jsme na správné cestě a realizujeme správnou strategii. Do roku 2024 a následujících let se můžeme dívat s velkou měrou sebedůvěry a jsme v plné míře odhodláni naplnit své ambiciózní cíle,“</w:t>
      </w:r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zhrnul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Carsten</w:t>
      </w:r>
      <w:proofErr w:type="spellEnd"/>
      <w:r w:rsidRPr="00910978">
        <w:rPr>
          <w:lang w:val="cs-CZ"/>
        </w:rPr>
        <w:t xml:space="preserve"> </w:t>
      </w:r>
      <w:proofErr w:type="spellStart"/>
      <w:r w:rsidRPr="00910978">
        <w:rPr>
          <w:lang w:val="cs-CZ"/>
        </w:rPr>
        <w:t>Knobel</w:t>
      </w:r>
      <w:proofErr w:type="spellEnd"/>
      <w:r w:rsidRPr="00910978">
        <w:rPr>
          <w:lang w:val="cs-CZ"/>
        </w:rPr>
        <w:t>.</w:t>
      </w:r>
    </w:p>
    <w:p w14:paraId="2CFDE00D" w14:textId="77777777" w:rsidR="005D26C7" w:rsidRPr="00910978" w:rsidRDefault="005D26C7">
      <w:pPr>
        <w:rPr>
          <w:lang w:val="cs-CZ"/>
        </w:rPr>
      </w:pPr>
    </w:p>
    <w:p w14:paraId="2F672198" w14:textId="77777777" w:rsidR="00B25753" w:rsidRPr="00910978" w:rsidRDefault="00B25753" w:rsidP="00B25753">
      <w:pPr>
        <w:rPr>
          <w:b/>
          <w:bCs/>
          <w:sz w:val="18"/>
          <w:szCs w:val="18"/>
          <w:lang w:val="cs-CZ" w:bidi="bo-CN"/>
        </w:rPr>
      </w:pPr>
      <w:r w:rsidRPr="0091097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91097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280A3AE" w14:textId="77777777" w:rsidR="00B25753" w:rsidRPr="00910978" w:rsidRDefault="00B25753" w:rsidP="00B25753">
      <w:pPr>
        <w:rPr>
          <w:sz w:val="18"/>
          <w:szCs w:val="18"/>
          <w:lang w:val="cs-CZ" w:bidi="bo-CN"/>
        </w:rPr>
      </w:pPr>
      <w:r w:rsidRPr="0091097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910978">
        <w:rPr>
          <w:sz w:val="18"/>
          <w:szCs w:val="18"/>
          <w:lang w:val="cs-CZ" w:bidi="bo-CN"/>
        </w:rPr>
        <w:t>Henkel</w:t>
      </w:r>
      <w:proofErr w:type="spellEnd"/>
      <w:r w:rsidRPr="0091097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910978">
        <w:rPr>
          <w:sz w:val="18"/>
          <w:szCs w:val="18"/>
          <w:lang w:val="cs-CZ" w:bidi="bo-CN"/>
        </w:rPr>
        <w:t>Adhesive</w:t>
      </w:r>
      <w:proofErr w:type="spellEnd"/>
      <w:r w:rsidRPr="00910978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910978">
        <w:rPr>
          <w:sz w:val="18"/>
          <w:szCs w:val="18"/>
          <w:lang w:val="cs-CZ" w:bidi="bo-CN"/>
        </w:rPr>
        <w:t>Consumer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Brands</w:t>
      </w:r>
      <w:proofErr w:type="spellEnd"/>
      <w:r w:rsidRPr="0091097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910978">
        <w:rPr>
          <w:sz w:val="18"/>
          <w:szCs w:val="18"/>
          <w:lang w:val="cs-CZ" w:bidi="bo-CN"/>
        </w:rPr>
        <w:t>Loctite</w:t>
      </w:r>
      <w:proofErr w:type="spellEnd"/>
      <w:r w:rsidRPr="00910978">
        <w:rPr>
          <w:sz w:val="18"/>
          <w:szCs w:val="18"/>
          <w:lang w:val="cs-CZ" w:bidi="bo-CN"/>
        </w:rPr>
        <w:t xml:space="preserve">, </w:t>
      </w:r>
      <w:proofErr w:type="spellStart"/>
      <w:r w:rsidRPr="00910978">
        <w:rPr>
          <w:sz w:val="18"/>
          <w:szCs w:val="18"/>
          <w:lang w:val="cs-CZ" w:bidi="bo-CN"/>
        </w:rPr>
        <w:t>Persil</w:t>
      </w:r>
      <w:proofErr w:type="spellEnd"/>
      <w:r w:rsidRPr="00910978">
        <w:rPr>
          <w:sz w:val="18"/>
          <w:szCs w:val="18"/>
          <w:lang w:val="cs-CZ" w:bidi="bo-CN"/>
        </w:rPr>
        <w:t xml:space="preserve"> a </w:t>
      </w:r>
      <w:proofErr w:type="spellStart"/>
      <w:r w:rsidRPr="00910978">
        <w:rPr>
          <w:sz w:val="18"/>
          <w:szCs w:val="18"/>
          <w:lang w:val="cs-CZ" w:bidi="bo-CN"/>
        </w:rPr>
        <w:t>Schwarzkopf</w:t>
      </w:r>
      <w:proofErr w:type="spellEnd"/>
      <w:r w:rsidRPr="00910978">
        <w:rPr>
          <w:sz w:val="18"/>
          <w:szCs w:val="18"/>
          <w:lang w:val="cs-CZ" w:bidi="bo-CN"/>
        </w:rPr>
        <w:t xml:space="preserve">. Ve finančním roce 2023 vykázala společnost </w:t>
      </w:r>
      <w:proofErr w:type="spellStart"/>
      <w:r w:rsidRPr="00910978">
        <w:rPr>
          <w:sz w:val="18"/>
          <w:szCs w:val="18"/>
          <w:lang w:val="cs-CZ" w:bidi="bo-CN"/>
        </w:rPr>
        <w:t>Henkel</w:t>
      </w:r>
      <w:proofErr w:type="spellEnd"/>
      <w:r w:rsidRPr="00910978">
        <w:rPr>
          <w:sz w:val="18"/>
          <w:szCs w:val="18"/>
          <w:lang w:val="cs-CZ" w:bidi="bo-CN"/>
        </w:rPr>
        <w:t xml:space="preserve"> obrat ve výši přes 21,5 mld. eur a upravený provozní zisk přibližně ve výši 2,6 mld. eur. Prioritní akcie společnosti </w:t>
      </w:r>
      <w:proofErr w:type="spellStart"/>
      <w:r w:rsidRPr="00910978">
        <w:rPr>
          <w:sz w:val="18"/>
          <w:szCs w:val="18"/>
          <w:lang w:val="cs-CZ" w:bidi="bo-CN"/>
        </w:rPr>
        <w:t>Henkel</w:t>
      </w:r>
      <w:proofErr w:type="spellEnd"/>
      <w:r w:rsidRPr="0091097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910978">
        <w:rPr>
          <w:sz w:val="18"/>
          <w:szCs w:val="18"/>
          <w:lang w:val="cs-CZ" w:bidi="bo-CN"/>
        </w:rPr>
        <w:t>Henkel</w:t>
      </w:r>
      <w:proofErr w:type="spellEnd"/>
      <w:r w:rsidRPr="0091097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910978">
        <w:rPr>
          <w:sz w:val="18"/>
          <w:szCs w:val="18"/>
          <w:lang w:val="cs-CZ" w:bidi="bo-CN"/>
        </w:rPr>
        <w:t>Henkel</w:t>
      </w:r>
      <w:proofErr w:type="spellEnd"/>
      <w:r w:rsidRPr="00910978">
        <w:rPr>
          <w:sz w:val="18"/>
          <w:szCs w:val="18"/>
          <w:lang w:val="cs-CZ" w:bidi="bo-CN"/>
        </w:rPr>
        <w:t xml:space="preserve"> byla založena v roce 1876 a dnes celosvětově zaměstnává přes 48 000 zaměstnanců, již spojuje silná firemní kultura, společné hodnoty a společné poslání: „</w:t>
      </w:r>
      <w:proofErr w:type="spellStart"/>
      <w:r w:rsidRPr="00910978">
        <w:rPr>
          <w:sz w:val="18"/>
          <w:szCs w:val="18"/>
          <w:lang w:val="cs-CZ" w:bidi="bo-CN"/>
        </w:rPr>
        <w:t>Pioneers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at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heart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for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the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good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of</w:t>
      </w:r>
      <w:proofErr w:type="spellEnd"/>
      <w:r w:rsidRPr="00910978">
        <w:rPr>
          <w:sz w:val="18"/>
          <w:szCs w:val="18"/>
          <w:lang w:val="cs-CZ" w:bidi="bo-CN"/>
        </w:rPr>
        <w:t xml:space="preserve"> </w:t>
      </w:r>
      <w:proofErr w:type="spellStart"/>
      <w:r w:rsidRPr="00910978">
        <w:rPr>
          <w:sz w:val="18"/>
          <w:szCs w:val="18"/>
          <w:lang w:val="cs-CZ" w:bidi="bo-CN"/>
        </w:rPr>
        <w:t>generations</w:t>
      </w:r>
      <w:proofErr w:type="spellEnd"/>
      <w:r w:rsidRPr="00910978">
        <w:rPr>
          <w:sz w:val="18"/>
          <w:szCs w:val="18"/>
          <w:lang w:val="cs-CZ" w:bidi="bo-CN"/>
        </w:rPr>
        <w:t xml:space="preserve">“. Více informací najdete na stránkách </w:t>
      </w:r>
      <w:hyperlink r:id="rId9" w:history="1">
        <w:r w:rsidRPr="00910978">
          <w:rPr>
            <w:rStyle w:val="Hypertextovprepojenie"/>
            <w:sz w:val="18"/>
            <w:szCs w:val="18"/>
            <w:lang w:val="cs-CZ" w:bidi="bo-CN"/>
          </w:rPr>
          <w:t>www.henkel.com</w:t>
        </w:r>
      </w:hyperlink>
      <w:r w:rsidRPr="00910978">
        <w:rPr>
          <w:sz w:val="18"/>
          <w:szCs w:val="18"/>
          <w:lang w:val="cs-CZ" w:bidi="bo-CN"/>
        </w:rPr>
        <w:t xml:space="preserve">. </w:t>
      </w:r>
    </w:p>
    <w:p w14:paraId="3C140D6C" w14:textId="77777777" w:rsidR="00B25753" w:rsidRPr="00910978" w:rsidRDefault="00B25753" w:rsidP="00B25753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6853BF73" w14:textId="77777777" w:rsidR="00B25753" w:rsidRPr="00910978" w:rsidRDefault="00B25753" w:rsidP="00B25753">
      <w:pPr>
        <w:rPr>
          <w:sz w:val="18"/>
          <w:szCs w:val="18"/>
          <w:lang w:val="cs-CZ"/>
        </w:rPr>
      </w:pPr>
    </w:p>
    <w:p w14:paraId="6FE48919" w14:textId="04A2415B" w:rsidR="00B25753" w:rsidRPr="00910978" w:rsidRDefault="00B25753" w:rsidP="00B25753">
      <w:pPr>
        <w:rPr>
          <w:rStyle w:val="AboutandContactHeadline"/>
          <w:lang w:val="cs-CZ"/>
        </w:rPr>
      </w:pPr>
      <w:r w:rsidRPr="00910978">
        <w:rPr>
          <w:rStyle w:val="AboutandContactHeadline"/>
          <w:lang w:val="cs-CZ"/>
        </w:rPr>
        <w:t>Kontakt</w:t>
      </w:r>
    </w:p>
    <w:p w14:paraId="2D6C7A9F" w14:textId="77777777" w:rsidR="00B25753" w:rsidRPr="00910978" w:rsidRDefault="00B25753" w:rsidP="00B25753">
      <w:pPr>
        <w:rPr>
          <w:rStyle w:val="AboutandContactHeadline"/>
          <w:b w:val="0"/>
          <w:bCs w:val="0"/>
          <w:lang w:val="cs-CZ"/>
        </w:rPr>
      </w:pPr>
      <w:r w:rsidRPr="00910978">
        <w:rPr>
          <w:rStyle w:val="AboutandContactHeadline"/>
          <w:lang w:val="cs-CZ"/>
        </w:rPr>
        <w:t xml:space="preserve">Zuzana </w:t>
      </w:r>
      <w:proofErr w:type="spellStart"/>
      <w:r w:rsidRPr="00910978">
        <w:rPr>
          <w:rStyle w:val="AboutandContactHeadline"/>
          <w:lang w:val="cs-CZ"/>
        </w:rPr>
        <w:t>Kaňuchová</w:t>
      </w:r>
      <w:proofErr w:type="spellEnd"/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</w:p>
    <w:p w14:paraId="35A8E706" w14:textId="77777777" w:rsidR="00B25753" w:rsidRPr="00910978" w:rsidRDefault="00B25753" w:rsidP="00B25753">
      <w:pPr>
        <w:rPr>
          <w:rStyle w:val="AboutandContactHeadline"/>
          <w:b w:val="0"/>
          <w:bCs w:val="0"/>
          <w:lang w:val="cs-CZ"/>
        </w:rPr>
      </w:pPr>
      <w:r w:rsidRPr="00910978">
        <w:rPr>
          <w:rStyle w:val="AboutandContactHeadline"/>
          <w:lang w:val="cs-CZ"/>
        </w:rPr>
        <w:t>Ředitelka korporátní komunikace CEE</w:t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</w:p>
    <w:p w14:paraId="2BB3B30A" w14:textId="77777777" w:rsidR="00B25753" w:rsidRPr="00910978" w:rsidRDefault="00B25753" w:rsidP="00B25753">
      <w:pPr>
        <w:rPr>
          <w:rStyle w:val="AboutandContactHeadline"/>
          <w:b w:val="0"/>
          <w:bCs w:val="0"/>
          <w:lang w:val="cs-CZ"/>
        </w:rPr>
      </w:pPr>
    </w:p>
    <w:p w14:paraId="27E842A7" w14:textId="77777777" w:rsidR="00B25753" w:rsidRPr="00910978" w:rsidRDefault="00B25753" w:rsidP="00B25753">
      <w:pPr>
        <w:rPr>
          <w:rStyle w:val="AboutandContactHeadline"/>
          <w:b w:val="0"/>
          <w:bCs w:val="0"/>
          <w:lang w:val="cs-CZ"/>
        </w:rPr>
      </w:pPr>
      <w:r w:rsidRPr="00910978">
        <w:rPr>
          <w:rStyle w:val="AboutandContactHeadline"/>
          <w:lang w:val="cs-CZ"/>
        </w:rPr>
        <w:t>Telefon: +421 917 160 597</w:t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  <w:r w:rsidRPr="00910978">
        <w:rPr>
          <w:rStyle w:val="AboutandContactHeadline"/>
          <w:lang w:val="cs-CZ"/>
        </w:rPr>
        <w:tab/>
      </w:r>
    </w:p>
    <w:p w14:paraId="1451C71B" w14:textId="77777777" w:rsidR="00B25753" w:rsidRPr="00910978" w:rsidRDefault="00B25753" w:rsidP="00B25753">
      <w:pPr>
        <w:rPr>
          <w:rStyle w:val="AboutandContactHeadline"/>
          <w:b w:val="0"/>
          <w:bCs w:val="0"/>
          <w:lang w:val="cs-CZ"/>
        </w:rPr>
      </w:pPr>
      <w:r w:rsidRPr="00910978">
        <w:rPr>
          <w:rStyle w:val="AboutandContactHeadline"/>
          <w:lang w:val="cs-CZ"/>
        </w:rPr>
        <w:lastRenderedPageBreak/>
        <w:t xml:space="preserve">E-mail: </w:t>
      </w:r>
      <w:hyperlink r:id="rId10" w:history="1">
        <w:r w:rsidRPr="00910978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41E7479" w14:textId="77777777" w:rsidR="00B25753" w:rsidRPr="00B25753" w:rsidRDefault="00B25753">
      <w:pPr>
        <w:rPr>
          <w:lang w:val="cs-CZ"/>
        </w:rPr>
      </w:pPr>
    </w:p>
    <w:sectPr w:rsidR="00B25753" w:rsidRPr="00B2575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44" w:right="1411" w:bottom="1843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5DB5" w14:textId="77777777" w:rsidR="005D26C7" w:rsidRDefault="005D26C7">
      <w:pPr>
        <w:spacing w:line="240" w:lineRule="auto"/>
      </w:pPr>
      <w:r>
        <w:separator/>
      </w:r>
    </w:p>
  </w:endnote>
  <w:endnote w:type="continuationSeparator" w:id="0">
    <w:p w14:paraId="1DD85DB7" w14:textId="77777777" w:rsidR="005D26C7" w:rsidRDefault="005D2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DAE" w14:textId="4B187A13" w:rsidR="006A74C6" w:rsidRDefault="005D26C7">
    <w:pPr>
      <w:pStyle w:val="Pta"/>
      <w:tabs>
        <w:tab w:val="clear" w:pos="7083"/>
        <w:tab w:val="clear" w:pos="8640"/>
        <w:tab w:val="right" w:pos="9058"/>
      </w:tabs>
      <w:jc w:val="both"/>
    </w:pPr>
    <w:r>
      <w:t xml:space="preserve">Henkel AG &amp; Co. </w:t>
    </w:r>
    <w:proofErr w:type="spellStart"/>
    <w:r>
      <w:t>KGaA</w:t>
    </w:r>
    <w:proofErr w:type="spellEnd"/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25753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B2575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DB0" w14:textId="330F4453" w:rsidR="006A74C6" w:rsidRDefault="005D26C7">
    <w:pPr>
      <w:pStyle w:val="Pta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25753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B257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5DB1" w14:textId="77777777" w:rsidR="005D26C7" w:rsidRDefault="005D26C7">
      <w:pPr>
        <w:spacing w:line="240" w:lineRule="auto"/>
      </w:pPr>
      <w:r>
        <w:separator/>
      </w:r>
    </w:p>
  </w:footnote>
  <w:footnote w:type="continuationSeparator" w:id="0">
    <w:p w14:paraId="1DD85DB3" w14:textId="77777777" w:rsidR="005D26C7" w:rsidRDefault="005D2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DAD" w14:textId="77777777" w:rsidR="006A74C6" w:rsidRDefault="006A74C6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DAF" w14:textId="77777777" w:rsidR="006A74C6" w:rsidRDefault="005D26C7">
    <w:pPr>
      <w:pStyle w:val="Hlavika"/>
      <w:tabs>
        <w:tab w:val="clear" w:pos="9356"/>
        <w:tab w:val="right" w:pos="905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D85DB1" wp14:editId="1DD85DB2">
          <wp:simplePos x="0" y="0"/>
          <wp:positionH relativeFrom="page">
            <wp:posOffset>5877592</wp:posOffset>
          </wp:positionH>
          <wp:positionV relativeFrom="page">
            <wp:posOffset>-327137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DD85DB3" wp14:editId="1DD85DB4">
          <wp:simplePos x="0" y="0"/>
          <wp:positionH relativeFrom="page">
            <wp:posOffset>895985</wp:posOffset>
          </wp:positionH>
          <wp:positionV relativeFrom="page">
            <wp:posOffset>9395460</wp:posOffset>
          </wp:positionV>
          <wp:extent cx="5317636" cy="478792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17636" cy="4787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spellStart"/>
    <w:r>
      <w:t>Tisková</w:t>
    </w:r>
    <w:proofErr w:type="spellEnd"/>
    <w:r>
      <w:t xml:space="preserve"> </w:t>
    </w:r>
    <w:proofErr w:type="spellStart"/>
    <w: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E3E"/>
    <w:multiLevelType w:val="hybridMultilevel"/>
    <w:tmpl w:val="E3F49CCE"/>
    <w:numStyleLink w:val="Importovantl1"/>
  </w:abstractNum>
  <w:abstractNum w:abstractNumId="1" w15:restartNumberingAfterBreak="0">
    <w:nsid w:val="7CA10397"/>
    <w:multiLevelType w:val="hybridMultilevel"/>
    <w:tmpl w:val="E3F49CCE"/>
    <w:styleLink w:val="Importovantl1"/>
    <w:lvl w:ilvl="0" w:tplc="19BEF08C">
      <w:start w:val="1"/>
      <w:numFmt w:val="bullet"/>
      <w:lvlText w:val="▪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EEAA2A2">
      <w:start w:val="1"/>
      <w:numFmt w:val="bullet"/>
      <w:lvlText w:val="-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D3308914">
      <w:start w:val="1"/>
      <w:numFmt w:val="bullet"/>
      <w:lvlText w:val="▪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4388268A">
      <w:start w:val="1"/>
      <w:numFmt w:val="bullet"/>
      <w:lvlText w:val="•"/>
      <w:lvlJc w:val="left"/>
      <w:pPr>
        <w:ind w:left="21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0158FC34">
      <w:start w:val="1"/>
      <w:numFmt w:val="bullet"/>
      <w:lvlText w:val="o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EEB8C22C">
      <w:start w:val="1"/>
      <w:numFmt w:val="bullet"/>
      <w:lvlText w:val="▪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B01210B0">
      <w:start w:val="1"/>
      <w:numFmt w:val="bullet"/>
      <w:lvlText w:val="•"/>
      <w:lvlJc w:val="left"/>
      <w:pPr>
        <w:ind w:left="43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A7945984">
      <w:start w:val="1"/>
      <w:numFmt w:val="bullet"/>
      <w:lvlText w:val="o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911A2520">
      <w:start w:val="1"/>
      <w:numFmt w:val="bullet"/>
      <w:lvlText w:val="▪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1352648">
    <w:abstractNumId w:val="1"/>
  </w:num>
  <w:num w:numId="2" w16cid:durableId="1785416699">
    <w:abstractNumId w:val="0"/>
  </w:num>
  <w:num w:numId="3" w16cid:durableId="615218716">
    <w:abstractNumId w:val="0"/>
    <w:lvlOverride w:ilvl="0">
      <w:lvl w:ilvl="0" w:tplc="4AA4F9C8">
        <w:start w:val="1"/>
        <w:numFmt w:val="bullet"/>
        <w:lvlText w:val="▪"/>
        <w:lvlJc w:val="left"/>
        <w:pPr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510243A">
        <w:start w:val="1"/>
        <w:numFmt w:val="bullet"/>
        <w:lvlText w:val="-"/>
        <w:lvlJc w:val="left"/>
        <w:pPr>
          <w:ind w:left="107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485390">
        <w:start w:val="1"/>
        <w:numFmt w:val="bullet"/>
        <w:lvlText w:val="▪"/>
        <w:lvlJc w:val="left"/>
        <w:pPr>
          <w:ind w:left="179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9CBB26">
        <w:start w:val="1"/>
        <w:numFmt w:val="bullet"/>
        <w:lvlText w:val="•"/>
        <w:lvlJc w:val="left"/>
        <w:pPr>
          <w:ind w:left="251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D48A18">
        <w:start w:val="1"/>
        <w:numFmt w:val="bullet"/>
        <w:lvlText w:val="o"/>
        <w:lvlJc w:val="left"/>
        <w:pPr>
          <w:ind w:left="323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DE2C02">
        <w:start w:val="1"/>
        <w:numFmt w:val="bullet"/>
        <w:lvlText w:val="▪"/>
        <w:lvlJc w:val="left"/>
        <w:pPr>
          <w:ind w:left="39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A0EE8E">
        <w:start w:val="1"/>
        <w:numFmt w:val="bullet"/>
        <w:lvlText w:val="•"/>
        <w:lvlJc w:val="left"/>
        <w:pPr>
          <w:ind w:left="467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C6B856">
        <w:start w:val="1"/>
        <w:numFmt w:val="bullet"/>
        <w:lvlText w:val="o"/>
        <w:lvlJc w:val="left"/>
        <w:pPr>
          <w:ind w:left="539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A6DDDE">
        <w:start w:val="1"/>
        <w:numFmt w:val="bullet"/>
        <w:lvlText w:val="▪"/>
        <w:lvlJc w:val="left"/>
        <w:pPr>
          <w:ind w:left="611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C6"/>
    <w:rsid w:val="00320C99"/>
    <w:rsid w:val="005D26C7"/>
    <w:rsid w:val="006A74C6"/>
    <w:rsid w:val="00901F1C"/>
    <w:rsid w:val="00910978"/>
    <w:rsid w:val="00A67B6F"/>
    <w:rsid w:val="00B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5D50"/>
  <w15:docId w15:val="{76031A2B-5166-4473-9AD9-95DFC78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paragraph" w:styleId="Odsekzoznamu">
    <w:name w:val="List Paragraph"/>
    <w:pPr>
      <w:spacing w:line="276" w:lineRule="auto"/>
      <w:ind w:left="720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He04Funote">
    <w:name w:val="_He_04_Fußnote"/>
    <w:next w:val="Normlny"/>
    <w:pPr>
      <w:tabs>
        <w:tab w:val="left" w:pos="85"/>
      </w:tabs>
      <w:spacing w:line="256" w:lineRule="auto"/>
      <w:ind w:left="85" w:hanging="85"/>
      <w:jc w:val="both"/>
    </w:pPr>
    <w:rPr>
      <w:rFonts w:ascii="Segoe UI" w:eastAsia="Segoe UI" w:hAnsi="Segoe UI" w:cs="Segoe UI"/>
      <w:color w:val="000000"/>
      <w:sz w:val="15"/>
      <w:szCs w:val="15"/>
      <w:u w:color="000000"/>
      <w:lang w:val="de-DE"/>
    </w:rPr>
  </w:style>
  <w:style w:type="character" w:customStyle="1" w:styleId="AboutandContactHeadline">
    <w:name w:val="About and Contact Headline"/>
    <w:rsid w:val="00B25753"/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DD40B-6D4D-44F9-9C4A-8F4A9419A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35178-A175-4F11-ADAA-2580B1832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3108</Words>
  <Characters>17717</Characters>
  <Application>Microsoft Office Word</Application>
  <DocSecurity>0</DocSecurity>
  <Lines>147</Lines>
  <Paragraphs>41</Paragraphs>
  <ScaleCrop>false</ScaleCrop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7</cp:revision>
  <dcterms:created xsi:type="dcterms:W3CDTF">2024-03-11T09:23:00Z</dcterms:created>
  <dcterms:modified xsi:type="dcterms:W3CDTF">2024-03-22T12:24:00Z</dcterms:modified>
</cp:coreProperties>
</file>