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DCCCC08" w:rsidR="00B422EC" w:rsidRPr="0034498A" w:rsidRDefault="00081692" w:rsidP="00E619D8">
      <w:pPr>
        <w:pStyle w:val="MonthDayYear"/>
        <w:tabs>
          <w:tab w:val="left" w:pos="7371"/>
        </w:tabs>
      </w:pPr>
      <w:r w:rsidRPr="0034498A">
        <w:tab/>
      </w:r>
      <w:r w:rsidR="00B177C9">
        <w:t>3</w:t>
      </w:r>
      <w:r w:rsidRPr="0034498A">
        <w:t> mai 2024</w:t>
      </w:r>
    </w:p>
    <w:p w14:paraId="498FDB4B" w14:textId="22887E19" w:rsidR="00C80467" w:rsidRPr="0034498A" w:rsidRDefault="00DA74BC" w:rsidP="00C80467">
      <w:pPr>
        <w:pStyle w:val="Topline"/>
        <w:spacing w:after="360"/>
        <w:rPr>
          <w:rFonts w:asciiTheme="majorHAnsi" w:hAnsiTheme="majorHAnsi" w:cstheme="majorHAnsi"/>
        </w:rPr>
      </w:pPr>
      <w:r w:rsidRPr="0034498A">
        <w:rPr>
          <w:rFonts w:asciiTheme="majorHAnsi" w:hAnsiTheme="majorHAnsi"/>
        </w:rPr>
        <w:t>Un très bon début d’exercice</w:t>
      </w:r>
      <w:r w:rsidR="00B177C9">
        <w:rPr>
          <w:rFonts w:asciiTheme="majorHAnsi" w:hAnsiTheme="majorHAnsi"/>
        </w:rPr>
        <w:t xml:space="preserve"> 2024</w:t>
      </w:r>
    </w:p>
    <w:p w14:paraId="2EDCBB4B" w14:textId="2DEF2C2C" w:rsidR="00C80467" w:rsidRPr="0034498A" w:rsidRDefault="00DA74BC" w:rsidP="00C80467">
      <w:pPr>
        <w:jc w:val="left"/>
        <w:rPr>
          <w:rStyle w:val="Headline"/>
          <w:rFonts w:asciiTheme="majorHAnsi" w:hAnsiTheme="majorHAnsi" w:cstheme="majorHAnsi"/>
        </w:rPr>
      </w:pPr>
      <w:r w:rsidRPr="0034498A">
        <w:rPr>
          <w:rStyle w:val="Headline"/>
          <w:rFonts w:asciiTheme="majorHAnsi" w:hAnsiTheme="majorHAnsi"/>
        </w:rPr>
        <w:t>Henkel revoit ses perspectives de ventes et de bénéfices à la hausse pour 2024</w:t>
      </w:r>
    </w:p>
    <w:p w14:paraId="6509E710" w14:textId="77777777" w:rsidR="00C80467" w:rsidRPr="0034498A" w:rsidRDefault="00C80467" w:rsidP="00C80467"/>
    <w:p w14:paraId="33BC536A" w14:textId="5BADE272" w:rsidR="00C80467" w:rsidRPr="0034498A" w:rsidRDefault="007A00A2" w:rsidP="00C80467">
      <w:pPr>
        <w:rPr>
          <w:rFonts w:cs="Segoe UI"/>
          <w:szCs w:val="22"/>
        </w:rPr>
      </w:pPr>
      <w:r w:rsidRPr="0034498A">
        <w:t xml:space="preserve">Düsseldorf - Sur la base de la très bonne marche des affaires depuis le début de l’année et des prévisions pour le reste de l’année, le </w:t>
      </w:r>
      <w:r w:rsidR="00800CB1">
        <w:t>C</w:t>
      </w:r>
      <w:r w:rsidRPr="0034498A">
        <w:t xml:space="preserve">omité de </w:t>
      </w:r>
      <w:r w:rsidR="00800CB1">
        <w:t>D</w:t>
      </w:r>
      <w:r w:rsidRPr="0034498A">
        <w:t xml:space="preserve">irection de Henkel AG &amp; Co. </w:t>
      </w:r>
      <w:proofErr w:type="spellStart"/>
      <w:r w:rsidRPr="0034498A">
        <w:t>KGaA</w:t>
      </w:r>
      <w:proofErr w:type="spellEnd"/>
      <w:r w:rsidRPr="0034498A">
        <w:t xml:space="preserve"> a décidé aujourd’hui de revoir à la hausse les perspectives publiées au début du mois de mars pour l’exercice en cours.</w:t>
      </w:r>
    </w:p>
    <w:p w14:paraId="0BEC9DDA" w14:textId="77777777" w:rsidR="00C80467" w:rsidRPr="0034498A" w:rsidRDefault="00C80467" w:rsidP="00C80467">
      <w:pPr>
        <w:rPr>
          <w:rStyle w:val="AboutandContactHeadline"/>
          <w:sz w:val="22"/>
          <w:szCs w:val="22"/>
        </w:rPr>
      </w:pPr>
    </w:p>
    <w:p w14:paraId="786DD48B" w14:textId="6A1336A8" w:rsidR="00B1118A" w:rsidRPr="0034498A" w:rsidRDefault="005C5636" w:rsidP="00DA74BC">
      <w:pPr>
        <w:rPr>
          <w:rFonts w:cs="Arial"/>
          <w:szCs w:val="22"/>
        </w:rPr>
      </w:pPr>
      <w:r w:rsidRPr="0034498A">
        <w:t>Les attentes concernant les ventes et les bénéfices de Henkel ont été revues à la hausse :</w:t>
      </w:r>
    </w:p>
    <w:p w14:paraId="13281A90" w14:textId="77777777" w:rsidR="005E1DB5" w:rsidRPr="0034498A" w:rsidRDefault="005E1DB5" w:rsidP="00DA74BC">
      <w:pPr>
        <w:rPr>
          <w:rFonts w:cs="Arial"/>
          <w:szCs w:val="22"/>
        </w:rPr>
      </w:pPr>
    </w:p>
    <w:p w14:paraId="0D908378" w14:textId="1F4C66D5" w:rsidR="00DA74BC" w:rsidRPr="0034498A" w:rsidRDefault="00DA74BC" w:rsidP="00C21EBD">
      <w:pPr>
        <w:pStyle w:val="He01FlietextAufzhlung1Ebene"/>
        <w:numPr>
          <w:ilvl w:val="0"/>
          <w:numId w:val="13"/>
        </w:numPr>
        <w:spacing w:after="120"/>
        <w:ind w:left="720" w:hanging="357"/>
        <w:rPr>
          <w:b/>
          <w:bCs/>
        </w:rPr>
      </w:pPr>
      <w:r w:rsidRPr="0034498A">
        <w:rPr>
          <w:b/>
        </w:rPr>
        <w:t xml:space="preserve">Croissance organique des ventes : </w:t>
      </w:r>
      <w:r w:rsidRPr="0034498A">
        <w:t>2,5 à 4,5 % (précédemment : 2,0 à 4,0 %)</w:t>
      </w:r>
    </w:p>
    <w:p w14:paraId="7C1043F8" w14:textId="13B01969" w:rsidR="00DA74BC" w:rsidRPr="0034498A" w:rsidRDefault="00DA74BC" w:rsidP="00C21EBD">
      <w:pPr>
        <w:pStyle w:val="Paragraphedeliste"/>
        <w:numPr>
          <w:ilvl w:val="0"/>
          <w:numId w:val="14"/>
        </w:numPr>
        <w:spacing w:after="120"/>
      </w:pPr>
      <w:proofErr w:type="spellStart"/>
      <w:r w:rsidRPr="0034498A">
        <w:t>Adhesive</w:t>
      </w:r>
      <w:proofErr w:type="spellEnd"/>
      <w:r w:rsidRPr="0034498A">
        <w:t xml:space="preserve"> Technologies : 2,0 à 4,0 % (inchangé)</w:t>
      </w:r>
    </w:p>
    <w:p w14:paraId="170C75D6" w14:textId="5111CDBF" w:rsidR="00DA74BC" w:rsidRPr="0034498A" w:rsidRDefault="00DA74BC" w:rsidP="00C21EBD">
      <w:pPr>
        <w:pStyle w:val="Paragraphedeliste"/>
        <w:numPr>
          <w:ilvl w:val="0"/>
          <w:numId w:val="14"/>
        </w:numPr>
        <w:spacing w:after="120"/>
      </w:pPr>
      <w:r w:rsidRPr="0034498A">
        <w:t>Consumer Brands : 3,0 à 5,0 % (précédemment : 2,0 à 4,0 %)</w:t>
      </w:r>
    </w:p>
    <w:p w14:paraId="54114638" w14:textId="4D5BAD91" w:rsidR="00DA74BC" w:rsidRPr="0034498A" w:rsidRDefault="001002C6" w:rsidP="00C21EBD">
      <w:pPr>
        <w:pStyle w:val="He01FlietextAufzhlung1Ebene"/>
        <w:numPr>
          <w:ilvl w:val="0"/>
          <w:numId w:val="13"/>
        </w:numPr>
        <w:spacing w:after="120"/>
        <w:ind w:left="720" w:hanging="357"/>
        <w:rPr>
          <w:b/>
          <w:bCs/>
        </w:rPr>
      </w:pPr>
      <w:r w:rsidRPr="0034498A">
        <w:rPr>
          <w:b/>
        </w:rPr>
        <w:t xml:space="preserve">Rentabilité ajustée des ventes : </w:t>
      </w:r>
      <w:r w:rsidRPr="0034498A">
        <w:t>13,0 à 14,0 % (précédemment : 12,0 à 13,5 %)</w:t>
      </w:r>
    </w:p>
    <w:p w14:paraId="35BFA404" w14:textId="538F6696" w:rsidR="00DA74BC" w:rsidRPr="0034498A" w:rsidRDefault="00DA74BC" w:rsidP="00C21EBD">
      <w:pPr>
        <w:pStyle w:val="Paragraphedeliste"/>
        <w:numPr>
          <w:ilvl w:val="0"/>
          <w:numId w:val="14"/>
        </w:numPr>
        <w:spacing w:after="120"/>
      </w:pPr>
      <w:proofErr w:type="spellStart"/>
      <w:r w:rsidRPr="0034498A">
        <w:t>Adhesive</w:t>
      </w:r>
      <w:proofErr w:type="spellEnd"/>
      <w:r w:rsidRPr="0034498A">
        <w:t xml:space="preserve"> Technologies : 16,0 à 17,0 % (précédemment : 15,0 à 16,5 %)</w:t>
      </w:r>
    </w:p>
    <w:p w14:paraId="140406D8" w14:textId="6977531C" w:rsidR="00DA74BC" w:rsidRPr="0034498A" w:rsidRDefault="00DA74BC" w:rsidP="00C21EBD">
      <w:pPr>
        <w:pStyle w:val="Paragraphedeliste"/>
        <w:numPr>
          <w:ilvl w:val="0"/>
          <w:numId w:val="14"/>
        </w:numPr>
        <w:spacing w:after="120"/>
      </w:pPr>
      <w:r w:rsidRPr="0034498A">
        <w:t>Consumer Brands : 12,0 à 13,0 % (précédemment : 11,0 à 12,5 %)</w:t>
      </w:r>
    </w:p>
    <w:p w14:paraId="79875AB1" w14:textId="38D51F0F" w:rsidR="00DA74BC" w:rsidRPr="0034498A" w:rsidRDefault="001002C6" w:rsidP="00C21EBD">
      <w:pPr>
        <w:pStyle w:val="He01FlietextAufzhlung1Ebene"/>
        <w:numPr>
          <w:ilvl w:val="0"/>
          <w:numId w:val="13"/>
        </w:numPr>
        <w:spacing w:after="120"/>
        <w:ind w:left="720" w:hanging="357"/>
      </w:pPr>
      <w:r w:rsidRPr="0034498A">
        <w:rPr>
          <w:b/>
        </w:rPr>
        <w:t xml:space="preserve">Bénéfice par action privilégiée (EPS) : </w:t>
      </w:r>
      <w:r w:rsidRPr="0034498A">
        <w:t>Augmentation de l’ordre de +15,0 à +25,0 % à taux de change constants (précédemment : +5,0 à 20,0 %)</w:t>
      </w:r>
    </w:p>
    <w:p w14:paraId="55F95C36" w14:textId="77777777" w:rsidR="00DA74BC" w:rsidRPr="0034498A" w:rsidRDefault="00DA74BC">
      <w:pPr>
        <w:spacing w:line="240" w:lineRule="auto"/>
        <w:jc w:val="left"/>
        <w:rPr>
          <w:rFonts w:eastAsia="PMingLiU"/>
          <w:b/>
          <w:bCs/>
          <w:szCs w:val="22"/>
        </w:rPr>
      </w:pPr>
    </w:p>
    <w:p w14:paraId="626F7FBB" w14:textId="1EEF3CE5" w:rsidR="001002C6" w:rsidRPr="0034498A" w:rsidRDefault="002A0FA6" w:rsidP="001002C6">
      <w:pPr>
        <w:rPr>
          <w:rFonts w:cs="Segoe UI"/>
          <w:szCs w:val="22"/>
        </w:rPr>
      </w:pPr>
      <w:r w:rsidRPr="0034498A">
        <w:t>« Le très bon début d’année et la revue à la hausse de ce jour des perspectives pour l’ensemble de l’année montrent très clairement que nous sommes sur la bonne voie en ce qui concerne notre p</w:t>
      </w:r>
      <w:r w:rsidR="00800CB1">
        <w:t>lan</w:t>
      </w:r>
      <w:r w:rsidRPr="0034498A">
        <w:t xml:space="preserve"> de croissance. Nous avons toujours souligné que nous voulions </w:t>
      </w:r>
      <w:r w:rsidR="00092890">
        <w:t>obtenir des résultats</w:t>
      </w:r>
      <w:r w:rsidRPr="0034498A">
        <w:t xml:space="preserve">. Et c’est ce que nous faisons. Les changements initiés dans les deux </w:t>
      </w:r>
      <w:r w:rsidR="00800CB1">
        <w:t>branches</w:t>
      </w:r>
      <w:r w:rsidR="00E10C8F">
        <w:t xml:space="preserve"> d’activités</w:t>
      </w:r>
      <w:r w:rsidR="00800CB1">
        <w:t xml:space="preserve"> </w:t>
      </w:r>
      <w:r w:rsidRPr="0034498A">
        <w:t xml:space="preserve">donnent </w:t>
      </w:r>
      <w:r w:rsidR="00E10C8F">
        <w:t xml:space="preserve">clairement </w:t>
      </w:r>
      <w:r w:rsidRPr="0034498A">
        <w:t>des résultats s », a déclaré Carsten Knobel, P</w:t>
      </w:r>
      <w:r w:rsidR="00800CB1">
        <w:t>résident du Comité de Direction</w:t>
      </w:r>
      <w:r w:rsidRPr="0034498A">
        <w:t xml:space="preserve"> de Henkel. </w:t>
      </w:r>
    </w:p>
    <w:p w14:paraId="6A841594" w14:textId="77777777" w:rsidR="001002C6" w:rsidRPr="0034498A" w:rsidRDefault="001002C6" w:rsidP="001002C6">
      <w:pPr>
        <w:rPr>
          <w:rFonts w:cs="Segoe UI"/>
          <w:szCs w:val="22"/>
        </w:rPr>
      </w:pPr>
    </w:p>
    <w:p w14:paraId="4040A932" w14:textId="3D4E26F9" w:rsidR="002F6850" w:rsidRPr="0034498A" w:rsidRDefault="002F6850" w:rsidP="00B334DA">
      <w:pPr>
        <w:rPr>
          <w:rFonts w:cs="Segoe UI"/>
          <w:szCs w:val="22"/>
        </w:rPr>
      </w:pPr>
      <w:r w:rsidRPr="0034498A">
        <w:lastRenderedPageBreak/>
        <w:t>Le</w:t>
      </w:r>
      <w:r w:rsidR="00570851">
        <w:t xml:space="preserve"> relèvement des</w:t>
      </w:r>
      <w:r w:rsidRPr="0034498A">
        <w:t xml:space="preserve"> attentes pour 2024 </w:t>
      </w:r>
      <w:r w:rsidR="00570851">
        <w:t>est</w:t>
      </w:r>
      <w:r w:rsidRPr="0034498A">
        <w:t xml:space="preserve"> soutenu par les deux</w:t>
      </w:r>
      <w:r w:rsidR="00800CB1">
        <w:t xml:space="preserve"> branches</w:t>
      </w:r>
      <w:r w:rsidR="00E10C8F">
        <w:t xml:space="preserve"> d’</w:t>
      </w:r>
      <w:r w:rsidR="00092890">
        <w:t>activités</w:t>
      </w:r>
      <w:r w:rsidRPr="0034498A">
        <w:t xml:space="preserve">. </w:t>
      </w:r>
      <w:r w:rsidR="00800CB1">
        <w:t xml:space="preserve">Concernant la branche </w:t>
      </w:r>
      <w:proofErr w:type="spellStart"/>
      <w:r w:rsidRPr="0034498A">
        <w:t>Adhesive</w:t>
      </w:r>
      <w:proofErr w:type="spellEnd"/>
      <w:r w:rsidRPr="0034498A">
        <w:t xml:space="preserve"> Technologies, l’évolution globalement plus robuste de l’activité et de la marge brute dans un environnement de marché toujours difficile, ainsi que la reprise du marché dans l</w:t>
      </w:r>
      <w:r w:rsidR="00800CB1">
        <w:t>e secteur</w:t>
      </w:r>
      <w:r w:rsidRPr="0034498A">
        <w:t xml:space="preserve"> Electronics, ont un impact positif sur les résultats. </w:t>
      </w:r>
    </w:p>
    <w:p w14:paraId="19C4708D" w14:textId="77777777" w:rsidR="00800CB1" w:rsidRDefault="00800CB1" w:rsidP="00CE134D">
      <w:pPr>
        <w:rPr>
          <w:rFonts w:cs="Segoe UI"/>
          <w:szCs w:val="22"/>
        </w:rPr>
      </w:pPr>
    </w:p>
    <w:p w14:paraId="7A48540D" w14:textId="14F66851" w:rsidR="00B334DA" w:rsidRPr="0034498A" w:rsidRDefault="00800CB1" w:rsidP="00CE134D">
      <w:pPr>
        <w:rPr>
          <w:rFonts w:cs="Segoe UI"/>
          <w:szCs w:val="22"/>
        </w:rPr>
      </w:pPr>
      <w:r>
        <w:rPr>
          <w:rFonts w:cs="Segoe UI"/>
          <w:szCs w:val="22"/>
        </w:rPr>
        <w:t xml:space="preserve">Concernant la branche </w:t>
      </w:r>
      <w:r w:rsidR="00B334DA" w:rsidRPr="0034498A">
        <w:t xml:space="preserve">Consumer Brands, la mise en œuvre de mesures et d’initiatives stratégiques </w:t>
      </w:r>
      <w:proofErr w:type="gramStart"/>
      <w:r w:rsidR="00B334DA" w:rsidRPr="0034498A">
        <w:t>a</w:t>
      </w:r>
      <w:proofErr w:type="gramEnd"/>
      <w:r>
        <w:t xml:space="preserve"> </w:t>
      </w:r>
      <w:r w:rsidR="00B334DA" w:rsidRPr="0034498A">
        <w:t>un impact positif sur les ventes, les marges brutes et les bénéfices. Cette évolution est soutenue par les très bonnes performances d</w:t>
      </w:r>
      <w:r>
        <w:t>u secteur</w:t>
      </w:r>
      <w:r w:rsidR="00B334DA" w:rsidRPr="0034498A">
        <w:t xml:space="preserve"> </w:t>
      </w:r>
      <w:proofErr w:type="spellStart"/>
      <w:r w:rsidR="00B334DA" w:rsidRPr="0034498A">
        <w:t>Hair</w:t>
      </w:r>
      <w:proofErr w:type="spellEnd"/>
      <w:r w:rsidR="00B334DA" w:rsidRPr="0034498A">
        <w:t>, la poursuite de la mise en œuvre des mesures relatives au portefeuille</w:t>
      </w:r>
      <w:r w:rsidR="00092890">
        <w:t xml:space="preserve"> de marques</w:t>
      </w:r>
      <w:r w:rsidR="00B334DA" w:rsidRPr="0034498A">
        <w:t xml:space="preserve"> et le fort développement des principales</w:t>
      </w:r>
      <w:r w:rsidR="00092890">
        <w:t xml:space="preserve"> marques</w:t>
      </w:r>
      <w:r w:rsidR="00B334DA" w:rsidRPr="0034498A">
        <w:t xml:space="preserve"> et des innovations. Dans le même temps, Henkel poursuit ses investissements dans l’innovation et en particulier dans le marketing à des niveaux élevés afin d’alimenter la croissance</w:t>
      </w:r>
      <w:r>
        <w:t xml:space="preserve"> de la branche.</w:t>
      </w:r>
    </w:p>
    <w:p w14:paraId="35C8DCCB" w14:textId="77777777" w:rsidR="00B334DA" w:rsidRPr="0034498A" w:rsidRDefault="00B334DA" w:rsidP="00CE134D">
      <w:pPr>
        <w:rPr>
          <w:rFonts w:cs="Segoe UI"/>
          <w:szCs w:val="22"/>
        </w:rPr>
      </w:pPr>
    </w:p>
    <w:p w14:paraId="62550F9C" w14:textId="19F937EB" w:rsidR="00B334DA" w:rsidRDefault="00800CB1" w:rsidP="00CE134D">
      <w:pPr>
        <w:rPr>
          <w:rFonts w:cs="Segoe UI"/>
          <w:szCs w:val="22"/>
        </w:rPr>
      </w:pPr>
      <w:r w:rsidRPr="00800CB1">
        <w:rPr>
          <w:rFonts w:cs="Segoe UI"/>
          <w:szCs w:val="22"/>
        </w:rPr>
        <w:t>Henkel a également revu ses prévisions concernant les effets des acquisitions/désinvestissements et des taux de change sur les ventes. Les acquisitions les plus récentes - Seal for Life Industries et Vidal Sassoon en Chine - ont été conclues plus rapidement que prévu, contribuant ainsi plus tôt à l’évolution des ventes et des bénéfices.</w:t>
      </w:r>
    </w:p>
    <w:p w14:paraId="0425612C" w14:textId="77777777" w:rsidR="00800CB1" w:rsidRPr="0034498A" w:rsidRDefault="00800CB1" w:rsidP="00CE134D">
      <w:pPr>
        <w:rPr>
          <w:rFonts w:cs="Segoe UI"/>
          <w:szCs w:val="22"/>
        </w:rPr>
      </w:pPr>
    </w:p>
    <w:p w14:paraId="1B75D60F" w14:textId="4B73D163" w:rsidR="001002C6" w:rsidRPr="0034498A" w:rsidRDefault="001002C6" w:rsidP="00C21EBD">
      <w:pPr>
        <w:pStyle w:val="Paragraphedeliste"/>
        <w:numPr>
          <w:ilvl w:val="0"/>
          <w:numId w:val="15"/>
        </w:numPr>
        <w:spacing w:after="120"/>
        <w:contextualSpacing w:val="0"/>
        <w:jc w:val="left"/>
        <w:rPr>
          <w:rFonts w:cs="Segoe UI"/>
          <w:szCs w:val="22"/>
        </w:rPr>
      </w:pPr>
      <w:r w:rsidRPr="0034498A">
        <w:t xml:space="preserve">Acquisitions/désinvestissements : impact neutre sur la croissance nominale des ventes </w:t>
      </w:r>
      <w:r w:rsidRPr="0034498A">
        <w:br/>
        <w:t>(précédemment : impact négatif de l’ordre d’un faible pourcentage à un chiffre)</w:t>
      </w:r>
    </w:p>
    <w:p w14:paraId="12A1C203" w14:textId="7F7E2E4D" w:rsidR="001002C6" w:rsidRPr="0034498A" w:rsidRDefault="00450E75" w:rsidP="00C21EBD">
      <w:pPr>
        <w:pStyle w:val="Paragraphedeliste"/>
        <w:numPr>
          <w:ilvl w:val="0"/>
          <w:numId w:val="15"/>
        </w:numPr>
        <w:spacing w:after="120"/>
        <w:contextualSpacing w:val="0"/>
        <w:jc w:val="left"/>
        <w:rPr>
          <w:rFonts w:cs="Segoe UI"/>
          <w:szCs w:val="22"/>
        </w:rPr>
      </w:pPr>
      <w:r w:rsidRPr="0034498A">
        <w:t xml:space="preserve">Conversion des ventes en devises étrangères : impact négatif de l’ordre d’un pourcentage à un chiffre dans le bas ou le milieu de la fourchette </w:t>
      </w:r>
      <w:r w:rsidRPr="0034498A">
        <w:br/>
        <w:t>(précédemment : impact négatif de l’ordre d’un pourcentage à un chiffre</w:t>
      </w:r>
      <w:r w:rsidR="00092890">
        <w:t xml:space="preserve"> dans le milieu de la fourchette</w:t>
      </w:r>
      <w:r w:rsidRPr="0034498A">
        <w:t>)</w:t>
      </w:r>
    </w:p>
    <w:p w14:paraId="48A30B97" w14:textId="77777777" w:rsidR="002F6850" w:rsidRPr="0034498A" w:rsidRDefault="002F6850" w:rsidP="00CE134D">
      <w:pPr>
        <w:rPr>
          <w:rFonts w:cs="Segoe UI"/>
          <w:szCs w:val="22"/>
        </w:rPr>
      </w:pPr>
    </w:p>
    <w:p w14:paraId="33AE3E8C" w14:textId="41E53498" w:rsidR="002F6850" w:rsidRPr="0034498A" w:rsidRDefault="00450E75" w:rsidP="00CE134D">
      <w:pPr>
        <w:rPr>
          <w:rFonts w:cs="Segoe UI"/>
          <w:szCs w:val="22"/>
        </w:rPr>
      </w:pPr>
      <w:r w:rsidRPr="0034498A">
        <w:t>Les prévisions suivantes pour 2024 restent inchangées :</w:t>
      </w:r>
    </w:p>
    <w:p w14:paraId="0BA97B26" w14:textId="77777777" w:rsidR="00CE134D" w:rsidRPr="0034498A" w:rsidRDefault="00CE134D" w:rsidP="00CE134D">
      <w:pPr>
        <w:rPr>
          <w:rFonts w:cs="Segoe UI"/>
          <w:szCs w:val="22"/>
        </w:rPr>
      </w:pPr>
    </w:p>
    <w:p w14:paraId="72E374B3" w14:textId="7F68F754" w:rsidR="002F6850" w:rsidRPr="0034498A" w:rsidRDefault="002F6850" w:rsidP="00C21EBD">
      <w:pPr>
        <w:pStyle w:val="Paragraphedeliste"/>
        <w:numPr>
          <w:ilvl w:val="0"/>
          <w:numId w:val="15"/>
        </w:numPr>
        <w:spacing w:after="120"/>
        <w:contextualSpacing w:val="0"/>
        <w:jc w:val="left"/>
        <w:rPr>
          <w:rFonts w:cs="Segoe UI"/>
          <w:szCs w:val="22"/>
        </w:rPr>
      </w:pPr>
      <w:r w:rsidRPr="0034498A">
        <w:t>Prix des matériaux directs : stabilisation</w:t>
      </w:r>
      <w:r w:rsidRPr="0034498A">
        <w:rPr>
          <w:vertAlign w:val="superscript"/>
        </w:rPr>
        <w:t>1</w:t>
      </w:r>
    </w:p>
    <w:p w14:paraId="1F78FFDE" w14:textId="77777777" w:rsidR="00CE134D" w:rsidRPr="0034498A" w:rsidRDefault="00CE134D" w:rsidP="00C21EBD">
      <w:pPr>
        <w:pStyle w:val="Paragraphedeliste"/>
        <w:numPr>
          <w:ilvl w:val="0"/>
          <w:numId w:val="15"/>
        </w:numPr>
        <w:spacing w:after="120"/>
        <w:contextualSpacing w:val="0"/>
        <w:jc w:val="left"/>
        <w:rPr>
          <w:rFonts w:cs="Segoe UI"/>
          <w:szCs w:val="22"/>
        </w:rPr>
      </w:pPr>
      <w:r w:rsidRPr="0034498A">
        <w:t>Dépenses de restructuration de 250 à 300 millions d’euros</w:t>
      </w:r>
    </w:p>
    <w:p w14:paraId="0E952A22" w14:textId="5CEC3B5E" w:rsidR="002F6850" w:rsidRPr="0034498A" w:rsidRDefault="00CE134D" w:rsidP="00C21EBD">
      <w:pPr>
        <w:pStyle w:val="Paragraphedeliste"/>
        <w:numPr>
          <w:ilvl w:val="0"/>
          <w:numId w:val="15"/>
        </w:numPr>
        <w:spacing w:after="120"/>
        <w:contextualSpacing w:val="0"/>
        <w:jc w:val="left"/>
        <w:rPr>
          <w:rFonts w:cs="Segoe UI"/>
          <w:szCs w:val="22"/>
        </w:rPr>
      </w:pPr>
      <w:r w:rsidRPr="0034498A">
        <w:t>Sorties de fonds pour les investissements en immobilisations corporelles et incorporelles entre 650 et 750 millions d’euros</w:t>
      </w:r>
    </w:p>
    <w:p w14:paraId="7BEC733F" w14:textId="77777777" w:rsidR="00CE134D" w:rsidRPr="0034498A" w:rsidRDefault="00CE134D" w:rsidP="00CE134D">
      <w:pPr>
        <w:ind w:left="360"/>
        <w:rPr>
          <w:sz w:val="16"/>
          <w:szCs w:val="16"/>
        </w:rPr>
      </w:pPr>
      <w:r w:rsidRPr="0034498A">
        <w:rPr>
          <w:sz w:val="16"/>
          <w:vertAlign w:val="superscript"/>
        </w:rPr>
        <w:t xml:space="preserve">1 </w:t>
      </w:r>
      <w:r w:rsidRPr="0034498A">
        <w:rPr>
          <w:sz w:val="16"/>
        </w:rPr>
        <w:t>Par rapport à la moyenne de l’année précédente</w:t>
      </w:r>
    </w:p>
    <w:p w14:paraId="0B7E121A" w14:textId="77777777" w:rsidR="002F6850" w:rsidRPr="0034498A" w:rsidRDefault="002F6850" w:rsidP="00CE134D">
      <w:pPr>
        <w:rPr>
          <w:rFonts w:cs="Segoe UI"/>
          <w:szCs w:val="22"/>
        </w:rPr>
      </w:pPr>
    </w:p>
    <w:p w14:paraId="5897C6DE" w14:textId="77777777" w:rsidR="005E1DB5" w:rsidRPr="0034498A" w:rsidRDefault="005E1DB5" w:rsidP="00CE134D">
      <w:pPr>
        <w:rPr>
          <w:rFonts w:cs="Segoe UI"/>
          <w:b/>
          <w:bCs/>
          <w:szCs w:val="22"/>
        </w:rPr>
      </w:pPr>
    </w:p>
    <w:p w14:paraId="7E892850" w14:textId="51E1A585" w:rsidR="002F6850" w:rsidRPr="0034498A" w:rsidRDefault="002F6850" w:rsidP="00C21EBD">
      <w:pPr>
        <w:spacing w:after="120"/>
        <w:rPr>
          <w:rFonts w:cs="Segoe UI"/>
          <w:b/>
          <w:bCs/>
          <w:szCs w:val="22"/>
        </w:rPr>
      </w:pPr>
      <w:r w:rsidRPr="0034498A">
        <w:rPr>
          <w:b/>
        </w:rPr>
        <w:t>Développement organique des ventes au premier trimestre 2024</w:t>
      </w:r>
    </w:p>
    <w:p w14:paraId="160680BA" w14:textId="52015740" w:rsidR="00CE134D" w:rsidRPr="0034498A" w:rsidRDefault="002F6850" w:rsidP="00CE134D">
      <w:pPr>
        <w:rPr>
          <w:rFonts w:cs="Segoe UI"/>
          <w:szCs w:val="22"/>
        </w:rPr>
      </w:pPr>
      <w:r w:rsidRPr="0034498A">
        <w:t xml:space="preserve">Sur la base des chiffres préliminaires, Henkel a généré des ventes de groupe d’environ 5,3 milliards d’euros au cours du premier trimestre 2024, réalisant une forte croissance </w:t>
      </w:r>
      <w:r w:rsidRPr="0034498A">
        <w:lastRenderedPageBreak/>
        <w:t xml:space="preserve">organique des ventes de 3,0 %. </w:t>
      </w:r>
      <w:r w:rsidR="00800CB1">
        <w:t xml:space="preserve">La branche </w:t>
      </w:r>
      <w:proofErr w:type="spellStart"/>
      <w:r w:rsidRPr="0034498A">
        <w:t>Adhesive</w:t>
      </w:r>
      <w:proofErr w:type="spellEnd"/>
      <w:r w:rsidRPr="0034498A">
        <w:t xml:space="preserve"> Technologies a enregistré des ventes d’environ 2,7 milliards d’euros et une croissance organique positive des ventes de 1,3 %. L</w:t>
      </w:r>
      <w:r w:rsidR="00800CB1">
        <w:t>a branche</w:t>
      </w:r>
      <w:r w:rsidRPr="0034498A">
        <w:t xml:space="preserve"> Consumer Brands a réalisé des ventes de 2,6 milliards d’euros et une très forte croissance organique des ventes de 5,2 %.</w:t>
      </w:r>
    </w:p>
    <w:p w14:paraId="09137210" w14:textId="77777777" w:rsidR="0047574A" w:rsidRPr="0034498A" w:rsidRDefault="0047574A" w:rsidP="00CE134D">
      <w:pPr>
        <w:rPr>
          <w:rFonts w:cs="Segoe UI"/>
          <w:szCs w:val="22"/>
        </w:rPr>
      </w:pPr>
    </w:p>
    <w:p w14:paraId="0C42D651" w14:textId="4E6852D8" w:rsidR="001002C6" w:rsidRDefault="0047574A" w:rsidP="00CE134D">
      <w:r w:rsidRPr="0034498A">
        <w:t>Henkel communiquera de plus amples détails sur l’évolution des ventes au cours du premier trimestre le 8 mai.</w:t>
      </w:r>
    </w:p>
    <w:p w14:paraId="326AA3DD" w14:textId="37305821" w:rsidR="00800CB1" w:rsidRPr="00475994" w:rsidRDefault="00800CB1" w:rsidP="00CE134D">
      <w:pPr>
        <w:rPr>
          <w:b/>
          <w:bCs/>
        </w:rPr>
      </w:pPr>
    </w:p>
    <w:p w14:paraId="431FA8C6" w14:textId="53E2566E" w:rsidR="00800CB1" w:rsidRPr="00475994" w:rsidRDefault="00D21B3A" w:rsidP="00CE134D">
      <w:pPr>
        <w:rPr>
          <w:rFonts w:cs="Segoe UI"/>
          <w:b/>
          <w:bCs/>
          <w:szCs w:val="22"/>
        </w:rPr>
      </w:pPr>
      <w:hyperlink r:id="rId12" w:history="1">
        <w:r w:rsidR="00800CB1" w:rsidRPr="00475994">
          <w:rPr>
            <w:rStyle w:val="Lienhypertexte"/>
            <w:b/>
            <w:bCs/>
            <w:sz w:val="22"/>
            <w:szCs w:val="24"/>
          </w:rPr>
          <w:t>Ce communiqué est une traduction du communiqué original en anglais.</w:t>
        </w:r>
      </w:hyperlink>
    </w:p>
    <w:p w14:paraId="4E34A0A5" w14:textId="77777777" w:rsidR="00DA74BC" w:rsidRPr="0034498A" w:rsidRDefault="00DA74BC" w:rsidP="00CE134D">
      <w:pPr>
        <w:jc w:val="left"/>
        <w:rPr>
          <w:rFonts w:eastAsia="PMingLiU"/>
          <w:b/>
          <w:bCs/>
          <w:szCs w:val="22"/>
        </w:rPr>
      </w:pPr>
    </w:p>
    <w:p w14:paraId="38275665" w14:textId="5AFA9A9C" w:rsidR="00C37960" w:rsidRPr="0034498A" w:rsidRDefault="00C37960">
      <w:pPr>
        <w:spacing w:line="240" w:lineRule="auto"/>
        <w:jc w:val="left"/>
        <w:rPr>
          <w:rStyle w:val="AboutandContactHeadline"/>
          <w:szCs w:val="18"/>
        </w:rPr>
      </w:pPr>
      <w:r w:rsidRPr="0034498A">
        <w:br w:type="page"/>
      </w:r>
    </w:p>
    <w:p w14:paraId="2151B4B2" w14:textId="77777777" w:rsidR="00800CB1" w:rsidRPr="00800CB1" w:rsidRDefault="00800CB1" w:rsidP="00800CB1">
      <w:pPr>
        <w:rPr>
          <w:b/>
          <w:bCs/>
          <w:sz w:val="18"/>
        </w:rPr>
      </w:pPr>
      <w:r w:rsidRPr="00800CB1">
        <w:rPr>
          <w:b/>
          <w:bCs/>
          <w:sz w:val="18"/>
        </w:rPr>
        <w:lastRenderedPageBreak/>
        <w:t>A propos de Henkel</w:t>
      </w:r>
    </w:p>
    <w:p w14:paraId="568DC8EF" w14:textId="77777777" w:rsidR="00800CB1" w:rsidRPr="00800CB1" w:rsidRDefault="00800CB1" w:rsidP="00800CB1">
      <w:pPr>
        <w:rPr>
          <w:b/>
          <w:bCs/>
          <w:sz w:val="18"/>
        </w:rPr>
      </w:pPr>
      <w:r w:rsidRPr="00800CB1">
        <w:rPr>
          <w:sz w:val="18"/>
        </w:rPr>
        <w:t xml:space="preserve">Grâce à ses marques, ses innovations et ses technologies, Henkel détient des positions mondiales fortes auprès des industriels comme des consommateurs. L’activité </w:t>
      </w:r>
      <w:proofErr w:type="spellStart"/>
      <w:r w:rsidRPr="00800CB1">
        <w:rPr>
          <w:sz w:val="18"/>
        </w:rPr>
        <w:t>Adhesive</w:t>
      </w:r>
      <w:proofErr w:type="spellEnd"/>
      <w:r w:rsidRPr="00800CB1">
        <w:rPr>
          <w:sz w:val="18"/>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800CB1">
        <w:rPr>
          <w:sz w:val="18"/>
        </w:rPr>
        <w:t>Loctite</w:t>
      </w:r>
      <w:proofErr w:type="spellEnd"/>
      <w:r w:rsidRPr="00800CB1">
        <w:rPr>
          <w:sz w:val="18"/>
        </w:rPr>
        <w:t xml:space="preserve">, Persil (Le Chat en France) et Schwarzkopf. En 2023, Henkel a réalisé un chiffre d’affaires de plus de 21,5 milliards d’EUR et un bénéfice d’exploitation ajusté d’environ 2,6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48 000 personnes à travers le monde – unies par une culture forte, des valeurs d’entreprise et une raison d’être partagées : « </w:t>
      </w:r>
      <w:proofErr w:type="spellStart"/>
      <w:r w:rsidRPr="00800CB1">
        <w:rPr>
          <w:sz w:val="18"/>
        </w:rPr>
        <w:t>Pioneers</w:t>
      </w:r>
      <w:proofErr w:type="spellEnd"/>
      <w:r w:rsidRPr="00800CB1">
        <w:rPr>
          <w:sz w:val="18"/>
        </w:rPr>
        <w:t xml:space="preserve"> at </w:t>
      </w:r>
      <w:proofErr w:type="spellStart"/>
      <w:r w:rsidRPr="00800CB1">
        <w:rPr>
          <w:sz w:val="18"/>
        </w:rPr>
        <w:t>heart</w:t>
      </w:r>
      <w:proofErr w:type="spellEnd"/>
      <w:r w:rsidRPr="00800CB1">
        <w:rPr>
          <w:sz w:val="18"/>
        </w:rPr>
        <w:t xml:space="preserve"> for the good of </w:t>
      </w:r>
      <w:proofErr w:type="spellStart"/>
      <w:r w:rsidRPr="00800CB1">
        <w:rPr>
          <w:sz w:val="18"/>
        </w:rPr>
        <w:t>generations</w:t>
      </w:r>
      <w:proofErr w:type="spellEnd"/>
      <w:r w:rsidRPr="00800CB1">
        <w:rPr>
          <w:sz w:val="18"/>
        </w:rPr>
        <w:t xml:space="preserve"> ». Pour en savoir plus, rendez-vous sur www.henkel.fr</w:t>
      </w:r>
    </w:p>
    <w:p w14:paraId="1862627A" w14:textId="77777777" w:rsidR="00800CB1" w:rsidRPr="00800CB1" w:rsidRDefault="00800CB1" w:rsidP="00800CB1">
      <w:pPr>
        <w:rPr>
          <w:b/>
          <w:bCs/>
          <w:sz w:val="18"/>
        </w:rPr>
      </w:pPr>
    </w:p>
    <w:p w14:paraId="11689A25" w14:textId="77777777" w:rsidR="00800CB1" w:rsidRPr="00800CB1" w:rsidRDefault="00800CB1" w:rsidP="00800CB1">
      <w:pPr>
        <w:spacing w:before="34" w:line="240" w:lineRule="auto"/>
        <w:ind w:right="718"/>
        <w:rPr>
          <w:b/>
          <w:sz w:val="18"/>
          <w:szCs w:val="18"/>
          <w:u w:val="single"/>
        </w:rPr>
      </w:pPr>
      <w:r w:rsidRPr="00800CB1">
        <w:rPr>
          <w:b/>
          <w:sz w:val="18"/>
          <w:szCs w:val="18"/>
          <w:u w:val="single"/>
        </w:rPr>
        <w:t xml:space="preserve">Contacts presse : </w:t>
      </w:r>
    </w:p>
    <w:p w14:paraId="74EE3D47" w14:textId="77777777" w:rsidR="00800CB1" w:rsidRPr="00800CB1" w:rsidRDefault="00800CB1" w:rsidP="00800CB1">
      <w:pPr>
        <w:spacing w:before="34" w:line="240" w:lineRule="auto"/>
        <w:ind w:right="718"/>
        <w:rPr>
          <w:sz w:val="18"/>
          <w:szCs w:val="18"/>
          <w:lang w:val="en-US"/>
        </w:rPr>
      </w:pPr>
      <w:r w:rsidRPr="00800CB1">
        <w:rPr>
          <w:sz w:val="18"/>
          <w:szCs w:val="18"/>
          <w:lang w:val="en-US"/>
        </w:rPr>
        <w:t>Henkel</w:t>
      </w:r>
      <w:r w:rsidRPr="00800CB1">
        <w:rPr>
          <w:sz w:val="18"/>
          <w:szCs w:val="18"/>
          <w:lang w:val="en-US"/>
        </w:rPr>
        <w:tab/>
      </w:r>
      <w:r w:rsidRPr="00800CB1">
        <w:rPr>
          <w:sz w:val="18"/>
          <w:szCs w:val="18"/>
          <w:lang w:val="en-US"/>
        </w:rPr>
        <w:tab/>
      </w:r>
      <w:r w:rsidRPr="00800CB1">
        <w:rPr>
          <w:sz w:val="18"/>
          <w:szCs w:val="18"/>
          <w:lang w:val="en-US"/>
        </w:rPr>
        <w:tab/>
      </w:r>
      <w:r w:rsidRPr="00800CB1">
        <w:rPr>
          <w:sz w:val="18"/>
          <w:szCs w:val="18"/>
          <w:lang w:val="en-US"/>
        </w:rPr>
        <w:tab/>
      </w:r>
      <w:r w:rsidRPr="00800CB1">
        <w:rPr>
          <w:sz w:val="18"/>
          <w:szCs w:val="18"/>
          <w:lang w:val="en-US"/>
        </w:rPr>
        <w:tab/>
      </w:r>
      <w:proofErr w:type="spellStart"/>
      <w:r w:rsidRPr="00800CB1">
        <w:rPr>
          <w:sz w:val="18"/>
          <w:szCs w:val="18"/>
          <w:lang w:val="en-US"/>
        </w:rPr>
        <w:t>Agence</w:t>
      </w:r>
      <w:proofErr w:type="spellEnd"/>
      <w:r w:rsidRPr="00800CB1">
        <w:rPr>
          <w:sz w:val="18"/>
          <w:szCs w:val="18"/>
          <w:lang w:val="en-US"/>
        </w:rPr>
        <w:t xml:space="preserve"> Burson Cohn &amp; Wolfe</w:t>
      </w:r>
    </w:p>
    <w:p w14:paraId="72B1C3B4" w14:textId="77777777" w:rsidR="00800CB1" w:rsidRPr="00800CB1" w:rsidRDefault="00800CB1" w:rsidP="00800CB1">
      <w:pPr>
        <w:spacing w:before="34" w:line="240" w:lineRule="auto"/>
        <w:ind w:right="718"/>
        <w:rPr>
          <w:sz w:val="18"/>
          <w:szCs w:val="18"/>
          <w:lang w:val="en-US"/>
        </w:rPr>
      </w:pPr>
      <w:r w:rsidRPr="00800CB1">
        <w:rPr>
          <w:sz w:val="18"/>
          <w:szCs w:val="18"/>
          <w:lang w:val="en-US"/>
        </w:rPr>
        <w:t>Octavie Blandin</w:t>
      </w:r>
      <w:r w:rsidRPr="00800CB1">
        <w:rPr>
          <w:sz w:val="18"/>
          <w:szCs w:val="18"/>
          <w:lang w:val="en-US"/>
        </w:rPr>
        <w:tab/>
      </w:r>
      <w:r w:rsidRPr="00800CB1">
        <w:rPr>
          <w:sz w:val="18"/>
          <w:szCs w:val="18"/>
          <w:lang w:val="en-US"/>
        </w:rPr>
        <w:tab/>
        <w:t xml:space="preserve">                             Paolo Ghilardi</w:t>
      </w:r>
    </w:p>
    <w:p w14:paraId="28ADB46C" w14:textId="77777777" w:rsidR="00800CB1" w:rsidRPr="00800CB1" w:rsidRDefault="00800CB1" w:rsidP="00800CB1">
      <w:pPr>
        <w:spacing w:before="34" w:line="240" w:lineRule="auto"/>
        <w:ind w:right="718"/>
        <w:rPr>
          <w:sz w:val="18"/>
          <w:szCs w:val="18"/>
        </w:rPr>
      </w:pPr>
      <w:r w:rsidRPr="00800CB1">
        <w:rPr>
          <w:sz w:val="18"/>
          <w:szCs w:val="18"/>
        </w:rPr>
        <w:t>Tél : 01 46 84 92 45</w:t>
      </w:r>
      <w:r w:rsidRPr="00800CB1">
        <w:rPr>
          <w:sz w:val="18"/>
          <w:szCs w:val="18"/>
        </w:rPr>
        <w:tab/>
      </w:r>
      <w:r w:rsidRPr="00800CB1">
        <w:rPr>
          <w:sz w:val="18"/>
          <w:szCs w:val="18"/>
        </w:rPr>
        <w:tab/>
      </w:r>
      <w:r w:rsidRPr="00800CB1">
        <w:rPr>
          <w:sz w:val="18"/>
          <w:szCs w:val="18"/>
        </w:rPr>
        <w:tab/>
        <w:t>Tél : 01 56 03 13 02</w:t>
      </w:r>
    </w:p>
    <w:p w14:paraId="2AEF5998" w14:textId="77777777" w:rsidR="00800CB1" w:rsidRPr="00800CB1" w:rsidRDefault="00D21B3A" w:rsidP="00800CB1">
      <w:pPr>
        <w:spacing w:line="240" w:lineRule="auto"/>
        <w:rPr>
          <w:color w:val="0000FF"/>
          <w:sz w:val="18"/>
          <w:szCs w:val="18"/>
          <w:u w:val="single"/>
        </w:rPr>
      </w:pPr>
      <w:hyperlink r:id="rId13" w:history="1">
        <w:r w:rsidR="00800CB1" w:rsidRPr="00800CB1">
          <w:rPr>
            <w:color w:val="0000FF"/>
            <w:sz w:val="18"/>
            <w:szCs w:val="18"/>
            <w:u w:val="single"/>
          </w:rPr>
          <w:t>octavie.blandin@henkel.com</w:t>
        </w:r>
      </w:hyperlink>
      <w:r w:rsidR="00800CB1" w:rsidRPr="00800CB1">
        <w:rPr>
          <w:sz w:val="18"/>
          <w:szCs w:val="18"/>
        </w:rPr>
        <w:tab/>
      </w:r>
      <w:r w:rsidR="00800CB1" w:rsidRPr="00800CB1">
        <w:rPr>
          <w:sz w:val="18"/>
          <w:szCs w:val="18"/>
        </w:rPr>
        <w:tab/>
      </w:r>
      <w:hyperlink r:id="rId14" w:history="1">
        <w:r w:rsidR="00800CB1" w:rsidRPr="00800CB1">
          <w:rPr>
            <w:color w:val="0000FF"/>
            <w:sz w:val="18"/>
            <w:szCs w:val="18"/>
            <w:u w:val="single"/>
          </w:rPr>
          <w:t>paolo.ghilardi@bcw-global.com</w:t>
        </w:r>
      </w:hyperlink>
    </w:p>
    <w:p w14:paraId="75719443" w14:textId="77777777" w:rsidR="00800CB1" w:rsidRPr="00800CB1" w:rsidRDefault="00800CB1" w:rsidP="00BC46D4">
      <w:pPr>
        <w:rPr>
          <w:rStyle w:val="AboutandContactHeadline"/>
        </w:rPr>
      </w:pPr>
    </w:p>
    <w:p w14:paraId="1A9BC357" w14:textId="77777777" w:rsidR="005D53EF" w:rsidRPr="003145BA" w:rsidRDefault="005D53EF" w:rsidP="00BC46D4">
      <w:pPr>
        <w:rPr>
          <w:rStyle w:val="AboutandContactBody"/>
        </w:rPr>
      </w:pPr>
    </w:p>
    <w:p w14:paraId="388B36F4" w14:textId="77777777" w:rsidR="00800CB1" w:rsidRPr="00800CB1" w:rsidRDefault="00800CB1" w:rsidP="00800CB1">
      <w:pPr>
        <w:tabs>
          <w:tab w:val="left" w:pos="1080"/>
          <w:tab w:val="left" w:pos="4500"/>
        </w:tabs>
        <w:spacing w:line="264" w:lineRule="auto"/>
        <w:rPr>
          <w:rStyle w:val="AboutandContactBody"/>
          <w:rFonts w:eastAsiaTheme="minorHAnsi" w:cstheme="minorBidi"/>
          <w:sz w:val="14"/>
          <w:szCs w:val="22"/>
        </w:rPr>
      </w:pPr>
      <w:r w:rsidRPr="00800CB1">
        <w:rPr>
          <w:rStyle w:val="AboutandContactBody"/>
          <w:rFonts w:eastAsiaTheme="minorHAnsi" w:cstheme="minorBidi"/>
          <w:sz w:val="14"/>
          <w:szCs w:val="22"/>
        </w:rPr>
        <w:t xml:space="preserve">Ce document contient des déclarations relatives au développement futur de l'activité, aux performances financières et à d'autres événements ou développements futurs pour Henkel qui peuvent constituer des déclarations prévisionnelles. Les déclarations relatives à l'avenir se caractérisent par l’utilisation de termes tels que « s'attendre à », « avoir l'intention de », « planifier », « anticiper », « croire », « estimer » et d'autres termes similaires. Ces déclarations sont basées sur les estimations et les hypothèses actuelles de la direction de Henkel AG &amp; Co. </w:t>
      </w:r>
      <w:proofErr w:type="spellStart"/>
      <w:r w:rsidRPr="00800CB1">
        <w:rPr>
          <w:rStyle w:val="AboutandContactBody"/>
          <w:rFonts w:eastAsiaTheme="minorHAnsi" w:cstheme="minorBidi"/>
          <w:sz w:val="14"/>
          <w:szCs w:val="22"/>
        </w:rPr>
        <w:t>KGaA</w:t>
      </w:r>
      <w:proofErr w:type="spellEnd"/>
      <w:r w:rsidRPr="00800CB1">
        <w:rPr>
          <w:rStyle w:val="AboutandContactBody"/>
          <w:rFonts w:eastAsiaTheme="minorHAnsi" w:cstheme="minorBidi"/>
          <w:sz w:val="14"/>
          <w:szCs w:val="22"/>
        </w:rPr>
        <w:t>. Ces déclarations ne doivent</w:t>
      </w:r>
    </w:p>
    <w:p w14:paraId="4FC8064E" w14:textId="77777777" w:rsidR="00800CB1" w:rsidRPr="00800CB1" w:rsidRDefault="00800CB1" w:rsidP="00800CB1">
      <w:pPr>
        <w:tabs>
          <w:tab w:val="left" w:pos="1080"/>
          <w:tab w:val="left" w:pos="4500"/>
        </w:tabs>
        <w:spacing w:line="264" w:lineRule="auto"/>
        <w:rPr>
          <w:rStyle w:val="AboutandContactBody"/>
          <w:rFonts w:eastAsiaTheme="minorHAnsi" w:cstheme="minorBidi"/>
          <w:sz w:val="14"/>
          <w:szCs w:val="22"/>
        </w:rPr>
      </w:pPr>
      <w:r w:rsidRPr="00800CB1">
        <w:rPr>
          <w:rStyle w:val="AboutandContactBody"/>
          <w:rFonts w:eastAsiaTheme="minorHAnsi" w:cstheme="minorBidi"/>
          <w:sz w:val="14"/>
          <w:szCs w:val="22"/>
        </w:rPr>
        <w:t xml:space="preserve">pas être interprétées comme garantissant de quelque manière que ce soit que ces attentes se révéleront exactes. Les performances futures et les résultats effectivement obtenus par Henkel AG &amp; Co. </w:t>
      </w:r>
      <w:proofErr w:type="spellStart"/>
      <w:r w:rsidRPr="00800CB1">
        <w:rPr>
          <w:rStyle w:val="AboutandContactBody"/>
          <w:rFonts w:eastAsiaTheme="minorHAnsi" w:cstheme="minorBidi"/>
          <w:sz w:val="14"/>
          <w:szCs w:val="22"/>
        </w:rPr>
        <w:t>KGaA</w:t>
      </w:r>
      <w:proofErr w:type="spellEnd"/>
      <w:r w:rsidRPr="00800CB1">
        <w:rPr>
          <w:rStyle w:val="AboutandContactBody"/>
          <w:rFonts w:eastAsiaTheme="minorHAnsi" w:cstheme="minorBidi"/>
          <w:sz w:val="14"/>
          <w:szCs w:val="22"/>
        </w:rPr>
        <w:t xml:space="preserve"> et ses sociétés affiliées dépendent d'un certain nombre de risques et d'incertitudes et peuvent donc différer matériellement (à la fois positivement et négativement) des déclarations prévisionnelles.</w:t>
      </w:r>
    </w:p>
    <w:p w14:paraId="47A6CC1B" w14:textId="77777777" w:rsidR="00800CB1" w:rsidRPr="00800CB1" w:rsidRDefault="00800CB1" w:rsidP="00800CB1">
      <w:pPr>
        <w:tabs>
          <w:tab w:val="left" w:pos="1080"/>
          <w:tab w:val="left" w:pos="4500"/>
        </w:tabs>
        <w:spacing w:line="264" w:lineRule="auto"/>
        <w:rPr>
          <w:rStyle w:val="AboutandContactBody"/>
          <w:rFonts w:eastAsiaTheme="minorHAnsi" w:cstheme="minorBidi"/>
          <w:sz w:val="14"/>
          <w:szCs w:val="22"/>
        </w:rPr>
      </w:pPr>
    </w:p>
    <w:p w14:paraId="64F1059E" w14:textId="77777777" w:rsidR="00800CB1" w:rsidRPr="00800CB1" w:rsidRDefault="00800CB1" w:rsidP="00800CB1">
      <w:pPr>
        <w:tabs>
          <w:tab w:val="left" w:pos="1080"/>
          <w:tab w:val="left" w:pos="4500"/>
        </w:tabs>
        <w:spacing w:line="264" w:lineRule="auto"/>
        <w:rPr>
          <w:rStyle w:val="AboutandContactBody"/>
          <w:rFonts w:eastAsiaTheme="minorHAnsi" w:cstheme="minorBidi"/>
          <w:sz w:val="14"/>
          <w:szCs w:val="22"/>
        </w:rPr>
      </w:pPr>
      <w:r w:rsidRPr="00800CB1">
        <w:rPr>
          <w:rStyle w:val="AboutandContactBody"/>
          <w:rFonts w:eastAsiaTheme="minorHAnsi" w:cstheme="minorBidi"/>
          <w:sz w:val="14"/>
          <w:szCs w:val="22"/>
        </w:rPr>
        <w:t>Beaucoup de ces facteurs sont hors du contrôle de Henkel et ne peuvent être estimés avec précision à l'avance, tels que l'environnement économique futur et les actions des concurrents et autres acteurs du marché. Henkel ne prévoit ni ne s'engage à mettre à jour les déclarations prévisionnelles. Ce document comprend des indicateurs financiers supplémentaires qui ne sont pas clairement définis dans le cadre d'information financière applicable et qui sont ou peuvent être des mesures de performance alternatives. Ces indicateurs financiers supplémentaires ne doivent pas être considérés isolément ou comme des alternatives aux mesures de l'actif net et de la position financière de Henkel ou des résultats d'exploitation présentés conformément au cadre d'information financière applicable dans ses états financiers consolidés. D'autres entreprises qui rapportent ou décrivent des mesures de performance alternatives intitulées de manière similaire peuvent les calculer différemment.</w:t>
      </w:r>
    </w:p>
    <w:p w14:paraId="0D716820" w14:textId="77777777" w:rsidR="00800CB1" w:rsidRPr="00800CB1" w:rsidRDefault="00800CB1" w:rsidP="00800CB1">
      <w:pPr>
        <w:tabs>
          <w:tab w:val="left" w:pos="1080"/>
          <w:tab w:val="left" w:pos="4500"/>
        </w:tabs>
        <w:spacing w:line="264" w:lineRule="auto"/>
        <w:rPr>
          <w:rStyle w:val="AboutandContactBody"/>
          <w:rFonts w:eastAsiaTheme="minorHAnsi" w:cstheme="minorBidi"/>
          <w:sz w:val="14"/>
          <w:szCs w:val="22"/>
        </w:rPr>
      </w:pPr>
    </w:p>
    <w:p w14:paraId="7696C85C" w14:textId="52B4526A" w:rsidR="005D53EF" w:rsidRPr="00800CB1" w:rsidRDefault="00800CB1" w:rsidP="00800CB1">
      <w:pPr>
        <w:tabs>
          <w:tab w:val="left" w:pos="1080"/>
          <w:tab w:val="left" w:pos="4500"/>
        </w:tabs>
        <w:spacing w:line="264" w:lineRule="auto"/>
        <w:rPr>
          <w:rFonts w:cstheme="minorHAnsi"/>
          <w:sz w:val="16"/>
          <w:szCs w:val="16"/>
        </w:rPr>
      </w:pPr>
      <w:r w:rsidRPr="00800CB1">
        <w:rPr>
          <w:rStyle w:val="AboutandContactBody"/>
          <w:rFonts w:eastAsiaTheme="minorHAnsi" w:cstheme="minorBidi"/>
          <w:sz w:val="14"/>
          <w:szCs w:val="22"/>
        </w:rPr>
        <w:t>Ce document a été publié à des fins d'information uniquement et n'est pas destiné à constituer un conseil en investissement ou une offre de vente, ou une sollicitation d'une offre d'achat, de titres.</w:t>
      </w:r>
    </w:p>
    <w:p w14:paraId="23552B25" w14:textId="16311181" w:rsidR="00A15D78" w:rsidRPr="004D7DA7" w:rsidRDefault="00A15D78" w:rsidP="00C21EBD">
      <w:pPr>
        <w:tabs>
          <w:tab w:val="left" w:pos="1080"/>
          <w:tab w:val="left" w:pos="4500"/>
        </w:tabs>
        <w:spacing w:line="264" w:lineRule="auto"/>
        <w:rPr>
          <w:rStyle w:val="Lienhypertexte"/>
          <w:rFonts w:eastAsia="PMingLiU"/>
          <w:color w:val="9A141B"/>
          <w:szCs w:val="24"/>
          <w:u w:val="none"/>
        </w:rPr>
      </w:pPr>
    </w:p>
    <w:sectPr w:rsidR="00A15D78" w:rsidRPr="004D7DA7" w:rsidSect="00FD3DD5">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18BE" w14:textId="77777777" w:rsidR="00FD3DD5" w:rsidRDefault="00FD3DD5">
      <w:r>
        <w:separator/>
      </w:r>
    </w:p>
  </w:endnote>
  <w:endnote w:type="continuationSeparator" w:id="0">
    <w:p w14:paraId="1FAC3E0B" w14:textId="77777777" w:rsidR="00FD3DD5" w:rsidRDefault="00FD3DD5">
      <w:r>
        <w:continuationSeparator/>
      </w:r>
    </w:p>
  </w:endnote>
  <w:endnote w:type="continuationNotice" w:id="1">
    <w:p w14:paraId="5D1D5924" w14:textId="77777777" w:rsidR="00FD3DD5" w:rsidRDefault="00FD3D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39843C5" w:rsidR="00CF6F33" w:rsidRPr="00112A28" w:rsidRDefault="00112A28" w:rsidP="00112A28">
    <w:pPr>
      <w:pStyle w:val="Pieddepage"/>
      <w:tabs>
        <w:tab w:val="clear" w:pos="7083"/>
        <w:tab w:val="clear" w:pos="8640"/>
        <w:tab w:val="right" w:pos="9071"/>
      </w:tabs>
      <w:jc w:val="both"/>
    </w:pPr>
    <w:r>
      <w:t>Henkel AG &amp; Co. KGaA</w:t>
    </w:r>
    <w:r>
      <w:tab/>
      <w:t xml:space="preserve">Page </w:t>
    </w:r>
    <w:r w:rsidRPr="00BF6E82">
      <w:fldChar w:fldCharType="begin"/>
    </w:r>
    <w:r w:rsidRPr="00BF6E82">
      <w:instrText xml:space="preserve"> PAGE  \* Arabic  \* MERGEFORMAT </w:instrText>
    </w:r>
    <w:r w:rsidRPr="00BF6E82">
      <w:fldChar w:fldCharType="separate"/>
    </w:r>
    <w:r w:rsidR="004D7DA7">
      <w:t>2</w:t>
    </w:r>
    <w:r w:rsidRPr="00BF6E82">
      <w:fldChar w:fldCharType="end"/>
    </w:r>
    <w:r>
      <w:t>/</w:t>
    </w:r>
    <w:fldSimple w:instr="NUMPAGES  \* Arabic  \* MERGEFORMAT">
      <w:r w:rsidR="004D7DA7">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5D9162D" w:rsidR="00CF6F33" w:rsidRPr="00992A11" w:rsidRDefault="009E5B95" w:rsidP="00992A11">
    <w:pPr>
      <w:pStyle w:val="Pieddepage"/>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4D7DA7">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4D7DA7">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15A8" w14:textId="77777777" w:rsidR="00FD3DD5" w:rsidRDefault="00FD3DD5">
      <w:r>
        <w:separator/>
      </w:r>
    </w:p>
  </w:footnote>
  <w:footnote w:type="continuationSeparator" w:id="0">
    <w:p w14:paraId="35F557B4" w14:textId="77777777" w:rsidR="00FD3DD5" w:rsidRDefault="00FD3DD5">
      <w:r>
        <w:continuationSeparator/>
      </w:r>
    </w:p>
  </w:footnote>
  <w:footnote w:type="continuationNotice" w:id="1">
    <w:p w14:paraId="4A81F62E" w14:textId="77777777" w:rsidR="00FD3DD5" w:rsidRDefault="00FD3D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En-tte"/>
    </w:pPr>
    <w:r>
      <w:rPr>
        <w:noProof/>
        <w:lang w:val="en-US"/>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4481EC7"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13B0B26E"/>
    <w:lvl w:ilvl="0" w:tplc="7F22C7A8">
      <w:start w:val="1"/>
      <w:numFmt w:val="bullet"/>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05F442F"/>
    <w:multiLevelType w:val="hybridMultilevel"/>
    <w:tmpl w:val="8F308B52"/>
    <w:lvl w:ilvl="0" w:tplc="FFFFFFFF">
      <w:start w:val="1"/>
      <w:numFmt w:val="bullet"/>
      <w:lvlText w:val=""/>
      <w:lvlJc w:val="left"/>
      <w:pPr>
        <w:ind w:left="1429" w:hanging="360"/>
      </w:pPr>
      <w:rPr>
        <w:rFonts w:ascii="Wingdings" w:hAnsi="Wingdings" w:hint="default"/>
        <w:color w:val="E1000F"/>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F2D08"/>
    <w:multiLevelType w:val="hybridMultilevel"/>
    <w:tmpl w:val="FFAC382E"/>
    <w:lvl w:ilvl="0" w:tplc="FFFFFFFF">
      <w:start w:val="1"/>
      <w:numFmt w:val="bullet"/>
      <w:lvlText w:val=""/>
      <w:lvlJc w:val="left"/>
      <w:pPr>
        <w:ind w:left="1080" w:hanging="360"/>
      </w:pPr>
      <w:rPr>
        <w:rFonts w:ascii="Wingdings" w:hAnsi="Wingdings" w:hint="default"/>
        <w:color w:val="E1000F"/>
      </w:rPr>
    </w:lvl>
    <w:lvl w:ilvl="1" w:tplc="4B4C214C">
      <w:start w:val="1"/>
      <w:numFmt w:val="bullet"/>
      <w:lvlText w:val=""/>
      <w:lvlJc w:val="left"/>
      <w:pPr>
        <w:ind w:left="2160" w:hanging="360"/>
      </w:pPr>
      <w:rPr>
        <w:rFonts w:ascii="Wingdings" w:hAnsi="Wingdings" w:hint="default"/>
        <w:color w:val="E1000F"/>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4959370">
    <w:abstractNumId w:val="2"/>
  </w:num>
  <w:num w:numId="2" w16cid:durableId="1983925516">
    <w:abstractNumId w:val="1"/>
  </w:num>
  <w:num w:numId="3" w16cid:durableId="460808572">
    <w:abstractNumId w:val="13"/>
  </w:num>
  <w:num w:numId="4" w16cid:durableId="920800721">
    <w:abstractNumId w:val="9"/>
  </w:num>
  <w:num w:numId="5" w16cid:durableId="1408649905">
    <w:abstractNumId w:val="6"/>
  </w:num>
  <w:num w:numId="6" w16cid:durableId="1843621500">
    <w:abstractNumId w:val="10"/>
  </w:num>
  <w:num w:numId="7" w16cid:durableId="1454058605">
    <w:abstractNumId w:val="8"/>
  </w:num>
  <w:num w:numId="8" w16cid:durableId="1573852291">
    <w:abstractNumId w:val="12"/>
  </w:num>
  <w:num w:numId="9" w16cid:durableId="1714114037">
    <w:abstractNumId w:val="0"/>
  </w:num>
  <w:num w:numId="10" w16cid:durableId="1440491899">
    <w:abstractNumId w:val="7"/>
  </w:num>
  <w:num w:numId="11" w16cid:durableId="610018950">
    <w:abstractNumId w:val="3"/>
  </w:num>
  <w:num w:numId="12" w16cid:durableId="1402866222">
    <w:abstractNumId w:val="5"/>
  </w:num>
  <w:num w:numId="13" w16cid:durableId="1807579333">
    <w:abstractNumId w:val="11"/>
  </w:num>
  <w:num w:numId="14" w16cid:durableId="793863911">
    <w:abstractNumId w:val="4"/>
  </w:num>
  <w:num w:numId="15" w16cid:durableId="18001022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5267"/>
    <w:rsid w:val="00006346"/>
    <w:rsid w:val="000069EB"/>
    <w:rsid w:val="00006A45"/>
    <w:rsid w:val="000077E6"/>
    <w:rsid w:val="00014FC1"/>
    <w:rsid w:val="00016137"/>
    <w:rsid w:val="00020DC3"/>
    <w:rsid w:val="00021C67"/>
    <w:rsid w:val="00024147"/>
    <w:rsid w:val="00024483"/>
    <w:rsid w:val="000256A9"/>
    <w:rsid w:val="00026EEE"/>
    <w:rsid w:val="000301F0"/>
    <w:rsid w:val="00030557"/>
    <w:rsid w:val="00030701"/>
    <w:rsid w:val="00030F51"/>
    <w:rsid w:val="000343EB"/>
    <w:rsid w:val="00035A84"/>
    <w:rsid w:val="00040816"/>
    <w:rsid w:val="00040CC9"/>
    <w:rsid w:val="00041F81"/>
    <w:rsid w:val="000425ED"/>
    <w:rsid w:val="00045CCB"/>
    <w:rsid w:val="000510FC"/>
    <w:rsid w:val="00051555"/>
    <w:rsid w:val="00051E86"/>
    <w:rsid w:val="00054AFE"/>
    <w:rsid w:val="0005544E"/>
    <w:rsid w:val="000575F9"/>
    <w:rsid w:val="000618FC"/>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357F"/>
    <w:rsid w:val="00083A35"/>
    <w:rsid w:val="00083A61"/>
    <w:rsid w:val="00083DAB"/>
    <w:rsid w:val="0008406B"/>
    <w:rsid w:val="00084918"/>
    <w:rsid w:val="00090DB6"/>
    <w:rsid w:val="00090E73"/>
    <w:rsid w:val="00091F11"/>
    <w:rsid w:val="00092890"/>
    <w:rsid w:val="00094235"/>
    <w:rsid w:val="00096AD4"/>
    <w:rsid w:val="000A05E0"/>
    <w:rsid w:val="000A06FB"/>
    <w:rsid w:val="000A31D3"/>
    <w:rsid w:val="000A50CF"/>
    <w:rsid w:val="000A511E"/>
    <w:rsid w:val="000A64B3"/>
    <w:rsid w:val="000A6C25"/>
    <w:rsid w:val="000B005C"/>
    <w:rsid w:val="000B10DE"/>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18CE"/>
    <w:rsid w:val="000D40C6"/>
    <w:rsid w:val="000D6C67"/>
    <w:rsid w:val="000E0CAB"/>
    <w:rsid w:val="000E1B84"/>
    <w:rsid w:val="000E2F62"/>
    <w:rsid w:val="000E38ED"/>
    <w:rsid w:val="000E45C7"/>
    <w:rsid w:val="000E7F24"/>
    <w:rsid w:val="000F03BE"/>
    <w:rsid w:val="000F1757"/>
    <w:rsid w:val="000F225B"/>
    <w:rsid w:val="000F333E"/>
    <w:rsid w:val="000F41BC"/>
    <w:rsid w:val="000F48E9"/>
    <w:rsid w:val="000F4DAE"/>
    <w:rsid w:val="000F7ADB"/>
    <w:rsid w:val="000F7FAF"/>
    <w:rsid w:val="001002C6"/>
    <w:rsid w:val="00100D8B"/>
    <w:rsid w:val="00102045"/>
    <w:rsid w:val="00102264"/>
    <w:rsid w:val="00103537"/>
    <w:rsid w:val="0010421C"/>
    <w:rsid w:val="0010465B"/>
    <w:rsid w:val="0010570F"/>
    <w:rsid w:val="00105975"/>
    <w:rsid w:val="00110090"/>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2EFB"/>
    <w:rsid w:val="001438BF"/>
    <w:rsid w:val="001443BD"/>
    <w:rsid w:val="00144A87"/>
    <w:rsid w:val="00145B62"/>
    <w:rsid w:val="00146193"/>
    <w:rsid w:val="00152022"/>
    <w:rsid w:val="00152026"/>
    <w:rsid w:val="00152A41"/>
    <w:rsid w:val="001577E9"/>
    <w:rsid w:val="00157A59"/>
    <w:rsid w:val="0016138C"/>
    <w:rsid w:val="00162D60"/>
    <w:rsid w:val="001640D5"/>
    <w:rsid w:val="001653D7"/>
    <w:rsid w:val="001659FB"/>
    <w:rsid w:val="00172C99"/>
    <w:rsid w:val="001731CE"/>
    <w:rsid w:val="00175C72"/>
    <w:rsid w:val="00180F93"/>
    <w:rsid w:val="00181B06"/>
    <w:rsid w:val="0018672E"/>
    <w:rsid w:val="00196A14"/>
    <w:rsid w:val="00197E9B"/>
    <w:rsid w:val="001A1185"/>
    <w:rsid w:val="001A3D77"/>
    <w:rsid w:val="001B30F7"/>
    <w:rsid w:val="001B31F0"/>
    <w:rsid w:val="001B377A"/>
    <w:rsid w:val="001B4862"/>
    <w:rsid w:val="001B5147"/>
    <w:rsid w:val="001B65FF"/>
    <w:rsid w:val="001B710A"/>
    <w:rsid w:val="001B771D"/>
    <w:rsid w:val="001B7C20"/>
    <w:rsid w:val="001C0B32"/>
    <w:rsid w:val="001C2D66"/>
    <w:rsid w:val="001C36F7"/>
    <w:rsid w:val="001C4BE1"/>
    <w:rsid w:val="001C5338"/>
    <w:rsid w:val="001C63C6"/>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35F8"/>
    <w:rsid w:val="001F39FC"/>
    <w:rsid w:val="001F4AC3"/>
    <w:rsid w:val="001F4CAC"/>
    <w:rsid w:val="001F52E0"/>
    <w:rsid w:val="001F590C"/>
    <w:rsid w:val="001F7110"/>
    <w:rsid w:val="001F773D"/>
    <w:rsid w:val="001F7E96"/>
    <w:rsid w:val="002005F5"/>
    <w:rsid w:val="00202284"/>
    <w:rsid w:val="0020528D"/>
    <w:rsid w:val="0020543B"/>
    <w:rsid w:val="00205A66"/>
    <w:rsid w:val="002063CF"/>
    <w:rsid w:val="00206613"/>
    <w:rsid w:val="0020756B"/>
    <w:rsid w:val="00207E75"/>
    <w:rsid w:val="00210D86"/>
    <w:rsid w:val="0021158F"/>
    <w:rsid w:val="00212488"/>
    <w:rsid w:val="002129A6"/>
    <w:rsid w:val="002151DB"/>
    <w:rsid w:val="00220628"/>
    <w:rsid w:val="00221A45"/>
    <w:rsid w:val="00221BA0"/>
    <w:rsid w:val="002260C7"/>
    <w:rsid w:val="002304D2"/>
    <w:rsid w:val="002338C1"/>
    <w:rsid w:val="00233D04"/>
    <w:rsid w:val="00234ABD"/>
    <w:rsid w:val="00236491"/>
    <w:rsid w:val="00236C3B"/>
    <w:rsid w:val="00236E2A"/>
    <w:rsid w:val="00237F62"/>
    <w:rsid w:val="00241E10"/>
    <w:rsid w:val="0024586A"/>
    <w:rsid w:val="0024601F"/>
    <w:rsid w:val="002502E1"/>
    <w:rsid w:val="00250F80"/>
    <w:rsid w:val="0025124F"/>
    <w:rsid w:val="002518A2"/>
    <w:rsid w:val="002528B3"/>
    <w:rsid w:val="0025551F"/>
    <w:rsid w:val="00255F8C"/>
    <w:rsid w:val="00256174"/>
    <w:rsid w:val="00256F0C"/>
    <w:rsid w:val="00257231"/>
    <w:rsid w:val="00260318"/>
    <w:rsid w:val="00261C23"/>
    <w:rsid w:val="00262C05"/>
    <w:rsid w:val="002715AF"/>
    <w:rsid w:val="002717F0"/>
    <w:rsid w:val="0027301C"/>
    <w:rsid w:val="00273099"/>
    <w:rsid w:val="00281D14"/>
    <w:rsid w:val="00282C13"/>
    <w:rsid w:val="002833D8"/>
    <w:rsid w:val="00285669"/>
    <w:rsid w:val="00286586"/>
    <w:rsid w:val="00286BF6"/>
    <w:rsid w:val="002903B7"/>
    <w:rsid w:val="00295E54"/>
    <w:rsid w:val="002962D7"/>
    <w:rsid w:val="00296C33"/>
    <w:rsid w:val="002A0D7B"/>
    <w:rsid w:val="002A0DF7"/>
    <w:rsid w:val="002A0FA6"/>
    <w:rsid w:val="002A268C"/>
    <w:rsid w:val="002A2975"/>
    <w:rsid w:val="002A460D"/>
    <w:rsid w:val="002A505B"/>
    <w:rsid w:val="002A5EE9"/>
    <w:rsid w:val="002A60E0"/>
    <w:rsid w:val="002B1AA8"/>
    <w:rsid w:val="002B1E87"/>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4FFB"/>
    <w:rsid w:val="002E63A7"/>
    <w:rsid w:val="002E650E"/>
    <w:rsid w:val="002E6ACB"/>
    <w:rsid w:val="002E6E2F"/>
    <w:rsid w:val="002E7DED"/>
    <w:rsid w:val="002F0334"/>
    <w:rsid w:val="002F2A7B"/>
    <w:rsid w:val="002F4AB2"/>
    <w:rsid w:val="002F5944"/>
    <w:rsid w:val="002F6850"/>
    <w:rsid w:val="002F7BC2"/>
    <w:rsid w:val="002F7E11"/>
    <w:rsid w:val="0030037C"/>
    <w:rsid w:val="00304087"/>
    <w:rsid w:val="003053DC"/>
    <w:rsid w:val="003054B0"/>
    <w:rsid w:val="003057B1"/>
    <w:rsid w:val="003062AD"/>
    <w:rsid w:val="00310ACD"/>
    <w:rsid w:val="00312C23"/>
    <w:rsid w:val="0031379F"/>
    <w:rsid w:val="00313A9C"/>
    <w:rsid w:val="003145BA"/>
    <w:rsid w:val="0031621E"/>
    <w:rsid w:val="00316A16"/>
    <w:rsid w:val="00320228"/>
    <w:rsid w:val="00320A26"/>
    <w:rsid w:val="003212F3"/>
    <w:rsid w:val="00321344"/>
    <w:rsid w:val="00321788"/>
    <w:rsid w:val="00325064"/>
    <w:rsid w:val="00325EC9"/>
    <w:rsid w:val="003279C6"/>
    <w:rsid w:val="0032B295"/>
    <w:rsid w:val="00331A3E"/>
    <w:rsid w:val="003335E2"/>
    <w:rsid w:val="0033451C"/>
    <w:rsid w:val="00335660"/>
    <w:rsid w:val="00335FBD"/>
    <w:rsid w:val="00336854"/>
    <w:rsid w:val="0033769B"/>
    <w:rsid w:val="0034015C"/>
    <w:rsid w:val="00341409"/>
    <w:rsid w:val="00341CAE"/>
    <w:rsid w:val="003442F4"/>
    <w:rsid w:val="00344546"/>
    <w:rsid w:val="0034498A"/>
    <w:rsid w:val="003455CF"/>
    <w:rsid w:val="0034716E"/>
    <w:rsid w:val="00350CB4"/>
    <w:rsid w:val="00353705"/>
    <w:rsid w:val="00354C69"/>
    <w:rsid w:val="00355536"/>
    <w:rsid w:val="003562E8"/>
    <w:rsid w:val="003614D7"/>
    <w:rsid w:val="0036357D"/>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21B7"/>
    <w:rsid w:val="00393887"/>
    <w:rsid w:val="00393F1B"/>
    <w:rsid w:val="00394C6B"/>
    <w:rsid w:val="0039610B"/>
    <w:rsid w:val="00397C2B"/>
    <w:rsid w:val="003A290F"/>
    <w:rsid w:val="003A4AAA"/>
    <w:rsid w:val="003A4B10"/>
    <w:rsid w:val="003A4E2E"/>
    <w:rsid w:val="003A4E62"/>
    <w:rsid w:val="003A5A6A"/>
    <w:rsid w:val="003A775E"/>
    <w:rsid w:val="003B02F2"/>
    <w:rsid w:val="003B0BD0"/>
    <w:rsid w:val="003B0CDD"/>
    <w:rsid w:val="003B1069"/>
    <w:rsid w:val="003B38CC"/>
    <w:rsid w:val="003B390A"/>
    <w:rsid w:val="003B3D53"/>
    <w:rsid w:val="003B4E3A"/>
    <w:rsid w:val="003B6373"/>
    <w:rsid w:val="003B79E1"/>
    <w:rsid w:val="003C0E8C"/>
    <w:rsid w:val="003C15DE"/>
    <w:rsid w:val="003C2096"/>
    <w:rsid w:val="003C2889"/>
    <w:rsid w:val="003C34C9"/>
    <w:rsid w:val="003C4EB2"/>
    <w:rsid w:val="003C5E05"/>
    <w:rsid w:val="003C63D0"/>
    <w:rsid w:val="003C7959"/>
    <w:rsid w:val="003D3968"/>
    <w:rsid w:val="003D42AF"/>
    <w:rsid w:val="003D4AD2"/>
    <w:rsid w:val="003D5E11"/>
    <w:rsid w:val="003D73C0"/>
    <w:rsid w:val="003E031D"/>
    <w:rsid w:val="003E7305"/>
    <w:rsid w:val="003F0C1C"/>
    <w:rsid w:val="003F1AF3"/>
    <w:rsid w:val="003F25E4"/>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37C0"/>
    <w:rsid w:val="004138F3"/>
    <w:rsid w:val="00421F20"/>
    <w:rsid w:val="00423B63"/>
    <w:rsid w:val="00427BEA"/>
    <w:rsid w:val="00430120"/>
    <w:rsid w:val="004313E7"/>
    <w:rsid w:val="00432542"/>
    <w:rsid w:val="004339B2"/>
    <w:rsid w:val="00444A70"/>
    <w:rsid w:val="0044763B"/>
    <w:rsid w:val="00450E75"/>
    <w:rsid w:val="00452696"/>
    <w:rsid w:val="00453F32"/>
    <w:rsid w:val="00456A53"/>
    <w:rsid w:val="0046213C"/>
    <w:rsid w:val="00462518"/>
    <w:rsid w:val="0046266D"/>
    <w:rsid w:val="004629B3"/>
    <w:rsid w:val="0046376E"/>
    <w:rsid w:val="00463B50"/>
    <w:rsid w:val="0046587C"/>
    <w:rsid w:val="0046690F"/>
    <w:rsid w:val="00471116"/>
    <w:rsid w:val="00472FEC"/>
    <w:rsid w:val="0047574A"/>
    <w:rsid w:val="00475994"/>
    <w:rsid w:val="00476830"/>
    <w:rsid w:val="004770F6"/>
    <w:rsid w:val="004812D2"/>
    <w:rsid w:val="00483B28"/>
    <w:rsid w:val="004858E1"/>
    <w:rsid w:val="00485EF2"/>
    <w:rsid w:val="004864A1"/>
    <w:rsid w:val="0048769E"/>
    <w:rsid w:val="00490A03"/>
    <w:rsid w:val="00490B0D"/>
    <w:rsid w:val="00490E5D"/>
    <w:rsid w:val="00492B0A"/>
    <w:rsid w:val="00492D88"/>
    <w:rsid w:val="00492E60"/>
    <w:rsid w:val="00493327"/>
    <w:rsid w:val="0049382E"/>
    <w:rsid w:val="00494DBE"/>
    <w:rsid w:val="00495CE6"/>
    <w:rsid w:val="00497D5E"/>
    <w:rsid w:val="004A144D"/>
    <w:rsid w:val="004A1D27"/>
    <w:rsid w:val="004A323C"/>
    <w:rsid w:val="004B0801"/>
    <w:rsid w:val="004B1117"/>
    <w:rsid w:val="004B1A6B"/>
    <w:rsid w:val="004B1FC8"/>
    <w:rsid w:val="004B339A"/>
    <w:rsid w:val="004B54E8"/>
    <w:rsid w:val="004B773C"/>
    <w:rsid w:val="004C0138"/>
    <w:rsid w:val="004C0686"/>
    <w:rsid w:val="004C12E8"/>
    <w:rsid w:val="004C130C"/>
    <w:rsid w:val="004C1578"/>
    <w:rsid w:val="004C174B"/>
    <w:rsid w:val="004C286B"/>
    <w:rsid w:val="004C33BA"/>
    <w:rsid w:val="004C47EA"/>
    <w:rsid w:val="004C4FEB"/>
    <w:rsid w:val="004C618D"/>
    <w:rsid w:val="004C6570"/>
    <w:rsid w:val="004C678C"/>
    <w:rsid w:val="004C6B79"/>
    <w:rsid w:val="004C7345"/>
    <w:rsid w:val="004D059B"/>
    <w:rsid w:val="004D09E8"/>
    <w:rsid w:val="004D09F9"/>
    <w:rsid w:val="004D0E64"/>
    <w:rsid w:val="004D304E"/>
    <w:rsid w:val="004D4543"/>
    <w:rsid w:val="004D48A8"/>
    <w:rsid w:val="004D4CB6"/>
    <w:rsid w:val="004D4DCB"/>
    <w:rsid w:val="004D7DA7"/>
    <w:rsid w:val="004E0907"/>
    <w:rsid w:val="004E20CF"/>
    <w:rsid w:val="004E2324"/>
    <w:rsid w:val="004E28C9"/>
    <w:rsid w:val="004E3341"/>
    <w:rsid w:val="004E5124"/>
    <w:rsid w:val="004E7BE2"/>
    <w:rsid w:val="004E7E3A"/>
    <w:rsid w:val="004F10C1"/>
    <w:rsid w:val="004F1C5E"/>
    <w:rsid w:val="004F3E47"/>
    <w:rsid w:val="004F4CC8"/>
    <w:rsid w:val="004F4F5A"/>
    <w:rsid w:val="004F51FF"/>
    <w:rsid w:val="004F5AD9"/>
    <w:rsid w:val="0050159C"/>
    <w:rsid w:val="005022B7"/>
    <w:rsid w:val="00502E62"/>
    <w:rsid w:val="00506B8A"/>
    <w:rsid w:val="005110D3"/>
    <w:rsid w:val="00520A65"/>
    <w:rsid w:val="005218B8"/>
    <w:rsid w:val="0052212B"/>
    <w:rsid w:val="005221A8"/>
    <w:rsid w:val="005230C7"/>
    <w:rsid w:val="0052625A"/>
    <w:rsid w:val="005266EA"/>
    <w:rsid w:val="00527072"/>
    <w:rsid w:val="0053001D"/>
    <w:rsid w:val="00534B46"/>
    <w:rsid w:val="00534CE8"/>
    <w:rsid w:val="00535018"/>
    <w:rsid w:val="005355DB"/>
    <w:rsid w:val="00535866"/>
    <w:rsid w:val="00540358"/>
    <w:rsid w:val="00540A05"/>
    <w:rsid w:val="00540D47"/>
    <w:rsid w:val="005428D7"/>
    <w:rsid w:val="00542D43"/>
    <w:rsid w:val="005463C3"/>
    <w:rsid w:val="005465A3"/>
    <w:rsid w:val="00547C7C"/>
    <w:rsid w:val="005506D5"/>
    <w:rsid w:val="00550864"/>
    <w:rsid w:val="00551D6C"/>
    <w:rsid w:val="00553580"/>
    <w:rsid w:val="005550A8"/>
    <w:rsid w:val="0055571E"/>
    <w:rsid w:val="00556F67"/>
    <w:rsid w:val="00557849"/>
    <w:rsid w:val="00563009"/>
    <w:rsid w:val="005635B7"/>
    <w:rsid w:val="005652E8"/>
    <w:rsid w:val="0056772E"/>
    <w:rsid w:val="00567A17"/>
    <w:rsid w:val="00570851"/>
    <w:rsid w:val="0057667C"/>
    <w:rsid w:val="00576BDA"/>
    <w:rsid w:val="00577DB4"/>
    <w:rsid w:val="005811D2"/>
    <w:rsid w:val="005826DA"/>
    <w:rsid w:val="00582943"/>
    <w:rsid w:val="00582D0E"/>
    <w:rsid w:val="00582E09"/>
    <w:rsid w:val="005833F0"/>
    <w:rsid w:val="00584813"/>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678F"/>
    <w:rsid w:val="005A6DE6"/>
    <w:rsid w:val="005A7DE8"/>
    <w:rsid w:val="005A7E97"/>
    <w:rsid w:val="005B2CD2"/>
    <w:rsid w:val="005B632A"/>
    <w:rsid w:val="005B6A58"/>
    <w:rsid w:val="005C2D0E"/>
    <w:rsid w:val="005C5636"/>
    <w:rsid w:val="005C5A83"/>
    <w:rsid w:val="005C7112"/>
    <w:rsid w:val="005D0561"/>
    <w:rsid w:val="005D0AD9"/>
    <w:rsid w:val="005D1A67"/>
    <w:rsid w:val="005D22F6"/>
    <w:rsid w:val="005D53EF"/>
    <w:rsid w:val="005D6774"/>
    <w:rsid w:val="005D68AA"/>
    <w:rsid w:val="005D6BD1"/>
    <w:rsid w:val="005E060E"/>
    <w:rsid w:val="005E0C30"/>
    <w:rsid w:val="005E1DB5"/>
    <w:rsid w:val="005E1DCB"/>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5DFE"/>
    <w:rsid w:val="00607094"/>
    <w:rsid w:val="00607256"/>
    <w:rsid w:val="0060790C"/>
    <w:rsid w:val="0060791E"/>
    <w:rsid w:val="00611F08"/>
    <w:rsid w:val="00613BF1"/>
    <w:rsid w:val="006144B1"/>
    <w:rsid w:val="00615A5C"/>
    <w:rsid w:val="006177FF"/>
    <w:rsid w:val="0062077F"/>
    <w:rsid w:val="00621BC7"/>
    <w:rsid w:val="00622033"/>
    <w:rsid w:val="00630644"/>
    <w:rsid w:val="006335F1"/>
    <w:rsid w:val="006336FD"/>
    <w:rsid w:val="00633B49"/>
    <w:rsid w:val="006345B6"/>
    <w:rsid w:val="00635616"/>
    <w:rsid w:val="00635712"/>
    <w:rsid w:val="00635984"/>
    <w:rsid w:val="00635F41"/>
    <w:rsid w:val="006368FF"/>
    <w:rsid w:val="006377D4"/>
    <w:rsid w:val="00640135"/>
    <w:rsid w:val="006402FF"/>
    <w:rsid w:val="0064107F"/>
    <w:rsid w:val="00643D8A"/>
    <w:rsid w:val="00645A5C"/>
    <w:rsid w:val="00647AB9"/>
    <w:rsid w:val="00650894"/>
    <w:rsid w:val="0065112B"/>
    <w:rsid w:val="00652091"/>
    <w:rsid w:val="00652229"/>
    <w:rsid w:val="00652793"/>
    <w:rsid w:val="006528DE"/>
    <w:rsid w:val="00657789"/>
    <w:rsid w:val="00657A49"/>
    <w:rsid w:val="00660320"/>
    <w:rsid w:val="0066187E"/>
    <w:rsid w:val="00662375"/>
    <w:rsid w:val="006626CA"/>
    <w:rsid w:val="00663487"/>
    <w:rsid w:val="00665F22"/>
    <w:rsid w:val="00672382"/>
    <w:rsid w:val="006733BB"/>
    <w:rsid w:val="00676E80"/>
    <w:rsid w:val="00681257"/>
    <w:rsid w:val="00681C3E"/>
    <w:rsid w:val="006822E9"/>
    <w:rsid w:val="00682643"/>
    <w:rsid w:val="00682EB9"/>
    <w:rsid w:val="00682F1E"/>
    <w:rsid w:val="0068378C"/>
    <w:rsid w:val="006839D3"/>
    <w:rsid w:val="0068441A"/>
    <w:rsid w:val="0068699A"/>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1AB"/>
    <w:rsid w:val="006C5B53"/>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BDA"/>
    <w:rsid w:val="006E7AC9"/>
    <w:rsid w:val="006F0FC7"/>
    <w:rsid w:val="006F39A9"/>
    <w:rsid w:val="006F3D9D"/>
    <w:rsid w:val="006F524E"/>
    <w:rsid w:val="006F5D57"/>
    <w:rsid w:val="006F643F"/>
    <w:rsid w:val="006F670F"/>
    <w:rsid w:val="006F77F3"/>
    <w:rsid w:val="0070063C"/>
    <w:rsid w:val="00700D69"/>
    <w:rsid w:val="00702921"/>
    <w:rsid w:val="00703272"/>
    <w:rsid w:val="0070362C"/>
    <w:rsid w:val="00705BBE"/>
    <w:rsid w:val="0070733C"/>
    <w:rsid w:val="007102D5"/>
    <w:rsid w:val="00710C5D"/>
    <w:rsid w:val="0071348C"/>
    <w:rsid w:val="00717273"/>
    <w:rsid w:val="00720FD4"/>
    <w:rsid w:val="00723C6D"/>
    <w:rsid w:val="00724550"/>
    <w:rsid w:val="00724AF2"/>
    <w:rsid w:val="00725B02"/>
    <w:rsid w:val="00730624"/>
    <w:rsid w:val="0073096C"/>
    <w:rsid w:val="0073100D"/>
    <w:rsid w:val="00731368"/>
    <w:rsid w:val="00733429"/>
    <w:rsid w:val="00733A46"/>
    <w:rsid w:val="00735E2D"/>
    <w:rsid w:val="00736F2C"/>
    <w:rsid w:val="007419C8"/>
    <w:rsid w:val="00742398"/>
    <w:rsid w:val="007432A9"/>
    <w:rsid w:val="00745C0B"/>
    <w:rsid w:val="00746050"/>
    <w:rsid w:val="00746118"/>
    <w:rsid w:val="00746C7F"/>
    <w:rsid w:val="007507B5"/>
    <w:rsid w:val="0075091D"/>
    <w:rsid w:val="00750EC4"/>
    <w:rsid w:val="00751831"/>
    <w:rsid w:val="0075201B"/>
    <w:rsid w:val="00753A24"/>
    <w:rsid w:val="0075430D"/>
    <w:rsid w:val="007566CB"/>
    <w:rsid w:val="0075779F"/>
    <w:rsid w:val="0076354B"/>
    <w:rsid w:val="007658F3"/>
    <w:rsid w:val="00766EA2"/>
    <w:rsid w:val="00767034"/>
    <w:rsid w:val="00772188"/>
    <w:rsid w:val="0077222A"/>
    <w:rsid w:val="00773909"/>
    <w:rsid w:val="0077433B"/>
    <w:rsid w:val="00774E1E"/>
    <w:rsid w:val="007813D0"/>
    <w:rsid w:val="007845AC"/>
    <w:rsid w:val="00785993"/>
    <w:rsid w:val="00785A0D"/>
    <w:rsid w:val="007863BF"/>
    <w:rsid w:val="007866E2"/>
    <w:rsid w:val="00786BA3"/>
    <w:rsid w:val="00790993"/>
    <w:rsid w:val="0079202F"/>
    <w:rsid w:val="0079203E"/>
    <w:rsid w:val="007934C3"/>
    <w:rsid w:val="00794903"/>
    <w:rsid w:val="00795486"/>
    <w:rsid w:val="00795AF2"/>
    <w:rsid w:val="00795E4F"/>
    <w:rsid w:val="007A00A2"/>
    <w:rsid w:val="007A0287"/>
    <w:rsid w:val="007A09FC"/>
    <w:rsid w:val="007A2AAD"/>
    <w:rsid w:val="007A4432"/>
    <w:rsid w:val="007A59E9"/>
    <w:rsid w:val="007A784E"/>
    <w:rsid w:val="007A7E31"/>
    <w:rsid w:val="007B02A0"/>
    <w:rsid w:val="007B278C"/>
    <w:rsid w:val="007B2DAD"/>
    <w:rsid w:val="007B3774"/>
    <w:rsid w:val="007B4939"/>
    <w:rsid w:val="007B499C"/>
    <w:rsid w:val="007B4D4B"/>
    <w:rsid w:val="007B58C6"/>
    <w:rsid w:val="007B76D8"/>
    <w:rsid w:val="007C0646"/>
    <w:rsid w:val="007C1E5E"/>
    <w:rsid w:val="007C1E9D"/>
    <w:rsid w:val="007C3AE3"/>
    <w:rsid w:val="007C6C51"/>
    <w:rsid w:val="007C6EE9"/>
    <w:rsid w:val="007D0000"/>
    <w:rsid w:val="007D2A02"/>
    <w:rsid w:val="007D5EA2"/>
    <w:rsid w:val="007D6144"/>
    <w:rsid w:val="007D62A4"/>
    <w:rsid w:val="007D6CE5"/>
    <w:rsid w:val="007E0917"/>
    <w:rsid w:val="007E1736"/>
    <w:rsid w:val="007E25DD"/>
    <w:rsid w:val="007E2887"/>
    <w:rsid w:val="007E3318"/>
    <w:rsid w:val="007E6EA1"/>
    <w:rsid w:val="007F0F63"/>
    <w:rsid w:val="007F2B1E"/>
    <w:rsid w:val="007F4590"/>
    <w:rsid w:val="007F62B4"/>
    <w:rsid w:val="007F7DF9"/>
    <w:rsid w:val="00800CB1"/>
    <w:rsid w:val="00800FD6"/>
    <w:rsid w:val="00801517"/>
    <w:rsid w:val="00804966"/>
    <w:rsid w:val="0080510A"/>
    <w:rsid w:val="0080596A"/>
    <w:rsid w:val="00805CBF"/>
    <w:rsid w:val="00810AC4"/>
    <w:rsid w:val="0081218E"/>
    <w:rsid w:val="0081228B"/>
    <w:rsid w:val="00813492"/>
    <w:rsid w:val="00814DE2"/>
    <w:rsid w:val="008177EE"/>
    <w:rsid w:val="00817895"/>
    <w:rsid w:val="00817AE8"/>
    <w:rsid w:val="00817DE8"/>
    <w:rsid w:val="008229F5"/>
    <w:rsid w:val="008259DE"/>
    <w:rsid w:val="0082699A"/>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5FD0"/>
    <w:rsid w:val="00856F81"/>
    <w:rsid w:val="00857408"/>
    <w:rsid w:val="008578A9"/>
    <w:rsid w:val="0086072A"/>
    <w:rsid w:val="0086088F"/>
    <w:rsid w:val="008614F1"/>
    <w:rsid w:val="008639B3"/>
    <w:rsid w:val="00863C1A"/>
    <w:rsid w:val="00863DA3"/>
    <w:rsid w:val="0086470F"/>
    <w:rsid w:val="00865882"/>
    <w:rsid w:val="00866CDD"/>
    <w:rsid w:val="008712FE"/>
    <w:rsid w:val="0087142D"/>
    <w:rsid w:val="00872928"/>
    <w:rsid w:val="00872DA6"/>
    <w:rsid w:val="00873416"/>
    <w:rsid w:val="00873956"/>
    <w:rsid w:val="0087538C"/>
    <w:rsid w:val="00875CB0"/>
    <w:rsid w:val="008770CC"/>
    <w:rsid w:val="00877800"/>
    <w:rsid w:val="00877C32"/>
    <w:rsid w:val="0088094B"/>
    <w:rsid w:val="00880E72"/>
    <w:rsid w:val="0088176E"/>
    <w:rsid w:val="008825EE"/>
    <w:rsid w:val="00882DE4"/>
    <w:rsid w:val="0088313E"/>
    <w:rsid w:val="0088596E"/>
    <w:rsid w:val="00885D26"/>
    <w:rsid w:val="00886C54"/>
    <w:rsid w:val="008870ED"/>
    <w:rsid w:val="008877FC"/>
    <w:rsid w:val="0089796A"/>
    <w:rsid w:val="0089799B"/>
    <w:rsid w:val="008A2375"/>
    <w:rsid w:val="008A54B6"/>
    <w:rsid w:val="008A7DEB"/>
    <w:rsid w:val="008B1B65"/>
    <w:rsid w:val="008B3557"/>
    <w:rsid w:val="008B39E0"/>
    <w:rsid w:val="008B4302"/>
    <w:rsid w:val="008B605A"/>
    <w:rsid w:val="008C093B"/>
    <w:rsid w:val="008C0E76"/>
    <w:rsid w:val="008C2665"/>
    <w:rsid w:val="008C6041"/>
    <w:rsid w:val="008C74E3"/>
    <w:rsid w:val="008D0936"/>
    <w:rsid w:val="008D403B"/>
    <w:rsid w:val="008D4707"/>
    <w:rsid w:val="008D76C5"/>
    <w:rsid w:val="008E0A04"/>
    <w:rsid w:val="008E0AFA"/>
    <w:rsid w:val="008E411B"/>
    <w:rsid w:val="008E4F56"/>
    <w:rsid w:val="008E75D3"/>
    <w:rsid w:val="008F02E9"/>
    <w:rsid w:val="008F0CE4"/>
    <w:rsid w:val="008F125E"/>
    <w:rsid w:val="008F1CC5"/>
    <w:rsid w:val="008F2B54"/>
    <w:rsid w:val="008F2CC5"/>
    <w:rsid w:val="008F4C1E"/>
    <w:rsid w:val="008F4D2F"/>
    <w:rsid w:val="008F510A"/>
    <w:rsid w:val="008F55A2"/>
    <w:rsid w:val="00900235"/>
    <w:rsid w:val="00900D3C"/>
    <w:rsid w:val="00906292"/>
    <w:rsid w:val="00914B5B"/>
    <w:rsid w:val="00917162"/>
    <w:rsid w:val="009172B9"/>
    <w:rsid w:val="009178AA"/>
    <w:rsid w:val="00922CB8"/>
    <w:rsid w:val="00923001"/>
    <w:rsid w:val="0092358D"/>
    <w:rsid w:val="009238BF"/>
    <w:rsid w:val="009251CC"/>
    <w:rsid w:val="0092714E"/>
    <w:rsid w:val="00927661"/>
    <w:rsid w:val="00931E24"/>
    <w:rsid w:val="009324F0"/>
    <w:rsid w:val="0093478F"/>
    <w:rsid w:val="00936826"/>
    <w:rsid w:val="00940B3D"/>
    <w:rsid w:val="00942002"/>
    <w:rsid w:val="00942359"/>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BC"/>
    <w:rsid w:val="00963A06"/>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E69"/>
    <w:rsid w:val="0098334C"/>
    <w:rsid w:val="00984643"/>
    <w:rsid w:val="0098576C"/>
    <w:rsid w:val="0098579A"/>
    <w:rsid w:val="00991475"/>
    <w:rsid w:val="009918DD"/>
    <w:rsid w:val="0099195A"/>
    <w:rsid w:val="00991BD2"/>
    <w:rsid w:val="00992407"/>
    <w:rsid w:val="00992A11"/>
    <w:rsid w:val="00994681"/>
    <w:rsid w:val="0099486A"/>
    <w:rsid w:val="009A0B33"/>
    <w:rsid w:val="009A0E26"/>
    <w:rsid w:val="009A16EC"/>
    <w:rsid w:val="009A22C2"/>
    <w:rsid w:val="009A57A9"/>
    <w:rsid w:val="009A743E"/>
    <w:rsid w:val="009A7CF6"/>
    <w:rsid w:val="009B1B55"/>
    <w:rsid w:val="009B29B7"/>
    <w:rsid w:val="009B3199"/>
    <w:rsid w:val="009B3B37"/>
    <w:rsid w:val="009B63F4"/>
    <w:rsid w:val="009B7D1F"/>
    <w:rsid w:val="009C088E"/>
    <w:rsid w:val="009C17DC"/>
    <w:rsid w:val="009C37AB"/>
    <w:rsid w:val="009C4C7A"/>
    <w:rsid w:val="009C4D35"/>
    <w:rsid w:val="009C5E51"/>
    <w:rsid w:val="009C7B68"/>
    <w:rsid w:val="009D1522"/>
    <w:rsid w:val="009D51F0"/>
    <w:rsid w:val="009D7252"/>
    <w:rsid w:val="009E1FF6"/>
    <w:rsid w:val="009E3CAF"/>
    <w:rsid w:val="009E3F48"/>
    <w:rsid w:val="009E53A5"/>
    <w:rsid w:val="009E5B95"/>
    <w:rsid w:val="009E5EB4"/>
    <w:rsid w:val="009F563C"/>
    <w:rsid w:val="009F610E"/>
    <w:rsid w:val="00A00DA9"/>
    <w:rsid w:val="00A00F7E"/>
    <w:rsid w:val="00A044D6"/>
    <w:rsid w:val="00A04ADB"/>
    <w:rsid w:val="00A04F89"/>
    <w:rsid w:val="00A05F11"/>
    <w:rsid w:val="00A11E0F"/>
    <w:rsid w:val="00A12378"/>
    <w:rsid w:val="00A141E9"/>
    <w:rsid w:val="00A15743"/>
    <w:rsid w:val="00A15D78"/>
    <w:rsid w:val="00A15EBE"/>
    <w:rsid w:val="00A17F5B"/>
    <w:rsid w:val="00A216E5"/>
    <w:rsid w:val="00A26744"/>
    <w:rsid w:val="00A26CB6"/>
    <w:rsid w:val="00A30A00"/>
    <w:rsid w:val="00A32F82"/>
    <w:rsid w:val="00A32F8B"/>
    <w:rsid w:val="00A34F9F"/>
    <w:rsid w:val="00A36481"/>
    <w:rsid w:val="00A36675"/>
    <w:rsid w:val="00A3756F"/>
    <w:rsid w:val="00A42D6F"/>
    <w:rsid w:val="00A43870"/>
    <w:rsid w:val="00A4474B"/>
    <w:rsid w:val="00A45A62"/>
    <w:rsid w:val="00A462DC"/>
    <w:rsid w:val="00A4657C"/>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6DB1"/>
    <w:rsid w:val="00A67A92"/>
    <w:rsid w:val="00A70DC6"/>
    <w:rsid w:val="00A71797"/>
    <w:rsid w:val="00A74FDC"/>
    <w:rsid w:val="00A77192"/>
    <w:rsid w:val="00A8089F"/>
    <w:rsid w:val="00A842D5"/>
    <w:rsid w:val="00A87870"/>
    <w:rsid w:val="00A903F3"/>
    <w:rsid w:val="00A90F18"/>
    <w:rsid w:val="00A90FFB"/>
    <w:rsid w:val="00A9149D"/>
    <w:rsid w:val="00A91A70"/>
    <w:rsid w:val="00A9302F"/>
    <w:rsid w:val="00A957F6"/>
    <w:rsid w:val="00A959CF"/>
    <w:rsid w:val="00A97316"/>
    <w:rsid w:val="00AA010B"/>
    <w:rsid w:val="00AA0D54"/>
    <w:rsid w:val="00AA1B85"/>
    <w:rsid w:val="00AA3290"/>
    <w:rsid w:val="00AA46F0"/>
    <w:rsid w:val="00AA6481"/>
    <w:rsid w:val="00AA7270"/>
    <w:rsid w:val="00AB0C08"/>
    <w:rsid w:val="00AB12AC"/>
    <w:rsid w:val="00AB1CB6"/>
    <w:rsid w:val="00AB1D9A"/>
    <w:rsid w:val="00AB4A1F"/>
    <w:rsid w:val="00AB5C61"/>
    <w:rsid w:val="00AC3540"/>
    <w:rsid w:val="00AC3D15"/>
    <w:rsid w:val="00AC5055"/>
    <w:rsid w:val="00AD0C22"/>
    <w:rsid w:val="00AD1AD7"/>
    <w:rsid w:val="00AD1AE2"/>
    <w:rsid w:val="00AD3290"/>
    <w:rsid w:val="00AD442C"/>
    <w:rsid w:val="00AD44FE"/>
    <w:rsid w:val="00AD5A37"/>
    <w:rsid w:val="00AE05A4"/>
    <w:rsid w:val="00AE177E"/>
    <w:rsid w:val="00AE25FC"/>
    <w:rsid w:val="00AE400C"/>
    <w:rsid w:val="00AE49F1"/>
    <w:rsid w:val="00AE4A1C"/>
    <w:rsid w:val="00AE4B7A"/>
    <w:rsid w:val="00AE5532"/>
    <w:rsid w:val="00AE74D8"/>
    <w:rsid w:val="00AF0674"/>
    <w:rsid w:val="00AF0B6F"/>
    <w:rsid w:val="00AF11B2"/>
    <w:rsid w:val="00AF1D69"/>
    <w:rsid w:val="00AF30D0"/>
    <w:rsid w:val="00AF41FA"/>
    <w:rsid w:val="00AF71EB"/>
    <w:rsid w:val="00B00988"/>
    <w:rsid w:val="00B01405"/>
    <w:rsid w:val="00B052E8"/>
    <w:rsid w:val="00B05CCA"/>
    <w:rsid w:val="00B100C9"/>
    <w:rsid w:val="00B11099"/>
    <w:rsid w:val="00B1118A"/>
    <w:rsid w:val="00B14271"/>
    <w:rsid w:val="00B16270"/>
    <w:rsid w:val="00B177C9"/>
    <w:rsid w:val="00B22578"/>
    <w:rsid w:val="00B23C16"/>
    <w:rsid w:val="00B23C52"/>
    <w:rsid w:val="00B259E1"/>
    <w:rsid w:val="00B2685D"/>
    <w:rsid w:val="00B26D1E"/>
    <w:rsid w:val="00B30351"/>
    <w:rsid w:val="00B334DA"/>
    <w:rsid w:val="00B33837"/>
    <w:rsid w:val="00B33C2A"/>
    <w:rsid w:val="00B34A14"/>
    <w:rsid w:val="00B35967"/>
    <w:rsid w:val="00B363D9"/>
    <w:rsid w:val="00B422EC"/>
    <w:rsid w:val="00B44875"/>
    <w:rsid w:val="00B44C07"/>
    <w:rsid w:val="00B46320"/>
    <w:rsid w:val="00B4657A"/>
    <w:rsid w:val="00B47F0A"/>
    <w:rsid w:val="00B50B6B"/>
    <w:rsid w:val="00B52692"/>
    <w:rsid w:val="00B54329"/>
    <w:rsid w:val="00B54885"/>
    <w:rsid w:val="00B54BFF"/>
    <w:rsid w:val="00B554C9"/>
    <w:rsid w:val="00B56AD9"/>
    <w:rsid w:val="00B57158"/>
    <w:rsid w:val="00B5778D"/>
    <w:rsid w:val="00B614C0"/>
    <w:rsid w:val="00B634AB"/>
    <w:rsid w:val="00B63624"/>
    <w:rsid w:val="00B7037B"/>
    <w:rsid w:val="00B719F6"/>
    <w:rsid w:val="00B726D4"/>
    <w:rsid w:val="00B72969"/>
    <w:rsid w:val="00B758FD"/>
    <w:rsid w:val="00B76807"/>
    <w:rsid w:val="00B77D24"/>
    <w:rsid w:val="00B8214F"/>
    <w:rsid w:val="00B82B43"/>
    <w:rsid w:val="00B82B48"/>
    <w:rsid w:val="00B85133"/>
    <w:rsid w:val="00B8643A"/>
    <w:rsid w:val="00B86A4F"/>
    <w:rsid w:val="00B93035"/>
    <w:rsid w:val="00B940EB"/>
    <w:rsid w:val="00B9431C"/>
    <w:rsid w:val="00B95798"/>
    <w:rsid w:val="00B958E8"/>
    <w:rsid w:val="00B97E4A"/>
    <w:rsid w:val="00BA09B2"/>
    <w:rsid w:val="00BA0F35"/>
    <w:rsid w:val="00BA465D"/>
    <w:rsid w:val="00BA52C0"/>
    <w:rsid w:val="00BA5B46"/>
    <w:rsid w:val="00BA63D4"/>
    <w:rsid w:val="00BB2D73"/>
    <w:rsid w:val="00BB400D"/>
    <w:rsid w:val="00BB45BA"/>
    <w:rsid w:val="00BB48B2"/>
    <w:rsid w:val="00BB4A3A"/>
    <w:rsid w:val="00BB5D0B"/>
    <w:rsid w:val="00BB629C"/>
    <w:rsid w:val="00BC0995"/>
    <w:rsid w:val="00BC1761"/>
    <w:rsid w:val="00BC19ED"/>
    <w:rsid w:val="00BC46D4"/>
    <w:rsid w:val="00BC513A"/>
    <w:rsid w:val="00BC6C56"/>
    <w:rsid w:val="00BC6DE2"/>
    <w:rsid w:val="00BC6E62"/>
    <w:rsid w:val="00BD013A"/>
    <w:rsid w:val="00BD2510"/>
    <w:rsid w:val="00BD3A53"/>
    <w:rsid w:val="00BD5A19"/>
    <w:rsid w:val="00BD656A"/>
    <w:rsid w:val="00BD6D1B"/>
    <w:rsid w:val="00BE2403"/>
    <w:rsid w:val="00BE2D0A"/>
    <w:rsid w:val="00BE3681"/>
    <w:rsid w:val="00BE47D4"/>
    <w:rsid w:val="00BE793A"/>
    <w:rsid w:val="00BE7A0B"/>
    <w:rsid w:val="00BF114D"/>
    <w:rsid w:val="00BF2B82"/>
    <w:rsid w:val="00BF2CEB"/>
    <w:rsid w:val="00BF40D3"/>
    <w:rsid w:val="00BF432A"/>
    <w:rsid w:val="00BF6E82"/>
    <w:rsid w:val="00C044AA"/>
    <w:rsid w:val="00C060C7"/>
    <w:rsid w:val="00C06DCC"/>
    <w:rsid w:val="00C07F92"/>
    <w:rsid w:val="00C10EA4"/>
    <w:rsid w:val="00C11D25"/>
    <w:rsid w:val="00C13217"/>
    <w:rsid w:val="00C15BEC"/>
    <w:rsid w:val="00C15DB5"/>
    <w:rsid w:val="00C208E2"/>
    <w:rsid w:val="00C21897"/>
    <w:rsid w:val="00C21EBD"/>
    <w:rsid w:val="00C2288E"/>
    <w:rsid w:val="00C22B54"/>
    <w:rsid w:val="00C24279"/>
    <w:rsid w:val="00C24C17"/>
    <w:rsid w:val="00C31595"/>
    <w:rsid w:val="00C31B25"/>
    <w:rsid w:val="00C3309D"/>
    <w:rsid w:val="00C3411D"/>
    <w:rsid w:val="00C34357"/>
    <w:rsid w:val="00C34829"/>
    <w:rsid w:val="00C363B8"/>
    <w:rsid w:val="00C3758F"/>
    <w:rsid w:val="00C37960"/>
    <w:rsid w:val="00C40B88"/>
    <w:rsid w:val="00C44489"/>
    <w:rsid w:val="00C44FC2"/>
    <w:rsid w:val="00C47A70"/>
    <w:rsid w:val="00C47D87"/>
    <w:rsid w:val="00C47FCD"/>
    <w:rsid w:val="00C50FA6"/>
    <w:rsid w:val="00C5376E"/>
    <w:rsid w:val="00C554C1"/>
    <w:rsid w:val="00C55AEE"/>
    <w:rsid w:val="00C5701B"/>
    <w:rsid w:val="00C6069A"/>
    <w:rsid w:val="00C61BDC"/>
    <w:rsid w:val="00C64D40"/>
    <w:rsid w:val="00C65957"/>
    <w:rsid w:val="00C66218"/>
    <w:rsid w:val="00C677C9"/>
    <w:rsid w:val="00C70DBC"/>
    <w:rsid w:val="00C71E80"/>
    <w:rsid w:val="00C7750A"/>
    <w:rsid w:val="00C80467"/>
    <w:rsid w:val="00C808A6"/>
    <w:rsid w:val="00C84AC6"/>
    <w:rsid w:val="00C855DB"/>
    <w:rsid w:val="00C855F3"/>
    <w:rsid w:val="00C86270"/>
    <w:rsid w:val="00C90C20"/>
    <w:rsid w:val="00C948CF"/>
    <w:rsid w:val="00C95798"/>
    <w:rsid w:val="00C95A74"/>
    <w:rsid w:val="00C97091"/>
    <w:rsid w:val="00C97260"/>
    <w:rsid w:val="00C97391"/>
    <w:rsid w:val="00CA14A5"/>
    <w:rsid w:val="00CA1AB8"/>
    <w:rsid w:val="00CA2001"/>
    <w:rsid w:val="00CA2B10"/>
    <w:rsid w:val="00CA3F11"/>
    <w:rsid w:val="00CA5256"/>
    <w:rsid w:val="00CA5564"/>
    <w:rsid w:val="00CB078E"/>
    <w:rsid w:val="00CB3782"/>
    <w:rsid w:val="00CB4D20"/>
    <w:rsid w:val="00CB5B6C"/>
    <w:rsid w:val="00CB74E3"/>
    <w:rsid w:val="00CC052E"/>
    <w:rsid w:val="00CC06E5"/>
    <w:rsid w:val="00CC0B14"/>
    <w:rsid w:val="00CC5B9C"/>
    <w:rsid w:val="00CD02DF"/>
    <w:rsid w:val="00CD10A5"/>
    <w:rsid w:val="00CD16BE"/>
    <w:rsid w:val="00CD179F"/>
    <w:rsid w:val="00CD1F32"/>
    <w:rsid w:val="00CD2268"/>
    <w:rsid w:val="00CD4616"/>
    <w:rsid w:val="00CD56AF"/>
    <w:rsid w:val="00CD5FFA"/>
    <w:rsid w:val="00CD608B"/>
    <w:rsid w:val="00CD61BB"/>
    <w:rsid w:val="00CE134D"/>
    <w:rsid w:val="00CE33D5"/>
    <w:rsid w:val="00CE4712"/>
    <w:rsid w:val="00CE6073"/>
    <w:rsid w:val="00CE761C"/>
    <w:rsid w:val="00CF5D37"/>
    <w:rsid w:val="00CF6353"/>
    <w:rsid w:val="00CF6F33"/>
    <w:rsid w:val="00D02248"/>
    <w:rsid w:val="00D04429"/>
    <w:rsid w:val="00D04B47"/>
    <w:rsid w:val="00D04E37"/>
    <w:rsid w:val="00D063B8"/>
    <w:rsid w:val="00D06825"/>
    <w:rsid w:val="00D07467"/>
    <w:rsid w:val="00D076E6"/>
    <w:rsid w:val="00D15CDD"/>
    <w:rsid w:val="00D17185"/>
    <w:rsid w:val="00D17E3B"/>
    <w:rsid w:val="00D2306F"/>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2D5"/>
    <w:rsid w:val="00D45043"/>
    <w:rsid w:val="00D4757A"/>
    <w:rsid w:val="00D51576"/>
    <w:rsid w:val="00D519AF"/>
    <w:rsid w:val="00D532A9"/>
    <w:rsid w:val="00D5437A"/>
    <w:rsid w:val="00D5611E"/>
    <w:rsid w:val="00D5653B"/>
    <w:rsid w:val="00D56C30"/>
    <w:rsid w:val="00D5726D"/>
    <w:rsid w:val="00D572AC"/>
    <w:rsid w:val="00D6071F"/>
    <w:rsid w:val="00D61D6E"/>
    <w:rsid w:val="00D62EF1"/>
    <w:rsid w:val="00D6309D"/>
    <w:rsid w:val="00D644CA"/>
    <w:rsid w:val="00D64EA0"/>
    <w:rsid w:val="00D66FC2"/>
    <w:rsid w:val="00D7044E"/>
    <w:rsid w:val="00D704A8"/>
    <w:rsid w:val="00D76C7E"/>
    <w:rsid w:val="00D771DE"/>
    <w:rsid w:val="00D7776D"/>
    <w:rsid w:val="00D81AEF"/>
    <w:rsid w:val="00D82A42"/>
    <w:rsid w:val="00D834F1"/>
    <w:rsid w:val="00D83609"/>
    <w:rsid w:val="00D83AA6"/>
    <w:rsid w:val="00D85C0D"/>
    <w:rsid w:val="00D866CB"/>
    <w:rsid w:val="00D86909"/>
    <w:rsid w:val="00D87326"/>
    <w:rsid w:val="00D87A9A"/>
    <w:rsid w:val="00D90625"/>
    <w:rsid w:val="00D909F8"/>
    <w:rsid w:val="00D9152C"/>
    <w:rsid w:val="00D92179"/>
    <w:rsid w:val="00D922C6"/>
    <w:rsid w:val="00D9293F"/>
    <w:rsid w:val="00D92DE7"/>
    <w:rsid w:val="00D93598"/>
    <w:rsid w:val="00D93FDD"/>
    <w:rsid w:val="00D942F8"/>
    <w:rsid w:val="00D97A5B"/>
    <w:rsid w:val="00DA1E18"/>
    <w:rsid w:val="00DA2009"/>
    <w:rsid w:val="00DA585A"/>
    <w:rsid w:val="00DA74BC"/>
    <w:rsid w:val="00DA7741"/>
    <w:rsid w:val="00DA7769"/>
    <w:rsid w:val="00DB05B1"/>
    <w:rsid w:val="00DB2823"/>
    <w:rsid w:val="00DB2D74"/>
    <w:rsid w:val="00DB3786"/>
    <w:rsid w:val="00DB59E8"/>
    <w:rsid w:val="00DB5A79"/>
    <w:rsid w:val="00DC0207"/>
    <w:rsid w:val="00DC2465"/>
    <w:rsid w:val="00DC4BCA"/>
    <w:rsid w:val="00DC5E2C"/>
    <w:rsid w:val="00DC7D48"/>
    <w:rsid w:val="00DD0253"/>
    <w:rsid w:val="00DD145A"/>
    <w:rsid w:val="00DD512E"/>
    <w:rsid w:val="00DD5736"/>
    <w:rsid w:val="00DD5EC8"/>
    <w:rsid w:val="00DD7BEC"/>
    <w:rsid w:val="00DE083E"/>
    <w:rsid w:val="00DE0C22"/>
    <w:rsid w:val="00DE1177"/>
    <w:rsid w:val="00DE2CEA"/>
    <w:rsid w:val="00DE3CFE"/>
    <w:rsid w:val="00DE567C"/>
    <w:rsid w:val="00DE6154"/>
    <w:rsid w:val="00DE634D"/>
    <w:rsid w:val="00DE6A3C"/>
    <w:rsid w:val="00DE74F4"/>
    <w:rsid w:val="00DE7C8B"/>
    <w:rsid w:val="00DE7F97"/>
    <w:rsid w:val="00DF0AAF"/>
    <w:rsid w:val="00DF1010"/>
    <w:rsid w:val="00DF2244"/>
    <w:rsid w:val="00DF334D"/>
    <w:rsid w:val="00DF53D9"/>
    <w:rsid w:val="00DF5AEA"/>
    <w:rsid w:val="00DF5D49"/>
    <w:rsid w:val="00DF63F6"/>
    <w:rsid w:val="00DF7992"/>
    <w:rsid w:val="00DF7BD0"/>
    <w:rsid w:val="00E00C8E"/>
    <w:rsid w:val="00E0219D"/>
    <w:rsid w:val="00E0276A"/>
    <w:rsid w:val="00E0374B"/>
    <w:rsid w:val="00E05302"/>
    <w:rsid w:val="00E0632F"/>
    <w:rsid w:val="00E06C36"/>
    <w:rsid w:val="00E071A9"/>
    <w:rsid w:val="00E07D26"/>
    <w:rsid w:val="00E10B28"/>
    <w:rsid w:val="00E10C8F"/>
    <w:rsid w:val="00E117FD"/>
    <w:rsid w:val="00E13747"/>
    <w:rsid w:val="00E14758"/>
    <w:rsid w:val="00E21088"/>
    <w:rsid w:val="00E23C5E"/>
    <w:rsid w:val="00E23E29"/>
    <w:rsid w:val="00E24632"/>
    <w:rsid w:val="00E25155"/>
    <w:rsid w:val="00E25AEA"/>
    <w:rsid w:val="00E27C2C"/>
    <w:rsid w:val="00E30D26"/>
    <w:rsid w:val="00E30DEF"/>
    <w:rsid w:val="00E30ED2"/>
    <w:rsid w:val="00E31276"/>
    <w:rsid w:val="00E3155D"/>
    <w:rsid w:val="00E32102"/>
    <w:rsid w:val="00E34666"/>
    <w:rsid w:val="00E36A66"/>
    <w:rsid w:val="00E37F70"/>
    <w:rsid w:val="00E41377"/>
    <w:rsid w:val="00E41985"/>
    <w:rsid w:val="00E42B89"/>
    <w:rsid w:val="00E446C1"/>
    <w:rsid w:val="00E46BCD"/>
    <w:rsid w:val="00E51CCC"/>
    <w:rsid w:val="00E52079"/>
    <w:rsid w:val="00E545D7"/>
    <w:rsid w:val="00E547FE"/>
    <w:rsid w:val="00E54960"/>
    <w:rsid w:val="00E55927"/>
    <w:rsid w:val="00E5669C"/>
    <w:rsid w:val="00E60ECA"/>
    <w:rsid w:val="00E613AB"/>
    <w:rsid w:val="00E619D8"/>
    <w:rsid w:val="00E637B6"/>
    <w:rsid w:val="00E63FD1"/>
    <w:rsid w:val="00E663B6"/>
    <w:rsid w:val="00E66BBE"/>
    <w:rsid w:val="00E6780D"/>
    <w:rsid w:val="00E71DFE"/>
    <w:rsid w:val="00E73083"/>
    <w:rsid w:val="00E756E4"/>
    <w:rsid w:val="00E758B9"/>
    <w:rsid w:val="00E76025"/>
    <w:rsid w:val="00E76B45"/>
    <w:rsid w:val="00E82FE5"/>
    <w:rsid w:val="00E83724"/>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B0A73"/>
    <w:rsid w:val="00EB0A9C"/>
    <w:rsid w:val="00EB0B55"/>
    <w:rsid w:val="00EB3A98"/>
    <w:rsid w:val="00EB46D9"/>
    <w:rsid w:val="00EB6EF6"/>
    <w:rsid w:val="00EC0199"/>
    <w:rsid w:val="00EC0E64"/>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E1A8C"/>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0DCE"/>
    <w:rsid w:val="00F02759"/>
    <w:rsid w:val="00F03B49"/>
    <w:rsid w:val="00F0448F"/>
    <w:rsid w:val="00F0716C"/>
    <w:rsid w:val="00F105AE"/>
    <w:rsid w:val="00F108A8"/>
    <w:rsid w:val="00F13319"/>
    <w:rsid w:val="00F14353"/>
    <w:rsid w:val="00F1628B"/>
    <w:rsid w:val="00F22E81"/>
    <w:rsid w:val="00F270E9"/>
    <w:rsid w:val="00F27440"/>
    <w:rsid w:val="00F275C0"/>
    <w:rsid w:val="00F317B5"/>
    <w:rsid w:val="00F33348"/>
    <w:rsid w:val="00F346B6"/>
    <w:rsid w:val="00F359BA"/>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D4"/>
    <w:rsid w:val="00F553CE"/>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8309B"/>
    <w:rsid w:val="00F833C9"/>
    <w:rsid w:val="00F90064"/>
    <w:rsid w:val="00F94217"/>
    <w:rsid w:val="00F9586C"/>
    <w:rsid w:val="00F96AFD"/>
    <w:rsid w:val="00F96F4C"/>
    <w:rsid w:val="00FA070D"/>
    <w:rsid w:val="00FA07F4"/>
    <w:rsid w:val="00FA1398"/>
    <w:rsid w:val="00FA1515"/>
    <w:rsid w:val="00FA2E19"/>
    <w:rsid w:val="00FA43C8"/>
    <w:rsid w:val="00FA697F"/>
    <w:rsid w:val="00FB0147"/>
    <w:rsid w:val="00FB0F92"/>
    <w:rsid w:val="00FB2FB3"/>
    <w:rsid w:val="00FB3846"/>
    <w:rsid w:val="00FB5059"/>
    <w:rsid w:val="00FB5521"/>
    <w:rsid w:val="00FB610D"/>
    <w:rsid w:val="00FB626E"/>
    <w:rsid w:val="00FC4477"/>
    <w:rsid w:val="00FC46FB"/>
    <w:rsid w:val="00FC7B66"/>
    <w:rsid w:val="00FD0D94"/>
    <w:rsid w:val="00FD106C"/>
    <w:rsid w:val="00FD2BD3"/>
    <w:rsid w:val="00FD3DD5"/>
    <w:rsid w:val="00FD3DEF"/>
    <w:rsid w:val="00FD4CCA"/>
    <w:rsid w:val="00FD58B1"/>
    <w:rsid w:val="00FE04BA"/>
    <w:rsid w:val="00FE234B"/>
    <w:rsid w:val="00FE2A9E"/>
    <w:rsid w:val="00FE34B3"/>
    <w:rsid w:val="00FE46B7"/>
    <w:rsid w:val="00FE4CEC"/>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rPr>
  </w:style>
  <w:style w:type="character" w:customStyle="1" w:styleId="CommentaireCar">
    <w:name w:val="Commentaire Car"/>
    <w:basedOn w:val="Policepardfaut"/>
    <w:link w:val="Commentaire"/>
    <w:rsid w:val="00846017"/>
    <w:rPr>
      <w:rFonts w:ascii="Arial" w:hAnsi="Arial"/>
      <w:sz w:val="20"/>
      <w:szCs w:val="20"/>
      <w:lang w:val="fr-FR"/>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rPr>
  </w:style>
  <w:style w:type="character" w:customStyle="1" w:styleId="ObjetducommentaireCar">
    <w:name w:val="Objet du commentaire Car"/>
    <w:basedOn w:val="CommentaireCar"/>
    <w:link w:val="Objetducommentaire"/>
    <w:rsid w:val="0020528D"/>
    <w:rPr>
      <w:rFonts w:ascii="Arial" w:hAnsi="Arial"/>
      <w:b/>
      <w:bCs/>
      <w:sz w:val="20"/>
      <w:szCs w:val="20"/>
      <w:lang w:val="fr-FR"/>
    </w:rPr>
  </w:style>
  <w:style w:type="paragraph" w:styleId="R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Appelnotedebasdep">
    <w:name w:val="footnote reference"/>
    <w:basedOn w:val="Policepardfaut"/>
    <w:uiPriority w:val="99"/>
    <w:unhideWhenUsed/>
    <w:rsid w:val="00A90F18"/>
    <w:rPr>
      <w:vertAlign w:val="superscript"/>
    </w:rPr>
  </w:style>
  <w:style w:type="character" w:styleId="Lienhypertextesuivivisit">
    <w:name w:val="FollowedHyperlink"/>
    <w:basedOn w:val="Policepardfaut"/>
    <w:rsid w:val="00B1118A"/>
    <w:rPr>
      <w:color w:val="954F72" w:themeColor="followedHyperlink"/>
      <w:u w:val="single"/>
    </w:rPr>
  </w:style>
  <w:style w:type="paragraph" w:customStyle="1" w:styleId="He01Flietext">
    <w:name w:val="_He_01_Fließtext"/>
    <w:qFormat/>
    <w:rsid w:val="00BC46D4"/>
    <w:pPr>
      <w:spacing w:after="160"/>
    </w:pPr>
    <w:rPr>
      <w:rFonts w:eastAsiaTheme="minorHAnsi" w:cstheme="minorBidi"/>
      <w:sz w:val="22"/>
      <w:szCs w:val="22"/>
    </w:rPr>
  </w:style>
  <w:style w:type="paragraph" w:customStyle="1" w:styleId="He01FlietextAufzhlung1Ebene">
    <w:name w:val="_He_01_Fließtext Aufzählung 1. Ebene"/>
    <w:next w:val="Normal"/>
    <w:qFormat/>
    <w:rsid w:val="00DA74BC"/>
    <w:pPr>
      <w:spacing w:after="113"/>
    </w:pPr>
    <w:rPr>
      <w:rFonts w:eastAsiaTheme="minorHAnsi" w:cstheme="minorBidi"/>
      <w:sz w:val="22"/>
      <w:szCs w:val="22"/>
    </w:rPr>
  </w:style>
  <w:style w:type="character" w:customStyle="1" w:styleId="ui-provider">
    <w:name w:val="ui-provider"/>
    <w:basedOn w:val="Policepardfaut"/>
    <w:rsid w:val="001002C6"/>
  </w:style>
  <w:style w:type="character" w:styleId="Mentionnonrsolue">
    <w:name w:val="Unresolved Mention"/>
    <w:basedOn w:val="Policepardfaut"/>
    <w:uiPriority w:val="99"/>
    <w:semiHidden/>
    <w:unhideWhenUsed/>
    <w:rsid w:val="0047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tavie.blandin@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com/press-and-media/press-releases-and-kits/2024-05-03-henkel-raises-sales-and-earnings-outlook-for-2024-195850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olo.ghilardi@bcw-glob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0FCCBF54-28EE-4544-922A-14A41FE4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81A4AFAC-7014-4CD5-9178-4AA17C9B94C1}">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1273</Words>
  <Characters>7002</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8259</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2024-05-03T06:59:00Z</cp:lastPrinted>
  <dcterms:created xsi:type="dcterms:W3CDTF">2024-05-06T10:40:00Z</dcterms:created>
  <dcterms:modified xsi:type="dcterms:W3CDTF">2024-05-06T10:40:00Z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