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E58B" w14:textId="77777777" w:rsidR="00711B07" w:rsidRDefault="009D4419">
      <w:pPr>
        <w:pStyle w:val="BodyText"/>
        <w:ind w:left="8043"/>
        <w:rPr>
          <w:rFonts w:ascii="Times New Roman"/>
          <w:sz w:val="20"/>
        </w:rPr>
      </w:pPr>
      <w:r>
        <w:rPr>
          <w:rFonts w:ascii="Times New Roman"/>
          <w:noProof/>
          <w:sz w:val="20"/>
        </w:rPr>
        <w:drawing>
          <wp:inline distT="0" distB="0" distL="0" distR="0" wp14:anchorId="36FC1630" wp14:editId="7FEC00A8">
            <wp:extent cx="1048004" cy="5989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8004" cy="598931"/>
                    </a:xfrm>
                    <a:prstGeom prst="rect">
                      <a:avLst/>
                    </a:prstGeom>
                  </pic:spPr>
                </pic:pic>
              </a:graphicData>
            </a:graphic>
          </wp:inline>
        </w:drawing>
      </w:r>
    </w:p>
    <w:p w14:paraId="4C51D3DF" w14:textId="77777777" w:rsidR="00711B07" w:rsidRDefault="00711B07">
      <w:pPr>
        <w:pStyle w:val="BodyText"/>
        <w:rPr>
          <w:rFonts w:ascii="Times New Roman"/>
          <w:sz w:val="20"/>
        </w:rPr>
      </w:pPr>
    </w:p>
    <w:p w14:paraId="7A39F729" w14:textId="77777777" w:rsidR="00711B07" w:rsidRDefault="00711B07">
      <w:pPr>
        <w:pStyle w:val="BodyText"/>
        <w:rPr>
          <w:rFonts w:ascii="Times New Roman"/>
          <w:sz w:val="20"/>
        </w:rPr>
      </w:pPr>
    </w:p>
    <w:p w14:paraId="1CCBE857" w14:textId="77777777" w:rsidR="00711B07" w:rsidRDefault="00711B07">
      <w:pPr>
        <w:pStyle w:val="BodyText"/>
        <w:spacing w:before="1"/>
        <w:rPr>
          <w:rFonts w:ascii="Times New Roman"/>
          <w:sz w:val="25"/>
        </w:rPr>
      </w:pPr>
    </w:p>
    <w:p w14:paraId="559D229A" w14:textId="77777777" w:rsidR="00711B07" w:rsidRDefault="009D4419">
      <w:pPr>
        <w:pStyle w:val="Title"/>
      </w:pPr>
      <w:r>
        <w:rPr>
          <w:color w:val="3D3B3B"/>
        </w:rPr>
        <w:t>Sporočilo za javnost</w:t>
      </w:r>
    </w:p>
    <w:p w14:paraId="0845555A" w14:textId="77777777" w:rsidR="00711B07" w:rsidRDefault="009D4419">
      <w:pPr>
        <w:pStyle w:val="BodyText"/>
        <w:spacing w:before="122"/>
        <w:ind w:right="607"/>
        <w:jc w:val="right"/>
      </w:pPr>
      <w:r>
        <w:t>3. maj 2024</w:t>
      </w:r>
    </w:p>
    <w:p w14:paraId="66E80448" w14:textId="77777777" w:rsidR="00711B07" w:rsidRDefault="00711B07">
      <w:pPr>
        <w:pStyle w:val="BodyText"/>
        <w:rPr>
          <w:sz w:val="28"/>
        </w:rPr>
      </w:pPr>
    </w:p>
    <w:p w14:paraId="6DF92CE6" w14:textId="77777777" w:rsidR="00711B07" w:rsidRDefault="009D4419">
      <w:pPr>
        <w:pStyle w:val="BodyText"/>
        <w:spacing w:before="231"/>
        <w:ind w:left="111"/>
        <w:jc w:val="both"/>
      </w:pPr>
      <w:r>
        <w:t>Zelo dober začetek poslovnega leta</w:t>
      </w:r>
    </w:p>
    <w:p w14:paraId="0B3C5F3B" w14:textId="77777777" w:rsidR="00711B07" w:rsidRDefault="00711B07">
      <w:pPr>
        <w:pStyle w:val="BodyText"/>
        <w:spacing w:before="4"/>
        <w:rPr>
          <w:sz w:val="30"/>
        </w:rPr>
      </w:pPr>
    </w:p>
    <w:p w14:paraId="261E0EA9" w14:textId="77777777" w:rsidR="00711B07" w:rsidRDefault="009D4419">
      <w:pPr>
        <w:spacing w:before="1"/>
        <w:ind w:left="111"/>
        <w:jc w:val="both"/>
        <w:rPr>
          <w:b/>
          <w:sz w:val="32"/>
        </w:rPr>
      </w:pPr>
      <w:r>
        <w:rPr>
          <w:b/>
          <w:sz w:val="32"/>
        </w:rPr>
        <w:t xml:space="preserve">Henkel zvišuje napovedi </w:t>
      </w:r>
      <w:r w:rsidR="001E7ACF">
        <w:rPr>
          <w:b/>
          <w:sz w:val="32"/>
        </w:rPr>
        <w:t xml:space="preserve">glede </w:t>
      </w:r>
      <w:r>
        <w:rPr>
          <w:b/>
          <w:sz w:val="32"/>
        </w:rPr>
        <w:t>prodaje in dobička za leto 2024</w:t>
      </w:r>
    </w:p>
    <w:p w14:paraId="6A253405" w14:textId="77777777" w:rsidR="00711B07" w:rsidRDefault="00711B07">
      <w:pPr>
        <w:pStyle w:val="BodyText"/>
        <w:rPr>
          <w:b/>
          <w:sz w:val="30"/>
        </w:rPr>
      </w:pPr>
    </w:p>
    <w:p w14:paraId="3049A0B9" w14:textId="77777777" w:rsidR="00711B07" w:rsidRDefault="009D4419">
      <w:pPr>
        <w:pStyle w:val="BodyText"/>
        <w:spacing w:before="1" w:line="276" w:lineRule="auto"/>
        <w:ind w:left="111" w:right="610"/>
        <w:jc w:val="both"/>
      </w:pPr>
      <w:r>
        <w:t>Düsseldorf: Na podlagi zelo dobre poslovne uspešnosti v tem poslovnem letu do danega datum</w:t>
      </w:r>
      <w:r w:rsidR="001E7ACF">
        <w:t>a</w:t>
      </w:r>
      <w:r>
        <w:t xml:space="preserve"> in predvidevanj za preostanek leta je upravni odbor družbe Henkel AG &amp; Co. KGaA danes odločil, da zviša napovedi za tekoče poslovno leto, ki so bile objavljene v začetku marca.</w:t>
      </w:r>
    </w:p>
    <w:p w14:paraId="13A7AB2E" w14:textId="77777777" w:rsidR="00711B07" w:rsidRDefault="00711B07">
      <w:pPr>
        <w:pStyle w:val="BodyText"/>
        <w:spacing w:before="3"/>
        <w:rPr>
          <w:sz w:val="25"/>
        </w:rPr>
      </w:pPr>
    </w:p>
    <w:p w14:paraId="225ED29D" w14:textId="77777777" w:rsidR="00711B07" w:rsidRDefault="009D4419">
      <w:pPr>
        <w:pStyle w:val="BodyText"/>
        <w:ind w:left="111"/>
        <w:jc w:val="both"/>
      </w:pPr>
      <w:r>
        <w:t>Pričakovanja glede prodaje in dobička družbe Henkel so bila povečana:</w:t>
      </w:r>
    </w:p>
    <w:p w14:paraId="2AC28EC7" w14:textId="77777777" w:rsidR="00711B07" w:rsidRDefault="00711B07">
      <w:pPr>
        <w:pStyle w:val="BodyText"/>
        <w:spacing w:before="9"/>
        <w:rPr>
          <w:sz w:val="28"/>
        </w:rPr>
      </w:pPr>
    </w:p>
    <w:p w14:paraId="04EC358C" w14:textId="77777777" w:rsidR="00711B07" w:rsidRDefault="009D4419">
      <w:pPr>
        <w:pStyle w:val="ListParagraph"/>
        <w:numPr>
          <w:ilvl w:val="0"/>
          <w:numId w:val="1"/>
        </w:numPr>
        <w:tabs>
          <w:tab w:val="left" w:pos="831"/>
          <w:tab w:val="left" w:pos="832"/>
        </w:tabs>
        <w:ind w:hanging="359"/>
        <w:rPr>
          <w:rFonts w:ascii="Wingdings" w:hAnsi="Wingdings"/>
          <w:color w:val="E0000F"/>
        </w:rPr>
      </w:pPr>
      <w:r>
        <w:rPr>
          <w:b/>
        </w:rPr>
        <w:t xml:space="preserve">Organska rast prodaje: </w:t>
      </w:r>
      <w:r>
        <w:t>2,5 do 4,5 odstotka (prej: 2,0 do 4,0 odstotka)</w:t>
      </w:r>
    </w:p>
    <w:p w14:paraId="74CEF9BF" w14:textId="77777777" w:rsidR="00711B07" w:rsidRDefault="009D4419">
      <w:pPr>
        <w:pStyle w:val="ListParagraph"/>
        <w:numPr>
          <w:ilvl w:val="1"/>
          <w:numId w:val="1"/>
        </w:numPr>
        <w:tabs>
          <w:tab w:val="left" w:pos="1540"/>
          <w:tab w:val="left" w:pos="1541"/>
        </w:tabs>
        <w:spacing w:before="120"/>
        <w:ind w:hanging="361"/>
      </w:pPr>
      <w:r>
        <w:t>Lepila in tehnologije: 2,0 do 4,0 odstotka (nespremenjeno)</w:t>
      </w:r>
    </w:p>
    <w:p w14:paraId="435015F0" w14:textId="77777777" w:rsidR="00711B07" w:rsidRDefault="009D4419">
      <w:pPr>
        <w:pStyle w:val="ListParagraph"/>
        <w:numPr>
          <w:ilvl w:val="1"/>
          <w:numId w:val="1"/>
        </w:numPr>
        <w:tabs>
          <w:tab w:val="left" w:pos="1540"/>
          <w:tab w:val="left" w:pos="1541"/>
        </w:tabs>
        <w:spacing w:before="45"/>
        <w:ind w:hanging="361"/>
      </w:pPr>
      <w:r>
        <w:t>Consumer Brands: 3,0 do 5,0 odstotka (prej: 2,0 do 4,0 odstotka)</w:t>
      </w:r>
    </w:p>
    <w:p w14:paraId="72667446" w14:textId="77777777" w:rsidR="00711B07" w:rsidRDefault="009D4419">
      <w:pPr>
        <w:pStyle w:val="ListParagraph"/>
        <w:numPr>
          <w:ilvl w:val="0"/>
          <w:numId w:val="1"/>
        </w:numPr>
        <w:tabs>
          <w:tab w:val="left" w:pos="831"/>
          <w:tab w:val="left" w:pos="832"/>
        </w:tabs>
        <w:spacing w:before="163"/>
        <w:ind w:hanging="359"/>
        <w:rPr>
          <w:rFonts w:ascii="Wingdings" w:hAnsi="Wingdings"/>
          <w:color w:val="E0000F"/>
        </w:rPr>
      </w:pPr>
      <w:r>
        <w:rPr>
          <w:b/>
        </w:rPr>
        <w:t xml:space="preserve">Prilagojena donosnost prodaje: </w:t>
      </w:r>
      <w:r>
        <w:t>13,0 do 14,0 odstotka (prej: 12,0 do 13,5 odstotka)</w:t>
      </w:r>
    </w:p>
    <w:p w14:paraId="5F878455" w14:textId="77777777" w:rsidR="00711B07" w:rsidRDefault="009D4419">
      <w:pPr>
        <w:pStyle w:val="ListParagraph"/>
        <w:numPr>
          <w:ilvl w:val="1"/>
          <w:numId w:val="1"/>
        </w:numPr>
        <w:tabs>
          <w:tab w:val="left" w:pos="1540"/>
          <w:tab w:val="left" w:pos="1541"/>
        </w:tabs>
        <w:spacing w:before="120"/>
        <w:ind w:hanging="361"/>
      </w:pPr>
      <w:r>
        <w:t>Lepila in tehnologije: 16,0 do 17,0 odstotka (prej: 15,0 do 16,5 odstotka)</w:t>
      </w:r>
    </w:p>
    <w:p w14:paraId="6CECA816" w14:textId="77777777" w:rsidR="00711B07" w:rsidRDefault="009D4419">
      <w:pPr>
        <w:pStyle w:val="ListParagraph"/>
        <w:numPr>
          <w:ilvl w:val="1"/>
          <w:numId w:val="1"/>
        </w:numPr>
        <w:tabs>
          <w:tab w:val="left" w:pos="1540"/>
          <w:tab w:val="left" w:pos="1541"/>
        </w:tabs>
        <w:spacing w:before="44"/>
        <w:ind w:hanging="361"/>
      </w:pPr>
      <w:r>
        <w:t>Consumer Brands: 12,0 do 13,0 odstotka (prej: 11,0 do 12,5 odstotka)</w:t>
      </w:r>
    </w:p>
    <w:p w14:paraId="4DF953D2" w14:textId="77777777" w:rsidR="00711B07" w:rsidRDefault="009D4419">
      <w:pPr>
        <w:pStyle w:val="ListParagraph"/>
        <w:numPr>
          <w:ilvl w:val="0"/>
          <w:numId w:val="1"/>
        </w:numPr>
        <w:tabs>
          <w:tab w:val="left" w:pos="831"/>
          <w:tab w:val="left" w:pos="832"/>
        </w:tabs>
        <w:spacing w:before="164"/>
        <w:ind w:hanging="359"/>
        <w:rPr>
          <w:rFonts w:ascii="Wingdings" w:hAnsi="Wingdings"/>
          <w:color w:val="E0000F"/>
        </w:rPr>
      </w:pPr>
      <w:r>
        <w:rPr>
          <w:b/>
        </w:rPr>
        <w:t xml:space="preserve">Prilagojeni dobiček na prednostno delnico (EPS): </w:t>
      </w:r>
      <w:r>
        <w:t>Povečanje v razponu od +15,0 do</w:t>
      </w:r>
    </w:p>
    <w:p w14:paraId="711174A1" w14:textId="77777777" w:rsidR="00711B07" w:rsidRDefault="009D4419">
      <w:pPr>
        <w:pStyle w:val="BodyText"/>
        <w:ind w:left="831"/>
      </w:pPr>
      <w:r>
        <w:t>+25,0 odstotka pri stalnih menjalnih tečajih (prej: +5,0 do +20,0 odstotka)</w:t>
      </w:r>
    </w:p>
    <w:p w14:paraId="45B4406B" w14:textId="77777777" w:rsidR="00711B07" w:rsidRDefault="00711B07">
      <w:pPr>
        <w:pStyle w:val="BodyText"/>
        <w:rPr>
          <w:sz w:val="31"/>
        </w:rPr>
      </w:pPr>
    </w:p>
    <w:p w14:paraId="2F18337F" w14:textId="77777777" w:rsidR="00711B07" w:rsidRDefault="009D4419">
      <w:pPr>
        <w:pStyle w:val="BodyText"/>
        <w:spacing w:line="276" w:lineRule="auto"/>
        <w:ind w:left="111" w:right="608"/>
        <w:jc w:val="both"/>
      </w:pPr>
      <w:r>
        <w:t>»Zelo dober začetek leta in današnje zvišanje napovedi za celotno poslovno leto jasno kažeta, da smo na pravi poti pri uresničevanju našega programa rasti. Vedno smo poudarjali, da želimo zagotoviti napredek. In to tudi počnemo. Spremembe, ki smo jih uvedli v obeh poslovnih enotah, dajejo jasne rezultate,« je povedal Carsten Knobel, izvršni direktor družbe Henkel.</w:t>
      </w:r>
    </w:p>
    <w:p w14:paraId="4E7C54D2" w14:textId="77777777" w:rsidR="00711B07" w:rsidRDefault="00711B07">
      <w:pPr>
        <w:pStyle w:val="BodyText"/>
        <w:spacing w:before="4"/>
        <w:rPr>
          <w:sz w:val="25"/>
        </w:rPr>
      </w:pPr>
    </w:p>
    <w:p w14:paraId="12CED349" w14:textId="77777777" w:rsidR="00711B07" w:rsidRDefault="009D4419">
      <w:pPr>
        <w:pStyle w:val="BodyText"/>
        <w:spacing w:line="276" w:lineRule="auto"/>
        <w:ind w:left="111" w:right="608"/>
        <w:jc w:val="both"/>
      </w:pPr>
      <w:r>
        <w:rPr>
          <w:noProof/>
        </w:rPr>
        <w:drawing>
          <wp:anchor distT="0" distB="0" distL="0" distR="0" simplePos="0" relativeHeight="15728640" behindDoc="0" locked="0" layoutInCell="1" allowOverlap="1" wp14:anchorId="1BE22957" wp14:editId="4E58AF45">
            <wp:simplePos x="0" y="0"/>
            <wp:positionH relativeFrom="page">
              <wp:posOffset>1026412</wp:posOffset>
            </wp:positionH>
            <wp:positionV relativeFrom="paragraph">
              <wp:posOffset>1174049</wp:posOffset>
            </wp:positionV>
            <wp:extent cx="5052556" cy="45789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052556" cy="457892"/>
                    </a:xfrm>
                    <a:prstGeom prst="rect">
                      <a:avLst/>
                    </a:prstGeom>
                  </pic:spPr>
                </pic:pic>
              </a:graphicData>
            </a:graphic>
          </wp:anchor>
        </w:drawing>
      </w:r>
      <w:r>
        <w:t xml:space="preserve">Povečana pričakovanja za leto 2024 podpirata obe poslovni enoti. V poslovni enoti Lepila in tehnologije sta na splošno močnejše </w:t>
      </w:r>
      <w:r>
        <w:t>poslovanje in razvoj bruto marže v vztrajno zahtevnem tržnem okolju ter okrevanje trga na področju elektronike pozitivno vplivala na uspešnost poslovanja.</w:t>
      </w:r>
    </w:p>
    <w:p w14:paraId="51B61B02" w14:textId="77777777" w:rsidR="00711B07" w:rsidRDefault="00711B07">
      <w:pPr>
        <w:spacing w:line="276" w:lineRule="auto"/>
        <w:jc w:val="both"/>
        <w:sectPr w:rsidR="00711B07" w:rsidSect="005C6FC2">
          <w:footerReference w:type="default" r:id="rId9"/>
          <w:type w:val="continuous"/>
          <w:pgSz w:w="11910" w:h="16840"/>
          <w:pgMar w:top="880" w:right="800" w:bottom="1100" w:left="1300" w:header="0" w:footer="907" w:gutter="0"/>
          <w:pgNumType w:start="1"/>
          <w:cols w:space="708"/>
        </w:sectPr>
      </w:pPr>
    </w:p>
    <w:p w14:paraId="523700F4" w14:textId="77777777" w:rsidR="00711B07" w:rsidRDefault="00711B07">
      <w:pPr>
        <w:pStyle w:val="BodyText"/>
        <w:spacing w:before="5"/>
        <w:rPr>
          <w:sz w:val="18"/>
        </w:rPr>
      </w:pPr>
    </w:p>
    <w:p w14:paraId="232C79B1" w14:textId="77777777" w:rsidR="00711B07" w:rsidRDefault="009D4419">
      <w:pPr>
        <w:pStyle w:val="BodyText"/>
        <w:spacing w:before="100" w:line="276" w:lineRule="auto"/>
        <w:ind w:left="111" w:right="608"/>
        <w:jc w:val="both"/>
      </w:pPr>
      <w:r>
        <w:t xml:space="preserve">V poslovni enoti Consumer Brands izvajanje strateških ukrepov in pobud pozitivno vpliva na prodajo, bruto marže in dobiček. K temu razvoju prispevajo zelo dobri rezultati poslovnega segmenta </w:t>
      </w:r>
      <w:r w:rsidRPr="001E7ACF">
        <w:rPr>
          <w:i/>
          <w:iCs/>
        </w:rPr>
        <w:t>Izdelki za lase</w:t>
      </w:r>
      <w:r>
        <w:t>, nadaljnje izvajanje ukrepov v okviru portfelja ter močan razvoj ključnih blagovnih znamk in inovacij. Hkrati Henkel nadaljuje z naložbami v inovacije in zlasti v trženje na višji ravni, da bi spodbudil nadaljnjo rast.</w:t>
      </w:r>
    </w:p>
    <w:p w14:paraId="7C454819" w14:textId="77777777" w:rsidR="00711B07" w:rsidRDefault="00711B07">
      <w:pPr>
        <w:pStyle w:val="BodyText"/>
        <w:spacing w:before="4"/>
        <w:rPr>
          <w:sz w:val="25"/>
        </w:rPr>
      </w:pPr>
    </w:p>
    <w:p w14:paraId="08EBEE42" w14:textId="77777777" w:rsidR="00711B07" w:rsidRDefault="009D4419">
      <w:pPr>
        <w:pStyle w:val="BodyText"/>
        <w:spacing w:line="276" w:lineRule="auto"/>
        <w:ind w:left="111" w:right="607"/>
        <w:jc w:val="both"/>
      </w:pPr>
      <w:r>
        <w:t>Henkel je posodobil tudi svoja pričakovanja glede učinkov prevzemov/odprodaj in valut na prodajo. Najnovejši prevzemi – Seal for Life Industries in Vidal Sassoon na Kitajskem – so bili zaključeni hitreje, kot je bilo predvideno, zato so prej prispevali k razvoju prodaje in dobička.</w:t>
      </w:r>
    </w:p>
    <w:p w14:paraId="5E20012A" w14:textId="77777777" w:rsidR="00711B07" w:rsidRDefault="00711B07">
      <w:pPr>
        <w:pStyle w:val="BodyText"/>
        <w:spacing w:before="4"/>
        <w:rPr>
          <w:sz w:val="25"/>
        </w:rPr>
      </w:pPr>
    </w:p>
    <w:p w14:paraId="0CD98206" w14:textId="77777777" w:rsidR="00711B07" w:rsidRDefault="009D4419">
      <w:pPr>
        <w:pStyle w:val="ListParagraph"/>
        <w:numPr>
          <w:ilvl w:val="0"/>
          <w:numId w:val="1"/>
        </w:numPr>
        <w:tabs>
          <w:tab w:val="left" w:pos="831"/>
          <w:tab w:val="left" w:pos="832"/>
        </w:tabs>
        <w:spacing w:line="276" w:lineRule="auto"/>
        <w:ind w:right="2254" w:hanging="360"/>
        <w:rPr>
          <w:rFonts w:ascii="Wingdings" w:hAnsi="Wingdings"/>
          <w:color w:val="E0000E"/>
        </w:rPr>
      </w:pPr>
      <w:r>
        <w:t xml:space="preserve">Prevzemi/odprodaje: </w:t>
      </w:r>
      <w:r w:rsidR="001E7ACF">
        <w:t>n</w:t>
      </w:r>
      <w:r>
        <w:t xml:space="preserve">evtralen vpliv na nominalno rast prodaje </w:t>
      </w:r>
      <w:r w:rsidR="001E7ACF">
        <w:br/>
      </w:r>
      <w:r>
        <w:t>(prej: negativen vpliv v nizkem enomestnem odstotnem razponu)</w:t>
      </w:r>
    </w:p>
    <w:p w14:paraId="0F5DEAE3" w14:textId="77777777" w:rsidR="00711B07" w:rsidRDefault="009D4419">
      <w:pPr>
        <w:pStyle w:val="ListParagraph"/>
        <w:numPr>
          <w:ilvl w:val="0"/>
          <w:numId w:val="1"/>
        </w:numPr>
        <w:tabs>
          <w:tab w:val="left" w:pos="831"/>
          <w:tab w:val="left" w:pos="832"/>
        </w:tabs>
        <w:spacing w:before="120" w:line="276" w:lineRule="auto"/>
        <w:ind w:right="971" w:hanging="360"/>
        <w:rPr>
          <w:rFonts w:ascii="Wingdings" w:hAnsi="Wingdings"/>
          <w:color w:val="E0000E"/>
        </w:rPr>
      </w:pPr>
      <w:r>
        <w:t>Prevod prodaje v tujih valutah: negativ</w:t>
      </w:r>
      <w:r w:rsidR="00C14F29">
        <w:t>en</w:t>
      </w:r>
      <w:r>
        <w:t xml:space="preserve"> </w:t>
      </w:r>
      <w:r w:rsidR="00C14F29">
        <w:t>vpliv</w:t>
      </w:r>
      <w:r>
        <w:t xml:space="preserve"> v nizkem do srednjem enomestnem odstotnem razponu</w:t>
      </w:r>
    </w:p>
    <w:p w14:paraId="2108BD9D" w14:textId="77777777" w:rsidR="00711B07" w:rsidRDefault="009D4419">
      <w:pPr>
        <w:pStyle w:val="BodyText"/>
        <w:spacing w:before="1"/>
        <w:ind w:left="831"/>
      </w:pPr>
      <w:r>
        <w:t>(prej: negativen vpliv v srednjem enomestnem odstotnem razponu)</w:t>
      </w:r>
    </w:p>
    <w:p w14:paraId="675EFDE2" w14:textId="77777777" w:rsidR="00711B07" w:rsidRDefault="00711B07">
      <w:pPr>
        <w:pStyle w:val="BodyText"/>
        <w:spacing w:before="8"/>
        <w:rPr>
          <w:sz w:val="37"/>
        </w:rPr>
      </w:pPr>
    </w:p>
    <w:p w14:paraId="423EBCBD" w14:textId="77777777" w:rsidR="00711B07" w:rsidRDefault="009D4419">
      <w:pPr>
        <w:pStyle w:val="BodyText"/>
        <w:ind w:left="111"/>
        <w:jc w:val="both"/>
      </w:pPr>
      <w:r>
        <w:t>Naslednja pričakovanja za leto 2024 ostajajo nespremenjena:</w:t>
      </w:r>
    </w:p>
    <w:p w14:paraId="7BDB7F3D" w14:textId="77777777" w:rsidR="00711B07" w:rsidRDefault="00711B07">
      <w:pPr>
        <w:pStyle w:val="BodyText"/>
        <w:spacing w:before="7"/>
        <w:rPr>
          <w:sz w:val="28"/>
        </w:rPr>
      </w:pPr>
    </w:p>
    <w:p w14:paraId="2EAD4C89" w14:textId="77777777" w:rsidR="00711B07" w:rsidRDefault="009D4419">
      <w:pPr>
        <w:pStyle w:val="ListParagraph"/>
        <w:numPr>
          <w:ilvl w:val="0"/>
          <w:numId w:val="1"/>
        </w:numPr>
        <w:tabs>
          <w:tab w:val="left" w:pos="831"/>
          <w:tab w:val="left" w:pos="832"/>
        </w:tabs>
        <w:ind w:hanging="361"/>
        <w:rPr>
          <w:rFonts w:ascii="Wingdings" w:hAnsi="Wingdings"/>
          <w:color w:val="E0000E"/>
        </w:rPr>
      </w:pPr>
      <w:r>
        <w:t xml:space="preserve">Cene za </w:t>
      </w:r>
      <w:r>
        <w:t>neposredne materiale: neizrazit razvoj</w:t>
      </w:r>
      <w:r>
        <w:rPr>
          <w:vertAlign w:val="superscript"/>
        </w:rPr>
        <w:t>1</w:t>
      </w:r>
    </w:p>
    <w:p w14:paraId="495DE389" w14:textId="77777777" w:rsidR="00711B07" w:rsidRDefault="009D4419">
      <w:pPr>
        <w:pStyle w:val="ListParagraph"/>
        <w:numPr>
          <w:ilvl w:val="0"/>
          <w:numId w:val="1"/>
        </w:numPr>
        <w:tabs>
          <w:tab w:val="left" w:pos="831"/>
          <w:tab w:val="left" w:pos="832"/>
        </w:tabs>
        <w:spacing w:before="165"/>
        <w:ind w:hanging="361"/>
        <w:rPr>
          <w:rFonts w:ascii="Wingdings" w:hAnsi="Wingdings"/>
          <w:color w:val="E0000E"/>
        </w:rPr>
      </w:pPr>
      <w:r>
        <w:t>Stroški prestrukturiranja v višini 250 do 300 milijonov evrov</w:t>
      </w:r>
    </w:p>
    <w:p w14:paraId="31EEC85A" w14:textId="77777777" w:rsidR="00711B07" w:rsidRDefault="009D4419">
      <w:pPr>
        <w:pStyle w:val="ListParagraph"/>
        <w:numPr>
          <w:ilvl w:val="0"/>
          <w:numId w:val="1"/>
        </w:numPr>
        <w:tabs>
          <w:tab w:val="left" w:pos="831"/>
          <w:tab w:val="left" w:pos="832"/>
        </w:tabs>
        <w:spacing w:before="163" w:line="276" w:lineRule="auto"/>
        <w:ind w:right="1136" w:hanging="360"/>
        <w:rPr>
          <w:rFonts w:ascii="Wingdings" w:hAnsi="Wingdings"/>
          <w:color w:val="E0000E"/>
        </w:rPr>
      </w:pPr>
      <w:r>
        <w:t>Denarni odtoki iz naložb v nepremičnine, naprave in opremo ter neopredmetena sredstva v višini od 650 do 750 milijonov evrov</w:t>
      </w:r>
    </w:p>
    <w:p w14:paraId="3088E669" w14:textId="77777777" w:rsidR="00711B07" w:rsidRDefault="009D4419">
      <w:pPr>
        <w:spacing w:before="120"/>
        <w:ind w:left="471"/>
        <w:rPr>
          <w:sz w:val="16"/>
        </w:rPr>
      </w:pPr>
      <w:r w:rsidRPr="00B222F9">
        <w:rPr>
          <w:sz w:val="16"/>
          <w:szCs w:val="16"/>
          <w:vertAlign w:val="superscript"/>
        </w:rPr>
        <w:t>1</w:t>
      </w:r>
      <w:r>
        <w:rPr>
          <w:sz w:val="16"/>
        </w:rPr>
        <w:t>v primerjavi s povprečjem prejšnjega leta</w:t>
      </w:r>
    </w:p>
    <w:p w14:paraId="0EFC0916" w14:textId="77777777" w:rsidR="00711B07" w:rsidRDefault="00711B07">
      <w:pPr>
        <w:pStyle w:val="BodyText"/>
        <w:rPr>
          <w:sz w:val="20"/>
        </w:rPr>
      </w:pPr>
    </w:p>
    <w:p w14:paraId="75F55AA5" w14:textId="77777777" w:rsidR="00711B07" w:rsidRDefault="00711B07">
      <w:pPr>
        <w:pStyle w:val="BodyText"/>
        <w:rPr>
          <w:sz w:val="20"/>
        </w:rPr>
      </w:pPr>
    </w:p>
    <w:p w14:paraId="60A35AFC" w14:textId="77777777" w:rsidR="00711B07" w:rsidRDefault="009D4419">
      <w:pPr>
        <w:spacing w:before="174"/>
        <w:ind w:left="111"/>
        <w:jc w:val="both"/>
        <w:rPr>
          <w:b/>
        </w:rPr>
      </w:pPr>
      <w:r>
        <w:rPr>
          <w:b/>
        </w:rPr>
        <w:t>Organski razvoj prodaje v prvem četrtletju leta 2024</w:t>
      </w:r>
    </w:p>
    <w:p w14:paraId="75E656E0" w14:textId="77777777" w:rsidR="00711B07" w:rsidRDefault="009D4419">
      <w:pPr>
        <w:pStyle w:val="BodyText"/>
        <w:spacing w:before="163" w:line="276" w:lineRule="auto"/>
        <w:ind w:left="111" w:right="610"/>
        <w:jc w:val="both"/>
      </w:pPr>
      <w:r>
        <w:t xml:space="preserve">Po predhodnih podatkih je Henkel v prvem četrtletju leta 2024 ustvaril prodajo na ravni celotne družbe v višini približno 5,3 milijarde evrov in dosegel močno organsko rast prodaje v </w:t>
      </w:r>
      <w:r>
        <w:t>višini 3,0 odstotka. Poslovna enota Lepila in tehnologije je zabeležila prodajo v višini približno 2,7 milijarde evrov in 1,3-odstotno pozitivno organsko rast prodaje. Poslovna enota Consumer Brands je dosegla prodajo v višini 2,6 milijarde evrov in zelo visoko organsko rast prodaje v višini 5,2 odstotka.</w:t>
      </w:r>
    </w:p>
    <w:p w14:paraId="209FCDB5" w14:textId="77777777" w:rsidR="00711B07" w:rsidRDefault="00711B07">
      <w:pPr>
        <w:pStyle w:val="BodyText"/>
        <w:spacing w:before="5"/>
        <w:rPr>
          <w:sz w:val="25"/>
        </w:rPr>
      </w:pPr>
    </w:p>
    <w:p w14:paraId="2DA355D2" w14:textId="77777777" w:rsidR="00711B07" w:rsidRDefault="009D4419">
      <w:pPr>
        <w:pStyle w:val="BodyText"/>
        <w:ind w:left="111"/>
        <w:jc w:val="both"/>
      </w:pPr>
      <w:r>
        <w:t>Henkel bo o nadaljnjih podrobnostih o razvoju prodaje v prvem četrtletju poročal 8. maja.</w:t>
      </w:r>
    </w:p>
    <w:p w14:paraId="03B93AB3" w14:textId="77777777" w:rsidR="00711B07" w:rsidRDefault="00711B07">
      <w:pPr>
        <w:jc w:val="both"/>
        <w:sectPr w:rsidR="00711B07" w:rsidSect="005C6FC2">
          <w:footerReference w:type="default" r:id="rId10"/>
          <w:pgSz w:w="11910" w:h="16840"/>
          <w:pgMar w:top="1580" w:right="800" w:bottom="1100" w:left="1300" w:header="0" w:footer="907" w:gutter="0"/>
          <w:pgNumType w:start="2"/>
          <w:cols w:space="708"/>
        </w:sectPr>
      </w:pPr>
    </w:p>
    <w:p w14:paraId="740D931B" w14:textId="77777777" w:rsidR="00711B07" w:rsidRDefault="00711B07">
      <w:pPr>
        <w:pStyle w:val="BodyText"/>
        <w:spacing w:before="5"/>
        <w:rPr>
          <w:sz w:val="18"/>
        </w:rPr>
      </w:pPr>
    </w:p>
    <w:p w14:paraId="47D167D9" w14:textId="77777777" w:rsidR="00711B07" w:rsidRDefault="009D4419">
      <w:pPr>
        <w:spacing w:before="100"/>
        <w:ind w:left="111"/>
        <w:jc w:val="both"/>
        <w:rPr>
          <w:b/>
          <w:sz w:val="18"/>
        </w:rPr>
      </w:pPr>
      <w:r>
        <w:rPr>
          <w:b/>
          <w:sz w:val="18"/>
        </w:rPr>
        <w:t>Več o Henklu</w:t>
      </w:r>
    </w:p>
    <w:p w14:paraId="4789BF2E" w14:textId="77777777" w:rsidR="00711B07" w:rsidRDefault="009D4419">
      <w:pPr>
        <w:spacing w:before="35" w:line="276" w:lineRule="auto"/>
        <w:ind w:left="111" w:right="609"/>
        <w:jc w:val="both"/>
        <w:rPr>
          <w:sz w:val="18"/>
        </w:rPr>
      </w:pPr>
      <w:r>
        <w:rPr>
          <w:sz w:val="18"/>
        </w:rPr>
        <w:t xml:space="preserve">Henkel s svojimi blagovnimi znamkami, inovacijami in tehnologijami zavzema vodilne položaje v industriji in maloprodaji po vsem svetu. Poslovna enota Lepila in tehnologije je vodilna na svetovnem trgu lepil, tesnil in funkcionalnih premazov. S poslovno enoto Consumer Brands družba ohranja vodilne položaje, zlasti na področju las ter pralnih sredstev in čistil, na številnih trgih in v različnih kategorijah po vsem svetu. Tri najmočnejše blagovne znamke podjetja so Loctite, Persil in Schwarzkopf. V poslovnem </w:t>
      </w:r>
      <w:r>
        <w:rPr>
          <w:sz w:val="18"/>
        </w:rPr>
        <w:t>letu 2023 je Henkel zabeležil prodajo v višini več kot 21,5 milijard evrov in prilagojeni dobiček iz poslovanja v višini približno 2,6 milijarde evrov. Prednostne delnice družbe Henkel kotirajo na nemškem borznem indeksu DAX. Trajnostni razvoj ima v družbi Henkel dolgo tradicijo, podjetje pa ima jasno trajnostno strategijo s konkretnimi cilji. Henkel je bil ustanovljen leta 1876 in danes po svetu zaposluje približno 48.000 ljudi, ki jih združujejo močna korporativna kultura, skupne vrednote in enoten smoter</w:t>
      </w:r>
      <w:r>
        <w:rPr>
          <w:sz w:val="18"/>
        </w:rPr>
        <w:t xml:space="preserve">: »Pioneers at heart for the good of generations.« Več informacij je na voljo na spletni strani </w:t>
      </w:r>
      <w:hyperlink r:id="rId11">
        <w:r>
          <w:rPr>
            <w:color w:val="0000FF"/>
            <w:sz w:val="18"/>
            <w:u w:val="single" w:color="0000FF"/>
          </w:rPr>
          <w:t>www.henkel.com</w:t>
        </w:r>
      </w:hyperlink>
    </w:p>
    <w:p w14:paraId="0A782F44" w14:textId="77777777" w:rsidR="00711B07" w:rsidRDefault="00711B07">
      <w:pPr>
        <w:pStyle w:val="BodyText"/>
        <w:spacing w:before="3"/>
        <w:rPr>
          <w:sz w:val="13"/>
        </w:rPr>
      </w:pPr>
    </w:p>
    <w:p w14:paraId="3FB9F83A" w14:textId="77777777" w:rsidR="00711B07" w:rsidRDefault="009D4419">
      <w:pPr>
        <w:spacing w:before="100"/>
        <w:ind w:left="111" w:right="671"/>
        <w:rPr>
          <w:sz w:val="14"/>
        </w:rPr>
      </w:pPr>
      <w:r>
        <w:rPr>
          <w:sz w:val="14"/>
        </w:rPr>
        <w:t>Ta dokument vsebuje izjave, ki se nanašajo na prihodnji poslovni razvoj, finančno uspešnost in druge dogodke ali razvoj, ki bodo v prihodnosti pomembni za družbo Henkel in lahko predstavljajo izjave, ki se nanašajo na prihodnost. Za izjave v zvezi s prihodnostjo je značilna uporaba besed, kot so pričakovati, nameravati, načrtovati, predvidevati, verjeti, ocenjevati in podobni izrazi. Take izjave temeljijo na trenutnih ocenah in predpostavkah vodstva družbe Henkel AG &amp; Co. KGaA. Teh izjav nikakor ne gre razu</w:t>
      </w:r>
      <w:r>
        <w:rPr>
          <w:sz w:val="14"/>
        </w:rPr>
        <w:t>meti kot jamstvo, da se bodo ta pričakovanja izkazala za točna. Prihodnje poslovanje in dejansko doseženi rezultati podjetja Henkel AG &amp; Co. KGaA ter njegovih povezanih družb so odvisni od številnih tveganj in negotovosti, zato se lahko bistveno razlikujejo (tako v pozitivnem kot negativnem smislu) od izjav o prihodnosti. Na številne od teh dejavnikov družba Henkel nima vpliva in jih ni mogoče vnaprej natančno oceniti, kot so prihodnje gospodarsko okolje ter dejanja konkurentov in drugih udeležencev na trgu</w:t>
      </w:r>
      <w:r>
        <w:rPr>
          <w:sz w:val="14"/>
        </w:rPr>
        <w:t>. Družba Henkel ne načrtuje in se ne zavezuje, da bo posodobila izjave, usmerjene v prihodnost.</w:t>
      </w:r>
    </w:p>
    <w:p w14:paraId="5C74AF92" w14:textId="77777777" w:rsidR="00711B07" w:rsidRDefault="009D4419">
      <w:pPr>
        <w:spacing w:before="160"/>
        <w:ind w:left="111" w:right="749"/>
        <w:rPr>
          <w:sz w:val="14"/>
        </w:rPr>
      </w:pPr>
      <w:r>
        <w:rPr>
          <w:sz w:val="14"/>
        </w:rPr>
        <w:t xml:space="preserve">Ta dokument vključuje dodatne finančne kazalnike, ki niso jasno opredeljeni v veljavnem okviru finančnega poročanja in so ali bi lahko bili alternativni kazalniki uspešnosti. Teh dopolnilnih finančnih kazalnikov ni </w:t>
      </w:r>
      <w:r>
        <w:rPr>
          <w:sz w:val="14"/>
        </w:rPr>
        <w:t>dovoljeno obravnavati ločeno ali kot alternativne ukrepe za merjenje Henklovih neto sredstev položaja ali rezultatov poslovanja, kot so predstavljeni v skladu z veljavnim okvirom finančnega poročanja</w:t>
      </w:r>
    </w:p>
    <w:p w14:paraId="03806077" w14:textId="77777777" w:rsidR="00711B07" w:rsidRDefault="009D4419">
      <w:pPr>
        <w:spacing w:before="1"/>
        <w:ind w:left="111" w:right="643"/>
        <w:rPr>
          <w:sz w:val="14"/>
        </w:rPr>
      </w:pPr>
      <w:r>
        <w:rPr>
          <w:sz w:val="14"/>
        </w:rPr>
        <w:t>v njegovih konsolidiranih računovodskih izkazih. Druga podjetja, ki poročajo ali opisujejo podobno poimenovane alternativne kazalnike uspešnosti, jih lahko izračunavajo drugače.</w:t>
      </w:r>
    </w:p>
    <w:p w14:paraId="6F016256" w14:textId="77777777" w:rsidR="00711B07" w:rsidRDefault="009D4419">
      <w:pPr>
        <w:spacing w:before="159" w:line="242" w:lineRule="auto"/>
        <w:ind w:left="111" w:right="1064"/>
        <w:rPr>
          <w:sz w:val="14"/>
        </w:rPr>
      </w:pPr>
      <w:r>
        <w:rPr>
          <w:sz w:val="14"/>
        </w:rPr>
        <w:t>Ta dokument je bil izdan zgolj v informativne namene in ni namenjen investicijskemu svetovanju ali ponudbi za prodajo ali nagovarjanju k ponudbi za nakup kakršnih koli vrednostnih papirjev.</w:t>
      </w:r>
    </w:p>
    <w:p w14:paraId="2326646C" w14:textId="77777777" w:rsidR="00711B07" w:rsidRDefault="00711B07">
      <w:pPr>
        <w:pStyle w:val="BodyText"/>
        <w:rPr>
          <w:sz w:val="18"/>
        </w:rPr>
      </w:pPr>
    </w:p>
    <w:p w14:paraId="12E73B5C" w14:textId="77777777" w:rsidR="00711B07" w:rsidRDefault="00711B07">
      <w:pPr>
        <w:pStyle w:val="BodyText"/>
        <w:rPr>
          <w:sz w:val="18"/>
        </w:rPr>
      </w:pPr>
    </w:p>
    <w:p w14:paraId="41D28AED" w14:textId="77777777" w:rsidR="009D4419" w:rsidRPr="009D4419" w:rsidRDefault="009D4419" w:rsidP="009D4419">
      <w:pPr>
        <w:widowControl/>
        <w:autoSpaceDE/>
        <w:autoSpaceDN/>
        <w:spacing w:line="276" w:lineRule="auto"/>
        <w:ind w:left="-20" w:right="-20"/>
        <w:jc w:val="both"/>
        <w:rPr>
          <w:sz w:val="18"/>
          <w:szCs w:val="18"/>
          <w:lang w:val="sr-Latn-RS"/>
        </w:rPr>
      </w:pPr>
      <w:r w:rsidRPr="009D4419">
        <w:rPr>
          <w:sz w:val="18"/>
          <w:szCs w:val="18"/>
          <w:lang w:val="sr-Latn-RS"/>
        </w:rPr>
        <w:t>Kontaktna oseba</w:t>
      </w:r>
    </w:p>
    <w:p w14:paraId="45288A6D" w14:textId="77777777" w:rsidR="009D4419" w:rsidRPr="009D4419" w:rsidRDefault="009D4419" w:rsidP="009D4419">
      <w:pPr>
        <w:widowControl/>
        <w:autoSpaceDE/>
        <w:autoSpaceDN/>
        <w:spacing w:line="276" w:lineRule="auto"/>
        <w:ind w:left="-20" w:right="-20"/>
        <w:jc w:val="both"/>
        <w:rPr>
          <w:rFonts w:eastAsia="Times New Roman" w:cs="Times New Roman"/>
          <w:sz w:val="18"/>
          <w:szCs w:val="18"/>
          <w:lang w:val="en-US"/>
        </w:rPr>
      </w:pPr>
      <w:r w:rsidRPr="009D4419">
        <w:rPr>
          <w:b/>
          <w:bCs/>
          <w:sz w:val="18"/>
          <w:szCs w:val="18"/>
          <w:lang w:val="sr-Latn-RS"/>
        </w:rPr>
        <w:t xml:space="preserve">Jelena Gavrilović Šarenac </w:t>
      </w:r>
    </w:p>
    <w:p w14:paraId="3F5359C1" w14:textId="77777777" w:rsidR="009D4419" w:rsidRPr="009D4419" w:rsidRDefault="009D4419" w:rsidP="009D4419">
      <w:pPr>
        <w:widowControl/>
        <w:autoSpaceDE/>
        <w:autoSpaceDN/>
        <w:spacing w:line="276" w:lineRule="auto"/>
        <w:ind w:left="-20" w:right="-20"/>
        <w:jc w:val="both"/>
        <w:rPr>
          <w:rFonts w:eastAsia="Times New Roman" w:cs="Times New Roman"/>
          <w:sz w:val="18"/>
          <w:szCs w:val="18"/>
          <w:lang w:val="en-US"/>
        </w:rPr>
      </w:pPr>
      <w:r w:rsidRPr="009D4419">
        <w:rPr>
          <w:sz w:val="18"/>
          <w:szCs w:val="18"/>
          <w:lang w:val="sr-Latn-RS"/>
        </w:rPr>
        <w:t>Head of Corp Comm Serbia and Adria</w:t>
      </w:r>
    </w:p>
    <w:p w14:paraId="7BA71900" w14:textId="77777777" w:rsidR="009D4419" w:rsidRPr="009D4419" w:rsidRDefault="009D4419" w:rsidP="009D4419">
      <w:pPr>
        <w:widowControl/>
        <w:autoSpaceDE/>
        <w:autoSpaceDN/>
        <w:spacing w:line="276" w:lineRule="auto"/>
        <w:ind w:left="-20" w:right="-20"/>
        <w:jc w:val="both"/>
        <w:rPr>
          <w:rFonts w:eastAsia="Times New Roman" w:cs="Times New Roman"/>
          <w:sz w:val="18"/>
          <w:szCs w:val="18"/>
          <w:lang w:val="en-US"/>
        </w:rPr>
      </w:pPr>
      <w:r w:rsidRPr="009D4419">
        <w:rPr>
          <w:sz w:val="18"/>
          <w:szCs w:val="18"/>
          <w:lang w:val="sr-Latn-RS"/>
        </w:rPr>
        <w:t>Tel: +381 60 207-22 09</w:t>
      </w:r>
    </w:p>
    <w:p w14:paraId="547717AD" w14:textId="77777777" w:rsidR="009D4419" w:rsidRPr="009D4419" w:rsidRDefault="009D4419" w:rsidP="009D4419">
      <w:pPr>
        <w:widowControl/>
        <w:autoSpaceDE/>
        <w:autoSpaceDN/>
        <w:spacing w:line="276" w:lineRule="auto"/>
        <w:ind w:left="-20" w:right="-20"/>
        <w:jc w:val="both"/>
        <w:rPr>
          <w:rFonts w:eastAsia="Times New Roman" w:cs="Times New Roman"/>
          <w:sz w:val="18"/>
          <w:szCs w:val="18"/>
          <w:lang w:val="en-US"/>
        </w:rPr>
      </w:pPr>
      <w:r w:rsidRPr="009D4419">
        <w:rPr>
          <w:sz w:val="18"/>
          <w:szCs w:val="18"/>
          <w:lang w:val="sr-Latn-RS"/>
        </w:rPr>
        <w:t xml:space="preserve">Email: </w:t>
      </w:r>
      <w:hyperlink r:id="rId12" w:history="1">
        <w:r w:rsidRPr="009D4419">
          <w:rPr>
            <w:color w:val="0000FF"/>
            <w:sz w:val="18"/>
            <w:szCs w:val="18"/>
            <w:u w:val="single"/>
            <w:lang w:val="sr-Latn-RS"/>
          </w:rPr>
          <w:t>jelena.sarenac@henkel.com</w:t>
        </w:r>
      </w:hyperlink>
    </w:p>
    <w:p w14:paraId="77D4194B" w14:textId="77777777" w:rsidR="009D4419" w:rsidRPr="009D4419" w:rsidRDefault="009D4419" w:rsidP="009D4419">
      <w:pPr>
        <w:widowControl/>
        <w:autoSpaceDE/>
        <w:autoSpaceDN/>
        <w:spacing w:line="276" w:lineRule="auto"/>
        <w:jc w:val="both"/>
        <w:rPr>
          <w:rFonts w:eastAsia="Times New Roman" w:cs="Times New Roman"/>
          <w:sz w:val="18"/>
          <w:szCs w:val="18"/>
          <w:lang w:val="en-US"/>
        </w:rPr>
      </w:pPr>
      <w:hyperlink r:id="rId13" w:history="1">
        <w:r w:rsidRPr="009D4419">
          <w:rPr>
            <w:rFonts w:eastAsia="Times New Roman"/>
            <w:color w:val="0000FF"/>
            <w:sz w:val="18"/>
            <w:szCs w:val="18"/>
            <w:u w:val="single"/>
            <w:lang w:val="en-US"/>
          </w:rPr>
          <w:t>www.henkel.sl</w:t>
        </w:r>
      </w:hyperlink>
    </w:p>
    <w:p w14:paraId="6C2BA7FD" w14:textId="6CAD0A26" w:rsidR="00711B07" w:rsidRDefault="00711B07">
      <w:pPr>
        <w:spacing w:before="100" w:line="264" w:lineRule="auto"/>
        <w:ind w:left="111" w:right="7856"/>
        <w:rPr>
          <w:sz w:val="18"/>
        </w:rPr>
      </w:pPr>
    </w:p>
    <w:sectPr w:rsidR="00711B07">
      <w:pgSz w:w="11910" w:h="16840"/>
      <w:pgMar w:top="1580" w:right="800" w:bottom="1100" w:left="1300" w:header="0"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87C4" w14:textId="77777777" w:rsidR="005C6FC2" w:rsidRDefault="005C6FC2">
      <w:r>
        <w:separator/>
      </w:r>
    </w:p>
  </w:endnote>
  <w:endnote w:type="continuationSeparator" w:id="0">
    <w:p w14:paraId="59D93A4D" w14:textId="77777777" w:rsidR="005C6FC2" w:rsidRDefault="005C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51F0" w14:textId="77777777" w:rsidR="00711B07" w:rsidRDefault="009D4419">
    <w:pPr>
      <w:pStyle w:val="BodyText"/>
      <w:spacing w:line="14" w:lineRule="auto"/>
      <w:rPr>
        <w:sz w:val="20"/>
      </w:rPr>
    </w:pPr>
    <w:r>
      <w:pict w14:anchorId="197A2ADD">
        <v:shapetype id="_x0000_t202" coordsize="21600,21600" o:spt="202" path="m,l,21600r21600,l21600,xe">
          <v:stroke joinstyle="miter"/>
          <v:path gradientshapeok="t" o:connecttype="rect"/>
        </v:shapetype>
        <v:shape id="docshape1" o:spid="_x0000_s1027" type="#_x0000_t202" style="position:absolute;margin-left:500.35pt;margin-top:785.6pt;width:25.55pt;height:10pt;z-index:-15801856;mso-position-horizontal-relative:page;mso-position-vertical-relative:page" filled="f" stroked="f">
          <v:textbox inset="0,0,0,0">
            <w:txbxContent>
              <w:p w14:paraId="6E284208" w14:textId="77777777" w:rsidR="00711B07" w:rsidRDefault="009D4419">
                <w:pPr>
                  <w:spacing w:before="20"/>
                  <w:ind w:left="20"/>
                  <w:rPr>
                    <w:sz w:val="12"/>
                  </w:rPr>
                </w:pPr>
                <w:r>
                  <w:rPr>
                    <w:sz w:val="12"/>
                  </w:rPr>
                  <w:t>Stran 1/3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E833" w14:textId="77777777" w:rsidR="00711B07" w:rsidRDefault="009D4419">
    <w:pPr>
      <w:pStyle w:val="BodyText"/>
      <w:spacing w:line="14" w:lineRule="auto"/>
      <w:rPr>
        <w:sz w:val="20"/>
      </w:rPr>
    </w:pPr>
    <w:r>
      <w:pict w14:anchorId="06716661">
        <v:shapetype id="_x0000_t202" coordsize="21600,21600" o:spt="202" path="m,l,21600r21600,l21600,xe">
          <v:stroke joinstyle="miter"/>
          <v:path gradientshapeok="t" o:connecttype="rect"/>
        </v:shapetype>
        <v:shape id="docshape3" o:spid="_x0000_s1025" type="#_x0000_t202" style="position:absolute;margin-left:487.35pt;margin-top:785.6pt;width:37.8pt;height:10pt;z-index:-15800832;mso-position-horizontal-relative:page;mso-position-vertical-relative:page" filled="f" stroked="f">
          <v:textbox inset="0,0,0,0">
            <w:txbxContent>
              <w:p w14:paraId="1BD2F0ED" w14:textId="77777777" w:rsidR="00711B07" w:rsidRDefault="009D4419">
                <w:pPr>
                  <w:spacing w:before="20"/>
                  <w:ind w:left="20"/>
                  <w:rPr>
                    <w:sz w:val="12"/>
                  </w:rPr>
                </w:pPr>
                <w:r>
                  <w:rPr>
                    <w:sz w:val="12"/>
                  </w:rPr>
                  <w:t>Stran</w:t>
                </w:r>
                <w:r>
                  <w:t xml:space="preserve"> </w:t>
                </w:r>
                <w:r>
                  <w:fldChar w:fldCharType="begin"/>
                </w:r>
                <w:r>
                  <w:rPr>
                    <w:sz w:val="12"/>
                  </w:rPr>
                  <w:instrText xml:space="preserve"> PAGE </w:instrText>
                </w:r>
                <w:r>
                  <w:fldChar w:fldCharType="separate"/>
                </w:r>
                <w:r>
                  <w:t>2</w:t>
                </w:r>
                <w:r>
                  <w:fldChar w:fldCharType="end"/>
                </w:r>
                <w:r>
                  <w:rPr>
                    <w:sz w:val="12"/>
                  </w:rPr>
                  <w:t>/3</w:t>
                </w:r>
              </w:p>
            </w:txbxContent>
          </v:textbox>
          <w10:wrap anchorx="page" anchory="page"/>
        </v:shape>
      </w:pict>
    </w:r>
    <w:r>
      <w:pict w14:anchorId="4EEE9D97">
        <v:shape id="docshape2" o:spid="_x0000_s1026" type="#_x0000_t202" style="position:absolute;margin-left:69.55pt;margin-top:785.6pt;width:62.8pt;height:10pt;z-index:-15801344;mso-position-horizontal-relative:page;mso-position-vertical-relative:page" filled="f" stroked="f">
          <v:textbox inset="0,0,0,0">
            <w:txbxContent>
              <w:p w14:paraId="1D688CCF" w14:textId="77777777" w:rsidR="00711B07" w:rsidRDefault="009D4419">
                <w:pPr>
                  <w:spacing w:before="20"/>
                  <w:ind w:left="20"/>
                  <w:rPr>
                    <w:sz w:val="12"/>
                  </w:rPr>
                </w:pPr>
                <w:r>
                  <w:rPr>
                    <w:sz w:val="12"/>
                  </w:rPr>
                  <w:t>Henkel AG &amp; Co. KGaA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964F" w14:textId="77777777" w:rsidR="005C6FC2" w:rsidRDefault="005C6FC2">
      <w:r>
        <w:separator/>
      </w:r>
    </w:p>
  </w:footnote>
  <w:footnote w:type="continuationSeparator" w:id="0">
    <w:p w14:paraId="4D0B4936" w14:textId="77777777" w:rsidR="005C6FC2" w:rsidRDefault="005C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C3E40"/>
    <w:multiLevelType w:val="hybridMultilevel"/>
    <w:tmpl w:val="A21C8B98"/>
    <w:lvl w:ilvl="0" w:tplc="C5AAA082">
      <w:numFmt w:val="bullet"/>
      <w:lvlText w:val=""/>
      <w:lvlJc w:val="left"/>
      <w:pPr>
        <w:ind w:left="831" w:hanging="358"/>
      </w:pPr>
      <w:rPr>
        <w:rFonts w:ascii="Wingdings" w:eastAsia="Wingdings" w:hAnsi="Wingdings" w:cs="Wingdings" w:hint="default"/>
        <w:w w:val="99"/>
        <w:lang w:val="en-US" w:eastAsia="en-US" w:bidi="ar-SA"/>
      </w:rPr>
    </w:lvl>
    <w:lvl w:ilvl="1" w:tplc="2CC86010">
      <w:numFmt w:val="bullet"/>
      <w:lvlText w:val=""/>
      <w:lvlJc w:val="left"/>
      <w:pPr>
        <w:ind w:left="1540" w:hanging="360"/>
      </w:pPr>
      <w:rPr>
        <w:rFonts w:ascii="Wingdings" w:eastAsia="Wingdings" w:hAnsi="Wingdings" w:cs="Wingdings" w:hint="default"/>
        <w:b w:val="0"/>
        <w:bCs w:val="0"/>
        <w:i w:val="0"/>
        <w:iCs w:val="0"/>
        <w:color w:val="E0000F"/>
        <w:w w:val="99"/>
        <w:sz w:val="22"/>
        <w:szCs w:val="22"/>
        <w:lang w:val="en-US" w:eastAsia="en-US" w:bidi="ar-SA"/>
      </w:rPr>
    </w:lvl>
    <w:lvl w:ilvl="2" w:tplc="CB809ED6">
      <w:numFmt w:val="bullet"/>
      <w:lvlText w:val="•"/>
      <w:lvlJc w:val="left"/>
      <w:pPr>
        <w:ind w:left="2458" w:hanging="360"/>
      </w:pPr>
      <w:rPr>
        <w:rFonts w:hint="default"/>
        <w:lang w:val="en-US" w:eastAsia="en-US" w:bidi="ar-SA"/>
      </w:rPr>
    </w:lvl>
    <w:lvl w:ilvl="3" w:tplc="FAA88482">
      <w:numFmt w:val="bullet"/>
      <w:lvlText w:val="•"/>
      <w:lvlJc w:val="left"/>
      <w:pPr>
        <w:ind w:left="3377" w:hanging="360"/>
      </w:pPr>
      <w:rPr>
        <w:rFonts w:hint="default"/>
        <w:lang w:val="en-US" w:eastAsia="en-US" w:bidi="ar-SA"/>
      </w:rPr>
    </w:lvl>
    <w:lvl w:ilvl="4" w:tplc="15D039EC">
      <w:numFmt w:val="bullet"/>
      <w:lvlText w:val="•"/>
      <w:lvlJc w:val="left"/>
      <w:pPr>
        <w:ind w:left="4295" w:hanging="360"/>
      </w:pPr>
      <w:rPr>
        <w:rFonts w:hint="default"/>
        <w:lang w:val="en-US" w:eastAsia="en-US" w:bidi="ar-SA"/>
      </w:rPr>
    </w:lvl>
    <w:lvl w:ilvl="5" w:tplc="818A20EE">
      <w:numFmt w:val="bullet"/>
      <w:lvlText w:val="•"/>
      <w:lvlJc w:val="left"/>
      <w:pPr>
        <w:ind w:left="5214" w:hanging="360"/>
      </w:pPr>
      <w:rPr>
        <w:rFonts w:hint="default"/>
        <w:lang w:val="en-US" w:eastAsia="en-US" w:bidi="ar-SA"/>
      </w:rPr>
    </w:lvl>
    <w:lvl w:ilvl="6" w:tplc="8ED639E8">
      <w:numFmt w:val="bullet"/>
      <w:lvlText w:val="•"/>
      <w:lvlJc w:val="left"/>
      <w:pPr>
        <w:ind w:left="6133" w:hanging="360"/>
      </w:pPr>
      <w:rPr>
        <w:rFonts w:hint="default"/>
        <w:lang w:val="en-US" w:eastAsia="en-US" w:bidi="ar-SA"/>
      </w:rPr>
    </w:lvl>
    <w:lvl w:ilvl="7" w:tplc="F44CA21C">
      <w:numFmt w:val="bullet"/>
      <w:lvlText w:val="•"/>
      <w:lvlJc w:val="left"/>
      <w:pPr>
        <w:ind w:left="7051" w:hanging="360"/>
      </w:pPr>
      <w:rPr>
        <w:rFonts w:hint="default"/>
        <w:lang w:val="en-US" w:eastAsia="en-US" w:bidi="ar-SA"/>
      </w:rPr>
    </w:lvl>
    <w:lvl w:ilvl="8" w:tplc="83725616">
      <w:numFmt w:val="bullet"/>
      <w:lvlText w:val="•"/>
      <w:lvlJc w:val="left"/>
      <w:pPr>
        <w:ind w:left="7970" w:hanging="360"/>
      </w:pPr>
      <w:rPr>
        <w:rFonts w:hint="default"/>
        <w:lang w:val="en-US" w:eastAsia="en-US" w:bidi="ar-SA"/>
      </w:rPr>
    </w:lvl>
  </w:abstractNum>
  <w:num w:numId="1" w16cid:durableId="117927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1B07"/>
    <w:rsid w:val="001E7ACF"/>
    <w:rsid w:val="005C6FC2"/>
    <w:rsid w:val="00711B07"/>
    <w:rsid w:val="009D4419"/>
    <w:rsid w:val="00B222F9"/>
    <w:rsid w:val="00C14F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6518A"/>
  <w15:docId w15:val="{6BEEF1BD-2904-43FB-827D-16FD5C6F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100"/>
      <w:ind w:right="608"/>
      <w:jc w:val="right"/>
    </w:pPr>
    <w:rPr>
      <w:b/>
      <w:bCs/>
      <w:sz w:val="40"/>
      <w:szCs w:val="40"/>
    </w:rPr>
  </w:style>
  <w:style w:type="paragraph" w:styleId="ListParagraph">
    <w:name w:val="List Paragraph"/>
    <w:basedOn w:val="Normal"/>
    <w:uiPriority w:val="1"/>
    <w:qFormat/>
    <w:pPr>
      <w:ind w:left="83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22F9"/>
    <w:pPr>
      <w:tabs>
        <w:tab w:val="center" w:pos="4536"/>
        <w:tab w:val="right" w:pos="9072"/>
      </w:tabs>
    </w:pPr>
  </w:style>
  <w:style w:type="character" w:customStyle="1" w:styleId="HeaderChar">
    <w:name w:val="Header Char"/>
    <w:basedOn w:val="DefaultParagraphFont"/>
    <w:link w:val="Header"/>
    <w:uiPriority w:val="99"/>
    <w:rsid w:val="00B222F9"/>
    <w:rPr>
      <w:rFonts w:ascii="Segoe UI" w:eastAsia="Segoe UI" w:hAnsi="Segoe UI" w:cs="Segoe UI"/>
    </w:rPr>
  </w:style>
  <w:style w:type="paragraph" w:styleId="Footer">
    <w:name w:val="footer"/>
    <w:basedOn w:val="Normal"/>
    <w:link w:val="FooterChar"/>
    <w:uiPriority w:val="99"/>
    <w:unhideWhenUsed/>
    <w:rsid w:val="00B222F9"/>
    <w:pPr>
      <w:tabs>
        <w:tab w:val="center" w:pos="4536"/>
        <w:tab w:val="right" w:pos="9072"/>
      </w:tabs>
    </w:pPr>
  </w:style>
  <w:style w:type="character" w:customStyle="1" w:styleId="FooterChar">
    <w:name w:val="Footer Char"/>
    <w:basedOn w:val="DefaultParagraphFont"/>
    <w:link w:val="Footer"/>
    <w:uiPriority w:val="99"/>
    <w:rsid w:val="00B222F9"/>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544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nkel.s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elena.sarenac@henk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 Raised Outlook FY 2024</dc:title>
  <dc:creator>Henkel AG &amp; Co. KGaA</dc:creator>
  <cp:lastModifiedBy>Ana Roncevic (ext)</cp:lastModifiedBy>
  <cp:revision>5</cp:revision>
  <dcterms:created xsi:type="dcterms:W3CDTF">2024-05-08T10:21:00Z</dcterms:created>
  <dcterms:modified xsi:type="dcterms:W3CDTF">2024-05-09T13:41:00Z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für Microsoft 365</vt:lpwstr>
  </property>
  <property fmtid="{D5CDD505-2E9C-101B-9397-08002B2CF9AE}" pid="4" name="LastSaved">
    <vt:filetime>2024-05-08T00:00:00Z</vt:filetime>
  </property>
</Properties>
</file>