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24ED" w14:textId="7DC72DAC" w:rsidR="005742B4" w:rsidRPr="00A110E3" w:rsidRDefault="00F1401B">
      <w:pPr>
        <w:pStyle w:val="MonthDayYear"/>
        <w:rPr>
          <w:lang w:val="cs-CZ"/>
        </w:rPr>
      </w:pPr>
      <w:r>
        <w:rPr>
          <w:lang w:val="cs-CZ"/>
        </w:rPr>
        <w:t>3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kv</w:t>
      </w:r>
      <w:r w:rsidR="00A110E3">
        <w:rPr>
          <w:lang w:val="cs-CZ"/>
        </w:rPr>
        <w:t>ě</w:t>
      </w:r>
      <w:r>
        <w:rPr>
          <w:lang w:val="cs-CZ"/>
        </w:rPr>
        <w:t>ten</w:t>
      </w:r>
      <w:r w:rsidR="007D354B" w:rsidRPr="00A110E3">
        <w:rPr>
          <w:lang w:val="cs-CZ"/>
        </w:rPr>
        <w:t xml:space="preserve"> 202</w:t>
      </w:r>
      <w:r w:rsidR="002D2EB4">
        <w:rPr>
          <w:lang w:val="cs-CZ"/>
        </w:rPr>
        <w:t>4</w:t>
      </w:r>
    </w:p>
    <w:p w14:paraId="51AA24EE" w14:textId="588C9585" w:rsidR="005742B4" w:rsidRPr="00E75AA6" w:rsidRDefault="001D6090" w:rsidP="001D6090">
      <w:pPr>
        <w:pStyle w:val="Topline"/>
        <w:spacing w:after="360"/>
        <w:rPr>
          <w:lang w:val="cs-CZ"/>
        </w:rPr>
      </w:pPr>
      <w:r w:rsidRPr="00E75AA6">
        <w:rPr>
          <w:lang w:val="cs-CZ"/>
        </w:rPr>
        <w:t>Výborný začátek finančního roku</w:t>
      </w:r>
    </w:p>
    <w:p w14:paraId="51AA24EF" w14:textId="0F618F4F" w:rsidR="005742B4" w:rsidRPr="00E75AA6" w:rsidRDefault="000101F7" w:rsidP="000101F7">
      <w:pPr>
        <w:jc w:val="left"/>
        <w:rPr>
          <w:rStyle w:val="Headline"/>
          <w:lang w:val="cs-CZ"/>
        </w:rPr>
      </w:pPr>
      <w:r w:rsidRPr="00E75AA6">
        <w:rPr>
          <w:rStyle w:val="Headline"/>
          <w:lang w:val="cs-CZ"/>
        </w:rPr>
        <w:t xml:space="preserve">Společnost </w:t>
      </w:r>
      <w:proofErr w:type="spellStart"/>
      <w:r w:rsidRPr="00E75AA6">
        <w:rPr>
          <w:rStyle w:val="Headline"/>
          <w:lang w:val="cs-CZ"/>
        </w:rPr>
        <w:t>Henkel</w:t>
      </w:r>
      <w:proofErr w:type="spellEnd"/>
      <w:r w:rsidRPr="00E75AA6">
        <w:rPr>
          <w:rStyle w:val="Headline"/>
          <w:lang w:val="cs-CZ"/>
        </w:rPr>
        <w:t xml:space="preserve"> zvýšila odhad obratu a výnosů na rok 2024</w:t>
      </w:r>
    </w:p>
    <w:p w14:paraId="51AA24F0" w14:textId="77777777" w:rsidR="005742B4" w:rsidRPr="00E75AA6" w:rsidRDefault="005742B4">
      <w:pPr>
        <w:rPr>
          <w:lang w:val="cs-CZ"/>
        </w:rPr>
      </w:pPr>
    </w:p>
    <w:p w14:paraId="2FFCD694" w14:textId="77777777" w:rsidR="00991017" w:rsidRPr="00E75AA6" w:rsidRDefault="00991017" w:rsidP="00991017">
      <w:pPr>
        <w:rPr>
          <w:lang w:val="cs-CZ"/>
        </w:rPr>
      </w:pPr>
      <w:r w:rsidRPr="00E75AA6">
        <w:rPr>
          <w:lang w:val="cs-CZ"/>
        </w:rPr>
        <w:t xml:space="preserve">Düsseldorf – Vzhledem k velmi dobrým dosavadním obchodním výsledkům za tento rok a na základě předpokladů na jeho zbylou část představenstvo společnosti </w:t>
      </w:r>
      <w:proofErr w:type="spellStart"/>
      <w:r w:rsidRPr="00E75AA6">
        <w:rPr>
          <w:lang w:val="cs-CZ"/>
        </w:rPr>
        <w:t>Henkel</w:t>
      </w:r>
      <w:proofErr w:type="spellEnd"/>
      <w:r w:rsidRPr="00E75AA6">
        <w:rPr>
          <w:lang w:val="cs-CZ"/>
        </w:rPr>
        <w:t xml:space="preserve"> AG &amp; Co. </w:t>
      </w:r>
      <w:proofErr w:type="spellStart"/>
      <w:r w:rsidRPr="00E75AA6">
        <w:rPr>
          <w:lang w:val="cs-CZ"/>
        </w:rPr>
        <w:t>KGaA</w:t>
      </w:r>
      <w:proofErr w:type="spellEnd"/>
      <w:r w:rsidRPr="00E75AA6">
        <w:rPr>
          <w:lang w:val="cs-CZ"/>
        </w:rPr>
        <w:t xml:space="preserve"> dnes přijalo rozhodnutí o zlepšení výhledu na aktuální finanční rok ve srovnání s údaji zveřejněnými počátkem března.</w:t>
      </w:r>
    </w:p>
    <w:p w14:paraId="11C0AB3C" w14:textId="77777777" w:rsidR="00991017" w:rsidRPr="00E75AA6" w:rsidRDefault="00991017" w:rsidP="00991017">
      <w:pPr>
        <w:rPr>
          <w:b/>
          <w:bCs/>
          <w:lang w:val="cs-CZ"/>
        </w:rPr>
      </w:pPr>
    </w:p>
    <w:p w14:paraId="2775CA81" w14:textId="77777777" w:rsidR="00991017" w:rsidRPr="00E75AA6" w:rsidRDefault="00991017" w:rsidP="00991017">
      <w:pPr>
        <w:rPr>
          <w:lang w:val="cs-CZ"/>
        </w:rPr>
      </w:pPr>
      <w:r w:rsidRPr="00E75AA6">
        <w:rPr>
          <w:lang w:val="cs-CZ"/>
        </w:rPr>
        <w:t>Společnost zvýšila svá očekávání jak v případě obratu, tak i výnosů:</w:t>
      </w:r>
    </w:p>
    <w:p w14:paraId="6CE6890F" w14:textId="77777777" w:rsidR="00991017" w:rsidRPr="00E75AA6" w:rsidRDefault="00991017" w:rsidP="00991017">
      <w:pPr>
        <w:rPr>
          <w:lang w:val="cs-CZ"/>
        </w:rPr>
      </w:pPr>
    </w:p>
    <w:p w14:paraId="6324E840" w14:textId="77777777" w:rsidR="00991017" w:rsidRPr="00E75AA6" w:rsidRDefault="00991017" w:rsidP="00991017">
      <w:pPr>
        <w:pStyle w:val="He01FlietextAufzhlung1Ebene"/>
        <w:numPr>
          <w:ilvl w:val="0"/>
          <w:numId w:val="2"/>
        </w:numPr>
        <w:spacing w:after="120"/>
        <w:rPr>
          <w:b/>
          <w:bCs/>
          <w:lang w:val="cs-CZ"/>
        </w:rPr>
      </w:pPr>
      <w:r w:rsidRPr="00E75AA6">
        <w:rPr>
          <w:b/>
          <w:bCs/>
          <w:lang w:val="cs-CZ"/>
        </w:rPr>
        <w:t xml:space="preserve">Organický růst obratu: </w:t>
      </w:r>
      <w:r w:rsidRPr="00E75AA6">
        <w:rPr>
          <w:lang w:val="cs-CZ"/>
        </w:rPr>
        <w:t>2,5 až 4,5 % (dříve: 2,0 až 4,0 %)</w:t>
      </w:r>
    </w:p>
    <w:p w14:paraId="19EEDD5B" w14:textId="77777777" w:rsidR="00991017" w:rsidRPr="00E75AA6" w:rsidRDefault="00991017" w:rsidP="00991017">
      <w:pPr>
        <w:pStyle w:val="Odsekzoznamu"/>
        <w:numPr>
          <w:ilvl w:val="0"/>
          <w:numId w:val="4"/>
        </w:numPr>
        <w:spacing w:after="120"/>
        <w:rPr>
          <w:lang w:val="cs-CZ"/>
        </w:rPr>
      </w:pPr>
      <w:proofErr w:type="spellStart"/>
      <w:r w:rsidRPr="00E75AA6">
        <w:rPr>
          <w:lang w:val="cs-CZ"/>
        </w:rPr>
        <w:t>Adhesive</w:t>
      </w:r>
      <w:proofErr w:type="spellEnd"/>
      <w:r w:rsidRPr="00E75AA6">
        <w:rPr>
          <w:lang w:val="cs-CZ"/>
        </w:rPr>
        <w:t xml:space="preserve"> Technologies: 2,0 až 4,0 % (beze změny)</w:t>
      </w:r>
    </w:p>
    <w:p w14:paraId="7BAEBA6E" w14:textId="77777777" w:rsidR="00991017" w:rsidRPr="00E75AA6" w:rsidRDefault="00991017" w:rsidP="00991017">
      <w:pPr>
        <w:pStyle w:val="Odsekzoznamu"/>
        <w:numPr>
          <w:ilvl w:val="0"/>
          <w:numId w:val="4"/>
        </w:numPr>
        <w:spacing w:after="120"/>
        <w:rPr>
          <w:lang w:val="cs-CZ"/>
        </w:rPr>
      </w:pPr>
      <w:proofErr w:type="spellStart"/>
      <w:r w:rsidRPr="00E75AA6">
        <w:rPr>
          <w:lang w:val="cs-CZ"/>
        </w:rPr>
        <w:t>Consumer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Brands</w:t>
      </w:r>
      <w:proofErr w:type="spellEnd"/>
      <w:r w:rsidRPr="00E75AA6">
        <w:rPr>
          <w:lang w:val="cs-CZ"/>
        </w:rPr>
        <w:t>: 3,0 až 5,0 % (dříve: 2,0 až 4,0 %)</w:t>
      </w:r>
    </w:p>
    <w:p w14:paraId="79330E03" w14:textId="77777777" w:rsidR="00991017" w:rsidRPr="00E75AA6" w:rsidRDefault="00991017" w:rsidP="00991017">
      <w:pPr>
        <w:pStyle w:val="He01FlietextAufzhlung1Ebene"/>
        <w:numPr>
          <w:ilvl w:val="0"/>
          <w:numId w:val="2"/>
        </w:numPr>
        <w:spacing w:after="120"/>
        <w:rPr>
          <w:b/>
          <w:bCs/>
          <w:lang w:val="cs-CZ"/>
        </w:rPr>
      </w:pPr>
      <w:r w:rsidRPr="00E75AA6">
        <w:rPr>
          <w:b/>
          <w:bCs/>
          <w:lang w:val="cs-CZ"/>
        </w:rPr>
        <w:t xml:space="preserve">Upravená výnosnost prodeje: </w:t>
      </w:r>
      <w:r w:rsidRPr="00E75AA6">
        <w:rPr>
          <w:lang w:val="cs-CZ"/>
        </w:rPr>
        <w:t>13,0 až 14,0 % (dříve: 12,0 až 13,5 %)</w:t>
      </w:r>
    </w:p>
    <w:p w14:paraId="36AD7344" w14:textId="77777777" w:rsidR="00991017" w:rsidRPr="00E75AA6" w:rsidRDefault="00991017" w:rsidP="00991017">
      <w:pPr>
        <w:pStyle w:val="Odsekzoznamu"/>
        <w:numPr>
          <w:ilvl w:val="0"/>
          <w:numId w:val="4"/>
        </w:numPr>
        <w:spacing w:after="120"/>
        <w:rPr>
          <w:lang w:val="cs-CZ"/>
        </w:rPr>
      </w:pPr>
      <w:proofErr w:type="spellStart"/>
      <w:r w:rsidRPr="00E75AA6">
        <w:rPr>
          <w:lang w:val="cs-CZ"/>
        </w:rPr>
        <w:t>Adhesive</w:t>
      </w:r>
      <w:proofErr w:type="spellEnd"/>
      <w:r w:rsidRPr="00E75AA6">
        <w:rPr>
          <w:lang w:val="cs-CZ"/>
        </w:rPr>
        <w:t xml:space="preserve"> Technologies: 16,0 až 17,0 % (dříve: 15,0 až 16,5 %)</w:t>
      </w:r>
    </w:p>
    <w:p w14:paraId="372BBA04" w14:textId="77777777" w:rsidR="00991017" w:rsidRPr="00E75AA6" w:rsidRDefault="00991017" w:rsidP="00991017">
      <w:pPr>
        <w:pStyle w:val="Odsekzoznamu"/>
        <w:numPr>
          <w:ilvl w:val="0"/>
          <w:numId w:val="4"/>
        </w:numPr>
        <w:spacing w:after="120"/>
        <w:rPr>
          <w:lang w:val="cs-CZ"/>
        </w:rPr>
      </w:pPr>
      <w:proofErr w:type="spellStart"/>
      <w:r w:rsidRPr="00E75AA6">
        <w:rPr>
          <w:lang w:val="cs-CZ"/>
        </w:rPr>
        <w:t>Consumer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Brands</w:t>
      </w:r>
      <w:proofErr w:type="spellEnd"/>
      <w:r w:rsidRPr="00E75AA6">
        <w:rPr>
          <w:lang w:val="cs-CZ"/>
        </w:rPr>
        <w:t>: 12,0 až 13,0 % (dříve: 11,0 až 12,5 %)</w:t>
      </w:r>
    </w:p>
    <w:p w14:paraId="238BFBC7" w14:textId="77777777" w:rsidR="00991017" w:rsidRPr="00E75AA6" w:rsidRDefault="00991017" w:rsidP="00991017">
      <w:pPr>
        <w:pStyle w:val="He01FlietextAufzhlung1Ebene"/>
        <w:numPr>
          <w:ilvl w:val="0"/>
          <w:numId w:val="2"/>
        </w:numPr>
        <w:spacing w:after="120"/>
        <w:rPr>
          <w:b/>
          <w:bCs/>
          <w:lang w:val="cs-CZ"/>
        </w:rPr>
      </w:pPr>
      <w:r w:rsidRPr="00E75AA6">
        <w:rPr>
          <w:b/>
          <w:bCs/>
          <w:lang w:val="cs-CZ"/>
        </w:rPr>
        <w:t xml:space="preserve">Upravený výnos na prioritní akcii (EPS): </w:t>
      </w:r>
      <w:r w:rsidRPr="00E75AA6">
        <w:rPr>
          <w:lang w:val="cs-CZ"/>
        </w:rPr>
        <w:t>růst v rozsahu 15 až 25 % při konstantních kurzových sazbách (dříve: 5 až 20 %)</w:t>
      </w:r>
    </w:p>
    <w:p w14:paraId="4C46D058" w14:textId="77777777" w:rsidR="00991017" w:rsidRPr="00E75AA6" w:rsidRDefault="00991017" w:rsidP="00991017">
      <w:pPr>
        <w:spacing w:line="240" w:lineRule="auto"/>
        <w:jc w:val="left"/>
        <w:rPr>
          <w:b/>
          <w:bCs/>
          <w:lang w:val="cs-CZ"/>
        </w:rPr>
      </w:pPr>
    </w:p>
    <w:p w14:paraId="53B38BA5" w14:textId="3860BDE0" w:rsidR="00991017" w:rsidRPr="00E75AA6" w:rsidRDefault="00991017" w:rsidP="00991017">
      <w:pPr>
        <w:rPr>
          <w:lang w:val="cs-CZ"/>
        </w:rPr>
      </w:pPr>
      <w:r w:rsidRPr="00E75AA6">
        <w:rPr>
          <w:i/>
          <w:iCs/>
          <w:lang w:val="cs-CZ"/>
        </w:rPr>
        <w:t>„Velmi dobrý začátek roku a dnešní zvýšení celoročního výhledu jsou jasným důkazem, že jsme na správné cestě k dalšímu růstu. Vždy klademe důraz na plnění svých cílů. A přesně to děláme. Změny, jež jsme nastartovali v obou obchodních divizích, přinášejí jasné výsledky,“</w:t>
      </w:r>
      <w:r w:rsidRPr="00E75AA6">
        <w:rPr>
          <w:lang w:val="cs-CZ"/>
        </w:rPr>
        <w:t xml:space="preserve"> řekl předseda představenstva společnosti </w:t>
      </w:r>
      <w:proofErr w:type="spellStart"/>
      <w:r w:rsidRPr="00E75AA6">
        <w:rPr>
          <w:lang w:val="cs-CZ"/>
        </w:rPr>
        <w:t>Henkel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Carsten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Knobel</w:t>
      </w:r>
      <w:proofErr w:type="spellEnd"/>
      <w:r w:rsidRPr="00E75AA6">
        <w:rPr>
          <w:lang w:val="cs-CZ"/>
        </w:rPr>
        <w:t xml:space="preserve">. </w:t>
      </w:r>
    </w:p>
    <w:p w14:paraId="2A012451" w14:textId="77777777" w:rsidR="00991017" w:rsidRPr="00E75AA6" w:rsidRDefault="00991017" w:rsidP="00991017">
      <w:pPr>
        <w:rPr>
          <w:lang w:val="cs-CZ"/>
        </w:rPr>
      </w:pPr>
    </w:p>
    <w:p w14:paraId="08DAF612" w14:textId="77777777" w:rsidR="00991017" w:rsidRPr="00E75AA6" w:rsidRDefault="00991017" w:rsidP="00991017">
      <w:pPr>
        <w:rPr>
          <w:lang w:val="cs-CZ"/>
        </w:rPr>
      </w:pPr>
      <w:r w:rsidRPr="00E75AA6">
        <w:rPr>
          <w:lang w:val="cs-CZ"/>
        </w:rPr>
        <w:t xml:space="preserve">Zlepšená očekávání pro rok 2024 se týkají obou obchodních divizí. V případě divize </w:t>
      </w:r>
      <w:proofErr w:type="spellStart"/>
      <w:r w:rsidRPr="00E75AA6">
        <w:rPr>
          <w:lang w:val="cs-CZ"/>
        </w:rPr>
        <w:t>Adhesive</w:t>
      </w:r>
      <w:proofErr w:type="spellEnd"/>
      <w:r w:rsidRPr="00E75AA6">
        <w:rPr>
          <w:lang w:val="cs-CZ"/>
        </w:rPr>
        <w:t xml:space="preserve"> Technologies jsou výnosy pozitivně ovlivněny celkově silným obchodním vývojem a růstem </w:t>
      </w:r>
      <w:r w:rsidRPr="00E75AA6">
        <w:rPr>
          <w:lang w:val="cs-CZ"/>
        </w:rPr>
        <w:lastRenderedPageBreak/>
        <w:t>hrubé marže v přetrvávajících náročných trhových podmínkách, jakož i oživením trhu v segmentu elektronického průmyslu.</w:t>
      </w:r>
    </w:p>
    <w:p w14:paraId="531EBE52" w14:textId="7FEEE620" w:rsidR="00991017" w:rsidRPr="00E75AA6" w:rsidRDefault="00397BFA" w:rsidP="00397BFA">
      <w:pPr>
        <w:tabs>
          <w:tab w:val="left" w:pos="3740"/>
        </w:tabs>
        <w:rPr>
          <w:lang w:val="cs-CZ"/>
        </w:rPr>
      </w:pPr>
      <w:r>
        <w:rPr>
          <w:lang w:val="cs-CZ"/>
        </w:rPr>
        <w:tab/>
      </w:r>
    </w:p>
    <w:p w14:paraId="5D7828F4" w14:textId="77777777" w:rsidR="00991017" w:rsidRPr="00E75AA6" w:rsidRDefault="00991017" w:rsidP="00991017">
      <w:pPr>
        <w:rPr>
          <w:lang w:val="cs-CZ"/>
        </w:rPr>
      </w:pPr>
      <w:r w:rsidRPr="00E75AA6">
        <w:rPr>
          <w:lang w:val="cs-CZ"/>
        </w:rPr>
        <w:t xml:space="preserve">Pozitivní vliv na obrat, marže a výnosy obchodní divize </w:t>
      </w:r>
      <w:proofErr w:type="spellStart"/>
      <w:r w:rsidRPr="00E75AA6">
        <w:rPr>
          <w:lang w:val="cs-CZ"/>
        </w:rPr>
        <w:t>Consumer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Brands</w:t>
      </w:r>
      <w:proofErr w:type="spellEnd"/>
      <w:r w:rsidRPr="00E75AA6">
        <w:rPr>
          <w:lang w:val="cs-CZ"/>
        </w:rPr>
        <w:t xml:space="preserve"> má zejména implementace strategických opatření a iniciativ. K tomuto pozitivnímu vývoji přispívají velmi dobré výsledky v segmentu vlasové kosmetiky, pokračující implementace portfoliových opatření a silné výsledky klíčových značek a inovace. V zájmu podpory svého dalšího růstu společnost </w:t>
      </w:r>
      <w:proofErr w:type="spellStart"/>
      <w:r w:rsidRPr="00E75AA6">
        <w:rPr>
          <w:lang w:val="cs-CZ"/>
        </w:rPr>
        <w:t>Henkel</w:t>
      </w:r>
      <w:proofErr w:type="spellEnd"/>
      <w:r w:rsidRPr="00E75AA6">
        <w:rPr>
          <w:lang w:val="cs-CZ"/>
        </w:rPr>
        <w:t xml:space="preserve"> zároveň nadále zvyšuje investice do inovací a především do marketingu.</w:t>
      </w:r>
    </w:p>
    <w:p w14:paraId="65C7F852" w14:textId="77777777" w:rsidR="00991017" w:rsidRPr="00E75AA6" w:rsidRDefault="00991017" w:rsidP="00991017">
      <w:pPr>
        <w:rPr>
          <w:lang w:val="cs-CZ"/>
        </w:rPr>
      </w:pPr>
    </w:p>
    <w:p w14:paraId="438E6045" w14:textId="77777777" w:rsidR="00991017" w:rsidRPr="00E75AA6" w:rsidRDefault="00991017" w:rsidP="00991017">
      <w:pPr>
        <w:rPr>
          <w:lang w:val="cs-CZ"/>
        </w:rPr>
      </w:pPr>
      <w:r w:rsidRPr="00E75AA6">
        <w:rPr>
          <w:lang w:val="cs-CZ"/>
        </w:rPr>
        <w:t xml:space="preserve">Společnost </w:t>
      </w:r>
      <w:proofErr w:type="spellStart"/>
      <w:r w:rsidRPr="00E75AA6">
        <w:rPr>
          <w:lang w:val="cs-CZ"/>
        </w:rPr>
        <w:t>Henkel</w:t>
      </w:r>
      <w:proofErr w:type="spellEnd"/>
      <w:r w:rsidRPr="00E75AA6">
        <w:rPr>
          <w:lang w:val="cs-CZ"/>
        </w:rPr>
        <w:t xml:space="preserve"> aktualizovala i očekávání týkající se vlivů akvizic/odprodejů a kurzového vývoje na její obrat. Nejnovější akvizice – </w:t>
      </w:r>
      <w:proofErr w:type="spellStart"/>
      <w:r w:rsidRPr="00E75AA6">
        <w:rPr>
          <w:lang w:val="cs-CZ"/>
        </w:rPr>
        <w:t>Seal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for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Life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Industries</w:t>
      </w:r>
      <w:proofErr w:type="spellEnd"/>
      <w:r w:rsidRPr="00E75AA6">
        <w:rPr>
          <w:lang w:val="cs-CZ"/>
        </w:rPr>
        <w:t xml:space="preserve"> a </w:t>
      </w:r>
      <w:proofErr w:type="spellStart"/>
      <w:r w:rsidRPr="00E75AA6">
        <w:rPr>
          <w:lang w:val="cs-CZ"/>
        </w:rPr>
        <w:t>Vidal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Sassoon</w:t>
      </w:r>
      <w:proofErr w:type="spellEnd"/>
      <w:r w:rsidRPr="00E75AA6">
        <w:rPr>
          <w:lang w:val="cs-CZ"/>
        </w:rPr>
        <w:t xml:space="preserve"> v Číně – byly dokončeny rychleji, než se původně očekávalo, proto se projevily dříve i ve vývoji obratu a výnosů.</w:t>
      </w:r>
    </w:p>
    <w:p w14:paraId="481001EB" w14:textId="77777777" w:rsidR="00991017" w:rsidRPr="00E75AA6" w:rsidRDefault="00991017" w:rsidP="00991017">
      <w:pPr>
        <w:rPr>
          <w:lang w:val="cs-CZ"/>
        </w:rPr>
      </w:pPr>
    </w:p>
    <w:p w14:paraId="29267FD2" w14:textId="77777777" w:rsidR="00991017" w:rsidRPr="00E75AA6" w:rsidRDefault="00991017" w:rsidP="00991017">
      <w:pPr>
        <w:pStyle w:val="Odsekzoznamu"/>
        <w:numPr>
          <w:ilvl w:val="0"/>
          <w:numId w:val="6"/>
        </w:numPr>
        <w:spacing w:after="120"/>
        <w:jc w:val="left"/>
        <w:rPr>
          <w:lang w:val="cs-CZ"/>
        </w:rPr>
      </w:pPr>
      <w:r w:rsidRPr="00E75AA6">
        <w:rPr>
          <w:lang w:val="cs-CZ"/>
        </w:rPr>
        <w:t xml:space="preserve">Akvizice/odprodeje: neutrální vliv na nominální růst obratu </w:t>
      </w:r>
      <w:r w:rsidRPr="00E75AA6">
        <w:rPr>
          <w:lang w:val="cs-CZ"/>
        </w:rPr>
        <w:br/>
        <w:t>(dříve: negativní vliv v dolní polovině jednociferného procentuálního rozsahu)</w:t>
      </w:r>
    </w:p>
    <w:p w14:paraId="450260E6" w14:textId="77777777" w:rsidR="00991017" w:rsidRPr="00E75AA6" w:rsidRDefault="00991017" w:rsidP="00991017">
      <w:pPr>
        <w:pStyle w:val="Odsekzoznamu"/>
        <w:numPr>
          <w:ilvl w:val="0"/>
          <w:numId w:val="6"/>
        </w:numPr>
        <w:spacing w:after="120"/>
        <w:jc w:val="left"/>
        <w:rPr>
          <w:lang w:val="cs-CZ"/>
        </w:rPr>
      </w:pPr>
      <w:r w:rsidRPr="00E75AA6">
        <w:rPr>
          <w:lang w:val="cs-CZ"/>
        </w:rPr>
        <w:t xml:space="preserve">Vliv kurzových sazeb na obrat: negativní vliv v dolní až střední polovině jednociferného procentuálního rozsahu </w:t>
      </w:r>
      <w:r w:rsidRPr="00E75AA6">
        <w:rPr>
          <w:lang w:val="cs-CZ"/>
        </w:rPr>
        <w:br/>
        <w:t>(dříve: negativní vliv uprostřed jednociferného procentuálního rozsahu)</w:t>
      </w:r>
    </w:p>
    <w:p w14:paraId="074C2795" w14:textId="77777777" w:rsidR="00991017" w:rsidRPr="00E75AA6" w:rsidRDefault="00991017" w:rsidP="00991017">
      <w:pPr>
        <w:rPr>
          <w:lang w:val="cs-CZ"/>
        </w:rPr>
      </w:pPr>
    </w:p>
    <w:p w14:paraId="0F97324F" w14:textId="77777777" w:rsidR="00991017" w:rsidRPr="00E75AA6" w:rsidRDefault="00991017" w:rsidP="00991017">
      <w:pPr>
        <w:rPr>
          <w:lang w:val="cs-CZ"/>
        </w:rPr>
      </w:pPr>
      <w:r w:rsidRPr="00E75AA6">
        <w:rPr>
          <w:lang w:val="cs-CZ"/>
        </w:rPr>
        <w:t>Další očekávání pro rok 2024 zůstávají nezměněna:</w:t>
      </w:r>
    </w:p>
    <w:p w14:paraId="3671B680" w14:textId="77777777" w:rsidR="00991017" w:rsidRPr="00E75AA6" w:rsidRDefault="00991017" w:rsidP="00991017">
      <w:pPr>
        <w:rPr>
          <w:lang w:val="cs-CZ"/>
        </w:rPr>
      </w:pPr>
    </w:p>
    <w:p w14:paraId="43731003" w14:textId="77777777" w:rsidR="00991017" w:rsidRPr="00E75AA6" w:rsidRDefault="00991017" w:rsidP="00991017">
      <w:pPr>
        <w:pStyle w:val="Odsekzoznamu"/>
        <w:numPr>
          <w:ilvl w:val="0"/>
          <w:numId w:val="6"/>
        </w:numPr>
        <w:spacing w:after="120"/>
        <w:jc w:val="left"/>
        <w:rPr>
          <w:lang w:val="cs-CZ"/>
        </w:rPr>
      </w:pPr>
      <w:r w:rsidRPr="00E75AA6">
        <w:rPr>
          <w:lang w:val="cs-CZ"/>
        </w:rPr>
        <w:t>Ceny přímých surovin: rovnoměrný vývoj</w:t>
      </w:r>
      <w:r w:rsidRPr="00E75AA6">
        <w:rPr>
          <w:rStyle w:val="Odkaznapoznmkupodiarou"/>
          <w:lang w:val="cs-CZ"/>
        </w:rPr>
        <w:footnoteReference w:id="2"/>
      </w:r>
    </w:p>
    <w:p w14:paraId="303A0FD1" w14:textId="77777777" w:rsidR="00991017" w:rsidRPr="00E75AA6" w:rsidRDefault="00991017" w:rsidP="00991017">
      <w:pPr>
        <w:pStyle w:val="Odsekzoznamu"/>
        <w:numPr>
          <w:ilvl w:val="0"/>
          <w:numId w:val="6"/>
        </w:numPr>
        <w:spacing w:after="120"/>
        <w:jc w:val="left"/>
        <w:rPr>
          <w:lang w:val="cs-CZ"/>
        </w:rPr>
      </w:pPr>
      <w:r w:rsidRPr="00E75AA6">
        <w:rPr>
          <w:lang w:val="cs-CZ"/>
        </w:rPr>
        <w:t>Restrukturalizační výdaje ve výši 250 až 300 mil. eur</w:t>
      </w:r>
    </w:p>
    <w:p w14:paraId="3E7D9EC4" w14:textId="77777777" w:rsidR="00991017" w:rsidRPr="00E75AA6" w:rsidRDefault="00991017" w:rsidP="00991017">
      <w:pPr>
        <w:pStyle w:val="Odsekzoznamu"/>
        <w:numPr>
          <w:ilvl w:val="0"/>
          <w:numId w:val="6"/>
        </w:numPr>
        <w:spacing w:after="120"/>
        <w:jc w:val="left"/>
        <w:rPr>
          <w:lang w:val="cs-CZ"/>
        </w:rPr>
      </w:pPr>
      <w:r w:rsidRPr="00E75AA6">
        <w:rPr>
          <w:lang w:val="cs-CZ"/>
        </w:rPr>
        <w:t>Záporné peněžní toky z investic do budov, strojů a zařízení a do nemovitého majetku ve výši 650 až 750 mil. eur.</w:t>
      </w:r>
    </w:p>
    <w:p w14:paraId="744096DF" w14:textId="77777777" w:rsidR="00991017" w:rsidRPr="00E75AA6" w:rsidRDefault="00991017" w:rsidP="00991017">
      <w:pPr>
        <w:ind w:left="360"/>
        <w:rPr>
          <w:sz w:val="16"/>
          <w:szCs w:val="16"/>
          <w:lang w:val="cs-CZ"/>
        </w:rPr>
      </w:pPr>
    </w:p>
    <w:p w14:paraId="6CE8E8C3" w14:textId="77777777" w:rsidR="00991017" w:rsidRPr="00E75AA6" w:rsidRDefault="00991017" w:rsidP="00991017">
      <w:pPr>
        <w:rPr>
          <w:lang w:val="cs-CZ"/>
        </w:rPr>
      </w:pPr>
    </w:p>
    <w:p w14:paraId="3E367581" w14:textId="77777777" w:rsidR="00991017" w:rsidRPr="00E75AA6" w:rsidRDefault="00991017" w:rsidP="00991017">
      <w:pPr>
        <w:rPr>
          <w:b/>
          <w:bCs/>
          <w:lang w:val="cs-CZ"/>
        </w:rPr>
      </w:pPr>
    </w:p>
    <w:p w14:paraId="4A46A8A9" w14:textId="77777777" w:rsidR="00991017" w:rsidRPr="00E75AA6" w:rsidRDefault="00991017" w:rsidP="00991017">
      <w:pPr>
        <w:spacing w:after="120"/>
        <w:rPr>
          <w:b/>
          <w:bCs/>
          <w:lang w:val="cs-CZ"/>
        </w:rPr>
      </w:pPr>
      <w:r w:rsidRPr="00E75AA6">
        <w:rPr>
          <w:b/>
          <w:bCs/>
          <w:lang w:val="cs-CZ"/>
        </w:rPr>
        <w:t>Organický vývoj obratu v prvním čtvrtletí 2024</w:t>
      </w:r>
    </w:p>
    <w:p w14:paraId="13C12A39" w14:textId="77777777" w:rsidR="00991017" w:rsidRPr="00E75AA6" w:rsidRDefault="00991017" w:rsidP="00991017">
      <w:pPr>
        <w:rPr>
          <w:lang w:val="cs-CZ"/>
        </w:rPr>
      </w:pPr>
      <w:r w:rsidRPr="00E75AA6">
        <w:rPr>
          <w:lang w:val="cs-CZ"/>
        </w:rPr>
        <w:t xml:space="preserve">Na základě předběžných údajů společnost </w:t>
      </w:r>
      <w:proofErr w:type="spellStart"/>
      <w:r w:rsidRPr="00E75AA6">
        <w:rPr>
          <w:lang w:val="cs-CZ"/>
        </w:rPr>
        <w:t>Henkel</w:t>
      </w:r>
      <w:proofErr w:type="spellEnd"/>
      <w:r w:rsidRPr="00E75AA6">
        <w:rPr>
          <w:lang w:val="cs-CZ"/>
        </w:rPr>
        <w:t xml:space="preserve"> v prvním čtvrtletí 2024 dosáhla obratu na úrovni skupiny ve výši přibližně 5,3 miliardy eur, což představuje organický růst obratu na úrovni 3,0 %. Obrat obchodní divize </w:t>
      </w:r>
      <w:proofErr w:type="spellStart"/>
      <w:r w:rsidRPr="00E75AA6">
        <w:rPr>
          <w:lang w:val="cs-CZ"/>
        </w:rPr>
        <w:t>Adhesive</w:t>
      </w:r>
      <w:proofErr w:type="spellEnd"/>
      <w:r w:rsidRPr="00E75AA6">
        <w:rPr>
          <w:lang w:val="cs-CZ"/>
        </w:rPr>
        <w:t xml:space="preserve"> Technologies dosáhl přibližně 2,7 miliardy eur, což představuje organický růst obratu na úrovni 1,3 %. Obchodní divize </w:t>
      </w:r>
      <w:proofErr w:type="spellStart"/>
      <w:r w:rsidRPr="00E75AA6">
        <w:rPr>
          <w:lang w:val="cs-CZ"/>
        </w:rPr>
        <w:t>Consumer</w:t>
      </w:r>
      <w:proofErr w:type="spellEnd"/>
      <w:r w:rsidRPr="00E75AA6">
        <w:rPr>
          <w:lang w:val="cs-CZ"/>
        </w:rPr>
        <w:t xml:space="preserve"> </w:t>
      </w:r>
      <w:proofErr w:type="spellStart"/>
      <w:r w:rsidRPr="00E75AA6">
        <w:rPr>
          <w:lang w:val="cs-CZ"/>
        </w:rPr>
        <w:t>Brands</w:t>
      </w:r>
      <w:proofErr w:type="spellEnd"/>
      <w:r w:rsidRPr="00E75AA6">
        <w:rPr>
          <w:lang w:val="cs-CZ"/>
        </w:rPr>
        <w:t xml:space="preserve"> </w:t>
      </w:r>
      <w:r w:rsidRPr="00E75AA6">
        <w:rPr>
          <w:lang w:val="cs-CZ"/>
        </w:rPr>
        <w:lastRenderedPageBreak/>
        <w:t>zaznamenala obrat ve výši 2,6 miliardy eur při velmi silném organickém růstu obratu na úrovni 5,2 %.</w:t>
      </w:r>
    </w:p>
    <w:p w14:paraId="747D837A" w14:textId="77777777" w:rsidR="00991017" w:rsidRPr="00E75AA6" w:rsidRDefault="00991017" w:rsidP="00991017">
      <w:pPr>
        <w:rPr>
          <w:lang w:val="cs-CZ"/>
        </w:rPr>
      </w:pPr>
    </w:p>
    <w:p w14:paraId="0E29D70F" w14:textId="77777777" w:rsidR="00991017" w:rsidRPr="00E75AA6" w:rsidRDefault="00991017" w:rsidP="00991017">
      <w:pPr>
        <w:rPr>
          <w:lang w:val="cs-CZ"/>
        </w:rPr>
      </w:pPr>
      <w:r w:rsidRPr="00E75AA6">
        <w:rPr>
          <w:lang w:val="cs-CZ"/>
        </w:rPr>
        <w:t xml:space="preserve">Společnost </w:t>
      </w:r>
      <w:proofErr w:type="spellStart"/>
      <w:r w:rsidRPr="00E75AA6">
        <w:rPr>
          <w:lang w:val="cs-CZ"/>
        </w:rPr>
        <w:t>Henkel</w:t>
      </w:r>
      <w:proofErr w:type="spellEnd"/>
      <w:r w:rsidRPr="00E75AA6">
        <w:rPr>
          <w:lang w:val="cs-CZ"/>
        </w:rPr>
        <w:t xml:space="preserve"> zveřejní podrobnější údaje o vývoji obratu za prvý čtvrtletí 8. května.</w:t>
      </w:r>
    </w:p>
    <w:p w14:paraId="51AA24F1" w14:textId="33E1CF2B" w:rsidR="005742B4" w:rsidRDefault="005742B4">
      <w:pPr>
        <w:rPr>
          <w:lang w:val="pl-PL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55C95ABE" w:rsidR="005D6168" w:rsidRPr="00F1401B" w:rsidRDefault="005D6168" w:rsidP="002F7A23">
      <w:pPr>
        <w:rPr>
          <w:sz w:val="18"/>
          <w:szCs w:val="18"/>
          <w:lang w:val="cs-CZ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 w:rsidR="00A07BEE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 w:rsidR="00A07BEE">
        <w:rPr>
          <w:sz w:val="18"/>
          <w:szCs w:val="18"/>
          <w:lang w:val="cs-CZ" w:bidi="bo-CN"/>
        </w:rPr>
        <w:t>1,5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A07BEE">
        <w:rPr>
          <w:sz w:val="18"/>
          <w:szCs w:val="18"/>
          <w:lang w:val="cs-CZ" w:bidi="bo-CN"/>
        </w:rPr>
        <w:t>6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</w:t>
      </w:r>
      <w:r w:rsidR="00A07BEE">
        <w:rPr>
          <w:sz w:val="18"/>
          <w:szCs w:val="18"/>
          <w:lang w:val="cs-CZ" w:bidi="bo-CN"/>
        </w:rPr>
        <w:t>48</w:t>
      </w:r>
      <w:r w:rsidRPr="005D6168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F1401B">
        <w:rPr>
          <w:sz w:val="18"/>
          <w:szCs w:val="18"/>
          <w:lang w:val="cs-CZ" w:bidi="bo-CN"/>
        </w:rPr>
        <w:t xml:space="preserve"> </w:t>
      </w:r>
      <w:hyperlink r:id="rId10" w:history="1">
        <w:r w:rsidR="00A070EE" w:rsidRPr="00F1401B">
          <w:rPr>
            <w:rStyle w:val="Hypertextovprepojenie"/>
            <w:sz w:val="18"/>
            <w:szCs w:val="18"/>
            <w:lang w:val="cs-CZ" w:bidi="bo-CN"/>
          </w:rPr>
          <w:t>www.henkel.com</w:t>
        </w:r>
      </w:hyperlink>
      <w:r w:rsidR="00A070EE" w:rsidRPr="00F1401B">
        <w:rPr>
          <w:sz w:val="18"/>
          <w:szCs w:val="18"/>
          <w:lang w:val="cs-CZ" w:bidi="bo-CN"/>
        </w:rPr>
        <w:t>.</w:t>
      </w:r>
      <w:r w:rsidRPr="00F1401B">
        <w:rPr>
          <w:sz w:val="18"/>
          <w:szCs w:val="18"/>
          <w:lang w:val="cs-CZ" w:bidi="bo-CN"/>
        </w:rPr>
        <w:t xml:space="preserve"> </w:t>
      </w:r>
    </w:p>
    <w:p w14:paraId="4F4668BC" w14:textId="77777777" w:rsidR="005D6168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652581B5" w14:textId="77777777" w:rsidR="00EE7B0F" w:rsidRPr="00524F96" w:rsidRDefault="00EE7B0F" w:rsidP="00EE7B0F">
      <w:pPr>
        <w:pStyle w:val="He01Flietext"/>
        <w:spacing w:line="276" w:lineRule="auto"/>
        <w:rPr>
          <w:sz w:val="16"/>
          <w:szCs w:val="16"/>
          <w:lang w:val="cs-CZ"/>
        </w:rPr>
      </w:pPr>
      <w:r w:rsidRPr="00524F96">
        <w:rPr>
          <w:sz w:val="16"/>
          <w:szCs w:val="16"/>
          <w:lang w:val="cs-CZ"/>
        </w:rPr>
        <w:t xml:space="preserve">Tento dokument obsahuje stanoviska týkající se budoucího obchodního vývoje, finančních výsledků a dalších událostí nebo skutečností relevantních pro společnost </w:t>
      </w:r>
      <w:proofErr w:type="spellStart"/>
      <w:r w:rsidRPr="00524F96">
        <w:rPr>
          <w:sz w:val="16"/>
          <w:szCs w:val="16"/>
          <w:lang w:val="cs-CZ"/>
        </w:rPr>
        <w:t>Henkel</w:t>
      </w:r>
      <w:proofErr w:type="spellEnd"/>
      <w:r w:rsidRPr="00524F96">
        <w:rPr>
          <w:sz w:val="16"/>
          <w:szCs w:val="16"/>
          <w:lang w:val="cs-CZ"/>
        </w:rPr>
        <w:t xml:space="preserve"> z pohledu budoucího rozvoje. Stanoviska týkající se budoucího vývoje charakterizuje použití takových slovních zvratů jako „očekávat“, „zamýšlet“, „plánovat“, „předpokládat“, „domnívat se“, „odhadovat“ a podobných výrazů. Tento dokument obsahuje výhledová stanoviska opírající se o aktuální odhady a předpoklady vypracované managementem společnosti </w:t>
      </w:r>
      <w:proofErr w:type="spellStart"/>
      <w:r w:rsidRPr="00524F96">
        <w:rPr>
          <w:sz w:val="16"/>
          <w:szCs w:val="16"/>
          <w:lang w:val="cs-CZ"/>
        </w:rPr>
        <w:t>Henkel</w:t>
      </w:r>
      <w:proofErr w:type="spellEnd"/>
      <w:r w:rsidRPr="00524F96">
        <w:rPr>
          <w:sz w:val="16"/>
          <w:szCs w:val="16"/>
          <w:lang w:val="cs-CZ"/>
        </w:rPr>
        <w:t xml:space="preserve"> AG &amp; Co. </w:t>
      </w:r>
      <w:proofErr w:type="spellStart"/>
      <w:r w:rsidRPr="00524F96">
        <w:rPr>
          <w:sz w:val="16"/>
          <w:szCs w:val="16"/>
          <w:lang w:val="cs-CZ"/>
        </w:rPr>
        <w:t>KGaA</w:t>
      </w:r>
      <w:proofErr w:type="spellEnd"/>
      <w:r w:rsidRPr="00524F96">
        <w:rPr>
          <w:sz w:val="16"/>
          <w:szCs w:val="16"/>
          <w:lang w:val="cs-CZ"/>
        </w:rPr>
        <w:t xml:space="preserve">. Tato stanoviska nelze chápat jako zaručující jakýmkoli způsobem, že dané predikce jsou přesné. Budoucí výkonnost i reálně dosažené výsledky společnosti </w:t>
      </w:r>
      <w:proofErr w:type="spellStart"/>
      <w:r w:rsidRPr="00524F96">
        <w:rPr>
          <w:sz w:val="16"/>
          <w:szCs w:val="16"/>
          <w:lang w:val="cs-CZ"/>
        </w:rPr>
        <w:t>Henkel</w:t>
      </w:r>
      <w:proofErr w:type="spellEnd"/>
      <w:r w:rsidRPr="00524F96">
        <w:rPr>
          <w:sz w:val="16"/>
          <w:szCs w:val="16"/>
          <w:lang w:val="cs-CZ"/>
        </w:rPr>
        <w:t xml:space="preserve"> AG &amp; Co. </w:t>
      </w:r>
      <w:proofErr w:type="spellStart"/>
      <w:r w:rsidRPr="00524F96">
        <w:rPr>
          <w:sz w:val="16"/>
          <w:szCs w:val="16"/>
          <w:lang w:val="cs-CZ"/>
        </w:rPr>
        <w:t>KGaA</w:t>
      </w:r>
      <w:proofErr w:type="spellEnd"/>
      <w:r w:rsidRPr="00524F96">
        <w:rPr>
          <w:sz w:val="16"/>
          <w:szCs w:val="16"/>
          <w:lang w:val="cs-CZ"/>
        </w:rPr>
        <w:t xml:space="preserve"> a jejích sesterských společností závisí na celé řadě rizikových faktorů a nejistot, a proto se mohou podstatně odklánět od výhledových stanovisek. Na mnohé z nich společnost </w:t>
      </w:r>
      <w:proofErr w:type="spellStart"/>
      <w:r w:rsidRPr="00524F96">
        <w:rPr>
          <w:sz w:val="16"/>
          <w:szCs w:val="16"/>
          <w:lang w:val="cs-CZ"/>
        </w:rPr>
        <w:t>Henkel</w:t>
      </w:r>
      <w:proofErr w:type="spellEnd"/>
      <w:r w:rsidRPr="00524F96">
        <w:rPr>
          <w:sz w:val="16"/>
          <w:szCs w:val="16"/>
          <w:lang w:val="cs-CZ"/>
        </w:rPr>
        <w:t xml:space="preserve"> nemá přímý dosah a předem je nelze přesně odhadnout, jako například, jaké bude ekonomické prostředí v budoucnosti a jaké budou kroky konkurentů a jiných subjektů působících na trhu. Společnost </w:t>
      </w:r>
      <w:proofErr w:type="spellStart"/>
      <w:r w:rsidRPr="00524F96">
        <w:rPr>
          <w:sz w:val="16"/>
          <w:szCs w:val="16"/>
          <w:lang w:val="cs-CZ"/>
        </w:rPr>
        <w:t>Henkel</w:t>
      </w:r>
      <w:proofErr w:type="spellEnd"/>
      <w:r w:rsidRPr="00524F96">
        <w:rPr>
          <w:sz w:val="16"/>
          <w:szCs w:val="16"/>
          <w:lang w:val="cs-CZ"/>
        </w:rPr>
        <w:t xml:space="preserve"> nemá v úmyslu a ani nepřijme kroky k aktualizaci těchto stanovisek.</w:t>
      </w:r>
    </w:p>
    <w:p w14:paraId="6AEDE799" w14:textId="77777777" w:rsidR="00EE7B0F" w:rsidRPr="00524F96" w:rsidRDefault="00EE7B0F" w:rsidP="00EE7B0F">
      <w:pPr>
        <w:pStyle w:val="He01Flietext"/>
        <w:spacing w:line="276" w:lineRule="auto"/>
        <w:rPr>
          <w:sz w:val="16"/>
          <w:szCs w:val="16"/>
          <w:lang w:val="cs-CZ"/>
        </w:rPr>
      </w:pPr>
      <w:r w:rsidRPr="00524F96">
        <w:rPr>
          <w:sz w:val="16"/>
          <w:szCs w:val="16"/>
          <w:lang w:val="cs-CZ"/>
        </w:rPr>
        <w:t xml:space="preserve">Tento dokument obsahuje doplňkové finanční ukazatele, které nejsou jasně definovány v platném rámci účetního výkaznictví, které představují nebo mohou představovat alternativní ukazatele finanční výkonnosti. Tyto doplňující finanční ukazatele by neměly být vykládány zvlášť nebo jako alternativní ukazatele k ukazatelům čistých aktiv a finančních pozic společnosti </w:t>
      </w:r>
      <w:proofErr w:type="spellStart"/>
      <w:r w:rsidRPr="00524F96">
        <w:rPr>
          <w:sz w:val="16"/>
          <w:szCs w:val="16"/>
          <w:lang w:val="cs-CZ"/>
        </w:rPr>
        <w:t>Henkel</w:t>
      </w:r>
      <w:proofErr w:type="spellEnd"/>
      <w:r w:rsidRPr="00524F96">
        <w:rPr>
          <w:sz w:val="16"/>
          <w:szCs w:val="16"/>
          <w:lang w:val="cs-CZ"/>
        </w:rPr>
        <w:t xml:space="preserve"> nebo k výsledkům podnikání, které jsou v souladu s platným rámcem účetního výkaznictví prezentovány v konsolidované účetní závěrce společnosti. Jiné společnosti, které vykazují nebo uvádějí alternativní ukazatele výkonnosti s podobnými názvy, mohou počítat jejich hodnoty odlišně.</w:t>
      </w:r>
    </w:p>
    <w:p w14:paraId="5DAD871E" w14:textId="12D242D9" w:rsidR="00EE7B0F" w:rsidRPr="009D73DC" w:rsidRDefault="00EE7B0F" w:rsidP="009D73DC">
      <w:pPr>
        <w:pStyle w:val="He01Flietext"/>
        <w:spacing w:line="276" w:lineRule="auto"/>
        <w:rPr>
          <w:sz w:val="16"/>
          <w:szCs w:val="16"/>
          <w:lang w:val="cs-CZ"/>
        </w:rPr>
      </w:pPr>
      <w:r w:rsidRPr="00524F96">
        <w:rPr>
          <w:sz w:val="16"/>
          <w:szCs w:val="16"/>
          <w:lang w:val="cs-CZ"/>
        </w:rPr>
        <w:t xml:space="preserve">Tento dokument slouží výlučně k informačním účelům a nepředstavuje investiční radu ani nabídku k prodeji nebo koupi jakýchkoli cenných papírů. </w:t>
      </w: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AF0067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1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4556" w14:textId="77777777" w:rsidR="00FF2D8C" w:rsidRDefault="00FF2D8C">
      <w:pPr>
        <w:spacing w:line="240" w:lineRule="auto"/>
      </w:pPr>
      <w:r>
        <w:separator/>
      </w:r>
    </w:p>
  </w:endnote>
  <w:endnote w:type="continuationSeparator" w:id="0">
    <w:p w14:paraId="19793A2A" w14:textId="77777777" w:rsidR="00FF2D8C" w:rsidRDefault="00FF2D8C">
      <w:pPr>
        <w:spacing w:line="240" w:lineRule="auto"/>
      </w:pPr>
      <w:r>
        <w:continuationSeparator/>
      </w:r>
    </w:p>
  </w:endnote>
  <w:endnote w:type="continuationNotice" w:id="1">
    <w:p w14:paraId="558FC640" w14:textId="77777777" w:rsidR="00F1401B" w:rsidRDefault="00F140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03120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>
      <w:fldChar w:fldCharType="begin"/>
    </w:r>
    <w:r>
      <w:instrText xml:space="preserve"> NUMPAGES </w:instrText>
    </w:r>
    <w:r>
      <w:fldChar w:fldCharType="separate"/>
    </w:r>
    <w:r w:rsidR="000312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D00FF" w14:textId="77777777" w:rsidR="00FF2D8C" w:rsidRDefault="00FF2D8C">
      <w:pPr>
        <w:spacing w:line="240" w:lineRule="auto"/>
      </w:pPr>
      <w:r>
        <w:separator/>
      </w:r>
    </w:p>
  </w:footnote>
  <w:footnote w:type="continuationSeparator" w:id="0">
    <w:p w14:paraId="539C7821" w14:textId="77777777" w:rsidR="00FF2D8C" w:rsidRDefault="00FF2D8C">
      <w:pPr>
        <w:spacing w:line="240" w:lineRule="auto"/>
      </w:pPr>
      <w:r>
        <w:continuationSeparator/>
      </w:r>
    </w:p>
  </w:footnote>
  <w:footnote w:type="continuationNotice" w:id="1">
    <w:p w14:paraId="38F69224" w14:textId="77777777" w:rsidR="00F1401B" w:rsidRDefault="00F1401B">
      <w:pPr>
        <w:spacing w:line="240" w:lineRule="auto"/>
      </w:pPr>
    </w:p>
  </w:footnote>
  <w:footnote w:id="2">
    <w:p w14:paraId="762C181D" w14:textId="77777777" w:rsidR="00991017" w:rsidRDefault="00991017" w:rsidP="0099101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22"/>
          <w:szCs w:val="22"/>
        </w:rPr>
        <w:t>Ve </w:t>
      </w:r>
      <w:proofErr w:type="spellStart"/>
      <w:r>
        <w:rPr>
          <w:sz w:val="22"/>
          <w:szCs w:val="22"/>
        </w:rPr>
        <w:t>srovnání</w:t>
      </w:r>
      <w:proofErr w:type="spellEnd"/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průměrem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loňského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73DB"/>
    <w:multiLevelType w:val="hybridMultilevel"/>
    <w:tmpl w:val="C3B6BFD8"/>
    <w:numStyleLink w:val="Importovantl2"/>
  </w:abstractNum>
  <w:abstractNum w:abstractNumId="1" w15:restartNumberingAfterBreak="0">
    <w:nsid w:val="5C351CCD"/>
    <w:multiLevelType w:val="hybridMultilevel"/>
    <w:tmpl w:val="4B9062F6"/>
    <w:styleLink w:val="Importovantl1"/>
    <w:lvl w:ilvl="0" w:tplc="FFF4D50E">
      <w:start w:val="1"/>
      <w:numFmt w:val="bullet"/>
      <w:lvlText w:val="▪"/>
      <w:lvlJc w:val="left"/>
      <w:pPr>
        <w:ind w:left="72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1" w:tplc="379A953A">
      <w:start w:val="1"/>
      <w:numFmt w:val="bullet"/>
      <w:lvlText w:val="▪"/>
      <w:lvlJc w:val="left"/>
      <w:pPr>
        <w:ind w:left="180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723614BC">
      <w:start w:val="1"/>
      <w:numFmt w:val="bullet"/>
      <w:lvlText w:val="▪"/>
      <w:lvlJc w:val="left"/>
      <w:pPr>
        <w:ind w:left="252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D358822C">
      <w:start w:val="1"/>
      <w:numFmt w:val="bullet"/>
      <w:lvlText w:val="•"/>
      <w:lvlJc w:val="left"/>
      <w:pPr>
        <w:ind w:left="324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5ABEBC00">
      <w:start w:val="1"/>
      <w:numFmt w:val="bullet"/>
      <w:lvlText w:val="o"/>
      <w:lvlJc w:val="left"/>
      <w:pPr>
        <w:ind w:left="3960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D1BCA912">
      <w:start w:val="1"/>
      <w:numFmt w:val="bullet"/>
      <w:lvlText w:val="▪"/>
      <w:lvlJc w:val="left"/>
      <w:pPr>
        <w:ind w:left="468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891ED42E">
      <w:start w:val="1"/>
      <w:numFmt w:val="bullet"/>
      <w:lvlText w:val="•"/>
      <w:lvlJc w:val="left"/>
      <w:pPr>
        <w:ind w:left="540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9828D3C0">
      <w:start w:val="1"/>
      <w:numFmt w:val="bullet"/>
      <w:lvlText w:val="o"/>
      <w:lvlJc w:val="left"/>
      <w:pPr>
        <w:ind w:left="6120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E6A841B6">
      <w:start w:val="1"/>
      <w:numFmt w:val="bullet"/>
      <w:lvlText w:val="▪"/>
      <w:lvlJc w:val="left"/>
      <w:pPr>
        <w:ind w:left="684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861B6B"/>
    <w:multiLevelType w:val="hybridMultilevel"/>
    <w:tmpl w:val="0AB06EF2"/>
    <w:styleLink w:val="Importovantl3"/>
    <w:lvl w:ilvl="0" w:tplc="D654F55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1" w:tplc="6D000B2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DED416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F994387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278A1DE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91CCC1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69763E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897AA56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CFB26C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F42F7F"/>
    <w:multiLevelType w:val="hybridMultilevel"/>
    <w:tmpl w:val="4B9062F6"/>
    <w:numStyleLink w:val="Importovantl1"/>
  </w:abstractNum>
  <w:abstractNum w:abstractNumId="4" w15:restartNumberingAfterBreak="0">
    <w:nsid w:val="7D1D0E0E"/>
    <w:multiLevelType w:val="hybridMultilevel"/>
    <w:tmpl w:val="C3B6BFD8"/>
    <w:styleLink w:val="Importovantl2"/>
    <w:lvl w:ilvl="0" w:tplc="3E965564">
      <w:start w:val="1"/>
      <w:numFmt w:val="bullet"/>
      <w:lvlText w:val="▪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1" w:tplc="300463B4">
      <w:start w:val="1"/>
      <w:numFmt w:val="bullet"/>
      <w:lvlText w:val="o"/>
      <w:lvlJc w:val="left"/>
      <w:pPr>
        <w:ind w:left="214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6A361F0E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9DC03E06">
      <w:start w:val="1"/>
      <w:numFmt w:val="bullet"/>
      <w:lvlText w:val="•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E3C453BA">
      <w:start w:val="1"/>
      <w:numFmt w:val="bullet"/>
      <w:lvlText w:val="o"/>
      <w:lvlJc w:val="left"/>
      <w:pPr>
        <w:ind w:left="430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6038D1D2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DE04F888">
      <w:start w:val="1"/>
      <w:numFmt w:val="bullet"/>
      <w:lvlText w:val="•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2C6ECA26">
      <w:start w:val="1"/>
      <w:numFmt w:val="bullet"/>
      <w:lvlText w:val="o"/>
      <w:lvlJc w:val="left"/>
      <w:pPr>
        <w:ind w:left="646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AEE041A0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765CA3"/>
    <w:multiLevelType w:val="hybridMultilevel"/>
    <w:tmpl w:val="0AB06EF2"/>
    <w:numStyleLink w:val="Importovantl3"/>
  </w:abstractNum>
  <w:num w:numId="1" w16cid:durableId="286397447">
    <w:abstractNumId w:val="1"/>
  </w:num>
  <w:num w:numId="2" w16cid:durableId="671763156">
    <w:abstractNumId w:val="3"/>
  </w:num>
  <w:num w:numId="3" w16cid:durableId="919290189">
    <w:abstractNumId w:val="4"/>
  </w:num>
  <w:num w:numId="4" w16cid:durableId="164902739">
    <w:abstractNumId w:val="0"/>
  </w:num>
  <w:num w:numId="5" w16cid:durableId="1273973595">
    <w:abstractNumId w:val="2"/>
  </w:num>
  <w:num w:numId="6" w16cid:durableId="77490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101F7"/>
    <w:rsid w:val="00031201"/>
    <w:rsid w:val="001210EA"/>
    <w:rsid w:val="001D6090"/>
    <w:rsid w:val="00251645"/>
    <w:rsid w:val="002570B7"/>
    <w:rsid w:val="00284F28"/>
    <w:rsid w:val="002D2EB4"/>
    <w:rsid w:val="002F7A23"/>
    <w:rsid w:val="00397BFA"/>
    <w:rsid w:val="003B16A3"/>
    <w:rsid w:val="00475F5B"/>
    <w:rsid w:val="004D3C26"/>
    <w:rsid w:val="004D74B9"/>
    <w:rsid w:val="00562E09"/>
    <w:rsid w:val="005742B4"/>
    <w:rsid w:val="005B6D31"/>
    <w:rsid w:val="005D6168"/>
    <w:rsid w:val="006628C7"/>
    <w:rsid w:val="0069283E"/>
    <w:rsid w:val="006A71FF"/>
    <w:rsid w:val="006B2F83"/>
    <w:rsid w:val="00751DC7"/>
    <w:rsid w:val="00752E89"/>
    <w:rsid w:val="007B51A1"/>
    <w:rsid w:val="007D354B"/>
    <w:rsid w:val="008E58B1"/>
    <w:rsid w:val="009003EB"/>
    <w:rsid w:val="00991017"/>
    <w:rsid w:val="0099764C"/>
    <w:rsid w:val="009A3DB0"/>
    <w:rsid w:val="009D73DC"/>
    <w:rsid w:val="00A070EE"/>
    <w:rsid w:val="00A07BEE"/>
    <w:rsid w:val="00A110E3"/>
    <w:rsid w:val="00AF0067"/>
    <w:rsid w:val="00BB5AB9"/>
    <w:rsid w:val="00C930A3"/>
    <w:rsid w:val="00DB5568"/>
    <w:rsid w:val="00E75AA6"/>
    <w:rsid w:val="00E832BF"/>
    <w:rsid w:val="00EE7B0F"/>
    <w:rsid w:val="00F1401B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He01FlietextAufzhlung1Ebene">
    <w:name w:val="_He_01_Fließtext Aufzählung 1. Ebene"/>
    <w:next w:val="Normlny"/>
    <w:rsid w:val="00991017"/>
    <w:pPr>
      <w:spacing w:after="113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de-DE"/>
    </w:rPr>
  </w:style>
  <w:style w:type="numbering" w:customStyle="1" w:styleId="Importovantl1">
    <w:name w:val="Importovaný štýl 1"/>
    <w:rsid w:val="00991017"/>
    <w:pPr>
      <w:numPr>
        <w:numId w:val="1"/>
      </w:numPr>
    </w:pPr>
  </w:style>
  <w:style w:type="paragraph" w:styleId="Odsekzoznamu">
    <w:name w:val="List Paragraph"/>
    <w:rsid w:val="00991017"/>
    <w:pPr>
      <w:spacing w:line="276" w:lineRule="auto"/>
      <w:ind w:left="720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numbering" w:customStyle="1" w:styleId="Importovantl2">
    <w:name w:val="Importovaný štýl 2"/>
    <w:rsid w:val="00991017"/>
    <w:pPr>
      <w:numPr>
        <w:numId w:val="3"/>
      </w:numPr>
    </w:pPr>
  </w:style>
  <w:style w:type="numbering" w:customStyle="1" w:styleId="Importovantl3">
    <w:name w:val="Importovaný štýl 3"/>
    <w:rsid w:val="00991017"/>
    <w:pPr>
      <w:numPr>
        <w:numId w:val="5"/>
      </w:numPr>
    </w:pPr>
  </w:style>
  <w:style w:type="character" w:styleId="Odkaznapoznmkupodiarou">
    <w:name w:val="footnote reference"/>
    <w:rsid w:val="00991017"/>
    <w:rPr>
      <w:vertAlign w:val="superscript"/>
    </w:rPr>
  </w:style>
  <w:style w:type="paragraph" w:styleId="Textpoznmkypodiarou">
    <w:name w:val="footnote text"/>
    <w:link w:val="TextpoznmkypodiarouChar"/>
    <w:rsid w:val="00991017"/>
    <w:pPr>
      <w:jc w:val="both"/>
    </w:pPr>
    <w:rPr>
      <w:rFonts w:ascii="Segoe UI" w:eastAsia="Segoe UI" w:hAnsi="Segoe UI" w:cs="Segoe UI"/>
      <w:color w:val="000000"/>
      <w:u w:color="00000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991017"/>
    <w:rPr>
      <w:rFonts w:ascii="Segoe UI" w:eastAsia="Segoe UI" w:hAnsi="Segoe UI" w:cs="Segoe UI"/>
      <w:color w:val="000000"/>
      <w:u w:color="000000"/>
      <w:lang w:val="en-US"/>
    </w:rPr>
  </w:style>
  <w:style w:type="paragraph" w:customStyle="1" w:styleId="He01Flietext">
    <w:name w:val="_He_01_Fließtext"/>
    <w:rsid w:val="006A71FF"/>
    <w:pPr>
      <w:spacing w:after="113"/>
    </w:pPr>
    <w:rPr>
      <w:rFonts w:ascii="Segoe UI" w:eastAsia="Segoe UI" w:hAnsi="Segoe UI" w:cs="Segoe U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40</cp:revision>
  <dcterms:created xsi:type="dcterms:W3CDTF">2023-01-10T10:51:00Z</dcterms:created>
  <dcterms:modified xsi:type="dcterms:W3CDTF">2024-05-13T03:47:00Z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