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BF36" w14:textId="77777777" w:rsidR="00B422EC" w:rsidRPr="00803B8A" w:rsidRDefault="005268DA" w:rsidP="00803B8A">
      <w:pPr>
        <w:pStyle w:val="MonthDayYear"/>
        <w:tabs>
          <w:tab w:val="left" w:pos="6570"/>
        </w:tabs>
        <w:rPr>
          <w:lang w:val="uk-UA"/>
        </w:rPr>
      </w:pPr>
      <w:r w:rsidRPr="00803B8A">
        <w:rPr>
          <w:lang w:val="uk-UA"/>
        </w:rPr>
        <w:t>17</w:t>
      </w:r>
      <w:r w:rsidR="00CB4718" w:rsidRPr="00803B8A">
        <w:rPr>
          <w:lang w:val="uk-UA"/>
        </w:rPr>
        <w:t xml:space="preserve"> липня</w:t>
      </w:r>
      <w:r w:rsidR="008B548B" w:rsidRPr="00803B8A">
        <w:rPr>
          <w:lang w:val="uk-UA"/>
        </w:rPr>
        <w:t xml:space="preserve"> </w:t>
      </w:r>
      <w:r w:rsidR="00BF6E82" w:rsidRPr="00803B8A">
        <w:rPr>
          <w:lang w:val="uk-UA"/>
        </w:rPr>
        <w:t>20</w:t>
      </w:r>
      <w:r w:rsidR="00F635FC" w:rsidRPr="00803B8A">
        <w:rPr>
          <w:lang w:val="uk-UA"/>
        </w:rPr>
        <w:t>2</w:t>
      </w:r>
      <w:r w:rsidR="00427BEA" w:rsidRPr="00803B8A">
        <w:rPr>
          <w:lang w:val="uk-UA"/>
        </w:rPr>
        <w:t>4</w:t>
      </w:r>
      <w:r w:rsidR="00CB4718" w:rsidRPr="00803B8A">
        <w:rPr>
          <w:lang w:val="uk-UA"/>
        </w:rPr>
        <w:t xml:space="preserve"> року</w:t>
      </w:r>
    </w:p>
    <w:p w14:paraId="66EE4ADD" w14:textId="77777777" w:rsidR="00821B58" w:rsidRPr="00803B8A" w:rsidRDefault="00821B58" w:rsidP="00C80467">
      <w:pPr>
        <w:pStyle w:val="Topline"/>
        <w:spacing w:after="360"/>
        <w:rPr>
          <w:rFonts w:asciiTheme="majorHAnsi" w:hAnsiTheme="majorHAnsi" w:cstheme="majorHAnsi"/>
          <w:lang w:val="uk-UA"/>
        </w:rPr>
      </w:pPr>
      <w:r w:rsidRPr="00803B8A">
        <w:rPr>
          <w:rFonts w:asciiTheme="majorHAnsi" w:hAnsiTheme="majorHAnsi" w:cstheme="majorHAnsi"/>
          <w:lang w:val="uk-UA"/>
        </w:rPr>
        <w:t xml:space="preserve">Компанія </w:t>
      </w:r>
      <w:r w:rsidR="00DC3143" w:rsidRPr="00803B8A">
        <w:rPr>
          <w:rFonts w:asciiTheme="majorHAnsi" w:hAnsiTheme="majorHAnsi" w:cstheme="majorHAnsi"/>
          <w:lang w:val="uk-UA"/>
        </w:rPr>
        <w:t>Henkel</w:t>
      </w:r>
      <w:r w:rsidRPr="00803B8A">
        <w:rPr>
          <w:rFonts w:asciiTheme="majorHAnsi" w:hAnsiTheme="majorHAnsi" w:cstheme="majorHAnsi"/>
          <w:lang w:val="uk-UA"/>
        </w:rPr>
        <w:t xml:space="preserve"> публікує попередні дані за перше півріччя 2024 року</w:t>
      </w:r>
    </w:p>
    <w:p w14:paraId="5EBAEEBA" w14:textId="77777777" w:rsidR="00821B58" w:rsidRPr="00803B8A" w:rsidRDefault="00821B58" w:rsidP="00803B8A">
      <w:pPr>
        <w:jc w:val="left"/>
        <w:rPr>
          <w:rStyle w:val="Headline"/>
          <w:rFonts w:asciiTheme="majorHAnsi" w:hAnsiTheme="majorHAnsi" w:cstheme="majorHAnsi"/>
          <w:lang w:val="uk-UA"/>
        </w:rPr>
      </w:pPr>
      <w:r w:rsidRPr="00803B8A">
        <w:rPr>
          <w:rStyle w:val="Headline"/>
          <w:rFonts w:asciiTheme="majorHAnsi" w:hAnsiTheme="majorHAnsi" w:cstheme="majorHAnsi"/>
          <w:lang w:val="uk-UA"/>
        </w:rPr>
        <w:t xml:space="preserve">Після </w:t>
      </w:r>
      <w:r w:rsidR="00127415" w:rsidRPr="00803B8A">
        <w:rPr>
          <w:rStyle w:val="Headline"/>
          <w:rFonts w:asciiTheme="majorHAnsi" w:hAnsiTheme="majorHAnsi" w:cstheme="majorHAnsi"/>
          <w:lang w:val="uk-UA"/>
        </w:rPr>
        <w:t xml:space="preserve">високих </w:t>
      </w:r>
      <w:r w:rsidRPr="00803B8A">
        <w:rPr>
          <w:rStyle w:val="Headline"/>
          <w:rFonts w:asciiTheme="majorHAnsi" w:hAnsiTheme="majorHAnsi" w:cstheme="majorHAnsi"/>
          <w:lang w:val="uk-UA"/>
        </w:rPr>
        <w:t xml:space="preserve">бізнес-показників у першому півріччі 2024 року компанія </w:t>
      </w:r>
      <w:r w:rsidR="00127415" w:rsidRPr="00803B8A">
        <w:rPr>
          <w:rStyle w:val="Headline"/>
          <w:lang w:val="uk-UA"/>
        </w:rPr>
        <w:t>Henkel</w:t>
      </w:r>
      <w:r w:rsidRPr="00803B8A">
        <w:rPr>
          <w:rStyle w:val="Headline"/>
          <w:rFonts w:asciiTheme="majorHAnsi" w:hAnsiTheme="majorHAnsi" w:cstheme="majorHAnsi"/>
          <w:lang w:val="uk-UA"/>
        </w:rPr>
        <w:t xml:space="preserve"> підвищує прогноз щодо прибутку на фінансовий рік</w:t>
      </w:r>
    </w:p>
    <w:p w14:paraId="44654BBB" w14:textId="77777777" w:rsidR="00821B58" w:rsidRPr="00803B8A" w:rsidRDefault="00821B58" w:rsidP="00821B58">
      <w:pPr>
        <w:jc w:val="left"/>
        <w:rPr>
          <w:rStyle w:val="Headline"/>
          <w:rFonts w:asciiTheme="majorHAnsi" w:hAnsiTheme="majorHAnsi" w:cstheme="majorHAnsi"/>
          <w:lang w:val="uk-UA"/>
        </w:rPr>
      </w:pPr>
    </w:p>
    <w:p w14:paraId="7D172FEE" w14:textId="0F958A4C" w:rsidR="00821B58" w:rsidRPr="00803B8A" w:rsidRDefault="00821B58" w:rsidP="00821B58">
      <w:pPr>
        <w:rPr>
          <w:rFonts w:cs="Segoe UI"/>
          <w:szCs w:val="22"/>
          <w:lang w:val="uk-UA"/>
        </w:rPr>
      </w:pPr>
      <w:r w:rsidRPr="00803B8A">
        <w:rPr>
          <w:rFonts w:cs="Segoe UI"/>
          <w:szCs w:val="22"/>
          <w:lang w:val="uk-UA"/>
        </w:rPr>
        <w:t xml:space="preserve">Дюссельдорф </w:t>
      </w:r>
      <w:r w:rsidR="00B231D1" w:rsidRPr="00803B8A">
        <w:rPr>
          <w:rFonts w:cs="Segoe UI"/>
          <w:szCs w:val="22"/>
          <w:lang w:val="uk-UA"/>
        </w:rPr>
        <w:t>–</w:t>
      </w:r>
      <w:r w:rsidRPr="00803B8A">
        <w:rPr>
          <w:rFonts w:cs="Segoe UI"/>
          <w:szCs w:val="22"/>
          <w:lang w:val="uk-UA"/>
        </w:rPr>
        <w:t xml:space="preserve"> Компанія </w:t>
      </w:r>
      <w:r w:rsidR="00F3268B" w:rsidRPr="00803B8A">
        <w:rPr>
          <w:rFonts w:asciiTheme="majorHAnsi" w:hAnsiTheme="majorHAnsi" w:cstheme="majorHAnsi"/>
          <w:lang w:val="uk-UA"/>
        </w:rPr>
        <w:t>Henkel</w:t>
      </w:r>
      <w:r w:rsidRPr="00803B8A">
        <w:rPr>
          <w:rFonts w:cs="Segoe UI"/>
          <w:szCs w:val="22"/>
          <w:lang w:val="uk-UA"/>
        </w:rPr>
        <w:t xml:space="preserve"> сьогодні опублікувала попередні дані за перше півріччя 2024 року. </w:t>
      </w:r>
      <w:r w:rsidRPr="00803B8A">
        <w:rPr>
          <w:rFonts w:cs="Segoe UI"/>
          <w:b/>
          <w:bCs/>
          <w:szCs w:val="22"/>
          <w:lang w:val="uk-UA"/>
        </w:rPr>
        <w:t>Обсяг</w:t>
      </w:r>
      <w:r w:rsidRPr="00803B8A">
        <w:rPr>
          <w:rFonts w:cs="Segoe UI"/>
          <w:szCs w:val="22"/>
          <w:lang w:val="uk-UA"/>
        </w:rPr>
        <w:t xml:space="preserve"> </w:t>
      </w:r>
      <w:r w:rsidRPr="00803B8A">
        <w:rPr>
          <w:rFonts w:cs="Segoe UI"/>
          <w:b/>
          <w:bCs/>
          <w:szCs w:val="22"/>
          <w:lang w:val="uk-UA"/>
        </w:rPr>
        <w:t>продажів</w:t>
      </w:r>
      <w:r w:rsidRPr="00803B8A">
        <w:rPr>
          <w:rFonts w:cs="Segoe UI"/>
          <w:szCs w:val="22"/>
          <w:lang w:val="uk-UA"/>
        </w:rPr>
        <w:t xml:space="preserve"> </w:t>
      </w:r>
      <w:r w:rsidR="00A1784C">
        <w:rPr>
          <w:rFonts w:cs="Segoe UI"/>
          <w:szCs w:val="22"/>
          <w:lang w:val="uk-UA"/>
        </w:rPr>
        <w:t xml:space="preserve">становить </w:t>
      </w:r>
      <w:r w:rsidRPr="00803B8A">
        <w:rPr>
          <w:rFonts w:cs="Segoe UI"/>
          <w:szCs w:val="22"/>
          <w:lang w:val="uk-UA"/>
        </w:rPr>
        <w:t xml:space="preserve">10 813 </w:t>
      </w:r>
      <w:r w:rsidR="00F3268B" w:rsidRPr="00803B8A">
        <w:rPr>
          <w:rFonts w:cs="Segoe UI"/>
          <w:szCs w:val="22"/>
          <w:lang w:val="uk-UA"/>
        </w:rPr>
        <w:t>млн</w:t>
      </w:r>
      <w:r w:rsidRPr="00803B8A">
        <w:rPr>
          <w:rFonts w:cs="Segoe UI"/>
          <w:szCs w:val="22"/>
          <w:lang w:val="uk-UA"/>
        </w:rPr>
        <w:t xml:space="preserve"> євро. Це відповідає хорошому </w:t>
      </w:r>
      <w:r w:rsidRPr="00803B8A">
        <w:rPr>
          <w:rFonts w:cs="Segoe UI"/>
          <w:b/>
          <w:bCs/>
          <w:szCs w:val="22"/>
          <w:lang w:val="uk-UA"/>
        </w:rPr>
        <w:t>органічному зростанню продажів</w:t>
      </w:r>
      <w:r w:rsidRPr="00803B8A">
        <w:rPr>
          <w:rFonts w:cs="Segoe UI"/>
          <w:szCs w:val="22"/>
          <w:lang w:val="uk-UA"/>
        </w:rPr>
        <w:t xml:space="preserve"> на 2,9 відсотка. Зокрема, скоригована рентабельність продажів </w:t>
      </w:r>
      <w:r w:rsidR="00AB6760">
        <w:rPr>
          <w:rFonts w:cs="Segoe UI"/>
          <w:szCs w:val="22"/>
          <w:lang w:val="uk-UA"/>
        </w:rPr>
        <w:t xml:space="preserve">і </w:t>
      </w:r>
      <w:r w:rsidRPr="00803B8A">
        <w:rPr>
          <w:rFonts w:cs="Segoe UI"/>
          <w:szCs w:val="22"/>
          <w:lang w:val="uk-UA"/>
        </w:rPr>
        <w:t>скоригований прибуток на акцію перевищили очікування ринку</w:t>
      </w:r>
      <w:r w:rsidR="006770F7">
        <w:rPr>
          <w:rFonts w:cs="Segoe UI"/>
          <w:szCs w:val="22"/>
          <w:lang w:val="uk-UA"/>
        </w:rPr>
        <w:t>.</w:t>
      </w:r>
      <w:r w:rsidRPr="00803B8A">
        <w:rPr>
          <w:rFonts w:cs="Segoe UI"/>
          <w:szCs w:val="22"/>
          <w:lang w:val="uk-UA"/>
        </w:rPr>
        <w:t xml:space="preserve"> </w:t>
      </w:r>
      <w:r w:rsidRPr="00803B8A">
        <w:rPr>
          <w:rFonts w:cs="Segoe UI"/>
          <w:b/>
          <w:bCs/>
          <w:szCs w:val="22"/>
          <w:lang w:val="uk-UA"/>
        </w:rPr>
        <w:t>Скоригована рентабельність продажів</w:t>
      </w:r>
      <w:r w:rsidRPr="00803B8A">
        <w:rPr>
          <w:rFonts w:cs="Segoe UI"/>
          <w:szCs w:val="22"/>
          <w:lang w:val="uk-UA"/>
        </w:rPr>
        <w:t xml:space="preserve"> (скоригована маржа EBIT) зросла до 14,9% (у попередньому році: 11,5%). </w:t>
      </w:r>
      <w:r w:rsidRPr="00803B8A">
        <w:rPr>
          <w:rFonts w:cs="Segoe UI"/>
          <w:b/>
          <w:bCs/>
          <w:szCs w:val="22"/>
          <w:lang w:val="uk-UA"/>
        </w:rPr>
        <w:t>Скоригований прибуток на одну привілейовану акцію</w:t>
      </w:r>
      <w:r w:rsidRPr="00803B8A">
        <w:rPr>
          <w:rFonts w:cs="Segoe UI"/>
          <w:szCs w:val="22"/>
          <w:lang w:val="uk-UA"/>
        </w:rPr>
        <w:t xml:space="preserve"> </w:t>
      </w:r>
      <w:r w:rsidR="00AB6760">
        <w:rPr>
          <w:rFonts w:cs="Segoe UI"/>
          <w:szCs w:val="22"/>
          <w:lang w:val="uk-UA"/>
        </w:rPr>
        <w:t xml:space="preserve">становив </w:t>
      </w:r>
      <w:r w:rsidRPr="00803B8A">
        <w:rPr>
          <w:rFonts w:cs="Segoe UI"/>
          <w:szCs w:val="22"/>
          <w:lang w:val="uk-UA"/>
        </w:rPr>
        <w:t>2,78 євро в першому півріччі 2024 року. При постійних обмінних курсах це означає зростання на 32,9</w:t>
      </w:r>
      <w:r w:rsidR="00803B8A">
        <w:rPr>
          <w:rFonts w:cs="Segoe UI"/>
          <w:szCs w:val="22"/>
          <w:lang w:val="uk-UA"/>
        </w:rPr>
        <w:t> </w:t>
      </w:r>
      <w:r w:rsidRPr="00803B8A">
        <w:rPr>
          <w:rFonts w:cs="Segoe UI"/>
          <w:szCs w:val="22"/>
          <w:lang w:val="uk-UA"/>
        </w:rPr>
        <w:t xml:space="preserve">відсотка </w:t>
      </w:r>
      <w:r w:rsidR="00205751" w:rsidRPr="00803B8A">
        <w:rPr>
          <w:rFonts w:cs="Segoe UI"/>
          <w:szCs w:val="22"/>
          <w:lang w:val="uk-UA"/>
        </w:rPr>
        <w:t>порівняно</w:t>
      </w:r>
      <w:r w:rsidRPr="00803B8A">
        <w:rPr>
          <w:rFonts w:cs="Segoe UI"/>
          <w:szCs w:val="22"/>
          <w:lang w:val="uk-UA"/>
        </w:rPr>
        <w:t xml:space="preserve"> з аналогічним періодом попереднього року. Завдяки дуже високим темпам розвитку на сьогодні</w:t>
      </w:r>
      <w:r w:rsidR="00AB6760">
        <w:rPr>
          <w:rFonts w:cs="Segoe UI"/>
          <w:szCs w:val="22"/>
          <w:lang w:val="uk-UA"/>
        </w:rPr>
        <w:t xml:space="preserve">  та </w:t>
      </w:r>
      <w:r w:rsidRPr="00803B8A">
        <w:rPr>
          <w:rFonts w:cs="Segoe UI"/>
          <w:szCs w:val="22"/>
          <w:lang w:val="uk-UA"/>
        </w:rPr>
        <w:t xml:space="preserve">з урахуванням очікуваного розвитку бізнесу до кінця року компанія </w:t>
      </w:r>
      <w:r w:rsidR="00F3268B" w:rsidRPr="00803B8A">
        <w:rPr>
          <w:rFonts w:cs="Arial"/>
          <w:szCs w:val="22"/>
          <w:lang w:val="uk-UA"/>
        </w:rPr>
        <w:t>Henkel</w:t>
      </w:r>
      <w:r w:rsidRPr="00803B8A">
        <w:rPr>
          <w:rFonts w:cs="Segoe UI"/>
          <w:szCs w:val="22"/>
          <w:lang w:val="uk-UA"/>
        </w:rPr>
        <w:t xml:space="preserve"> підвищила свій прогноз щодо </w:t>
      </w:r>
      <w:r w:rsidR="00F3268B" w:rsidRPr="00803B8A">
        <w:rPr>
          <w:rFonts w:cs="Segoe UI"/>
          <w:szCs w:val="22"/>
          <w:lang w:val="uk-UA"/>
        </w:rPr>
        <w:t>збільшення</w:t>
      </w:r>
      <w:r w:rsidRPr="00803B8A">
        <w:rPr>
          <w:rFonts w:cs="Segoe UI"/>
          <w:szCs w:val="22"/>
          <w:lang w:val="uk-UA"/>
        </w:rPr>
        <w:t xml:space="preserve"> прибутку в 2024 році. Це пов’язано головним чином </w:t>
      </w:r>
      <w:r w:rsidR="00AB6760">
        <w:rPr>
          <w:rFonts w:cs="Segoe UI"/>
          <w:szCs w:val="22"/>
          <w:lang w:val="uk-UA"/>
        </w:rPr>
        <w:t>і</w:t>
      </w:r>
      <w:r w:rsidRPr="00803B8A">
        <w:rPr>
          <w:rFonts w:cs="Segoe UI"/>
          <w:szCs w:val="22"/>
          <w:lang w:val="uk-UA"/>
        </w:rPr>
        <w:t xml:space="preserve">з більш високими очікуваннями щодо прибутку в бізнес-підрозділі «Споживчі </w:t>
      </w:r>
      <w:r w:rsidR="00F3268B" w:rsidRPr="00803B8A">
        <w:rPr>
          <w:rFonts w:cs="Segoe UI"/>
          <w:szCs w:val="22"/>
          <w:lang w:val="uk-UA"/>
        </w:rPr>
        <w:t>бренди</w:t>
      </w:r>
      <w:r w:rsidRPr="00803B8A">
        <w:rPr>
          <w:rFonts w:cs="Segoe UI"/>
          <w:szCs w:val="22"/>
          <w:lang w:val="uk-UA"/>
        </w:rPr>
        <w:t>»</w:t>
      </w:r>
      <w:r w:rsidR="00F3268B" w:rsidRPr="00803B8A">
        <w:rPr>
          <w:rFonts w:cs="Segoe UI"/>
          <w:szCs w:val="22"/>
          <w:lang w:val="uk-UA"/>
        </w:rPr>
        <w:t xml:space="preserve"> (</w:t>
      </w:r>
      <w:proofErr w:type="spellStart"/>
      <w:r w:rsidR="00F3268B" w:rsidRPr="00803B8A">
        <w:rPr>
          <w:rFonts w:cs="Arial"/>
          <w:szCs w:val="22"/>
          <w:lang w:val="uk-UA"/>
        </w:rPr>
        <w:t>Consumer</w:t>
      </w:r>
      <w:proofErr w:type="spellEnd"/>
      <w:r w:rsidR="00F3268B" w:rsidRPr="00803B8A">
        <w:rPr>
          <w:rFonts w:cs="Arial"/>
          <w:szCs w:val="22"/>
          <w:lang w:val="uk-UA"/>
        </w:rPr>
        <w:t xml:space="preserve"> </w:t>
      </w:r>
      <w:proofErr w:type="spellStart"/>
      <w:r w:rsidR="00F3268B" w:rsidRPr="00803B8A">
        <w:rPr>
          <w:rFonts w:cs="Arial"/>
          <w:szCs w:val="22"/>
          <w:lang w:val="uk-UA"/>
        </w:rPr>
        <w:t>Brands</w:t>
      </w:r>
      <w:proofErr w:type="spellEnd"/>
      <w:r w:rsidR="00F3268B" w:rsidRPr="00803B8A">
        <w:rPr>
          <w:rFonts w:cs="Segoe UI"/>
          <w:szCs w:val="22"/>
          <w:lang w:val="uk-UA"/>
        </w:rPr>
        <w:t>)</w:t>
      </w:r>
      <w:r w:rsidRPr="00803B8A">
        <w:rPr>
          <w:rFonts w:cs="Segoe UI"/>
          <w:szCs w:val="22"/>
          <w:lang w:val="uk-UA"/>
        </w:rPr>
        <w:t xml:space="preserve"> при одночасному збільшенні інвестицій у маркетинг для підтримки інновацій. Прогноз все ще враховує очікування підвищення цін на прямі матеріали </w:t>
      </w:r>
      <w:r w:rsidR="006770F7">
        <w:rPr>
          <w:rFonts w:cs="Segoe UI"/>
          <w:szCs w:val="22"/>
          <w:lang w:val="uk-UA"/>
        </w:rPr>
        <w:t xml:space="preserve">в </w:t>
      </w:r>
      <w:r w:rsidRPr="00803B8A">
        <w:rPr>
          <w:rFonts w:cs="Segoe UI"/>
          <w:szCs w:val="22"/>
          <w:lang w:val="uk-UA"/>
        </w:rPr>
        <w:t xml:space="preserve">другому півріччі. Наразі компанія </w:t>
      </w:r>
      <w:r w:rsidR="00F3268B" w:rsidRPr="00803B8A">
        <w:rPr>
          <w:rFonts w:cs="Arial"/>
          <w:szCs w:val="22"/>
          <w:lang w:val="uk-UA"/>
        </w:rPr>
        <w:t>Henkel</w:t>
      </w:r>
      <w:r w:rsidRPr="00803B8A">
        <w:rPr>
          <w:rFonts w:cs="Segoe UI"/>
          <w:szCs w:val="22"/>
          <w:lang w:val="uk-UA"/>
        </w:rPr>
        <w:t xml:space="preserve"> очікує</w:t>
      </w:r>
      <w:r w:rsidR="006770F7">
        <w:rPr>
          <w:rFonts w:cs="Segoe UI"/>
          <w:szCs w:val="22"/>
          <w:lang w:val="uk-UA"/>
        </w:rPr>
        <w:t xml:space="preserve"> на</w:t>
      </w:r>
      <w:r w:rsidRPr="00803B8A">
        <w:rPr>
          <w:rFonts w:cs="Segoe UI"/>
          <w:szCs w:val="22"/>
          <w:lang w:val="uk-UA"/>
        </w:rPr>
        <w:t xml:space="preserve"> </w:t>
      </w:r>
      <w:r w:rsidR="00F3268B" w:rsidRPr="00803B8A">
        <w:rPr>
          <w:rFonts w:cs="Segoe UI"/>
          <w:szCs w:val="22"/>
          <w:lang w:val="uk-UA"/>
        </w:rPr>
        <w:t>так</w:t>
      </w:r>
      <w:r w:rsidR="00AB6760">
        <w:rPr>
          <w:rFonts w:cs="Segoe UI"/>
          <w:szCs w:val="22"/>
          <w:lang w:val="uk-UA"/>
        </w:rPr>
        <w:t xml:space="preserve">е зростання </w:t>
      </w:r>
      <w:r w:rsidRPr="00803B8A">
        <w:rPr>
          <w:rFonts w:cs="Segoe UI"/>
          <w:szCs w:val="22"/>
          <w:lang w:val="uk-UA"/>
        </w:rPr>
        <w:t xml:space="preserve">продажів і прибутків у </w:t>
      </w:r>
      <w:r w:rsidRPr="00803B8A">
        <w:rPr>
          <w:rFonts w:cs="Segoe UI"/>
          <w:b/>
          <w:bCs/>
          <w:szCs w:val="22"/>
          <w:lang w:val="uk-UA"/>
        </w:rPr>
        <w:t>2024 фінансовому році</w:t>
      </w:r>
      <w:r w:rsidRPr="00803B8A">
        <w:rPr>
          <w:rFonts w:cs="Segoe UI"/>
          <w:szCs w:val="22"/>
          <w:lang w:val="uk-UA"/>
        </w:rPr>
        <w:t>:</w:t>
      </w:r>
    </w:p>
    <w:p w14:paraId="7D96A5FC" w14:textId="77777777" w:rsidR="00EB59BE" w:rsidRPr="00803B8A" w:rsidRDefault="00EB59BE" w:rsidP="00821B58">
      <w:pPr>
        <w:rPr>
          <w:rFonts w:cs="Segoe UI"/>
          <w:szCs w:val="22"/>
          <w:lang w:val="uk-UA"/>
        </w:rPr>
      </w:pPr>
    </w:p>
    <w:p w14:paraId="176A9D60" w14:textId="77777777" w:rsidR="00EB59BE" w:rsidRPr="00803B8A" w:rsidRDefault="00EB59BE" w:rsidP="00362E45">
      <w:pPr>
        <w:pStyle w:val="He01FlietextAufzhlung1Ebene"/>
        <w:numPr>
          <w:ilvl w:val="0"/>
          <w:numId w:val="15"/>
        </w:numPr>
        <w:spacing w:after="120"/>
        <w:ind w:hanging="357"/>
        <w:rPr>
          <w:rStyle w:val="Headline"/>
          <w:rFonts w:cs="Segoe UI"/>
          <w:b w:val="0"/>
          <w:bCs w:val="0"/>
          <w:sz w:val="22"/>
          <w:lang w:val="uk-UA"/>
        </w:rPr>
      </w:pPr>
      <w:r w:rsidRPr="00803B8A">
        <w:rPr>
          <w:rStyle w:val="Headline"/>
          <w:rFonts w:cs="Segoe UI"/>
          <w:sz w:val="22"/>
          <w:lang w:val="uk-UA"/>
        </w:rPr>
        <w:t>Органічне зростання продажів</w:t>
      </w:r>
      <w:r w:rsidRPr="00803B8A">
        <w:rPr>
          <w:rStyle w:val="Headline"/>
          <w:rFonts w:cs="Segoe UI"/>
          <w:b w:val="0"/>
          <w:bCs w:val="0"/>
          <w:sz w:val="22"/>
          <w:lang w:val="uk-UA"/>
        </w:rPr>
        <w:t>: від 2,5 до 4,5 відсотків (без змін)</w:t>
      </w:r>
    </w:p>
    <w:p w14:paraId="702423D8" w14:textId="77777777" w:rsidR="00EB59BE" w:rsidRPr="00803B8A" w:rsidRDefault="00EB59BE" w:rsidP="00362E45">
      <w:pPr>
        <w:pStyle w:val="ListParagraph"/>
        <w:numPr>
          <w:ilvl w:val="1"/>
          <w:numId w:val="16"/>
        </w:numPr>
        <w:spacing w:after="120"/>
        <w:ind w:hanging="357"/>
        <w:rPr>
          <w:rStyle w:val="Headline"/>
          <w:rFonts w:cs="Segoe UI"/>
          <w:b w:val="0"/>
          <w:bCs w:val="0"/>
          <w:sz w:val="22"/>
          <w:szCs w:val="22"/>
          <w:lang w:val="uk-UA"/>
        </w:rPr>
      </w:pPr>
      <w:r w:rsidRPr="00803B8A">
        <w:rPr>
          <w:rStyle w:val="Headline"/>
          <w:rFonts w:cs="Segoe UI"/>
          <w:b w:val="0"/>
          <w:bCs w:val="0"/>
          <w:sz w:val="22"/>
          <w:szCs w:val="22"/>
          <w:lang w:val="uk-UA"/>
        </w:rPr>
        <w:t>Клейові технології: від 2,0 до 4,0 відсотків (без змін)</w:t>
      </w:r>
    </w:p>
    <w:p w14:paraId="3580099C" w14:textId="76E73137" w:rsidR="00EB59BE" w:rsidRPr="00803B8A" w:rsidRDefault="00EB59BE" w:rsidP="00362E45">
      <w:pPr>
        <w:pStyle w:val="ListParagraph"/>
        <w:numPr>
          <w:ilvl w:val="1"/>
          <w:numId w:val="16"/>
        </w:numPr>
        <w:spacing w:after="120"/>
        <w:ind w:hanging="357"/>
        <w:rPr>
          <w:rStyle w:val="Headline"/>
          <w:rFonts w:cs="Segoe UI"/>
          <w:b w:val="0"/>
          <w:bCs w:val="0"/>
          <w:sz w:val="22"/>
          <w:szCs w:val="22"/>
          <w:lang w:val="uk-UA"/>
        </w:rPr>
      </w:pPr>
      <w:r w:rsidRPr="00803B8A">
        <w:rPr>
          <w:rStyle w:val="Headline"/>
          <w:rFonts w:cs="Segoe UI"/>
          <w:b w:val="0"/>
          <w:bCs w:val="0"/>
          <w:sz w:val="22"/>
          <w:szCs w:val="22"/>
          <w:lang w:val="uk-UA"/>
        </w:rPr>
        <w:t>Споживчі бренди: 3,0</w:t>
      </w:r>
      <w:r w:rsidR="00AB6760">
        <w:rPr>
          <w:rStyle w:val="Headline"/>
          <w:rFonts w:cs="Segoe UI"/>
          <w:b w:val="0"/>
          <w:bCs w:val="0"/>
          <w:sz w:val="22"/>
          <w:szCs w:val="22"/>
          <w:lang w:val="uk-UA"/>
        </w:rPr>
        <w:t>–</w:t>
      </w:r>
      <w:r w:rsidRPr="00803B8A">
        <w:rPr>
          <w:rStyle w:val="Headline"/>
          <w:rFonts w:cs="Segoe UI"/>
          <w:b w:val="0"/>
          <w:bCs w:val="0"/>
          <w:sz w:val="22"/>
          <w:szCs w:val="22"/>
          <w:lang w:val="uk-UA"/>
        </w:rPr>
        <w:t>5,0 відсотків (без змін)</w:t>
      </w:r>
    </w:p>
    <w:p w14:paraId="0BFD6E22" w14:textId="310E2EB4" w:rsidR="00EB59BE" w:rsidRPr="00803B8A" w:rsidRDefault="00EB59BE" w:rsidP="00362E45">
      <w:pPr>
        <w:pStyle w:val="He01FlietextAufzhlung1Ebene"/>
        <w:numPr>
          <w:ilvl w:val="0"/>
          <w:numId w:val="15"/>
        </w:numPr>
        <w:spacing w:after="120"/>
        <w:ind w:hanging="357"/>
        <w:rPr>
          <w:rStyle w:val="Headline"/>
          <w:rFonts w:cs="Segoe UI"/>
          <w:b w:val="0"/>
          <w:bCs w:val="0"/>
          <w:sz w:val="22"/>
          <w:lang w:val="uk-UA"/>
        </w:rPr>
      </w:pPr>
      <w:r w:rsidRPr="00803B8A">
        <w:rPr>
          <w:rStyle w:val="Headline"/>
          <w:rFonts w:cs="Segoe UI"/>
          <w:sz w:val="22"/>
          <w:lang w:val="uk-UA"/>
        </w:rPr>
        <w:t>Скоригована рентабельність продажів</w:t>
      </w:r>
      <w:r w:rsidRPr="00803B8A">
        <w:rPr>
          <w:rStyle w:val="Headline"/>
          <w:rFonts w:cs="Segoe UI"/>
          <w:b w:val="0"/>
          <w:bCs w:val="0"/>
          <w:sz w:val="22"/>
          <w:lang w:val="uk-UA"/>
        </w:rPr>
        <w:t>: 13,5</w:t>
      </w:r>
      <w:r w:rsidR="00AB6760">
        <w:rPr>
          <w:rStyle w:val="Headline"/>
          <w:rFonts w:cs="Segoe UI"/>
          <w:b w:val="0"/>
          <w:bCs w:val="0"/>
          <w:sz w:val="22"/>
          <w:lang w:val="uk-UA"/>
        </w:rPr>
        <w:t>–</w:t>
      </w:r>
      <w:r w:rsidRPr="00803B8A">
        <w:rPr>
          <w:rStyle w:val="Headline"/>
          <w:rFonts w:cs="Segoe UI"/>
          <w:b w:val="0"/>
          <w:bCs w:val="0"/>
          <w:sz w:val="22"/>
          <w:lang w:val="uk-UA"/>
        </w:rPr>
        <w:t>14,5% (раніше: 13,0</w:t>
      </w:r>
      <w:r w:rsidR="00AB6760">
        <w:rPr>
          <w:rStyle w:val="Headline"/>
          <w:rFonts w:cs="Segoe UI"/>
          <w:b w:val="0"/>
          <w:bCs w:val="0"/>
          <w:sz w:val="22"/>
          <w:lang w:val="uk-UA"/>
        </w:rPr>
        <w:t>–</w:t>
      </w:r>
      <w:r w:rsidRPr="00803B8A">
        <w:rPr>
          <w:rStyle w:val="Headline"/>
          <w:rFonts w:cs="Segoe UI"/>
          <w:b w:val="0"/>
          <w:bCs w:val="0"/>
          <w:sz w:val="22"/>
          <w:lang w:val="uk-UA"/>
        </w:rPr>
        <w:t>14,0%)</w:t>
      </w:r>
    </w:p>
    <w:p w14:paraId="1476B445" w14:textId="0822839D" w:rsidR="00EB59BE" w:rsidRPr="00803B8A" w:rsidRDefault="00EB59BE" w:rsidP="00362E45">
      <w:pPr>
        <w:pStyle w:val="ListParagraph"/>
        <w:numPr>
          <w:ilvl w:val="1"/>
          <w:numId w:val="17"/>
        </w:numPr>
        <w:spacing w:after="120"/>
        <w:ind w:hanging="357"/>
        <w:rPr>
          <w:rStyle w:val="Headline"/>
          <w:rFonts w:cs="Segoe UI"/>
          <w:b w:val="0"/>
          <w:bCs w:val="0"/>
          <w:sz w:val="22"/>
          <w:szCs w:val="22"/>
          <w:lang w:val="uk-UA"/>
        </w:rPr>
      </w:pPr>
      <w:r w:rsidRPr="00803B8A">
        <w:rPr>
          <w:rStyle w:val="Headline"/>
          <w:rFonts w:cs="Segoe UI"/>
          <w:b w:val="0"/>
          <w:bCs w:val="0"/>
          <w:sz w:val="22"/>
          <w:szCs w:val="22"/>
          <w:lang w:val="uk-UA"/>
        </w:rPr>
        <w:t>Клейові технології: 16,0</w:t>
      </w:r>
      <w:r w:rsidR="00AB6760">
        <w:rPr>
          <w:rStyle w:val="Headline"/>
          <w:rFonts w:cs="Segoe UI"/>
          <w:b w:val="0"/>
          <w:bCs w:val="0"/>
          <w:sz w:val="22"/>
          <w:szCs w:val="22"/>
          <w:lang w:val="uk-UA"/>
        </w:rPr>
        <w:t>–</w:t>
      </w:r>
      <w:r w:rsidRPr="00803B8A">
        <w:rPr>
          <w:rStyle w:val="Headline"/>
          <w:rFonts w:cs="Segoe UI"/>
          <w:b w:val="0"/>
          <w:bCs w:val="0"/>
          <w:sz w:val="22"/>
          <w:szCs w:val="22"/>
          <w:lang w:val="uk-UA"/>
        </w:rPr>
        <w:t>17,0 відсотків (без змін)</w:t>
      </w:r>
    </w:p>
    <w:p w14:paraId="28EE6B19" w14:textId="73A6D565" w:rsidR="00EB59BE" w:rsidRPr="00803B8A" w:rsidRDefault="00EB59BE" w:rsidP="00362E45">
      <w:pPr>
        <w:pStyle w:val="ListParagraph"/>
        <w:numPr>
          <w:ilvl w:val="1"/>
          <w:numId w:val="17"/>
        </w:numPr>
        <w:spacing w:after="120"/>
        <w:ind w:hanging="357"/>
        <w:rPr>
          <w:rStyle w:val="Headline"/>
          <w:rFonts w:cs="Segoe UI"/>
          <w:b w:val="0"/>
          <w:bCs w:val="0"/>
          <w:sz w:val="22"/>
          <w:szCs w:val="22"/>
          <w:lang w:val="uk-UA"/>
        </w:rPr>
      </w:pPr>
      <w:r w:rsidRPr="00803B8A">
        <w:rPr>
          <w:rStyle w:val="Headline"/>
          <w:rFonts w:cs="Segoe UI"/>
          <w:b w:val="0"/>
          <w:bCs w:val="0"/>
          <w:sz w:val="22"/>
          <w:szCs w:val="22"/>
          <w:lang w:val="uk-UA"/>
        </w:rPr>
        <w:t>Споживчі бренди: 13,0</w:t>
      </w:r>
      <w:r w:rsidR="00AB6760">
        <w:rPr>
          <w:rStyle w:val="Headline"/>
          <w:rFonts w:cs="Segoe UI"/>
          <w:b w:val="0"/>
          <w:bCs w:val="0"/>
          <w:sz w:val="22"/>
          <w:szCs w:val="22"/>
          <w:lang w:val="uk-UA"/>
        </w:rPr>
        <w:t>–</w:t>
      </w:r>
      <w:r w:rsidRPr="00803B8A">
        <w:rPr>
          <w:rStyle w:val="Headline"/>
          <w:rFonts w:cs="Segoe UI"/>
          <w:b w:val="0"/>
          <w:bCs w:val="0"/>
          <w:sz w:val="22"/>
          <w:szCs w:val="22"/>
          <w:lang w:val="uk-UA"/>
        </w:rPr>
        <w:t>14,0 відсотків (раніше: 12,0</w:t>
      </w:r>
      <w:r w:rsidR="00AB6760">
        <w:rPr>
          <w:rStyle w:val="Headline"/>
          <w:rFonts w:cs="Segoe UI"/>
          <w:b w:val="0"/>
          <w:bCs w:val="0"/>
          <w:sz w:val="22"/>
          <w:szCs w:val="22"/>
          <w:lang w:val="uk-UA"/>
        </w:rPr>
        <w:t>–</w:t>
      </w:r>
      <w:r w:rsidRPr="00803B8A">
        <w:rPr>
          <w:rStyle w:val="Headline"/>
          <w:rFonts w:cs="Segoe UI"/>
          <w:b w:val="0"/>
          <w:bCs w:val="0"/>
          <w:sz w:val="22"/>
          <w:szCs w:val="22"/>
          <w:lang w:val="uk-UA"/>
        </w:rPr>
        <w:t>13,0 відсотків)</w:t>
      </w:r>
    </w:p>
    <w:p w14:paraId="5D8F621E" w14:textId="6255828B" w:rsidR="00EB59BE" w:rsidRPr="00803B8A" w:rsidRDefault="00EB59BE" w:rsidP="00362E45">
      <w:pPr>
        <w:pStyle w:val="He01FlietextAufzhlung1Ebene"/>
        <w:numPr>
          <w:ilvl w:val="0"/>
          <w:numId w:val="15"/>
        </w:numPr>
        <w:spacing w:after="120"/>
        <w:ind w:hanging="357"/>
        <w:rPr>
          <w:rStyle w:val="Headline"/>
          <w:rFonts w:cs="Segoe UI"/>
          <w:b w:val="0"/>
          <w:bCs w:val="0"/>
          <w:sz w:val="22"/>
          <w:lang w:val="uk-UA"/>
        </w:rPr>
      </w:pPr>
      <w:r w:rsidRPr="00803B8A">
        <w:rPr>
          <w:rStyle w:val="Headline"/>
          <w:rFonts w:cs="Segoe UI"/>
          <w:sz w:val="22"/>
          <w:lang w:val="uk-UA"/>
        </w:rPr>
        <w:lastRenderedPageBreak/>
        <w:t>Скоригований прибуток на привілейовану акцію</w:t>
      </w:r>
      <w:r w:rsidRPr="00803B8A">
        <w:rPr>
          <w:rStyle w:val="Headline"/>
          <w:rFonts w:cs="Segoe UI"/>
          <w:b w:val="0"/>
          <w:bCs w:val="0"/>
          <w:sz w:val="22"/>
          <w:lang w:val="uk-UA"/>
        </w:rPr>
        <w:t xml:space="preserve"> </w:t>
      </w:r>
      <w:r w:rsidRPr="00803B8A">
        <w:rPr>
          <w:rStyle w:val="Headline"/>
          <w:rFonts w:cs="Segoe UI"/>
          <w:sz w:val="22"/>
          <w:lang w:val="uk-UA"/>
        </w:rPr>
        <w:t>(EPS):</w:t>
      </w:r>
      <w:r w:rsidRPr="00803B8A">
        <w:rPr>
          <w:rStyle w:val="Headline"/>
          <w:rFonts w:cs="Segoe UI"/>
          <w:b w:val="0"/>
          <w:bCs w:val="0"/>
          <w:sz w:val="22"/>
          <w:lang w:val="uk-UA"/>
        </w:rPr>
        <w:t xml:space="preserve"> </w:t>
      </w:r>
      <w:r w:rsidR="00AB6760">
        <w:rPr>
          <w:rStyle w:val="Headline"/>
          <w:rFonts w:cs="Segoe UI"/>
          <w:b w:val="0"/>
          <w:bCs w:val="0"/>
          <w:sz w:val="22"/>
          <w:lang w:val="uk-UA"/>
        </w:rPr>
        <w:t>з</w:t>
      </w:r>
      <w:r w:rsidRPr="00803B8A">
        <w:rPr>
          <w:rStyle w:val="Headline"/>
          <w:rFonts w:cs="Segoe UI"/>
          <w:b w:val="0"/>
          <w:bCs w:val="0"/>
          <w:sz w:val="22"/>
          <w:lang w:val="uk-UA"/>
        </w:rPr>
        <w:t>ростання в діапазоні від +20,0 до +30,0 відсотків при постійних обмінних курсах (раніше: +15,0 до +25,0 відсотків)</w:t>
      </w:r>
    </w:p>
    <w:p w14:paraId="60B3F00A" w14:textId="6D795F0F" w:rsidR="00F83004" w:rsidRPr="00803B8A" w:rsidRDefault="00F83004" w:rsidP="00F83004">
      <w:pPr>
        <w:rPr>
          <w:rFonts w:cs="Arial"/>
          <w:szCs w:val="22"/>
          <w:lang w:val="uk-UA"/>
        </w:rPr>
      </w:pPr>
      <w:r w:rsidRPr="00803B8A">
        <w:rPr>
          <w:rFonts w:cs="Arial"/>
          <w:szCs w:val="22"/>
          <w:lang w:val="uk-UA"/>
        </w:rPr>
        <w:t xml:space="preserve">«Загальні дуже хороші результати діяльності в першому півріччі і той факт, що ми знову підвищили наші прогнози на 2024 фінансовий рік, чітко демонструють, що ми на правильному шляху реалізації нашої стратегії», </w:t>
      </w:r>
      <w:r w:rsidR="00205751" w:rsidRPr="00803B8A">
        <w:rPr>
          <w:rFonts w:cs="Segoe UI"/>
          <w:szCs w:val="22"/>
          <w:lang w:val="uk-UA"/>
        </w:rPr>
        <w:t>–</w:t>
      </w:r>
      <w:r w:rsidRPr="00803B8A">
        <w:rPr>
          <w:rFonts w:cs="Arial"/>
          <w:szCs w:val="22"/>
          <w:lang w:val="uk-UA"/>
        </w:rPr>
        <w:t xml:space="preserve"> </w:t>
      </w:r>
      <w:r w:rsidR="00205751" w:rsidRPr="00803B8A">
        <w:rPr>
          <w:rFonts w:cs="Arial"/>
          <w:szCs w:val="22"/>
          <w:lang w:val="uk-UA"/>
        </w:rPr>
        <w:t>зазначив</w:t>
      </w:r>
      <w:r w:rsidRPr="00803B8A">
        <w:rPr>
          <w:rFonts w:cs="Arial"/>
          <w:szCs w:val="22"/>
          <w:lang w:val="uk-UA"/>
        </w:rPr>
        <w:t xml:space="preserve"> </w:t>
      </w:r>
      <w:proofErr w:type="spellStart"/>
      <w:r w:rsidRPr="00803B8A">
        <w:rPr>
          <w:rFonts w:cs="Arial"/>
          <w:szCs w:val="22"/>
          <w:lang w:val="uk-UA"/>
        </w:rPr>
        <w:t>Карстен</w:t>
      </w:r>
      <w:proofErr w:type="spellEnd"/>
      <w:r w:rsidRPr="00803B8A">
        <w:rPr>
          <w:rFonts w:cs="Arial"/>
          <w:szCs w:val="22"/>
          <w:lang w:val="uk-UA"/>
        </w:rPr>
        <w:t xml:space="preserve"> </w:t>
      </w:r>
      <w:proofErr w:type="spellStart"/>
      <w:r w:rsidRPr="00803B8A">
        <w:rPr>
          <w:rFonts w:cs="Arial"/>
          <w:szCs w:val="22"/>
          <w:lang w:val="uk-UA"/>
        </w:rPr>
        <w:t>Кнобель</w:t>
      </w:r>
      <w:proofErr w:type="spellEnd"/>
      <w:r w:rsidR="00F3268B" w:rsidRPr="00803B8A">
        <w:rPr>
          <w:rFonts w:cs="Arial"/>
          <w:szCs w:val="22"/>
          <w:lang w:val="uk-UA"/>
        </w:rPr>
        <w:t xml:space="preserve"> </w:t>
      </w:r>
      <w:r w:rsidR="00A678F9" w:rsidRPr="007B55A2">
        <w:rPr>
          <w:rFonts w:cs="Segoe UI"/>
          <w:lang w:val="uk-UA"/>
        </w:rPr>
        <w:t>(</w:t>
      </w:r>
      <w:r w:rsidR="00A678F9" w:rsidRPr="00304AA0">
        <w:rPr>
          <w:rFonts w:cs="Segoe UI"/>
        </w:rPr>
        <w:t>Carsten</w:t>
      </w:r>
      <w:r w:rsidR="00A678F9" w:rsidRPr="007B55A2">
        <w:rPr>
          <w:rFonts w:cs="Segoe UI"/>
          <w:lang w:val="uk-UA"/>
        </w:rPr>
        <w:t xml:space="preserve">  </w:t>
      </w:r>
      <w:r w:rsidR="00A678F9" w:rsidRPr="00304AA0">
        <w:rPr>
          <w:rFonts w:cs="Segoe UI"/>
        </w:rPr>
        <w:t>Knobel</w:t>
      </w:r>
      <w:r w:rsidR="00A678F9" w:rsidRPr="007B55A2">
        <w:rPr>
          <w:rFonts w:cs="Segoe UI"/>
          <w:lang w:val="uk-UA"/>
        </w:rPr>
        <w:t>)</w:t>
      </w:r>
      <w:r w:rsidR="00A678F9" w:rsidRPr="00327A72">
        <w:rPr>
          <w:rFonts w:cs="Segoe UI"/>
          <w:lang w:val="uk-UA"/>
        </w:rPr>
        <w:t xml:space="preserve"> </w:t>
      </w:r>
      <w:r w:rsidR="00A678F9" w:rsidRPr="007B55A2">
        <w:rPr>
          <w:rFonts w:cs="Segoe UI"/>
          <w:lang w:val="uk-UA"/>
        </w:rPr>
        <w:t>голова правління Ради директорів компанії «</w:t>
      </w:r>
      <w:proofErr w:type="spellStart"/>
      <w:r w:rsidR="00A678F9" w:rsidRPr="007B55A2">
        <w:rPr>
          <w:rFonts w:cs="Segoe UI"/>
          <w:lang w:val="uk-UA"/>
        </w:rPr>
        <w:t>Хенкель</w:t>
      </w:r>
      <w:proofErr w:type="spellEnd"/>
      <w:r w:rsidR="00A678F9" w:rsidRPr="007B55A2">
        <w:rPr>
          <w:rFonts w:cs="Segoe UI"/>
          <w:lang w:val="uk-UA"/>
        </w:rPr>
        <w:t>»</w:t>
      </w:r>
      <w:r w:rsidR="00A678F9">
        <w:rPr>
          <w:rFonts w:cs="Segoe UI"/>
          <w:lang w:val="uk-UA"/>
        </w:rPr>
        <w:t xml:space="preserve">. </w:t>
      </w:r>
      <w:r w:rsidRPr="00803B8A">
        <w:rPr>
          <w:rFonts w:cs="Arial"/>
          <w:szCs w:val="22"/>
          <w:lang w:val="uk-UA"/>
        </w:rPr>
        <w:t>.</w:t>
      </w:r>
    </w:p>
    <w:p w14:paraId="720C92FC" w14:textId="77777777" w:rsidR="00F83004" w:rsidRPr="00803B8A" w:rsidRDefault="00F83004" w:rsidP="00F83004">
      <w:pPr>
        <w:rPr>
          <w:rFonts w:cs="Arial"/>
          <w:szCs w:val="22"/>
          <w:lang w:val="uk-UA"/>
        </w:rPr>
      </w:pPr>
    </w:p>
    <w:p w14:paraId="676FC834" w14:textId="3D884C42" w:rsidR="00AD1DC6" w:rsidRPr="00803B8A" w:rsidRDefault="00F83004" w:rsidP="00F83004">
      <w:pPr>
        <w:rPr>
          <w:rFonts w:cs="Arial"/>
          <w:szCs w:val="22"/>
          <w:lang w:val="uk-UA"/>
        </w:rPr>
      </w:pPr>
      <w:r w:rsidRPr="00803B8A">
        <w:rPr>
          <w:rFonts w:cs="Arial"/>
          <w:szCs w:val="22"/>
          <w:lang w:val="uk-UA"/>
        </w:rPr>
        <w:t xml:space="preserve">«Злиття наших споживчих бізнесів є успішним, а реалізація наших стратегічних заходів та ініціатив має дуже позитивний вплив на </w:t>
      </w:r>
      <w:r w:rsidR="00AB6760">
        <w:rPr>
          <w:rFonts w:cs="Arial"/>
          <w:szCs w:val="22"/>
          <w:lang w:val="uk-UA"/>
        </w:rPr>
        <w:t xml:space="preserve">зростання </w:t>
      </w:r>
      <w:r w:rsidRPr="00803B8A">
        <w:rPr>
          <w:rFonts w:cs="Arial"/>
          <w:szCs w:val="22"/>
          <w:lang w:val="uk-UA"/>
        </w:rPr>
        <w:t xml:space="preserve">продажів, валової маржі та прибутку. У першому півріччі ми продовжили збільшувати інвестиції в бренди </w:t>
      </w:r>
      <w:r w:rsidR="00AB6760">
        <w:rPr>
          <w:rFonts w:cs="Arial"/>
          <w:szCs w:val="22"/>
          <w:lang w:val="uk-UA"/>
        </w:rPr>
        <w:t xml:space="preserve">й </w:t>
      </w:r>
      <w:r w:rsidRPr="00803B8A">
        <w:rPr>
          <w:rFonts w:cs="Arial"/>
          <w:szCs w:val="22"/>
          <w:lang w:val="uk-UA"/>
        </w:rPr>
        <w:t>інновації і будемо продовжувати збільшувати їх протягом 2024 року</w:t>
      </w:r>
      <w:r w:rsidR="00B17A40" w:rsidRPr="00803B8A">
        <w:rPr>
          <w:rFonts w:cs="Arial"/>
          <w:szCs w:val="22"/>
          <w:lang w:val="uk-UA"/>
        </w:rPr>
        <w:t xml:space="preserve"> з метою підтримання</w:t>
      </w:r>
      <w:r w:rsidRPr="00803B8A">
        <w:rPr>
          <w:rFonts w:cs="Arial"/>
          <w:szCs w:val="22"/>
          <w:lang w:val="uk-UA"/>
        </w:rPr>
        <w:t xml:space="preserve"> наш</w:t>
      </w:r>
      <w:r w:rsidR="00B17A40" w:rsidRPr="00803B8A">
        <w:rPr>
          <w:rFonts w:cs="Arial"/>
          <w:szCs w:val="22"/>
          <w:lang w:val="uk-UA"/>
        </w:rPr>
        <w:t>их</w:t>
      </w:r>
      <w:r w:rsidRPr="00803B8A">
        <w:rPr>
          <w:rFonts w:cs="Arial"/>
          <w:szCs w:val="22"/>
          <w:lang w:val="uk-UA"/>
        </w:rPr>
        <w:t xml:space="preserve"> амбіці</w:t>
      </w:r>
      <w:r w:rsidR="00B17A40" w:rsidRPr="00803B8A">
        <w:rPr>
          <w:rFonts w:cs="Arial"/>
          <w:szCs w:val="22"/>
          <w:lang w:val="uk-UA"/>
        </w:rPr>
        <w:t>й</w:t>
      </w:r>
      <w:r w:rsidRPr="00803B8A">
        <w:rPr>
          <w:rFonts w:cs="Arial"/>
          <w:szCs w:val="22"/>
          <w:lang w:val="uk-UA"/>
        </w:rPr>
        <w:t xml:space="preserve"> щодо майбутнього зростання. Структурні та командні зміни, ініційовані в нашому клейовому бізнесі, також демонструють відчутні результати </w:t>
      </w:r>
      <w:r w:rsidR="003472CC">
        <w:rPr>
          <w:rFonts w:cs="Arial"/>
          <w:szCs w:val="22"/>
          <w:lang w:val="uk-UA"/>
        </w:rPr>
        <w:t xml:space="preserve">та </w:t>
      </w:r>
      <w:r w:rsidRPr="00803B8A">
        <w:rPr>
          <w:rFonts w:cs="Arial"/>
          <w:szCs w:val="22"/>
          <w:lang w:val="uk-UA"/>
        </w:rPr>
        <w:t xml:space="preserve">роблять значний внесок у дуже високі показники діяльності компанії </w:t>
      </w:r>
      <w:r w:rsidR="00B17A40" w:rsidRPr="00803B8A">
        <w:rPr>
          <w:rFonts w:cs="Segoe UI"/>
          <w:szCs w:val="22"/>
          <w:lang w:val="uk-UA"/>
        </w:rPr>
        <w:t>Henkel</w:t>
      </w:r>
      <w:r w:rsidRPr="00803B8A">
        <w:rPr>
          <w:rFonts w:cs="Arial"/>
          <w:szCs w:val="22"/>
          <w:lang w:val="uk-UA"/>
        </w:rPr>
        <w:t>. Ми виконуємо свої зобов</w:t>
      </w:r>
      <w:r w:rsidR="00536ACC" w:rsidRPr="00803B8A">
        <w:rPr>
          <w:rFonts w:cs="Arial"/>
          <w:szCs w:val="22"/>
          <w:lang w:val="uk-UA"/>
        </w:rPr>
        <w:t>’</w:t>
      </w:r>
      <w:r w:rsidRPr="00803B8A">
        <w:rPr>
          <w:rFonts w:cs="Arial"/>
          <w:szCs w:val="22"/>
          <w:lang w:val="uk-UA"/>
        </w:rPr>
        <w:t xml:space="preserve">язання </w:t>
      </w:r>
      <w:r w:rsidR="003472CC">
        <w:rPr>
          <w:rFonts w:cs="Arial"/>
          <w:szCs w:val="22"/>
          <w:lang w:val="uk-UA"/>
        </w:rPr>
        <w:t xml:space="preserve">та </w:t>
      </w:r>
      <w:r w:rsidRPr="00803B8A">
        <w:rPr>
          <w:rFonts w:cs="Arial"/>
          <w:szCs w:val="22"/>
          <w:lang w:val="uk-UA"/>
        </w:rPr>
        <w:t xml:space="preserve">знаходимося на правильному шляху до подальшого прибуткового зростання», </w:t>
      </w:r>
      <w:r w:rsidR="00205751" w:rsidRPr="00803B8A">
        <w:rPr>
          <w:rFonts w:cs="Segoe UI"/>
          <w:szCs w:val="22"/>
          <w:lang w:val="uk-UA"/>
        </w:rPr>
        <w:t>–</w:t>
      </w:r>
      <w:r w:rsidRPr="00803B8A">
        <w:rPr>
          <w:rFonts w:cs="Arial"/>
          <w:szCs w:val="22"/>
          <w:lang w:val="uk-UA"/>
        </w:rPr>
        <w:t xml:space="preserve"> додав пан </w:t>
      </w:r>
      <w:proofErr w:type="spellStart"/>
      <w:r w:rsidRPr="00803B8A">
        <w:rPr>
          <w:rFonts w:cs="Arial"/>
          <w:szCs w:val="22"/>
          <w:lang w:val="uk-UA"/>
        </w:rPr>
        <w:t>Кнобель</w:t>
      </w:r>
      <w:proofErr w:type="spellEnd"/>
      <w:r w:rsidRPr="00803B8A">
        <w:rPr>
          <w:rFonts w:cs="Arial"/>
          <w:szCs w:val="22"/>
          <w:lang w:val="uk-UA"/>
        </w:rPr>
        <w:t>.</w:t>
      </w:r>
    </w:p>
    <w:p w14:paraId="46605A11" w14:textId="77777777" w:rsidR="00F83004" w:rsidRPr="00803B8A" w:rsidRDefault="00F83004" w:rsidP="00F83004">
      <w:pPr>
        <w:rPr>
          <w:rFonts w:cs="Arial"/>
          <w:szCs w:val="22"/>
          <w:lang w:val="uk-UA"/>
        </w:rPr>
      </w:pPr>
    </w:p>
    <w:p w14:paraId="796C1C95" w14:textId="77777777" w:rsidR="00594EF6" w:rsidRPr="00803B8A" w:rsidRDefault="00594EF6" w:rsidP="00594EF6">
      <w:pPr>
        <w:rPr>
          <w:rFonts w:cs="Arial"/>
          <w:b/>
          <w:bCs/>
          <w:szCs w:val="22"/>
          <w:lang w:val="uk-UA"/>
        </w:rPr>
      </w:pPr>
      <w:r w:rsidRPr="00803B8A">
        <w:rPr>
          <w:rFonts w:cs="Arial"/>
          <w:b/>
          <w:bCs/>
          <w:szCs w:val="22"/>
          <w:lang w:val="uk-UA"/>
        </w:rPr>
        <w:t>Попередні бізнес-результати за перше півріччя 2024 року</w:t>
      </w:r>
    </w:p>
    <w:p w14:paraId="43917B3C" w14:textId="77777777" w:rsidR="00594EF6" w:rsidRPr="00803B8A" w:rsidRDefault="00594EF6" w:rsidP="00594EF6">
      <w:pPr>
        <w:rPr>
          <w:rFonts w:cs="Arial"/>
          <w:b/>
          <w:bCs/>
          <w:szCs w:val="22"/>
          <w:lang w:val="uk-UA"/>
        </w:rPr>
      </w:pPr>
    </w:p>
    <w:p w14:paraId="3F31976C" w14:textId="73917BA4" w:rsidR="00594EF6" w:rsidRPr="00803B8A" w:rsidRDefault="00594EF6" w:rsidP="00594EF6">
      <w:pPr>
        <w:rPr>
          <w:rFonts w:cs="Arial"/>
          <w:szCs w:val="22"/>
          <w:lang w:val="uk-UA"/>
        </w:rPr>
      </w:pPr>
      <w:r w:rsidRPr="00803B8A">
        <w:rPr>
          <w:rFonts w:cs="Arial"/>
          <w:szCs w:val="22"/>
          <w:lang w:val="uk-UA"/>
        </w:rPr>
        <w:t xml:space="preserve">За попередніми даними, </w:t>
      </w:r>
      <w:r w:rsidRPr="00803B8A">
        <w:rPr>
          <w:rFonts w:cs="Arial"/>
          <w:b/>
          <w:bCs/>
          <w:szCs w:val="22"/>
          <w:lang w:val="uk-UA"/>
        </w:rPr>
        <w:t>обсяг продажів</w:t>
      </w:r>
      <w:r w:rsidRPr="00803B8A">
        <w:rPr>
          <w:rFonts w:cs="Arial"/>
          <w:szCs w:val="22"/>
          <w:lang w:val="uk-UA"/>
        </w:rPr>
        <w:t xml:space="preserve"> компанії </w:t>
      </w:r>
      <w:r w:rsidR="00B17A40" w:rsidRPr="00803B8A">
        <w:rPr>
          <w:rFonts w:cs="Arial"/>
          <w:szCs w:val="22"/>
          <w:lang w:val="uk-UA"/>
        </w:rPr>
        <w:t>Henkel</w:t>
      </w:r>
      <w:r w:rsidRPr="00803B8A">
        <w:rPr>
          <w:rFonts w:cs="Arial"/>
          <w:szCs w:val="22"/>
          <w:lang w:val="uk-UA"/>
        </w:rPr>
        <w:t xml:space="preserve"> у першому півріччі 2024 року </w:t>
      </w:r>
      <w:r w:rsidR="003472CC">
        <w:rPr>
          <w:rFonts w:cs="Arial"/>
          <w:szCs w:val="22"/>
          <w:lang w:val="uk-UA"/>
        </w:rPr>
        <w:t xml:space="preserve">становив </w:t>
      </w:r>
      <w:r w:rsidRPr="00803B8A">
        <w:rPr>
          <w:rFonts w:cs="Arial"/>
          <w:szCs w:val="22"/>
          <w:lang w:val="uk-UA"/>
        </w:rPr>
        <w:t xml:space="preserve">10 813 </w:t>
      </w:r>
      <w:r w:rsidR="00F3268B" w:rsidRPr="00803B8A">
        <w:rPr>
          <w:rFonts w:cs="Arial"/>
          <w:szCs w:val="22"/>
          <w:lang w:val="uk-UA"/>
        </w:rPr>
        <w:t>млн</w:t>
      </w:r>
      <w:r w:rsidRPr="00803B8A">
        <w:rPr>
          <w:rFonts w:cs="Arial"/>
          <w:szCs w:val="22"/>
          <w:lang w:val="uk-UA"/>
        </w:rPr>
        <w:t xml:space="preserve"> євро. Це відповідає хорошому </w:t>
      </w:r>
      <w:r w:rsidRPr="00803B8A">
        <w:rPr>
          <w:rFonts w:cs="Arial"/>
          <w:b/>
          <w:bCs/>
          <w:szCs w:val="22"/>
          <w:lang w:val="uk-UA"/>
        </w:rPr>
        <w:t>органічному зростанню продажів</w:t>
      </w:r>
      <w:r w:rsidRPr="00803B8A">
        <w:rPr>
          <w:rFonts w:cs="Arial"/>
          <w:szCs w:val="22"/>
          <w:lang w:val="uk-UA"/>
        </w:rPr>
        <w:t xml:space="preserve"> на 2,9</w:t>
      </w:r>
      <w:r w:rsidR="00803B8A">
        <w:rPr>
          <w:rFonts w:cs="Arial"/>
          <w:szCs w:val="22"/>
          <w:lang w:val="uk-UA"/>
        </w:rPr>
        <w:t> </w:t>
      </w:r>
      <w:r w:rsidRPr="00803B8A">
        <w:rPr>
          <w:rFonts w:cs="Arial"/>
          <w:szCs w:val="22"/>
          <w:lang w:val="uk-UA"/>
        </w:rPr>
        <w:t>відсотка. Зростання в обох бізнес-підрозділах відбулося завдяки позитивній динаміці цін (+2,5 відсотка). На рівні Групи динаміка обсягів, на яку продовжують впливати портфельні показники підрозділу «Споживчі бренди», була дещо позитивною (+0,4</w:t>
      </w:r>
      <w:r w:rsidR="00803B8A">
        <w:rPr>
          <w:rFonts w:cs="Arial"/>
          <w:szCs w:val="22"/>
          <w:lang w:val="uk-UA"/>
        </w:rPr>
        <w:t> </w:t>
      </w:r>
      <w:r w:rsidRPr="00803B8A">
        <w:rPr>
          <w:rFonts w:cs="Arial"/>
          <w:szCs w:val="22"/>
          <w:lang w:val="uk-UA"/>
        </w:rPr>
        <w:t xml:space="preserve">відсотка) і також продемонструвала послідовне покращення порівняно з першим кварталом 2024 року. У номінальному вираженні продажі знизилися на -1,0 відсотка порівняно з аналогічним періодом попереднього року, зокрема через продаж бізнесу в Росії та негативний вплив курсових різниць, </w:t>
      </w:r>
      <w:r w:rsidR="003472CC">
        <w:rPr>
          <w:rFonts w:cs="Arial"/>
          <w:szCs w:val="22"/>
          <w:lang w:val="uk-UA"/>
        </w:rPr>
        <w:t xml:space="preserve">а от </w:t>
      </w:r>
      <w:r w:rsidRPr="00803B8A">
        <w:rPr>
          <w:rFonts w:cs="Arial"/>
          <w:szCs w:val="22"/>
          <w:lang w:val="uk-UA"/>
        </w:rPr>
        <w:t xml:space="preserve">нещодавно завершені придбання </w:t>
      </w:r>
      <w:proofErr w:type="spellStart"/>
      <w:r w:rsidRPr="00803B8A">
        <w:rPr>
          <w:rFonts w:cs="Arial"/>
          <w:szCs w:val="22"/>
          <w:lang w:val="uk-UA"/>
        </w:rPr>
        <w:t>Seal</w:t>
      </w:r>
      <w:proofErr w:type="spellEnd"/>
      <w:r w:rsidRPr="00803B8A">
        <w:rPr>
          <w:rFonts w:cs="Arial"/>
          <w:szCs w:val="22"/>
          <w:lang w:val="uk-UA"/>
        </w:rPr>
        <w:t xml:space="preserve"> </w:t>
      </w:r>
      <w:proofErr w:type="spellStart"/>
      <w:r w:rsidRPr="00803B8A">
        <w:rPr>
          <w:rFonts w:cs="Arial"/>
          <w:szCs w:val="22"/>
          <w:lang w:val="uk-UA"/>
        </w:rPr>
        <w:t>for</w:t>
      </w:r>
      <w:proofErr w:type="spellEnd"/>
      <w:r w:rsidRPr="00803B8A">
        <w:rPr>
          <w:rFonts w:cs="Arial"/>
          <w:szCs w:val="22"/>
          <w:lang w:val="uk-UA"/>
        </w:rPr>
        <w:t xml:space="preserve"> </w:t>
      </w:r>
      <w:proofErr w:type="spellStart"/>
      <w:r w:rsidRPr="00803B8A">
        <w:rPr>
          <w:rFonts w:cs="Arial"/>
          <w:szCs w:val="22"/>
          <w:lang w:val="uk-UA"/>
        </w:rPr>
        <w:t>Life</w:t>
      </w:r>
      <w:proofErr w:type="spellEnd"/>
      <w:r w:rsidRPr="00803B8A">
        <w:rPr>
          <w:rFonts w:cs="Arial"/>
          <w:szCs w:val="22"/>
          <w:lang w:val="uk-UA"/>
        </w:rPr>
        <w:t xml:space="preserve"> та </w:t>
      </w:r>
      <w:proofErr w:type="spellStart"/>
      <w:r w:rsidRPr="00803B8A">
        <w:rPr>
          <w:rFonts w:cs="Arial"/>
          <w:szCs w:val="22"/>
          <w:lang w:val="uk-UA"/>
        </w:rPr>
        <w:t>Vidal</w:t>
      </w:r>
      <w:proofErr w:type="spellEnd"/>
      <w:r w:rsidRPr="00803B8A">
        <w:rPr>
          <w:rFonts w:cs="Arial"/>
          <w:szCs w:val="22"/>
          <w:lang w:val="uk-UA"/>
        </w:rPr>
        <w:t xml:space="preserve"> </w:t>
      </w:r>
      <w:proofErr w:type="spellStart"/>
      <w:r w:rsidRPr="00803B8A">
        <w:rPr>
          <w:rFonts w:cs="Arial"/>
          <w:szCs w:val="22"/>
          <w:lang w:val="uk-UA"/>
        </w:rPr>
        <w:t>Sassoon</w:t>
      </w:r>
      <w:proofErr w:type="spellEnd"/>
      <w:r w:rsidRPr="00803B8A">
        <w:rPr>
          <w:rFonts w:cs="Arial"/>
          <w:szCs w:val="22"/>
          <w:lang w:val="uk-UA"/>
        </w:rPr>
        <w:t xml:space="preserve"> зробили позитивний внесок.</w:t>
      </w:r>
    </w:p>
    <w:p w14:paraId="6C8ACFEA" w14:textId="77777777" w:rsidR="00594EF6" w:rsidRPr="00803B8A" w:rsidRDefault="00594EF6" w:rsidP="00594EF6">
      <w:pPr>
        <w:rPr>
          <w:rFonts w:cs="Arial"/>
          <w:b/>
          <w:bCs/>
          <w:szCs w:val="22"/>
          <w:lang w:val="uk-UA"/>
        </w:rPr>
      </w:pPr>
    </w:p>
    <w:p w14:paraId="2457415D" w14:textId="77777777" w:rsidR="00594EF6" w:rsidRPr="00803B8A" w:rsidRDefault="00594EF6" w:rsidP="00594EF6">
      <w:pPr>
        <w:rPr>
          <w:rFonts w:cs="Arial"/>
          <w:szCs w:val="22"/>
          <w:lang w:val="uk-UA"/>
        </w:rPr>
      </w:pPr>
      <w:r w:rsidRPr="00803B8A">
        <w:rPr>
          <w:rFonts w:cs="Arial"/>
          <w:b/>
          <w:bCs/>
          <w:szCs w:val="22"/>
          <w:lang w:val="uk-UA"/>
        </w:rPr>
        <w:t>Скоригований операційний прибуток</w:t>
      </w:r>
      <w:r w:rsidRPr="00803B8A">
        <w:rPr>
          <w:rFonts w:cs="Arial"/>
          <w:szCs w:val="22"/>
          <w:lang w:val="uk-UA"/>
        </w:rPr>
        <w:t xml:space="preserve"> (скоригований показник EBIT) у першому півріччі зріс на 28,4% </w:t>
      </w:r>
      <w:r w:rsidR="006770F7">
        <w:rPr>
          <w:rFonts w:cs="Arial"/>
          <w:szCs w:val="22"/>
          <w:lang w:val="uk-UA"/>
        </w:rPr>
        <w:t xml:space="preserve">– </w:t>
      </w:r>
      <w:r w:rsidRPr="00803B8A">
        <w:rPr>
          <w:rFonts w:cs="Arial"/>
          <w:szCs w:val="22"/>
          <w:lang w:val="uk-UA"/>
        </w:rPr>
        <w:t xml:space="preserve">до 1 610 млн євро порівняно з 1 254 млн євро за аналогічний період минулого року. </w:t>
      </w:r>
      <w:r w:rsidRPr="00803B8A">
        <w:rPr>
          <w:rFonts w:cs="Arial"/>
          <w:b/>
          <w:bCs/>
          <w:szCs w:val="22"/>
          <w:lang w:val="uk-UA"/>
        </w:rPr>
        <w:t>Скоригована рентабельність продажів</w:t>
      </w:r>
      <w:r w:rsidRPr="00803B8A">
        <w:rPr>
          <w:rFonts w:cs="Arial"/>
          <w:szCs w:val="22"/>
          <w:lang w:val="uk-UA"/>
        </w:rPr>
        <w:t xml:space="preserve"> (скоригована маржа EBIT) також значно зросла на 340 базисних пунктів </w:t>
      </w:r>
      <w:r w:rsidR="006770F7">
        <w:rPr>
          <w:rFonts w:cs="Arial"/>
          <w:szCs w:val="22"/>
          <w:lang w:val="uk-UA"/>
        </w:rPr>
        <w:t xml:space="preserve">– </w:t>
      </w:r>
      <w:r w:rsidRPr="00803B8A">
        <w:rPr>
          <w:rFonts w:cs="Arial"/>
          <w:szCs w:val="22"/>
          <w:lang w:val="uk-UA"/>
        </w:rPr>
        <w:t xml:space="preserve">до 14,9%. </w:t>
      </w:r>
      <w:r w:rsidRPr="00803B8A">
        <w:rPr>
          <w:rFonts w:cs="Arial"/>
          <w:b/>
          <w:bCs/>
          <w:szCs w:val="22"/>
          <w:lang w:val="uk-UA"/>
        </w:rPr>
        <w:t>Скоригований прибуток на одну привілейовану акцію</w:t>
      </w:r>
      <w:r w:rsidRPr="00803B8A">
        <w:rPr>
          <w:rFonts w:cs="Arial"/>
          <w:szCs w:val="22"/>
          <w:lang w:val="uk-UA"/>
        </w:rPr>
        <w:t xml:space="preserve"> зріс до 2,78 євро в першому півріччі 2024 року. За постійним обмінним курсом це відповідає зростанню на 32,9 відсотка порівняно з першим півріччям 2023 року.</w:t>
      </w:r>
    </w:p>
    <w:p w14:paraId="42736247" w14:textId="2E3897C8" w:rsidR="00A70AC2" w:rsidRPr="00803B8A" w:rsidRDefault="00A70AC2" w:rsidP="00A70AC2">
      <w:pPr>
        <w:rPr>
          <w:color w:val="000000" w:themeColor="text1"/>
          <w:lang w:val="uk-UA"/>
        </w:rPr>
      </w:pPr>
      <w:bookmarkStart w:id="0" w:name="SNAMD_dc825768bfb2420dbdc0e075b6c733f3"/>
      <w:bookmarkStart w:id="1" w:name="SNERR_085cbfa1dc5245baabab2f6ce609ab4b"/>
      <w:r w:rsidRPr="00803B8A">
        <w:rPr>
          <w:color w:val="000000" w:themeColor="text1"/>
          <w:lang w:val="uk-UA"/>
        </w:rPr>
        <w:t xml:space="preserve">У першому півріччі 2024 року </w:t>
      </w:r>
      <w:r w:rsidR="006E12F0" w:rsidRPr="00803B8A">
        <w:rPr>
          <w:color w:val="000000" w:themeColor="text1"/>
          <w:lang w:val="uk-UA"/>
        </w:rPr>
        <w:t xml:space="preserve">обсяг </w:t>
      </w:r>
      <w:r w:rsidRPr="00803B8A">
        <w:rPr>
          <w:color w:val="000000" w:themeColor="text1"/>
          <w:lang w:val="uk-UA"/>
        </w:rPr>
        <w:t>продажі</w:t>
      </w:r>
      <w:r w:rsidR="006E12F0" w:rsidRPr="00803B8A">
        <w:rPr>
          <w:color w:val="000000" w:themeColor="text1"/>
          <w:lang w:val="uk-UA"/>
        </w:rPr>
        <w:t>в</w:t>
      </w:r>
      <w:r w:rsidRPr="00803B8A">
        <w:rPr>
          <w:color w:val="000000" w:themeColor="text1"/>
          <w:lang w:val="uk-UA"/>
        </w:rPr>
        <w:t xml:space="preserve"> бізнес-підрозділу </w:t>
      </w:r>
      <w:r w:rsidRPr="00803B8A">
        <w:rPr>
          <w:b/>
          <w:bCs/>
          <w:color w:val="000000" w:themeColor="text1"/>
          <w:lang w:val="uk-UA"/>
        </w:rPr>
        <w:t>«Клейові технології»</w:t>
      </w:r>
      <w:r w:rsidRPr="00803B8A">
        <w:rPr>
          <w:color w:val="000000" w:themeColor="text1"/>
          <w:lang w:val="uk-UA"/>
        </w:rPr>
        <w:t xml:space="preserve"> </w:t>
      </w:r>
      <w:r w:rsidR="003472CC">
        <w:rPr>
          <w:color w:val="000000" w:themeColor="text1"/>
          <w:lang w:val="uk-UA"/>
        </w:rPr>
        <w:t>с</w:t>
      </w:r>
      <w:r w:rsidR="00F53A2D">
        <w:rPr>
          <w:color w:val="000000" w:themeColor="text1"/>
          <w:lang w:val="uk-UA"/>
        </w:rPr>
        <w:t>т</w:t>
      </w:r>
      <w:r w:rsidR="003472CC">
        <w:rPr>
          <w:color w:val="000000" w:themeColor="text1"/>
          <w:lang w:val="uk-UA"/>
        </w:rPr>
        <w:t xml:space="preserve">ановив </w:t>
      </w:r>
      <w:r w:rsidRPr="00803B8A">
        <w:rPr>
          <w:color w:val="000000" w:themeColor="text1"/>
          <w:lang w:val="uk-UA"/>
        </w:rPr>
        <w:t xml:space="preserve">5 475 </w:t>
      </w:r>
      <w:r w:rsidR="00F3268B" w:rsidRPr="00803B8A">
        <w:rPr>
          <w:color w:val="000000" w:themeColor="text1"/>
          <w:lang w:val="uk-UA"/>
        </w:rPr>
        <w:t>млн</w:t>
      </w:r>
      <w:r w:rsidRPr="00803B8A">
        <w:rPr>
          <w:color w:val="000000" w:themeColor="text1"/>
          <w:lang w:val="uk-UA"/>
        </w:rPr>
        <w:t xml:space="preserve"> євро. </w:t>
      </w:r>
      <w:r w:rsidRPr="00803B8A">
        <w:rPr>
          <w:b/>
          <w:bCs/>
          <w:color w:val="000000" w:themeColor="text1"/>
          <w:lang w:val="uk-UA"/>
        </w:rPr>
        <w:t>Органічне зростання продажів</w:t>
      </w:r>
      <w:r w:rsidRPr="00803B8A">
        <w:rPr>
          <w:color w:val="000000" w:themeColor="text1"/>
          <w:lang w:val="uk-UA"/>
        </w:rPr>
        <w:t xml:space="preserve"> </w:t>
      </w:r>
      <w:r w:rsidR="003472CC">
        <w:rPr>
          <w:color w:val="000000" w:themeColor="text1"/>
          <w:lang w:val="uk-UA"/>
        </w:rPr>
        <w:t xml:space="preserve">– </w:t>
      </w:r>
      <w:r w:rsidRPr="00803B8A">
        <w:rPr>
          <w:color w:val="000000" w:themeColor="text1"/>
          <w:lang w:val="uk-UA"/>
        </w:rPr>
        <w:t xml:space="preserve">2,0%. Цей розвиток був </w:t>
      </w:r>
      <w:r w:rsidRPr="00803B8A">
        <w:rPr>
          <w:color w:val="000000" w:themeColor="text1"/>
          <w:lang w:val="uk-UA"/>
        </w:rPr>
        <w:lastRenderedPageBreak/>
        <w:t>зумовлений ціновою складовою +0,2% та зростанням обсягів на 1,8%. Таким чином, бізнес-</w:t>
      </w:r>
      <w:r w:rsidR="006405EF" w:rsidRPr="00803B8A">
        <w:rPr>
          <w:color w:val="000000" w:themeColor="text1"/>
          <w:lang w:val="uk-UA"/>
        </w:rPr>
        <w:t>підрозділ</w:t>
      </w:r>
      <w:r w:rsidRPr="00803B8A">
        <w:rPr>
          <w:color w:val="000000" w:themeColor="text1"/>
          <w:lang w:val="uk-UA"/>
        </w:rPr>
        <w:t xml:space="preserve"> продемонструва</w:t>
      </w:r>
      <w:r w:rsidR="006405EF" w:rsidRPr="00803B8A">
        <w:rPr>
          <w:color w:val="000000" w:themeColor="text1"/>
          <w:lang w:val="uk-UA"/>
        </w:rPr>
        <w:t>в</w:t>
      </w:r>
      <w:r w:rsidRPr="00803B8A">
        <w:rPr>
          <w:color w:val="000000" w:themeColor="text1"/>
          <w:lang w:val="uk-UA"/>
        </w:rPr>
        <w:t xml:space="preserve"> послідовне покращення обсягів порівняно з першим кварталом 2024 року. </w:t>
      </w:r>
      <w:r w:rsidRPr="00803B8A">
        <w:rPr>
          <w:b/>
          <w:bCs/>
          <w:color w:val="000000" w:themeColor="text1"/>
          <w:lang w:val="uk-UA"/>
        </w:rPr>
        <w:t>Скоригований операційний прибуток</w:t>
      </w:r>
      <w:r w:rsidRPr="00803B8A">
        <w:rPr>
          <w:color w:val="000000" w:themeColor="text1"/>
          <w:lang w:val="uk-UA"/>
        </w:rPr>
        <w:t xml:space="preserve"> зріс на 21,8% </w:t>
      </w:r>
      <w:r w:rsidR="005152D4">
        <w:rPr>
          <w:color w:val="000000" w:themeColor="text1"/>
          <w:lang w:val="uk-UA"/>
        </w:rPr>
        <w:t xml:space="preserve">– </w:t>
      </w:r>
      <w:r w:rsidRPr="00803B8A">
        <w:rPr>
          <w:color w:val="000000" w:themeColor="text1"/>
          <w:lang w:val="uk-UA"/>
        </w:rPr>
        <w:t xml:space="preserve">до 933 млн євро в першому півріччі 2024 року порівняно з 766 млн євро за аналогічний період попереднього року. </w:t>
      </w:r>
      <w:r w:rsidRPr="00803B8A">
        <w:rPr>
          <w:b/>
          <w:bCs/>
          <w:color w:val="000000" w:themeColor="text1"/>
          <w:lang w:val="uk-UA"/>
        </w:rPr>
        <w:t>Скоригована рентабельність продажів</w:t>
      </w:r>
      <w:r w:rsidRPr="00803B8A">
        <w:rPr>
          <w:color w:val="000000" w:themeColor="text1"/>
          <w:lang w:val="uk-UA"/>
        </w:rPr>
        <w:t xml:space="preserve"> значно зросла на 300</w:t>
      </w:r>
      <w:r w:rsidR="00803B8A">
        <w:rPr>
          <w:color w:val="000000" w:themeColor="text1"/>
          <w:lang w:val="uk-UA"/>
        </w:rPr>
        <w:t> </w:t>
      </w:r>
      <w:r w:rsidRPr="00803B8A">
        <w:rPr>
          <w:color w:val="000000" w:themeColor="text1"/>
          <w:lang w:val="uk-UA"/>
        </w:rPr>
        <w:t>базисних пунктів</w:t>
      </w:r>
      <w:r w:rsidR="005152D4">
        <w:rPr>
          <w:color w:val="000000" w:themeColor="text1"/>
          <w:lang w:val="uk-UA"/>
        </w:rPr>
        <w:t xml:space="preserve"> –</w:t>
      </w:r>
      <w:r w:rsidRPr="00803B8A">
        <w:rPr>
          <w:color w:val="000000" w:themeColor="text1"/>
          <w:lang w:val="uk-UA"/>
        </w:rPr>
        <w:t xml:space="preserve"> до 17,0 відсотка.</w:t>
      </w:r>
    </w:p>
    <w:p w14:paraId="5F8E214C" w14:textId="77777777" w:rsidR="00A70AC2" w:rsidRPr="00803B8A" w:rsidRDefault="00A70AC2" w:rsidP="00A70AC2">
      <w:pPr>
        <w:rPr>
          <w:color w:val="000000" w:themeColor="text1"/>
          <w:lang w:val="uk-UA"/>
        </w:rPr>
      </w:pPr>
    </w:p>
    <w:p w14:paraId="6AA042D7" w14:textId="48EA985A" w:rsidR="00A70AC2" w:rsidRPr="00803B8A" w:rsidRDefault="00A70AC2" w:rsidP="00A70AC2">
      <w:pPr>
        <w:rPr>
          <w:color w:val="000000" w:themeColor="text1"/>
          <w:lang w:val="uk-UA"/>
        </w:rPr>
      </w:pPr>
      <w:r w:rsidRPr="00803B8A">
        <w:rPr>
          <w:color w:val="000000" w:themeColor="text1"/>
          <w:lang w:val="uk-UA"/>
        </w:rPr>
        <w:t xml:space="preserve">За перші шість місяців 2024 року бізнес-підрозділ </w:t>
      </w:r>
      <w:r w:rsidRPr="00803B8A">
        <w:rPr>
          <w:b/>
          <w:bCs/>
          <w:color w:val="000000" w:themeColor="text1"/>
          <w:lang w:val="uk-UA"/>
        </w:rPr>
        <w:t>«Споживчі бренди»</w:t>
      </w:r>
      <w:r w:rsidRPr="00803B8A">
        <w:rPr>
          <w:color w:val="000000" w:themeColor="text1"/>
          <w:lang w:val="uk-UA"/>
        </w:rPr>
        <w:t xml:space="preserve"> згенерував продажі розмір</w:t>
      </w:r>
      <w:r w:rsidR="005152D4">
        <w:rPr>
          <w:color w:val="000000" w:themeColor="text1"/>
          <w:lang w:val="uk-UA"/>
        </w:rPr>
        <w:t>ом</w:t>
      </w:r>
      <w:r w:rsidRPr="00803B8A">
        <w:rPr>
          <w:color w:val="000000" w:themeColor="text1"/>
          <w:lang w:val="uk-UA"/>
        </w:rPr>
        <w:t xml:space="preserve"> 5 266 млн євро. </w:t>
      </w:r>
      <w:r w:rsidRPr="00803B8A">
        <w:rPr>
          <w:b/>
          <w:bCs/>
          <w:color w:val="000000" w:themeColor="text1"/>
          <w:lang w:val="uk-UA"/>
        </w:rPr>
        <w:t>Органічне зростання продажів</w:t>
      </w:r>
      <w:r w:rsidRPr="00803B8A">
        <w:rPr>
          <w:color w:val="000000" w:themeColor="text1"/>
          <w:lang w:val="uk-UA"/>
        </w:rPr>
        <w:t xml:space="preserve"> </w:t>
      </w:r>
      <w:r w:rsidR="005152D4">
        <w:rPr>
          <w:color w:val="000000" w:themeColor="text1"/>
          <w:lang w:val="uk-UA"/>
        </w:rPr>
        <w:t xml:space="preserve">становило </w:t>
      </w:r>
      <w:r w:rsidRPr="00803B8A">
        <w:rPr>
          <w:color w:val="000000" w:themeColor="text1"/>
          <w:lang w:val="uk-UA"/>
        </w:rPr>
        <w:t xml:space="preserve">4,3%. Цьому сприяла цінова складова на рівні +5,1%. Насамперед через продовження заходів з оптимізації портфеля динаміка фізичних обсягів була від'ємною </w:t>
      </w:r>
      <w:r w:rsidR="005152D4">
        <w:rPr>
          <w:color w:val="000000" w:themeColor="text1"/>
          <w:lang w:val="uk-UA"/>
        </w:rPr>
        <w:t xml:space="preserve">та </w:t>
      </w:r>
      <w:r w:rsidRPr="00803B8A">
        <w:rPr>
          <w:color w:val="000000" w:themeColor="text1"/>
          <w:lang w:val="uk-UA"/>
        </w:rPr>
        <w:t>становила -0,9 відсотка. Однак в</w:t>
      </w:r>
      <w:r w:rsidR="002F4B9D" w:rsidRPr="00803B8A">
        <w:rPr>
          <w:color w:val="000000" w:themeColor="text1"/>
          <w:lang w:val="uk-UA"/>
        </w:rPr>
        <w:t>она</w:t>
      </w:r>
      <w:r w:rsidRPr="00803B8A">
        <w:rPr>
          <w:color w:val="000000" w:themeColor="text1"/>
          <w:lang w:val="uk-UA"/>
        </w:rPr>
        <w:t xml:space="preserve"> продемонструва</w:t>
      </w:r>
      <w:r w:rsidR="002F4B9D" w:rsidRPr="00803B8A">
        <w:rPr>
          <w:color w:val="000000" w:themeColor="text1"/>
          <w:lang w:val="uk-UA"/>
        </w:rPr>
        <w:t>ла</w:t>
      </w:r>
      <w:r w:rsidRPr="00803B8A">
        <w:rPr>
          <w:color w:val="000000" w:themeColor="text1"/>
          <w:lang w:val="uk-UA"/>
        </w:rPr>
        <w:t xml:space="preserve"> послідовне покращення порівняно з першим кварталом 2024 року. </w:t>
      </w:r>
      <w:r w:rsidRPr="00803B8A">
        <w:rPr>
          <w:b/>
          <w:bCs/>
          <w:color w:val="000000" w:themeColor="text1"/>
          <w:lang w:val="uk-UA"/>
        </w:rPr>
        <w:t>Скоригований операційний прибуток</w:t>
      </w:r>
      <w:r w:rsidRPr="00803B8A">
        <w:rPr>
          <w:color w:val="000000" w:themeColor="text1"/>
          <w:lang w:val="uk-UA"/>
        </w:rPr>
        <w:t xml:space="preserve"> </w:t>
      </w:r>
      <w:r w:rsidR="005152D4">
        <w:rPr>
          <w:color w:val="000000" w:themeColor="text1"/>
          <w:lang w:val="uk-UA"/>
        </w:rPr>
        <w:t xml:space="preserve">становив </w:t>
      </w:r>
      <w:r w:rsidRPr="00803B8A">
        <w:rPr>
          <w:color w:val="000000" w:themeColor="text1"/>
          <w:lang w:val="uk-UA"/>
        </w:rPr>
        <w:t xml:space="preserve">753 млн євро, що на 34,7 відсотка вище, ніж за аналогічний період попереднього року. </w:t>
      </w:r>
      <w:r w:rsidRPr="00803B8A">
        <w:rPr>
          <w:b/>
          <w:bCs/>
          <w:color w:val="000000" w:themeColor="text1"/>
          <w:lang w:val="uk-UA"/>
        </w:rPr>
        <w:t>Скоригована рентабельність продажів</w:t>
      </w:r>
      <w:r w:rsidRPr="00803B8A">
        <w:rPr>
          <w:color w:val="000000" w:themeColor="text1"/>
          <w:lang w:val="uk-UA"/>
        </w:rPr>
        <w:t xml:space="preserve"> значно зросла на 390 базисних пунктів до 14,3 відсотка.</w:t>
      </w:r>
    </w:p>
    <w:p w14:paraId="213110F8" w14:textId="77777777" w:rsidR="00A70AC2" w:rsidRPr="00803B8A" w:rsidRDefault="00A70AC2" w:rsidP="00A70AC2">
      <w:pPr>
        <w:rPr>
          <w:color w:val="000000" w:themeColor="text1"/>
          <w:lang w:val="uk-UA"/>
        </w:rPr>
      </w:pPr>
    </w:p>
    <w:p w14:paraId="7264ABEB" w14:textId="6AE39EDE" w:rsidR="00EB30AD" w:rsidRPr="00803B8A" w:rsidRDefault="00E96295" w:rsidP="00EB30AD">
      <w:pPr>
        <w:rPr>
          <w:color w:val="000000" w:themeColor="text1"/>
          <w:lang w:val="uk-UA"/>
        </w:rPr>
      </w:pPr>
      <w:r w:rsidRPr="00803B8A">
        <w:rPr>
          <w:color w:val="000000" w:themeColor="text1"/>
          <w:lang w:val="uk-UA"/>
        </w:rPr>
        <w:t xml:space="preserve">Компанія </w:t>
      </w:r>
      <w:r w:rsidR="002F4B9D" w:rsidRPr="00803B8A">
        <w:rPr>
          <w:rFonts w:cs="Segoe UI"/>
          <w:szCs w:val="22"/>
          <w:lang w:val="uk-UA"/>
        </w:rPr>
        <w:t>Henkel</w:t>
      </w:r>
      <w:r w:rsidRPr="00803B8A">
        <w:rPr>
          <w:color w:val="000000" w:themeColor="text1"/>
          <w:lang w:val="uk-UA"/>
        </w:rPr>
        <w:t xml:space="preserve"> повідомить про подальші результати розвитку бізнесу </w:t>
      </w:r>
      <w:r w:rsidR="005152D4">
        <w:rPr>
          <w:color w:val="000000" w:themeColor="text1"/>
          <w:lang w:val="uk-UA"/>
        </w:rPr>
        <w:t xml:space="preserve">в </w:t>
      </w:r>
      <w:r w:rsidRPr="00803B8A">
        <w:rPr>
          <w:color w:val="000000" w:themeColor="text1"/>
          <w:lang w:val="uk-UA"/>
        </w:rPr>
        <w:t>другому кварталі та першому півріччі, як і планувалося, 13 серпня 2024 року.</w:t>
      </w:r>
      <w:bookmarkEnd w:id="0"/>
      <w:bookmarkEnd w:id="1"/>
    </w:p>
    <w:p w14:paraId="1B244E8F" w14:textId="77777777" w:rsidR="00EB30AD" w:rsidRPr="00803B8A" w:rsidRDefault="00EB30AD" w:rsidP="00501494">
      <w:pPr>
        <w:rPr>
          <w:rFonts w:cs="Arial"/>
          <w:szCs w:val="22"/>
          <w:lang w:val="uk-UA"/>
        </w:rPr>
      </w:pPr>
    </w:p>
    <w:p w14:paraId="5AE684E9" w14:textId="77777777" w:rsidR="00E96295" w:rsidRPr="00803B8A" w:rsidRDefault="00E96295" w:rsidP="00E96295">
      <w:pPr>
        <w:rPr>
          <w:rFonts w:cs="Arial"/>
          <w:b/>
          <w:bCs/>
          <w:szCs w:val="22"/>
          <w:lang w:val="uk-UA"/>
        </w:rPr>
      </w:pPr>
      <w:r w:rsidRPr="00803B8A">
        <w:rPr>
          <w:rFonts w:cs="Arial"/>
          <w:b/>
          <w:bCs/>
          <w:szCs w:val="22"/>
          <w:lang w:val="uk-UA"/>
        </w:rPr>
        <w:t>Подальші очікування на 2024 рік</w:t>
      </w:r>
    </w:p>
    <w:p w14:paraId="5885CAFD" w14:textId="77777777" w:rsidR="00E96295" w:rsidRPr="00803B8A" w:rsidRDefault="00E96295" w:rsidP="00E96295">
      <w:pPr>
        <w:rPr>
          <w:rFonts w:cs="Arial"/>
          <w:b/>
          <w:bCs/>
          <w:szCs w:val="22"/>
          <w:lang w:val="uk-UA"/>
        </w:rPr>
      </w:pPr>
    </w:p>
    <w:p w14:paraId="1FC93EC7" w14:textId="77777777" w:rsidR="00E96295" w:rsidRPr="00803B8A" w:rsidRDefault="002F4B9D" w:rsidP="00E96295">
      <w:pPr>
        <w:rPr>
          <w:rFonts w:cs="Segoe UI"/>
          <w:szCs w:val="22"/>
          <w:lang w:val="uk-UA"/>
        </w:rPr>
      </w:pPr>
      <w:r w:rsidRPr="00803B8A">
        <w:rPr>
          <w:rFonts w:cs="Segoe UI"/>
          <w:szCs w:val="22"/>
          <w:lang w:val="uk-UA"/>
        </w:rPr>
        <w:t>Подальші</w:t>
      </w:r>
      <w:r w:rsidR="00E96295" w:rsidRPr="00803B8A">
        <w:rPr>
          <w:rFonts w:cs="Segoe UI"/>
          <w:szCs w:val="22"/>
          <w:lang w:val="uk-UA"/>
        </w:rPr>
        <w:t xml:space="preserve"> очікування на 2024 рік залишаються незмінними порівняно з оновленим прогнозом від початку травня 2024 року:</w:t>
      </w:r>
    </w:p>
    <w:p w14:paraId="067A1D3B" w14:textId="77777777" w:rsidR="00E96295" w:rsidRPr="00803B8A" w:rsidRDefault="00E96295" w:rsidP="00E96295">
      <w:pPr>
        <w:rPr>
          <w:rFonts w:cs="Arial"/>
          <w:b/>
          <w:bCs/>
          <w:szCs w:val="22"/>
          <w:lang w:val="uk-UA"/>
        </w:rPr>
      </w:pPr>
    </w:p>
    <w:p w14:paraId="15C0181C" w14:textId="77777777" w:rsidR="00E96295" w:rsidRPr="00803B8A" w:rsidRDefault="00E96295" w:rsidP="002F4B9D">
      <w:pPr>
        <w:pStyle w:val="ListParagraph"/>
        <w:numPr>
          <w:ilvl w:val="0"/>
          <w:numId w:val="18"/>
        </w:numPr>
        <w:spacing w:after="120"/>
        <w:ind w:left="714" w:hanging="357"/>
        <w:contextualSpacing w:val="0"/>
        <w:rPr>
          <w:rFonts w:cs="Segoe UI"/>
          <w:szCs w:val="22"/>
          <w:lang w:val="uk-UA"/>
        </w:rPr>
      </w:pPr>
      <w:r w:rsidRPr="00803B8A">
        <w:rPr>
          <w:rFonts w:cs="Segoe UI"/>
          <w:szCs w:val="22"/>
          <w:lang w:val="uk-UA"/>
        </w:rPr>
        <w:t xml:space="preserve">Придбання/продажі: нейтральний вплив на номінальне зростання </w:t>
      </w:r>
      <w:r w:rsidR="002F4B9D" w:rsidRPr="00803B8A">
        <w:rPr>
          <w:rFonts w:cs="Segoe UI"/>
          <w:szCs w:val="22"/>
          <w:lang w:val="uk-UA"/>
        </w:rPr>
        <w:t xml:space="preserve">обсягу </w:t>
      </w:r>
      <w:r w:rsidRPr="00803B8A">
        <w:rPr>
          <w:rFonts w:cs="Segoe UI"/>
          <w:szCs w:val="22"/>
          <w:lang w:val="uk-UA"/>
        </w:rPr>
        <w:t>продажів</w:t>
      </w:r>
    </w:p>
    <w:p w14:paraId="05699C14" w14:textId="77777777" w:rsidR="00E96295" w:rsidRPr="00803B8A" w:rsidRDefault="00E96295" w:rsidP="002F4B9D">
      <w:pPr>
        <w:pStyle w:val="ListParagraph"/>
        <w:numPr>
          <w:ilvl w:val="0"/>
          <w:numId w:val="18"/>
        </w:numPr>
        <w:spacing w:after="120"/>
        <w:ind w:left="714" w:hanging="357"/>
        <w:contextualSpacing w:val="0"/>
        <w:rPr>
          <w:rFonts w:cs="Segoe UI"/>
          <w:szCs w:val="22"/>
          <w:lang w:val="uk-UA"/>
        </w:rPr>
      </w:pPr>
      <w:r w:rsidRPr="00803B8A">
        <w:rPr>
          <w:rFonts w:cs="Segoe UI"/>
          <w:szCs w:val="22"/>
          <w:lang w:val="uk-UA"/>
        </w:rPr>
        <w:t>Перерахунок продажів в іноземній валюті: негативний вплив у низькому та середньому однозначному відсотковому діапазоні</w:t>
      </w:r>
    </w:p>
    <w:p w14:paraId="3F955DB1" w14:textId="77777777" w:rsidR="00E96295" w:rsidRPr="00803B8A" w:rsidRDefault="00E96295" w:rsidP="00E96295">
      <w:pPr>
        <w:pStyle w:val="ListParagraph"/>
        <w:numPr>
          <w:ilvl w:val="0"/>
          <w:numId w:val="18"/>
        </w:numPr>
        <w:spacing w:after="120"/>
        <w:ind w:left="714" w:hanging="357"/>
        <w:contextualSpacing w:val="0"/>
        <w:jc w:val="left"/>
        <w:rPr>
          <w:rFonts w:cs="Segoe UI"/>
          <w:szCs w:val="22"/>
          <w:lang w:val="uk-UA"/>
        </w:rPr>
      </w:pPr>
      <w:r w:rsidRPr="00803B8A">
        <w:rPr>
          <w:rFonts w:cs="Segoe UI"/>
          <w:szCs w:val="22"/>
          <w:lang w:val="uk-UA"/>
        </w:rPr>
        <w:t xml:space="preserve">Ціни на прямі матеріали: </w:t>
      </w:r>
      <w:r w:rsidR="002F4B9D" w:rsidRPr="00803B8A">
        <w:rPr>
          <w:rFonts w:cs="Segoe UI"/>
          <w:szCs w:val="22"/>
          <w:lang w:val="uk-UA"/>
        </w:rPr>
        <w:t>«м’який» вплив</w:t>
      </w:r>
      <w:r w:rsidRPr="00803B8A">
        <w:rPr>
          <w:rFonts w:cs="Segoe UI"/>
          <w:szCs w:val="22"/>
          <w:vertAlign w:val="superscript"/>
          <w:lang w:val="uk-UA"/>
        </w:rPr>
        <w:t>1</w:t>
      </w:r>
    </w:p>
    <w:p w14:paraId="60383281" w14:textId="77777777" w:rsidR="00E96295" w:rsidRPr="00803B8A" w:rsidRDefault="00E96295" w:rsidP="00E96295">
      <w:pPr>
        <w:pStyle w:val="ListParagraph"/>
        <w:numPr>
          <w:ilvl w:val="0"/>
          <w:numId w:val="18"/>
        </w:numPr>
        <w:spacing w:after="120"/>
        <w:ind w:left="714" w:hanging="357"/>
        <w:contextualSpacing w:val="0"/>
        <w:jc w:val="left"/>
        <w:rPr>
          <w:rFonts w:cs="Segoe UI"/>
          <w:szCs w:val="22"/>
          <w:lang w:val="uk-UA"/>
        </w:rPr>
      </w:pPr>
      <w:r w:rsidRPr="00803B8A">
        <w:rPr>
          <w:rFonts w:cs="Segoe UI"/>
          <w:szCs w:val="22"/>
          <w:lang w:val="uk-UA"/>
        </w:rPr>
        <w:t xml:space="preserve">Витрати на реструктуризацію </w:t>
      </w:r>
      <w:r w:rsidR="00EC6074">
        <w:rPr>
          <w:rFonts w:cs="Segoe UI"/>
          <w:szCs w:val="22"/>
          <w:lang w:val="uk-UA"/>
        </w:rPr>
        <w:t xml:space="preserve">– </w:t>
      </w:r>
      <w:r w:rsidRPr="00803B8A">
        <w:rPr>
          <w:rFonts w:cs="Segoe UI"/>
          <w:szCs w:val="22"/>
          <w:lang w:val="uk-UA"/>
        </w:rPr>
        <w:t>від 250 до 300 млн євро</w:t>
      </w:r>
    </w:p>
    <w:p w14:paraId="66F66B95" w14:textId="08B3E54D" w:rsidR="00E96295" w:rsidRPr="00803B8A" w:rsidRDefault="00E96295" w:rsidP="00E96295">
      <w:pPr>
        <w:pStyle w:val="ListParagraph"/>
        <w:numPr>
          <w:ilvl w:val="0"/>
          <w:numId w:val="18"/>
        </w:numPr>
        <w:spacing w:after="120"/>
        <w:ind w:left="714" w:hanging="357"/>
        <w:contextualSpacing w:val="0"/>
        <w:jc w:val="left"/>
        <w:rPr>
          <w:rFonts w:cs="Segoe UI"/>
          <w:szCs w:val="22"/>
          <w:lang w:val="uk-UA"/>
        </w:rPr>
      </w:pPr>
      <w:r w:rsidRPr="00803B8A">
        <w:rPr>
          <w:rFonts w:cs="Segoe UI"/>
          <w:szCs w:val="22"/>
          <w:lang w:val="uk-UA"/>
        </w:rPr>
        <w:t>Відтік грошових коштів від інвестицій в основні засоби та нематеріальні активи розмір</w:t>
      </w:r>
      <w:r w:rsidR="005152D4">
        <w:rPr>
          <w:rFonts w:cs="Segoe UI"/>
          <w:szCs w:val="22"/>
          <w:lang w:val="uk-UA"/>
        </w:rPr>
        <w:t>ом</w:t>
      </w:r>
      <w:r w:rsidRPr="00803B8A">
        <w:rPr>
          <w:rFonts w:cs="Segoe UI"/>
          <w:szCs w:val="22"/>
          <w:lang w:val="uk-UA"/>
        </w:rPr>
        <w:t xml:space="preserve"> від 650 до 750 млн євро</w:t>
      </w:r>
    </w:p>
    <w:p w14:paraId="168A227A" w14:textId="0B27B084" w:rsidR="00E96295" w:rsidRPr="00803B8A" w:rsidRDefault="00E96295" w:rsidP="00E96295">
      <w:pPr>
        <w:pStyle w:val="He01Flietext"/>
        <w:rPr>
          <w:rFonts w:cs="Arial"/>
          <w:b/>
          <w:bCs/>
          <w:lang w:val="uk-UA"/>
        </w:rPr>
      </w:pPr>
      <w:r w:rsidRPr="00803B8A">
        <w:rPr>
          <w:sz w:val="16"/>
          <w:szCs w:val="16"/>
          <w:vertAlign w:val="superscript"/>
          <w:lang w:val="uk-UA"/>
        </w:rPr>
        <w:t>1</w:t>
      </w:r>
      <w:r w:rsidRPr="00803B8A">
        <w:rPr>
          <w:sz w:val="16"/>
          <w:szCs w:val="16"/>
          <w:lang w:val="uk-UA"/>
        </w:rPr>
        <w:t xml:space="preserve"> </w:t>
      </w:r>
      <w:r w:rsidR="005152D4">
        <w:rPr>
          <w:sz w:val="16"/>
          <w:szCs w:val="16"/>
          <w:lang w:val="uk-UA"/>
        </w:rPr>
        <w:t>П</w:t>
      </w:r>
      <w:r w:rsidRPr="00803B8A">
        <w:rPr>
          <w:sz w:val="16"/>
          <w:szCs w:val="16"/>
          <w:lang w:val="uk-UA"/>
        </w:rPr>
        <w:t>орівнян</w:t>
      </w:r>
      <w:r w:rsidR="005152D4">
        <w:rPr>
          <w:sz w:val="16"/>
          <w:szCs w:val="16"/>
          <w:lang w:val="uk-UA"/>
        </w:rPr>
        <w:t>о і</w:t>
      </w:r>
      <w:r w:rsidRPr="00803B8A">
        <w:rPr>
          <w:sz w:val="16"/>
          <w:szCs w:val="16"/>
          <w:lang w:val="uk-UA"/>
        </w:rPr>
        <w:t>з середнім показником попереднього року</w:t>
      </w:r>
    </w:p>
    <w:p w14:paraId="4C5952A6" w14:textId="77777777" w:rsidR="00501494" w:rsidRPr="00803B8A" w:rsidRDefault="00501494" w:rsidP="00501494">
      <w:pPr>
        <w:rPr>
          <w:rFonts w:cs="Segoe UI"/>
          <w:szCs w:val="22"/>
          <w:lang w:val="uk-UA"/>
        </w:rPr>
      </w:pPr>
    </w:p>
    <w:p w14:paraId="19C48A37" w14:textId="77777777" w:rsidR="007F4B5D" w:rsidRPr="00803B8A" w:rsidRDefault="007F4B5D">
      <w:pPr>
        <w:spacing w:line="240" w:lineRule="auto"/>
        <w:jc w:val="left"/>
        <w:rPr>
          <w:rFonts w:cs="Arial"/>
          <w:b/>
          <w:bCs/>
          <w:szCs w:val="22"/>
          <w:lang w:val="uk-UA"/>
        </w:rPr>
      </w:pPr>
    </w:p>
    <w:p w14:paraId="23F726A4" w14:textId="77777777" w:rsidR="00741902" w:rsidRPr="00803B8A" w:rsidRDefault="00741902" w:rsidP="00741902">
      <w:pPr>
        <w:pStyle w:val="He02berschriftEbene2"/>
        <w:pageBreakBefore/>
        <w:rPr>
          <w:sz w:val="18"/>
          <w:szCs w:val="18"/>
          <w:lang w:val="uk-UA"/>
        </w:rPr>
      </w:pPr>
      <w:bookmarkStart w:id="2" w:name="SNWID_5c850bcf49ca407c99bf1fdd504ac12f"/>
      <w:r w:rsidRPr="00803B8A">
        <w:rPr>
          <w:sz w:val="18"/>
          <w:szCs w:val="18"/>
          <w:lang w:val="uk-UA"/>
        </w:rPr>
        <w:lastRenderedPageBreak/>
        <w:t>Про компанію Henkel</w:t>
      </w:r>
    </w:p>
    <w:p w14:paraId="5B922011" w14:textId="0CAB654A" w:rsidR="00741902" w:rsidRPr="00803B8A" w:rsidRDefault="00EF0635" w:rsidP="00741902">
      <w:pPr>
        <w:pStyle w:val="He01Flietext"/>
        <w:jc w:val="both"/>
        <w:rPr>
          <w:sz w:val="18"/>
          <w:szCs w:val="18"/>
          <w:lang w:val="uk-UA"/>
        </w:rPr>
      </w:pPr>
      <w:r w:rsidRPr="00803B8A">
        <w:rPr>
          <w:sz w:val="18"/>
          <w:szCs w:val="18"/>
          <w:lang w:val="uk-UA"/>
        </w:rPr>
        <w:t xml:space="preserve">Завдяки своїм брендам, інноваціям і технологіям компанія </w:t>
      </w:r>
      <w:r w:rsidRPr="00803B8A">
        <w:rPr>
          <w:spacing w:val="-2"/>
          <w:sz w:val="18"/>
          <w:szCs w:val="18"/>
          <w:lang w:val="uk-UA"/>
        </w:rPr>
        <w:t>Henkel</w:t>
      </w:r>
      <w:r w:rsidRPr="00803B8A">
        <w:rPr>
          <w:sz w:val="18"/>
          <w:szCs w:val="18"/>
          <w:lang w:val="uk-UA"/>
        </w:rPr>
        <w:t xml:space="preserve"> займає провідні позиції на світовому ринку в промисловому та споживчому бізнесі. Підрозділ «Клейові технології» є світовим лідером на ринку клеїв, герметиків і функціональних покриттів. Підрозділ «Споживчі бренди» утримує провідні позиції на багатьох ринках і в багатьох категоріях по всьому світу, особливо у сфері засобів для прання та догляду за будинком і волоссям. Три найсильніші бренди компанії </w:t>
      </w:r>
      <w:r w:rsidR="00803B8A">
        <w:rPr>
          <w:sz w:val="18"/>
          <w:szCs w:val="18"/>
          <w:lang w:val="uk-UA"/>
        </w:rPr>
        <w:t>–</w:t>
      </w:r>
      <w:r w:rsidRPr="00803B8A">
        <w:rPr>
          <w:sz w:val="18"/>
          <w:szCs w:val="18"/>
          <w:lang w:val="uk-UA"/>
        </w:rPr>
        <w:t xml:space="preserve"> </w:t>
      </w:r>
      <w:proofErr w:type="spellStart"/>
      <w:r w:rsidRPr="00803B8A">
        <w:rPr>
          <w:sz w:val="18"/>
          <w:szCs w:val="18"/>
          <w:lang w:val="uk-UA"/>
        </w:rPr>
        <w:t>Loctite</w:t>
      </w:r>
      <w:proofErr w:type="spellEnd"/>
      <w:r w:rsidRPr="00803B8A">
        <w:rPr>
          <w:sz w:val="18"/>
          <w:szCs w:val="18"/>
          <w:lang w:val="uk-UA"/>
        </w:rPr>
        <w:t xml:space="preserve">, </w:t>
      </w:r>
      <w:proofErr w:type="spellStart"/>
      <w:r w:rsidRPr="00803B8A">
        <w:rPr>
          <w:sz w:val="18"/>
          <w:szCs w:val="18"/>
          <w:lang w:val="uk-UA"/>
        </w:rPr>
        <w:t>Persil</w:t>
      </w:r>
      <w:proofErr w:type="spellEnd"/>
      <w:r w:rsidRPr="00803B8A">
        <w:rPr>
          <w:sz w:val="18"/>
          <w:szCs w:val="18"/>
          <w:lang w:val="uk-UA"/>
        </w:rPr>
        <w:t xml:space="preserve"> та </w:t>
      </w:r>
      <w:proofErr w:type="spellStart"/>
      <w:r w:rsidRPr="00803B8A">
        <w:rPr>
          <w:sz w:val="18"/>
          <w:szCs w:val="18"/>
          <w:lang w:val="uk-UA"/>
        </w:rPr>
        <w:t>Schwarzkopf</w:t>
      </w:r>
      <w:proofErr w:type="spellEnd"/>
      <w:r w:rsidRPr="00803B8A">
        <w:rPr>
          <w:sz w:val="18"/>
          <w:szCs w:val="18"/>
          <w:lang w:val="uk-UA"/>
        </w:rPr>
        <w:t xml:space="preserve">. У 2023 фінансовому році обсяг продажів компанії </w:t>
      </w:r>
      <w:r w:rsidRPr="00803B8A">
        <w:rPr>
          <w:spacing w:val="-2"/>
          <w:sz w:val="18"/>
          <w:szCs w:val="18"/>
          <w:lang w:val="uk-UA"/>
        </w:rPr>
        <w:t>Henkel</w:t>
      </w:r>
      <w:r w:rsidRPr="00803B8A">
        <w:rPr>
          <w:sz w:val="18"/>
          <w:szCs w:val="18"/>
          <w:lang w:val="uk-UA"/>
        </w:rPr>
        <w:t xml:space="preserve"> </w:t>
      </w:r>
      <w:r w:rsidR="00EC6074">
        <w:rPr>
          <w:sz w:val="18"/>
          <w:szCs w:val="18"/>
          <w:lang w:val="uk-UA"/>
        </w:rPr>
        <w:t xml:space="preserve">становив </w:t>
      </w:r>
      <w:r w:rsidRPr="00803B8A">
        <w:rPr>
          <w:sz w:val="18"/>
          <w:szCs w:val="18"/>
          <w:lang w:val="uk-UA"/>
        </w:rPr>
        <w:t xml:space="preserve">понад 21,5 </w:t>
      </w:r>
      <w:r w:rsidR="002F4B9D" w:rsidRPr="00803B8A">
        <w:rPr>
          <w:sz w:val="18"/>
          <w:szCs w:val="18"/>
          <w:lang w:val="uk-UA"/>
        </w:rPr>
        <w:t>млрд</w:t>
      </w:r>
      <w:r w:rsidRPr="00803B8A">
        <w:rPr>
          <w:sz w:val="18"/>
          <w:szCs w:val="18"/>
          <w:lang w:val="uk-UA"/>
        </w:rPr>
        <w:t xml:space="preserve"> євро, а скоригований операційний прибуток </w:t>
      </w:r>
      <w:r w:rsidR="00803B8A">
        <w:rPr>
          <w:sz w:val="18"/>
          <w:szCs w:val="18"/>
          <w:lang w:val="uk-UA"/>
        </w:rPr>
        <w:t>–</w:t>
      </w:r>
      <w:r w:rsidRPr="00803B8A">
        <w:rPr>
          <w:sz w:val="18"/>
          <w:szCs w:val="18"/>
          <w:lang w:val="uk-UA"/>
        </w:rPr>
        <w:t xml:space="preserve"> близько 2,6</w:t>
      </w:r>
      <w:r w:rsidR="00803B8A">
        <w:rPr>
          <w:sz w:val="18"/>
          <w:szCs w:val="18"/>
          <w:lang w:val="uk-UA"/>
        </w:rPr>
        <w:t> </w:t>
      </w:r>
      <w:r w:rsidR="002F4B9D" w:rsidRPr="00803B8A">
        <w:rPr>
          <w:sz w:val="18"/>
          <w:szCs w:val="18"/>
          <w:lang w:val="uk-UA"/>
        </w:rPr>
        <w:t>млрд</w:t>
      </w:r>
      <w:r w:rsidRPr="00803B8A">
        <w:rPr>
          <w:sz w:val="18"/>
          <w:szCs w:val="18"/>
          <w:lang w:val="uk-UA"/>
        </w:rPr>
        <w:t xml:space="preserve"> євро. Привілейовані акції компанії </w:t>
      </w:r>
      <w:r w:rsidRPr="00803B8A">
        <w:rPr>
          <w:spacing w:val="-2"/>
          <w:sz w:val="18"/>
          <w:szCs w:val="18"/>
          <w:lang w:val="uk-UA"/>
        </w:rPr>
        <w:t>Henkel</w:t>
      </w:r>
      <w:r w:rsidRPr="00803B8A">
        <w:rPr>
          <w:sz w:val="18"/>
          <w:szCs w:val="18"/>
          <w:lang w:val="uk-UA"/>
        </w:rPr>
        <w:t xml:space="preserve"> входять до німецького фондового індексу DAX. Сталий розвиток має давні традиції в компанії </w:t>
      </w:r>
      <w:r w:rsidRPr="00803B8A">
        <w:rPr>
          <w:spacing w:val="-2"/>
          <w:sz w:val="18"/>
          <w:szCs w:val="18"/>
          <w:lang w:val="uk-UA"/>
        </w:rPr>
        <w:t>Henkel</w:t>
      </w:r>
      <w:r w:rsidRPr="00803B8A">
        <w:rPr>
          <w:sz w:val="18"/>
          <w:szCs w:val="18"/>
          <w:lang w:val="uk-UA"/>
        </w:rPr>
        <w:t xml:space="preserve">, і компанія має чітку стратегію сталого розвитку з конкретними цілями. Компанія </w:t>
      </w:r>
      <w:r w:rsidRPr="00803B8A">
        <w:rPr>
          <w:spacing w:val="-2"/>
          <w:sz w:val="18"/>
          <w:szCs w:val="18"/>
          <w:lang w:val="uk-UA"/>
        </w:rPr>
        <w:t>Henkel</w:t>
      </w:r>
      <w:r w:rsidRPr="00803B8A">
        <w:rPr>
          <w:sz w:val="18"/>
          <w:szCs w:val="18"/>
          <w:lang w:val="uk-UA"/>
        </w:rPr>
        <w:t xml:space="preserve"> була заснована в 1876 році і сьогодні налічує близько 48 000 співробітників по всьому світу, яких об’єднує сильна корпоративна культура, спільні цінності та спільна мета: «Першопрохідці в душі на благо поколінь». </w:t>
      </w:r>
      <w:r w:rsidR="00741902" w:rsidRPr="00803B8A">
        <w:rPr>
          <w:sz w:val="18"/>
          <w:szCs w:val="18"/>
          <w:lang w:val="uk-UA"/>
        </w:rPr>
        <w:t xml:space="preserve">Більш детальну інформацію можна знайти на сайті </w:t>
      </w:r>
      <w:hyperlink r:id="rId12" w:history="1">
        <w:r w:rsidR="00741902" w:rsidRPr="00803B8A">
          <w:rPr>
            <w:rStyle w:val="Hyperlink"/>
            <w:lang w:val="uk-UA"/>
          </w:rPr>
          <w:t>www.henkel.com</w:t>
        </w:r>
      </w:hyperlink>
      <w:r w:rsidR="00741902" w:rsidRPr="00803B8A">
        <w:rPr>
          <w:sz w:val="18"/>
          <w:szCs w:val="18"/>
          <w:lang w:val="uk-UA"/>
        </w:rPr>
        <w:t>.</w:t>
      </w:r>
    </w:p>
    <w:p w14:paraId="0FE518C0" w14:textId="51403135" w:rsidR="00741902" w:rsidRPr="00803B8A" w:rsidRDefault="00741902" w:rsidP="00EF0635">
      <w:pPr>
        <w:pStyle w:val="He01Flietext"/>
        <w:jc w:val="both"/>
        <w:rPr>
          <w:rStyle w:val="AboutandContactBody"/>
          <w:rFonts w:eastAsia="Times New Roman" w:cs="Times New Roman"/>
          <w:sz w:val="14"/>
          <w:szCs w:val="14"/>
          <w:lang w:val="uk-UA"/>
        </w:rPr>
      </w:pPr>
      <w:r w:rsidRPr="00803B8A">
        <w:rPr>
          <w:rStyle w:val="AboutandContactBody"/>
          <w:rFonts w:eastAsia="Times New Roman" w:cs="Times New Roman"/>
          <w:sz w:val="14"/>
          <w:szCs w:val="14"/>
          <w:lang w:val="uk-UA"/>
        </w:rPr>
        <w:t xml:space="preserve">Цей документ містить заяви, що стосуються майбутнього розвитку бізнесу, фінансових показників та інших подій, які можуть мати </w:t>
      </w:r>
      <w:r w:rsidR="00EC6074">
        <w:rPr>
          <w:rStyle w:val="AboutandContactBody"/>
          <w:rFonts w:eastAsia="Times New Roman" w:cs="Times New Roman"/>
          <w:sz w:val="14"/>
          <w:szCs w:val="14"/>
          <w:lang w:val="uk-UA"/>
        </w:rPr>
        <w:t xml:space="preserve">стосунок </w:t>
      </w:r>
      <w:r w:rsidRPr="00803B8A">
        <w:rPr>
          <w:rStyle w:val="AboutandContactBody"/>
          <w:rFonts w:eastAsia="Times New Roman" w:cs="Times New Roman"/>
          <w:sz w:val="14"/>
          <w:szCs w:val="14"/>
          <w:lang w:val="uk-UA"/>
        </w:rPr>
        <w:t xml:space="preserve">до компанії Henkel у майбутньому і які можуть являти собою прогнозні заяви. Заяви щодо майбутнього характеризуються використанням таких слів, як «очікувати», «мати намір», «планувати», «передбачати», «вважати», «оцінювати» та подібних термінів. </w:t>
      </w:r>
      <w:r w:rsidR="00EF0635" w:rsidRPr="00803B8A">
        <w:rPr>
          <w:rStyle w:val="AboutandContactBody"/>
          <w:rFonts w:eastAsia="Times New Roman" w:cs="Times New Roman"/>
          <w:sz w:val="14"/>
          <w:szCs w:val="14"/>
          <w:lang w:val="uk-UA"/>
        </w:rPr>
        <w:t>Такі</w:t>
      </w:r>
      <w:r w:rsidRPr="00803B8A">
        <w:rPr>
          <w:rStyle w:val="AboutandContactBody"/>
          <w:rFonts w:eastAsia="Times New Roman" w:cs="Times New Roman"/>
          <w:sz w:val="14"/>
          <w:szCs w:val="14"/>
          <w:lang w:val="uk-UA"/>
        </w:rPr>
        <w:t xml:space="preserve"> заяви ґрунтуються на поточних оцінках і припущеннях, зроблених корпоративним керівництвом компанії Henkel AG &amp; </w:t>
      </w:r>
      <w:proofErr w:type="spellStart"/>
      <w:r w:rsidRPr="00803B8A">
        <w:rPr>
          <w:rStyle w:val="AboutandContactBody"/>
          <w:rFonts w:eastAsia="Times New Roman" w:cs="Times New Roman"/>
          <w:sz w:val="14"/>
          <w:szCs w:val="14"/>
          <w:lang w:val="uk-UA"/>
        </w:rPr>
        <w:t>Co</w:t>
      </w:r>
      <w:proofErr w:type="spellEnd"/>
      <w:r w:rsidRPr="00803B8A">
        <w:rPr>
          <w:rStyle w:val="AboutandContactBody"/>
          <w:rFonts w:eastAsia="Times New Roman" w:cs="Times New Roman"/>
          <w:sz w:val="14"/>
          <w:szCs w:val="14"/>
          <w:lang w:val="uk-UA"/>
        </w:rPr>
        <w:t xml:space="preserve">. </w:t>
      </w:r>
      <w:proofErr w:type="spellStart"/>
      <w:r w:rsidRPr="00803B8A">
        <w:rPr>
          <w:rStyle w:val="AboutandContactBody"/>
          <w:rFonts w:eastAsia="Times New Roman" w:cs="Times New Roman"/>
          <w:sz w:val="14"/>
          <w:szCs w:val="14"/>
          <w:lang w:val="uk-UA"/>
        </w:rPr>
        <w:t>KGaA</w:t>
      </w:r>
      <w:proofErr w:type="spellEnd"/>
      <w:r w:rsidRPr="00803B8A">
        <w:rPr>
          <w:rStyle w:val="AboutandContactBody"/>
          <w:rFonts w:eastAsia="Times New Roman" w:cs="Times New Roman"/>
          <w:sz w:val="14"/>
          <w:szCs w:val="14"/>
          <w:lang w:val="uk-UA"/>
        </w:rPr>
        <w:t xml:space="preserve">. Такі заяви не слід розуміти як гарантію того, що ці очікування справдяться. Майбутні показники та результати, фактично досягнуті компанією Henkel AG &amp; </w:t>
      </w:r>
      <w:proofErr w:type="spellStart"/>
      <w:r w:rsidRPr="00803B8A">
        <w:rPr>
          <w:rStyle w:val="AboutandContactBody"/>
          <w:rFonts w:eastAsia="Times New Roman" w:cs="Times New Roman"/>
          <w:sz w:val="14"/>
          <w:szCs w:val="14"/>
          <w:lang w:val="uk-UA"/>
        </w:rPr>
        <w:t>Co</w:t>
      </w:r>
      <w:proofErr w:type="spellEnd"/>
      <w:r w:rsidRPr="00803B8A">
        <w:rPr>
          <w:rStyle w:val="AboutandContactBody"/>
          <w:rFonts w:eastAsia="Times New Roman" w:cs="Times New Roman"/>
          <w:sz w:val="14"/>
          <w:szCs w:val="14"/>
          <w:lang w:val="uk-UA"/>
        </w:rPr>
        <w:t xml:space="preserve">. </w:t>
      </w:r>
      <w:proofErr w:type="spellStart"/>
      <w:r w:rsidRPr="00803B8A">
        <w:rPr>
          <w:rStyle w:val="AboutandContactBody"/>
          <w:rFonts w:eastAsia="Times New Roman" w:cs="Times New Roman"/>
          <w:sz w:val="14"/>
          <w:szCs w:val="14"/>
          <w:lang w:val="uk-UA"/>
        </w:rPr>
        <w:t>KGaA</w:t>
      </w:r>
      <w:proofErr w:type="spellEnd"/>
      <w:r w:rsidRPr="00803B8A">
        <w:rPr>
          <w:rStyle w:val="AboutandContactBody"/>
          <w:rFonts w:eastAsia="Times New Roman" w:cs="Times New Roman"/>
          <w:sz w:val="14"/>
          <w:szCs w:val="14"/>
          <w:lang w:val="uk-UA"/>
        </w:rPr>
        <w:t xml:space="preserve"> та її дочірніми компаніями залежать від ряду ризиків і невизначеностей і тому можуть істотно відрізнятися від прогнозних заяв</w:t>
      </w:r>
      <w:r w:rsidR="00243B18" w:rsidRPr="00803B8A">
        <w:rPr>
          <w:rStyle w:val="AboutandContactBody"/>
          <w:rFonts w:eastAsia="Times New Roman" w:cs="Times New Roman"/>
          <w:sz w:val="14"/>
          <w:szCs w:val="14"/>
          <w:lang w:val="uk-UA"/>
        </w:rPr>
        <w:t xml:space="preserve"> (як позитивно, так і негативно)</w:t>
      </w:r>
      <w:r w:rsidRPr="00803B8A">
        <w:rPr>
          <w:rStyle w:val="AboutandContactBody"/>
          <w:rFonts w:eastAsia="Times New Roman" w:cs="Times New Roman"/>
          <w:sz w:val="14"/>
          <w:szCs w:val="14"/>
          <w:lang w:val="uk-UA"/>
        </w:rPr>
        <w:t xml:space="preserve">. Багато з цих </w:t>
      </w:r>
      <w:r w:rsidR="00243B18" w:rsidRPr="00803B8A">
        <w:rPr>
          <w:rStyle w:val="AboutandContactBody"/>
          <w:rFonts w:eastAsia="Times New Roman" w:cs="Times New Roman"/>
          <w:sz w:val="14"/>
          <w:szCs w:val="14"/>
          <w:lang w:val="uk-UA"/>
        </w:rPr>
        <w:t>чинників</w:t>
      </w:r>
      <w:r w:rsidRPr="00803B8A">
        <w:rPr>
          <w:rStyle w:val="AboutandContactBody"/>
          <w:rFonts w:eastAsia="Times New Roman" w:cs="Times New Roman"/>
          <w:sz w:val="14"/>
          <w:szCs w:val="14"/>
          <w:lang w:val="uk-UA"/>
        </w:rPr>
        <w:t xml:space="preserve"> знаходяться поза межами контролю компанії Henkel і не можуть бути точно оцінені заздалегідь, наприклад, майбутні економічні умови, дії конкурентів та інших учасників ринку. Компанія Henkel не планує і не бере на себе зобов’язання оновлювати прогнозні заяви.</w:t>
      </w:r>
    </w:p>
    <w:p w14:paraId="62F338CB" w14:textId="77777777" w:rsidR="00741902" w:rsidRPr="00803B8A" w:rsidRDefault="00741902" w:rsidP="00EF0635">
      <w:pPr>
        <w:pStyle w:val="He01Flietext"/>
        <w:jc w:val="both"/>
        <w:rPr>
          <w:rStyle w:val="AboutandContactBody"/>
          <w:rFonts w:eastAsia="Times New Roman" w:cs="Times New Roman"/>
          <w:sz w:val="14"/>
          <w:szCs w:val="14"/>
          <w:lang w:val="uk-UA"/>
        </w:rPr>
      </w:pPr>
      <w:r w:rsidRPr="00803B8A">
        <w:rPr>
          <w:rStyle w:val="AboutandContactBody"/>
          <w:rFonts w:eastAsia="Times New Roman" w:cs="Times New Roman"/>
          <w:sz w:val="14"/>
          <w:szCs w:val="14"/>
          <w:lang w:val="uk-UA"/>
        </w:rPr>
        <w:t>Цей документ містить додаткові фінансові показники, які не мають чіткого визначення у відповідній системі фінансової звітності і які є або можуть бути альтернативними показниками діяльності. Такі додаткові фінансові показники не повинні розглядатися ізольовано або як альтернатива показникам чистих активів, фінансового стану або результатів діяльності компанії Henkel, представленим відповідно до застосовної концептуальної основи фінансової звітності в її консолідованій фінансовій звітності. Інші компанії, які повідомляють або описують подібні альтернативні показники ефективності, можуть розраховувати їх по-різному.</w:t>
      </w:r>
    </w:p>
    <w:p w14:paraId="27D6A2AF" w14:textId="77777777" w:rsidR="00741902" w:rsidRPr="00803B8A" w:rsidRDefault="00741902" w:rsidP="00EF0635">
      <w:pPr>
        <w:pStyle w:val="He01Flietext"/>
        <w:jc w:val="both"/>
        <w:rPr>
          <w:rStyle w:val="AboutandContactBody"/>
          <w:rFonts w:eastAsia="Times New Roman" w:cs="Times New Roman"/>
          <w:sz w:val="14"/>
          <w:szCs w:val="14"/>
          <w:lang w:val="uk-UA"/>
        </w:rPr>
      </w:pPr>
      <w:r w:rsidRPr="00803B8A">
        <w:rPr>
          <w:rStyle w:val="AboutandContactBody"/>
          <w:rFonts w:eastAsia="Times New Roman" w:cs="Times New Roman"/>
          <w:sz w:val="14"/>
          <w:szCs w:val="14"/>
          <w:lang w:val="uk-UA"/>
        </w:rPr>
        <w:t>Цей документ виданий виключно з інформаційною метою і не є інвестиційною консультацією або пропозицією щодо продажу чи запрошенням до подання пропозицій щодо купівлі будь-яких цінних паперів.</w:t>
      </w:r>
    </w:p>
    <w:bookmarkEnd w:id="2"/>
    <w:p w14:paraId="121B49CC" w14:textId="77777777" w:rsidR="00A678F9" w:rsidRPr="007B55A2" w:rsidRDefault="00A678F9" w:rsidP="00A678F9">
      <w:pPr>
        <w:rPr>
          <w:rFonts w:cs="Segoe UI"/>
          <w:color w:val="000000"/>
          <w:sz w:val="18"/>
          <w:szCs w:val="18"/>
          <w:u w:val="single"/>
          <w:lang w:val="ru-RU"/>
        </w:rPr>
      </w:pPr>
      <w:r w:rsidRPr="007B55A2">
        <w:rPr>
          <w:rFonts w:cs="Segoe UI"/>
          <w:color w:val="000000"/>
          <w:sz w:val="18"/>
          <w:szCs w:val="18"/>
          <w:u w:val="single"/>
          <w:lang w:val="ru-RU"/>
        </w:rPr>
        <w:t xml:space="preserve">За </w:t>
      </w:r>
      <w:proofErr w:type="spellStart"/>
      <w:r w:rsidRPr="007B55A2">
        <w:rPr>
          <w:rFonts w:cs="Segoe UI"/>
          <w:color w:val="000000"/>
          <w:sz w:val="18"/>
          <w:szCs w:val="18"/>
          <w:u w:val="single"/>
          <w:lang w:val="ru-RU"/>
        </w:rPr>
        <w:t>додатковою</w:t>
      </w:r>
      <w:proofErr w:type="spellEnd"/>
      <w:r w:rsidRPr="007B55A2">
        <w:rPr>
          <w:rFonts w:cs="Segoe UI"/>
          <w:color w:val="000000"/>
          <w:sz w:val="18"/>
          <w:szCs w:val="18"/>
          <w:u w:val="single"/>
          <w:lang w:val="ru-RU"/>
        </w:rPr>
        <w:t xml:space="preserve"> </w:t>
      </w:r>
      <w:proofErr w:type="spellStart"/>
      <w:r w:rsidRPr="007B55A2">
        <w:rPr>
          <w:rFonts w:cs="Segoe UI"/>
          <w:color w:val="000000"/>
          <w:sz w:val="18"/>
          <w:szCs w:val="18"/>
          <w:u w:val="single"/>
          <w:lang w:val="ru-RU"/>
        </w:rPr>
        <w:t>інформацією</w:t>
      </w:r>
      <w:proofErr w:type="spellEnd"/>
      <w:r w:rsidRPr="007B55A2">
        <w:rPr>
          <w:rFonts w:cs="Segoe UI"/>
          <w:color w:val="000000"/>
          <w:sz w:val="18"/>
          <w:szCs w:val="18"/>
          <w:u w:val="single"/>
          <w:lang w:val="ru-RU"/>
        </w:rPr>
        <w:t xml:space="preserve">, будь ласка, </w:t>
      </w:r>
      <w:proofErr w:type="spellStart"/>
      <w:r w:rsidRPr="007B55A2">
        <w:rPr>
          <w:rFonts w:cs="Segoe UI"/>
          <w:color w:val="000000"/>
          <w:sz w:val="18"/>
          <w:szCs w:val="18"/>
          <w:u w:val="single"/>
          <w:lang w:val="ru-RU"/>
        </w:rPr>
        <w:t>звертайтеся</w:t>
      </w:r>
      <w:proofErr w:type="spellEnd"/>
      <w:r w:rsidRPr="007B55A2">
        <w:rPr>
          <w:rFonts w:cs="Segoe UI"/>
          <w:color w:val="000000"/>
          <w:sz w:val="18"/>
          <w:szCs w:val="18"/>
          <w:u w:val="single"/>
          <w:lang w:val="ru-RU"/>
        </w:rPr>
        <w:t xml:space="preserve"> до:</w:t>
      </w:r>
    </w:p>
    <w:p w14:paraId="3BEAC258" w14:textId="77777777" w:rsidR="00A678F9" w:rsidRPr="007B55A2" w:rsidRDefault="00A678F9" w:rsidP="00A678F9">
      <w:pPr>
        <w:rPr>
          <w:rFonts w:cs="Segoe UI"/>
          <w:color w:val="000000"/>
          <w:sz w:val="18"/>
          <w:szCs w:val="18"/>
          <w:u w:val="single"/>
          <w:lang w:val="ru-RU"/>
        </w:rPr>
      </w:pPr>
    </w:p>
    <w:p w14:paraId="382E7C64" w14:textId="77777777" w:rsidR="00A678F9" w:rsidRPr="007B55A2" w:rsidRDefault="00A678F9" w:rsidP="00A678F9">
      <w:pPr>
        <w:spacing w:line="240" w:lineRule="auto"/>
        <w:rPr>
          <w:rStyle w:val="AboutandContactBody"/>
          <w:rFonts w:cs="Segoe UI"/>
          <w:b/>
          <w:szCs w:val="16"/>
          <w:lang w:val="ru-RU"/>
        </w:rPr>
      </w:pPr>
    </w:p>
    <w:tbl>
      <w:tblPr>
        <w:tblW w:w="9322" w:type="dxa"/>
        <w:tblLayout w:type="fixed"/>
        <w:tblLook w:val="0000" w:firstRow="0" w:lastRow="0" w:firstColumn="0" w:lastColumn="0" w:noHBand="0" w:noVBand="0"/>
      </w:tblPr>
      <w:tblGrid>
        <w:gridCol w:w="4644"/>
        <w:gridCol w:w="4678"/>
      </w:tblGrid>
      <w:tr w:rsidR="00A678F9" w:rsidRPr="007B55A2" w14:paraId="4FE57E62" w14:textId="77777777" w:rsidTr="00327A72">
        <w:trPr>
          <w:trHeight w:val="615"/>
        </w:trPr>
        <w:tc>
          <w:tcPr>
            <w:tcW w:w="4644" w:type="dxa"/>
          </w:tcPr>
          <w:p w14:paraId="6A66DAAC" w14:textId="77777777" w:rsidR="00A678F9" w:rsidRPr="007B55A2" w:rsidRDefault="00A678F9" w:rsidP="00327A72">
            <w:pPr>
              <w:rPr>
                <w:rFonts w:cs="Segoe UI"/>
                <w:color w:val="000000"/>
                <w:sz w:val="18"/>
                <w:szCs w:val="18"/>
                <w:lang w:val="ru-RU"/>
              </w:rPr>
            </w:pPr>
            <w:r w:rsidRPr="007B55A2">
              <w:rPr>
                <w:rFonts w:cs="Segoe UI"/>
                <w:color w:val="000000"/>
                <w:sz w:val="18"/>
                <w:szCs w:val="18"/>
                <w:lang w:val="ru-RU"/>
              </w:rPr>
              <w:t xml:space="preserve">Олени </w:t>
            </w:r>
            <w:proofErr w:type="spellStart"/>
            <w:r w:rsidRPr="007B55A2">
              <w:rPr>
                <w:rFonts w:cs="Segoe UI"/>
                <w:color w:val="000000"/>
                <w:sz w:val="18"/>
                <w:szCs w:val="18"/>
                <w:lang w:val="ru-RU"/>
              </w:rPr>
              <w:t>Андрощук</w:t>
            </w:r>
            <w:proofErr w:type="spellEnd"/>
            <w:r w:rsidRPr="007B55A2">
              <w:rPr>
                <w:rFonts w:cs="Segoe UI"/>
                <w:color w:val="000000"/>
                <w:sz w:val="18"/>
                <w:szCs w:val="18"/>
                <w:lang w:val="ru-RU"/>
              </w:rPr>
              <w:t>,</w:t>
            </w:r>
          </w:p>
          <w:p w14:paraId="06DFEA3B" w14:textId="77777777" w:rsidR="00A678F9" w:rsidRPr="007B55A2" w:rsidRDefault="00A678F9" w:rsidP="00327A72">
            <w:pPr>
              <w:rPr>
                <w:rFonts w:cs="Segoe UI"/>
                <w:color w:val="000000"/>
                <w:sz w:val="18"/>
                <w:szCs w:val="18"/>
                <w:lang w:val="ru-RU"/>
              </w:rPr>
            </w:pPr>
            <w:proofErr w:type="spellStart"/>
            <w:r w:rsidRPr="007B55A2">
              <w:rPr>
                <w:rFonts w:cs="Segoe UI"/>
                <w:color w:val="000000"/>
                <w:sz w:val="18"/>
                <w:szCs w:val="18"/>
                <w:lang w:val="ru-RU"/>
              </w:rPr>
              <w:t>керівника</w:t>
            </w:r>
            <w:proofErr w:type="spellEnd"/>
            <w:r w:rsidRPr="007B55A2">
              <w:rPr>
                <w:rFonts w:cs="Segoe UI"/>
                <w:color w:val="000000"/>
                <w:sz w:val="18"/>
                <w:szCs w:val="18"/>
                <w:lang w:val="ru-RU"/>
              </w:rPr>
              <w:t xml:space="preserve"> </w:t>
            </w:r>
            <w:proofErr w:type="spellStart"/>
            <w:r w:rsidRPr="007B55A2">
              <w:rPr>
                <w:rFonts w:cs="Segoe UI"/>
                <w:color w:val="000000"/>
                <w:sz w:val="18"/>
                <w:szCs w:val="18"/>
                <w:lang w:val="ru-RU"/>
              </w:rPr>
              <w:t>відділу</w:t>
            </w:r>
            <w:proofErr w:type="spellEnd"/>
          </w:p>
          <w:p w14:paraId="57298291" w14:textId="77777777" w:rsidR="00A678F9" w:rsidRPr="007B55A2" w:rsidRDefault="00A678F9" w:rsidP="00327A72">
            <w:pPr>
              <w:rPr>
                <w:rFonts w:cs="Segoe UI"/>
                <w:color w:val="000000"/>
                <w:sz w:val="18"/>
                <w:szCs w:val="18"/>
                <w:lang w:val="ru-RU"/>
              </w:rPr>
            </w:pPr>
            <w:proofErr w:type="spellStart"/>
            <w:r w:rsidRPr="007B55A2">
              <w:rPr>
                <w:rFonts w:cs="Segoe UI"/>
                <w:color w:val="000000"/>
                <w:sz w:val="18"/>
                <w:szCs w:val="18"/>
                <w:lang w:val="ru-RU"/>
              </w:rPr>
              <w:t>корпоративних</w:t>
            </w:r>
            <w:proofErr w:type="spellEnd"/>
            <w:r w:rsidRPr="007B55A2">
              <w:rPr>
                <w:rFonts w:cs="Segoe UI"/>
                <w:color w:val="000000"/>
                <w:sz w:val="18"/>
                <w:szCs w:val="18"/>
                <w:lang w:val="ru-RU"/>
              </w:rPr>
              <w:t xml:space="preserve"> </w:t>
            </w:r>
            <w:proofErr w:type="spellStart"/>
            <w:r w:rsidRPr="007B55A2">
              <w:rPr>
                <w:rFonts w:cs="Segoe UI"/>
                <w:color w:val="000000"/>
                <w:sz w:val="18"/>
                <w:szCs w:val="18"/>
                <w:lang w:val="ru-RU"/>
              </w:rPr>
              <w:t>комунікацій</w:t>
            </w:r>
            <w:proofErr w:type="spellEnd"/>
            <w:r w:rsidRPr="007B55A2">
              <w:rPr>
                <w:rFonts w:cs="Segoe UI"/>
                <w:color w:val="000000"/>
                <w:sz w:val="18"/>
                <w:szCs w:val="18"/>
                <w:lang w:val="ru-RU"/>
              </w:rPr>
              <w:t xml:space="preserve"> </w:t>
            </w:r>
          </w:p>
          <w:p w14:paraId="6E82EA29" w14:textId="77777777" w:rsidR="00A678F9" w:rsidRPr="007B55A2" w:rsidRDefault="00A678F9" w:rsidP="00327A72">
            <w:pPr>
              <w:rPr>
                <w:rFonts w:cs="Segoe UI"/>
                <w:color w:val="000000"/>
                <w:sz w:val="18"/>
                <w:szCs w:val="18"/>
                <w:lang w:val="ru-RU"/>
              </w:rPr>
            </w:pPr>
            <w:r w:rsidRPr="007B55A2">
              <w:rPr>
                <w:rFonts w:cs="Segoe UI"/>
                <w:color w:val="000000"/>
                <w:sz w:val="18"/>
                <w:szCs w:val="18"/>
                <w:lang w:val="ru-RU"/>
              </w:rPr>
              <w:t xml:space="preserve">«Хенкель» в </w:t>
            </w:r>
            <w:proofErr w:type="spellStart"/>
            <w:r w:rsidRPr="007B55A2">
              <w:rPr>
                <w:rFonts w:cs="Segoe UI"/>
                <w:color w:val="000000"/>
                <w:sz w:val="18"/>
                <w:szCs w:val="18"/>
                <w:lang w:val="ru-RU"/>
              </w:rPr>
              <w:t>Україні</w:t>
            </w:r>
            <w:proofErr w:type="spellEnd"/>
          </w:p>
          <w:p w14:paraId="2F5E1FE8" w14:textId="77777777" w:rsidR="00A678F9" w:rsidRPr="00873F29" w:rsidRDefault="00A678F9" w:rsidP="00327A72">
            <w:pPr>
              <w:rPr>
                <w:rFonts w:cs="Segoe UI"/>
                <w:color w:val="000000"/>
                <w:sz w:val="18"/>
                <w:szCs w:val="18"/>
                <w:lang w:val="ru-RU"/>
              </w:rPr>
            </w:pPr>
          </w:p>
          <w:p w14:paraId="48FAC83E" w14:textId="77777777" w:rsidR="00A678F9" w:rsidRPr="007B55A2" w:rsidRDefault="00A678F9" w:rsidP="00327A72">
            <w:pPr>
              <w:rPr>
                <w:rFonts w:cs="Segoe UI"/>
                <w:color w:val="000000"/>
                <w:sz w:val="18"/>
                <w:szCs w:val="18"/>
                <w:lang w:val="ru-RU"/>
              </w:rPr>
            </w:pPr>
            <w:r w:rsidRPr="007B55A2">
              <w:rPr>
                <w:rFonts w:cs="Segoe UI"/>
                <w:color w:val="000000"/>
                <w:sz w:val="18"/>
                <w:szCs w:val="18"/>
                <w:lang w:val="ru-RU"/>
              </w:rPr>
              <w:t xml:space="preserve">«Хенкель </w:t>
            </w:r>
            <w:proofErr w:type="spellStart"/>
            <w:r w:rsidRPr="007B55A2">
              <w:rPr>
                <w:rFonts w:cs="Segoe UI"/>
                <w:color w:val="000000"/>
                <w:sz w:val="18"/>
                <w:szCs w:val="18"/>
                <w:lang w:val="ru-RU"/>
              </w:rPr>
              <w:t>Україна</w:t>
            </w:r>
            <w:proofErr w:type="spellEnd"/>
            <w:r w:rsidRPr="007B55A2">
              <w:rPr>
                <w:rFonts w:cs="Segoe UI"/>
                <w:color w:val="000000"/>
                <w:sz w:val="18"/>
                <w:szCs w:val="18"/>
                <w:lang w:val="ru-RU"/>
              </w:rPr>
              <w:t xml:space="preserve">» </w:t>
            </w:r>
          </w:p>
          <w:p w14:paraId="57E0DEDE" w14:textId="77777777" w:rsidR="00A678F9" w:rsidRPr="007B55A2" w:rsidRDefault="00A678F9" w:rsidP="00327A72">
            <w:pPr>
              <w:rPr>
                <w:rFonts w:cs="Segoe UI"/>
                <w:color w:val="000000"/>
                <w:sz w:val="18"/>
                <w:szCs w:val="18"/>
                <w:lang w:val="de-DE"/>
              </w:rPr>
            </w:pPr>
            <w:proofErr w:type="spellStart"/>
            <w:r w:rsidRPr="00AB7332">
              <w:rPr>
                <w:rFonts w:cs="Segoe UI"/>
                <w:color w:val="000000"/>
                <w:sz w:val="18"/>
                <w:szCs w:val="18"/>
              </w:rPr>
              <w:t>Тел</w:t>
            </w:r>
            <w:proofErr w:type="spellEnd"/>
            <w:r w:rsidRPr="007B55A2">
              <w:rPr>
                <w:rFonts w:cs="Segoe UI"/>
                <w:color w:val="000000"/>
                <w:sz w:val="18"/>
                <w:szCs w:val="18"/>
                <w:lang w:val="de-DE"/>
              </w:rPr>
              <w:t>.: +38 050 389 83 45</w:t>
            </w:r>
          </w:p>
          <w:p w14:paraId="68D2DD83" w14:textId="77777777" w:rsidR="00A678F9" w:rsidRPr="007B55A2" w:rsidRDefault="00A678F9" w:rsidP="00327A72">
            <w:pPr>
              <w:rPr>
                <w:rFonts w:cs="Segoe UI"/>
                <w:color w:val="000000"/>
                <w:sz w:val="18"/>
                <w:szCs w:val="18"/>
                <w:lang w:val="de-DE"/>
              </w:rPr>
            </w:pPr>
            <w:proofErr w:type="spellStart"/>
            <w:r w:rsidRPr="00AB7332">
              <w:rPr>
                <w:rFonts w:cs="Segoe UI"/>
                <w:color w:val="000000"/>
                <w:sz w:val="18"/>
                <w:szCs w:val="18"/>
              </w:rPr>
              <w:t>Факс</w:t>
            </w:r>
            <w:proofErr w:type="spellEnd"/>
            <w:r w:rsidRPr="007B55A2">
              <w:rPr>
                <w:rFonts w:cs="Segoe UI"/>
                <w:color w:val="000000"/>
                <w:sz w:val="18"/>
                <w:szCs w:val="18"/>
                <w:lang w:val="de-DE"/>
              </w:rPr>
              <w:t xml:space="preserve">: +38 044 247 51 00 </w:t>
            </w:r>
          </w:p>
          <w:p w14:paraId="7C88D5E2" w14:textId="77777777" w:rsidR="00A678F9" w:rsidRPr="007B55A2" w:rsidRDefault="00A678F9" w:rsidP="00327A72">
            <w:pPr>
              <w:rPr>
                <w:rFonts w:cs="Segoe UI"/>
                <w:b/>
                <w:color w:val="000000"/>
                <w:sz w:val="18"/>
                <w:szCs w:val="18"/>
                <w:lang w:val="de-DE"/>
              </w:rPr>
            </w:pPr>
            <w:proofErr w:type="spellStart"/>
            <w:r w:rsidRPr="007B55A2">
              <w:rPr>
                <w:rFonts w:cs="Segoe UI"/>
                <w:color w:val="000000"/>
                <w:sz w:val="18"/>
                <w:szCs w:val="18"/>
                <w:lang w:val="de-DE"/>
              </w:rPr>
              <w:t>e-mail</w:t>
            </w:r>
            <w:proofErr w:type="spellEnd"/>
            <w:r w:rsidRPr="007B55A2">
              <w:rPr>
                <w:rFonts w:cs="Segoe UI"/>
                <w:color w:val="000000"/>
                <w:sz w:val="18"/>
                <w:szCs w:val="18"/>
                <w:lang w:val="de-DE"/>
              </w:rPr>
              <w:t xml:space="preserve">: </w:t>
            </w:r>
            <w:hyperlink r:id="rId13" w:history="1">
              <w:r w:rsidRPr="007B55A2">
                <w:rPr>
                  <w:rStyle w:val="Hyperlink"/>
                  <w:rFonts w:cs="Segoe UI"/>
                  <w:lang w:val="de-DE"/>
                </w:rPr>
                <w:t>elena.androschuk@henkel.com</w:t>
              </w:r>
            </w:hyperlink>
          </w:p>
        </w:tc>
        <w:tc>
          <w:tcPr>
            <w:tcW w:w="4678" w:type="dxa"/>
          </w:tcPr>
          <w:p w14:paraId="28824380" w14:textId="77777777" w:rsidR="00A678F9" w:rsidRPr="007B55A2" w:rsidRDefault="00A678F9" w:rsidP="00327A72">
            <w:pPr>
              <w:rPr>
                <w:rFonts w:cs="Segoe UI"/>
                <w:color w:val="000000"/>
                <w:sz w:val="18"/>
                <w:szCs w:val="18"/>
                <w:lang w:val="de-DE"/>
              </w:rPr>
            </w:pPr>
            <w:proofErr w:type="spellStart"/>
            <w:r w:rsidRPr="00AB7332">
              <w:rPr>
                <w:rFonts w:cs="Segoe UI"/>
                <w:color w:val="000000"/>
                <w:sz w:val="18"/>
                <w:szCs w:val="18"/>
              </w:rPr>
              <w:t>Олени</w:t>
            </w:r>
            <w:proofErr w:type="spellEnd"/>
            <w:r w:rsidRPr="007B55A2">
              <w:rPr>
                <w:rFonts w:cs="Segoe UI"/>
                <w:color w:val="000000"/>
                <w:sz w:val="18"/>
                <w:szCs w:val="18"/>
                <w:lang w:val="de-DE"/>
              </w:rPr>
              <w:t xml:space="preserve"> </w:t>
            </w:r>
            <w:proofErr w:type="spellStart"/>
            <w:r w:rsidRPr="00AB7332">
              <w:rPr>
                <w:rFonts w:cs="Segoe UI"/>
                <w:color w:val="000000"/>
                <w:sz w:val="18"/>
                <w:szCs w:val="18"/>
              </w:rPr>
              <w:t>Хмари</w:t>
            </w:r>
            <w:proofErr w:type="spellEnd"/>
            <w:r w:rsidRPr="007B55A2">
              <w:rPr>
                <w:rFonts w:cs="Segoe UI"/>
                <w:color w:val="000000"/>
                <w:sz w:val="18"/>
                <w:szCs w:val="18"/>
                <w:lang w:val="de-DE"/>
              </w:rPr>
              <w:t>,</w:t>
            </w:r>
          </w:p>
          <w:p w14:paraId="28645DD8" w14:textId="77777777" w:rsidR="00A678F9" w:rsidRPr="007B55A2" w:rsidRDefault="00A678F9" w:rsidP="00327A72">
            <w:pPr>
              <w:rPr>
                <w:rFonts w:cs="Segoe UI"/>
                <w:color w:val="000000"/>
                <w:sz w:val="18"/>
                <w:szCs w:val="18"/>
                <w:lang w:val="de-DE"/>
              </w:rPr>
            </w:pPr>
            <w:proofErr w:type="spellStart"/>
            <w:r w:rsidRPr="00AB7332">
              <w:rPr>
                <w:rFonts w:cs="Segoe UI"/>
                <w:color w:val="000000"/>
                <w:sz w:val="18"/>
                <w:szCs w:val="18"/>
              </w:rPr>
              <w:t>керівника</w:t>
            </w:r>
            <w:proofErr w:type="spellEnd"/>
            <w:r w:rsidRPr="007B55A2">
              <w:rPr>
                <w:rFonts w:cs="Segoe UI"/>
                <w:color w:val="000000"/>
                <w:sz w:val="18"/>
                <w:szCs w:val="18"/>
                <w:lang w:val="de-DE"/>
              </w:rPr>
              <w:t xml:space="preserve"> PR-</w:t>
            </w:r>
            <w:proofErr w:type="spellStart"/>
            <w:r w:rsidRPr="00AB7332">
              <w:rPr>
                <w:rFonts w:cs="Segoe UI"/>
                <w:color w:val="000000"/>
                <w:sz w:val="18"/>
                <w:szCs w:val="18"/>
              </w:rPr>
              <w:t>проєктів</w:t>
            </w:r>
            <w:proofErr w:type="spellEnd"/>
            <w:r w:rsidRPr="007B55A2">
              <w:rPr>
                <w:rFonts w:cs="Segoe UI"/>
                <w:color w:val="000000"/>
                <w:sz w:val="18"/>
                <w:szCs w:val="18"/>
                <w:lang w:val="de-DE"/>
              </w:rPr>
              <w:t xml:space="preserve"> </w:t>
            </w:r>
          </w:p>
          <w:p w14:paraId="2D70E0DE" w14:textId="77777777" w:rsidR="00A678F9" w:rsidRPr="007B55A2" w:rsidRDefault="00A678F9" w:rsidP="00327A72">
            <w:pPr>
              <w:rPr>
                <w:rFonts w:cs="Segoe UI"/>
                <w:color w:val="000000"/>
                <w:sz w:val="18"/>
                <w:szCs w:val="18"/>
                <w:lang w:val="de-DE"/>
              </w:rPr>
            </w:pPr>
          </w:p>
          <w:p w14:paraId="5E6F5D5E" w14:textId="77777777" w:rsidR="00A678F9" w:rsidRPr="007B55A2" w:rsidRDefault="00A678F9" w:rsidP="00327A72">
            <w:pPr>
              <w:rPr>
                <w:rFonts w:cs="Segoe UI"/>
                <w:color w:val="000000"/>
                <w:sz w:val="18"/>
                <w:szCs w:val="18"/>
                <w:lang w:val="de-DE"/>
              </w:rPr>
            </w:pPr>
          </w:p>
          <w:p w14:paraId="715DCC3E" w14:textId="77777777" w:rsidR="00A678F9" w:rsidRPr="007B55A2" w:rsidRDefault="00A678F9" w:rsidP="00327A72">
            <w:pPr>
              <w:rPr>
                <w:rFonts w:cs="Segoe UI"/>
                <w:color w:val="000000"/>
                <w:sz w:val="18"/>
                <w:szCs w:val="18"/>
                <w:lang w:val="de-DE"/>
              </w:rPr>
            </w:pPr>
          </w:p>
          <w:p w14:paraId="36715259" w14:textId="77777777" w:rsidR="00A678F9" w:rsidRPr="007B55A2" w:rsidRDefault="00A678F9" w:rsidP="00327A72">
            <w:pPr>
              <w:rPr>
                <w:rFonts w:cs="Segoe UI"/>
                <w:color w:val="000000"/>
                <w:sz w:val="18"/>
                <w:szCs w:val="18"/>
                <w:lang w:val="de-DE"/>
              </w:rPr>
            </w:pPr>
            <w:proofErr w:type="spellStart"/>
            <w:r w:rsidRPr="00AB7332">
              <w:rPr>
                <w:rFonts w:cs="Segoe UI"/>
                <w:color w:val="000000"/>
                <w:sz w:val="18"/>
                <w:szCs w:val="18"/>
              </w:rPr>
              <w:t>Агенція</w:t>
            </w:r>
            <w:proofErr w:type="spellEnd"/>
            <w:r w:rsidRPr="007B55A2">
              <w:rPr>
                <w:rFonts w:cs="Segoe UI"/>
                <w:color w:val="000000"/>
                <w:sz w:val="18"/>
                <w:szCs w:val="18"/>
                <w:lang w:val="de-DE"/>
              </w:rPr>
              <w:t xml:space="preserve"> «PR-Service»</w:t>
            </w:r>
          </w:p>
          <w:p w14:paraId="3470E27F" w14:textId="77777777" w:rsidR="00A678F9" w:rsidRPr="007B55A2" w:rsidRDefault="00A678F9" w:rsidP="00327A72">
            <w:pPr>
              <w:rPr>
                <w:rFonts w:cs="Segoe UI"/>
                <w:color w:val="000000"/>
                <w:sz w:val="18"/>
                <w:szCs w:val="18"/>
                <w:lang w:val="ru-RU"/>
              </w:rPr>
            </w:pPr>
            <w:r w:rsidRPr="007B55A2">
              <w:rPr>
                <w:rFonts w:cs="Segoe UI"/>
                <w:color w:val="000000"/>
                <w:sz w:val="18"/>
                <w:szCs w:val="18"/>
                <w:lang w:val="ru-RU"/>
              </w:rPr>
              <w:t>Тел./факс: +38 044 501 32 44</w:t>
            </w:r>
          </w:p>
          <w:p w14:paraId="69ADE485" w14:textId="77777777" w:rsidR="00A678F9" w:rsidRPr="007B55A2" w:rsidRDefault="00A678F9" w:rsidP="00327A72">
            <w:pPr>
              <w:rPr>
                <w:rFonts w:cs="Segoe UI"/>
                <w:color w:val="000000"/>
                <w:sz w:val="18"/>
                <w:szCs w:val="18"/>
                <w:lang w:val="ru-RU"/>
              </w:rPr>
            </w:pPr>
            <w:r w:rsidRPr="007B55A2">
              <w:rPr>
                <w:rFonts w:cs="Segoe UI"/>
                <w:color w:val="000000"/>
                <w:sz w:val="18"/>
                <w:szCs w:val="18"/>
                <w:lang w:val="ru-RU"/>
              </w:rPr>
              <w:t>Моб. тел.: +38 050 382 82 74</w:t>
            </w:r>
          </w:p>
          <w:p w14:paraId="4F24BFF8" w14:textId="77777777" w:rsidR="00A678F9" w:rsidRPr="007B55A2" w:rsidRDefault="00A678F9" w:rsidP="00327A72">
            <w:pPr>
              <w:rPr>
                <w:rFonts w:cs="Segoe UI"/>
                <w:b/>
                <w:color w:val="000000"/>
                <w:sz w:val="18"/>
                <w:szCs w:val="18"/>
                <w:lang w:val="ru-RU"/>
              </w:rPr>
            </w:pPr>
            <w:proofErr w:type="spellStart"/>
            <w:r w:rsidRPr="007B55A2">
              <w:rPr>
                <w:rFonts w:cs="Segoe UI"/>
                <w:color w:val="000000"/>
                <w:sz w:val="18"/>
                <w:szCs w:val="18"/>
                <w:lang w:val="de-DE"/>
              </w:rPr>
              <w:t>e</w:t>
            </w:r>
            <w:proofErr w:type="spellEnd"/>
            <w:r w:rsidRPr="007B55A2">
              <w:rPr>
                <w:rFonts w:cs="Segoe UI"/>
                <w:color w:val="000000"/>
                <w:sz w:val="18"/>
                <w:szCs w:val="18"/>
                <w:lang w:val="ru-RU"/>
              </w:rPr>
              <w:t>-</w:t>
            </w:r>
            <w:proofErr w:type="spellStart"/>
            <w:r w:rsidRPr="007B55A2">
              <w:rPr>
                <w:rFonts w:cs="Segoe UI"/>
                <w:color w:val="000000"/>
                <w:sz w:val="18"/>
                <w:szCs w:val="18"/>
                <w:lang w:val="de-DE"/>
              </w:rPr>
              <w:t>mail</w:t>
            </w:r>
            <w:proofErr w:type="spellEnd"/>
            <w:r w:rsidRPr="007B55A2">
              <w:rPr>
                <w:rFonts w:cs="Segoe UI"/>
                <w:color w:val="000000"/>
                <w:sz w:val="18"/>
                <w:szCs w:val="18"/>
                <w:lang w:val="ru-RU"/>
              </w:rPr>
              <w:t xml:space="preserve">: </w:t>
            </w:r>
            <w:hyperlink r:id="rId14" w:history="1">
              <w:r w:rsidRPr="007B55A2">
                <w:rPr>
                  <w:rStyle w:val="Hyperlink"/>
                  <w:rFonts w:cs="Segoe UI"/>
                  <w:lang w:val="de-DE"/>
                </w:rPr>
                <w:t>a</w:t>
              </w:r>
              <w:r w:rsidRPr="007B55A2">
                <w:rPr>
                  <w:rStyle w:val="Hyperlink"/>
                  <w:rFonts w:cs="Segoe UI"/>
                  <w:lang w:val="ru-RU"/>
                </w:rPr>
                <w:t>.</w:t>
              </w:r>
              <w:r w:rsidRPr="007B55A2">
                <w:rPr>
                  <w:rStyle w:val="Hyperlink"/>
                  <w:rFonts w:cs="Segoe UI"/>
                  <w:lang w:val="de-DE"/>
                </w:rPr>
                <w:t>khmara</w:t>
              </w:r>
              <w:r w:rsidRPr="007B55A2">
                <w:rPr>
                  <w:rStyle w:val="Hyperlink"/>
                  <w:rFonts w:cs="Segoe UI"/>
                  <w:lang w:val="ru-RU"/>
                </w:rPr>
                <w:t>@</w:t>
              </w:r>
              <w:r w:rsidRPr="007B55A2">
                <w:rPr>
                  <w:rStyle w:val="Hyperlink"/>
                  <w:rFonts w:cs="Segoe UI"/>
                  <w:lang w:val="de-DE"/>
                </w:rPr>
                <w:t>pr</w:t>
              </w:r>
              <w:r w:rsidRPr="007B55A2">
                <w:rPr>
                  <w:rStyle w:val="Hyperlink"/>
                  <w:rFonts w:cs="Segoe UI"/>
                  <w:lang w:val="ru-RU"/>
                </w:rPr>
                <w:t>-</w:t>
              </w:r>
              <w:r w:rsidRPr="007B55A2">
                <w:rPr>
                  <w:rStyle w:val="Hyperlink"/>
                  <w:rFonts w:cs="Segoe UI"/>
                  <w:lang w:val="de-DE"/>
                </w:rPr>
                <w:t>service</w:t>
              </w:r>
              <w:r w:rsidRPr="007B55A2">
                <w:rPr>
                  <w:rStyle w:val="Hyperlink"/>
                  <w:rFonts w:cs="Segoe UI"/>
                  <w:lang w:val="ru-RU"/>
                </w:rPr>
                <w:t>.</w:t>
              </w:r>
              <w:r w:rsidRPr="007B55A2">
                <w:rPr>
                  <w:rStyle w:val="Hyperlink"/>
                  <w:rFonts w:cs="Segoe UI"/>
                  <w:lang w:val="de-DE"/>
                </w:rPr>
                <w:t>com</w:t>
              </w:r>
              <w:r w:rsidRPr="007B55A2">
                <w:rPr>
                  <w:rStyle w:val="Hyperlink"/>
                  <w:rFonts w:cs="Segoe UI"/>
                  <w:lang w:val="ru-RU"/>
                </w:rPr>
                <w:t>.</w:t>
              </w:r>
              <w:r w:rsidRPr="007B55A2">
                <w:rPr>
                  <w:rStyle w:val="Hyperlink"/>
                  <w:rFonts w:cs="Segoe UI"/>
                  <w:lang w:val="de-DE"/>
                </w:rPr>
                <w:t>ua</w:t>
              </w:r>
            </w:hyperlink>
          </w:p>
        </w:tc>
      </w:tr>
    </w:tbl>
    <w:p w14:paraId="702BCC5E" w14:textId="77777777" w:rsidR="00196A14" w:rsidRPr="007B55A2" w:rsidRDefault="00196A14" w:rsidP="00427BEA">
      <w:pPr>
        <w:tabs>
          <w:tab w:val="left" w:pos="1080"/>
          <w:tab w:val="left" w:pos="4500"/>
        </w:tabs>
        <w:spacing w:line="264" w:lineRule="auto"/>
        <w:rPr>
          <w:rFonts w:asciiTheme="majorHAnsi" w:eastAsia="PMingLiU" w:hAnsiTheme="majorHAnsi" w:cs="Calibri Light"/>
          <w:b/>
          <w:sz w:val="18"/>
          <w:szCs w:val="18"/>
          <w:lang w:val="ru-RU"/>
        </w:rPr>
      </w:pPr>
    </w:p>
    <w:p w14:paraId="5B4C2636" w14:textId="77777777" w:rsidR="00D60AA4" w:rsidRPr="00803B8A" w:rsidRDefault="00D60AA4">
      <w:pPr>
        <w:spacing w:line="240" w:lineRule="auto"/>
        <w:jc w:val="left"/>
        <w:rPr>
          <w:rFonts w:asciiTheme="majorHAnsi" w:eastAsia="PMingLiU" w:hAnsiTheme="majorHAnsi" w:cs="Calibri Light"/>
          <w:b/>
          <w:sz w:val="18"/>
          <w:szCs w:val="18"/>
          <w:lang w:val="uk-UA"/>
        </w:rPr>
      </w:pPr>
    </w:p>
    <w:p w14:paraId="49E26F20" w14:textId="2C2F6586" w:rsidR="00A15D78" w:rsidRPr="00803B8A" w:rsidRDefault="00A15D78" w:rsidP="008359B8">
      <w:pPr>
        <w:tabs>
          <w:tab w:val="left" w:pos="1080"/>
          <w:tab w:val="left" w:pos="4500"/>
        </w:tabs>
        <w:spacing w:line="264" w:lineRule="auto"/>
        <w:rPr>
          <w:rStyle w:val="AboutandContactBody"/>
          <w:rFonts w:eastAsia="PMingLiU"/>
          <w:color w:val="9A141B"/>
          <w:lang w:val="uk-UA"/>
        </w:rPr>
      </w:pPr>
    </w:p>
    <w:sectPr w:rsidR="00A15D78" w:rsidRPr="00803B8A" w:rsidSect="00803B8A">
      <w:headerReference w:type="even" r:id="rId15"/>
      <w:footerReference w:type="default" r:id="rId16"/>
      <w:headerReference w:type="first" r:id="rId17"/>
      <w:footerReference w:type="first" r:id="rId18"/>
      <w:pgSz w:w="11907" w:h="16840" w:code="9"/>
      <w:pgMar w:top="1985" w:right="1134" w:bottom="1701" w:left="1418" w:header="1253"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9B344" w14:textId="77777777" w:rsidR="00303414" w:rsidRDefault="00303414">
      <w:r>
        <w:separator/>
      </w:r>
    </w:p>
  </w:endnote>
  <w:endnote w:type="continuationSeparator" w:id="0">
    <w:p w14:paraId="78860C20" w14:textId="77777777" w:rsidR="00303414" w:rsidRDefault="00303414">
      <w:r>
        <w:continuationSeparator/>
      </w:r>
    </w:p>
  </w:endnote>
  <w:endnote w:type="continuationNotice" w:id="1">
    <w:p w14:paraId="1F45B42F" w14:textId="77777777" w:rsidR="00303414" w:rsidRDefault="003034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FDD76" w14:textId="77777777" w:rsidR="00CF6F33" w:rsidRPr="00112A28" w:rsidRDefault="00112A28" w:rsidP="00112A28">
    <w:pPr>
      <w:pStyle w:val="Footer"/>
      <w:tabs>
        <w:tab w:val="clear" w:pos="7083"/>
        <w:tab w:val="clear" w:pos="8640"/>
        <w:tab w:val="right" w:pos="9071"/>
      </w:tabs>
      <w:jc w:val="both"/>
    </w:pPr>
    <w:r w:rsidRPr="00B231D1">
      <w:rPr>
        <w:lang w:val="de-DE"/>
      </w:rPr>
      <w:t>Henkel AG &amp; Co. KGaA</w:t>
    </w:r>
    <w:r w:rsidRPr="00B231D1">
      <w:rPr>
        <w:lang w:val="de-DE"/>
      </w:rPr>
      <w:tab/>
    </w:r>
    <w:r w:rsidR="00DF2414">
      <w:rPr>
        <w:lang w:val="uk-UA"/>
      </w:rPr>
      <w:t>Стор.</w:t>
    </w:r>
    <w:r w:rsidR="00EF55E6" w:rsidRPr="00B231D1">
      <w:rPr>
        <w:lang w:val="de-DE"/>
      </w:rPr>
      <w:t xml:space="preserve"> </w:t>
    </w:r>
    <w:r w:rsidR="00C55B25" w:rsidRPr="00BF6E82">
      <w:fldChar w:fldCharType="begin"/>
    </w:r>
    <w:r w:rsidRPr="00B231D1">
      <w:rPr>
        <w:lang w:val="de-DE"/>
      </w:rPr>
      <w:instrText xml:space="preserve"> PAGE  \* Arabic  \* MERGEFORMAT </w:instrText>
    </w:r>
    <w:r w:rsidR="00C55B25" w:rsidRPr="00BF6E82">
      <w:fldChar w:fldCharType="separate"/>
    </w:r>
    <w:r w:rsidR="00EC6074" w:rsidRPr="00EC6074">
      <w:t>4</w:t>
    </w:r>
    <w:r w:rsidR="00C55B25" w:rsidRPr="00BF6E82">
      <w:fldChar w:fldCharType="end"/>
    </w:r>
    <w:r w:rsidRPr="00BF6E82">
      <w:t>/</w:t>
    </w:r>
    <w:fldSimple w:instr="NUMPAGES  \* Arabic  \* MERGEFORMAT">
      <w:r w:rsidR="00EC6074">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0AD80" w14:textId="77777777" w:rsidR="00CF6F33" w:rsidRPr="00992A11" w:rsidRDefault="009E5B95" w:rsidP="00992A11">
    <w:pPr>
      <w:pStyle w:val="Footer"/>
    </w:pPr>
    <w:r w:rsidRPr="00E143D5">
      <w:rPr>
        <w:lang w:val="ru-RU" w:eastAsia="ru-RU"/>
      </w:rPr>
      <w:drawing>
        <wp:inline distT="0" distB="0" distL="0" distR="0" wp14:anchorId="187525AA" wp14:editId="6132B29D">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r w:rsidR="00AE25FC">
      <w:t>Seite</w:t>
    </w:r>
    <w:r w:rsidR="00CF6F33" w:rsidRPr="00992A11">
      <w:t xml:space="preserve"> </w:t>
    </w:r>
    <w:r w:rsidR="00C55B25"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55B25" w:rsidRPr="00992A11">
      <w:fldChar w:fldCharType="separate"/>
    </w:r>
    <w:r w:rsidR="006770F7">
      <w:t>1</w:t>
    </w:r>
    <w:r w:rsidR="00C55B25" w:rsidRPr="00992A11">
      <w:fldChar w:fldCharType="end"/>
    </w:r>
    <w:r w:rsidR="00CF6F33" w:rsidRPr="00992A11">
      <w:t>/</w:t>
    </w:r>
    <w:fldSimple w:instr=" NUMPAGES  \* Arabic  \* MERGEFORMAT ">
      <w:r w:rsidR="006770F7">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37271" w14:textId="77777777" w:rsidR="00303414" w:rsidRDefault="00303414">
      <w:r>
        <w:separator/>
      </w:r>
    </w:p>
  </w:footnote>
  <w:footnote w:type="continuationSeparator" w:id="0">
    <w:p w14:paraId="07BAF29B" w14:textId="77777777" w:rsidR="00303414" w:rsidRDefault="00303414">
      <w:r>
        <w:continuationSeparator/>
      </w:r>
    </w:p>
  </w:footnote>
  <w:footnote w:type="continuationNotice" w:id="1">
    <w:p w14:paraId="6EAA64C7" w14:textId="77777777" w:rsidR="00303414" w:rsidRDefault="003034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ED42"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7BC2B" w14:textId="77777777" w:rsidR="00CF6F33" w:rsidRPr="00DC3143" w:rsidRDefault="0059722C" w:rsidP="00EB46D9">
    <w:pPr>
      <w:pStyle w:val="Header"/>
      <w:rPr>
        <w:lang w:val="uk-UA"/>
      </w:rPr>
    </w:pPr>
    <w:r w:rsidRPr="00EB46D9">
      <w:rPr>
        <w:noProof/>
        <w:lang w:val="ru-RU" w:eastAsia="ru-RU"/>
      </w:rPr>
      <w:drawing>
        <wp:anchor distT="0" distB="0" distL="114300" distR="114300" simplePos="0" relativeHeight="251658241" behindDoc="0" locked="1" layoutInCell="1" allowOverlap="1" wp14:anchorId="2215EF66" wp14:editId="3E8DDFF1">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anchor>
      </w:drawing>
    </w:r>
    <w:r w:rsidR="005152D4">
      <w:rPr>
        <w:noProof/>
        <w:lang w:val="ru-RU" w:eastAsia="ru-RU"/>
      </w:rPr>
      <mc:AlternateContent>
        <mc:Choice Requires="wpg">
          <w:drawing>
            <wp:anchor distT="0" distB="0" distL="114300" distR="114300" simplePos="0" relativeHeight="251658240" behindDoc="0" locked="0" layoutInCell="1" allowOverlap="1" wp14:anchorId="63D4E9C1" wp14:editId="7A187CB5">
              <wp:simplePos x="0" y="0"/>
              <wp:positionH relativeFrom="page">
                <wp:posOffset>180340</wp:posOffset>
              </wp:positionH>
              <wp:positionV relativeFrom="page">
                <wp:posOffset>3780790</wp:posOffset>
              </wp:positionV>
              <wp:extent cx="179705" cy="3780155"/>
              <wp:effectExtent l="0" t="0" r="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14:sizeRelH relativeFrom="page">
                <wp14:pctWidth>0</wp14:pctWidth>
              </wp14:sizeRelH>
              <wp14:sizeRelV relativeFrom="page">
                <wp14:pctHeight>0</wp14:pctHeight>
              </wp14:sizeRelV>
            </wp:anchor>
          </w:drawing>
        </mc:Choice>
        <mc:Fallback>
          <w:pict>
            <v:group w14:anchorId="026D04DE" id="Группа 1"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w10:wrap anchorx="page" anchory="page"/>
            </v:group>
          </w:pict>
        </mc:Fallback>
      </mc:AlternateContent>
    </w:r>
    <w:r w:rsidR="00DC3143">
      <w:rPr>
        <w:noProof/>
        <w:lang w:val="uk-UA"/>
      </w:rPr>
      <w:t>Пресреліз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A90A4E"/>
    <w:multiLevelType w:val="hybridMultilevel"/>
    <w:tmpl w:val="27BE010E"/>
    <w:lvl w:ilvl="0" w:tplc="FFFFFFFF">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FA665EF"/>
    <w:multiLevelType w:val="hybridMultilevel"/>
    <w:tmpl w:val="48E87122"/>
    <w:lvl w:ilvl="0" w:tplc="B23C1DBE">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5289408">
    <w:abstractNumId w:val="2"/>
  </w:num>
  <w:num w:numId="2" w16cid:durableId="733352263">
    <w:abstractNumId w:val="1"/>
  </w:num>
  <w:num w:numId="3" w16cid:durableId="1635719590">
    <w:abstractNumId w:val="15"/>
  </w:num>
  <w:num w:numId="4" w16cid:durableId="1032800488">
    <w:abstractNumId w:val="9"/>
  </w:num>
  <w:num w:numId="5" w16cid:durableId="728117542">
    <w:abstractNumId w:val="6"/>
  </w:num>
  <w:num w:numId="6" w16cid:durableId="1695381179">
    <w:abstractNumId w:val="11"/>
  </w:num>
  <w:num w:numId="7" w16cid:durableId="1393308194">
    <w:abstractNumId w:val="8"/>
  </w:num>
  <w:num w:numId="8" w16cid:durableId="607543904">
    <w:abstractNumId w:val="14"/>
  </w:num>
  <w:num w:numId="9" w16cid:durableId="104888231">
    <w:abstractNumId w:val="0"/>
  </w:num>
  <w:num w:numId="10" w16cid:durableId="635186787">
    <w:abstractNumId w:val="18"/>
  </w:num>
  <w:num w:numId="11" w16cid:durableId="1257666880">
    <w:abstractNumId w:val="7"/>
  </w:num>
  <w:num w:numId="12" w16cid:durableId="1095252701">
    <w:abstractNumId w:val="0"/>
  </w:num>
  <w:num w:numId="13" w16cid:durableId="548341892">
    <w:abstractNumId w:val="3"/>
  </w:num>
  <w:num w:numId="14" w16cid:durableId="1782454079">
    <w:abstractNumId w:val="4"/>
  </w:num>
  <w:num w:numId="15" w16cid:durableId="1757827162">
    <w:abstractNumId w:val="16"/>
  </w:num>
  <w:num w:numId="16" w16cid:durableId="1673100814">
    <w:abstractNumId w:val="12"/>
  </w:num>
  <w:num w:numId="17" w16cid:durableId="1578398306">
    <w:abstractNumId w:val="10"/>
  </w:num>
  <w:num w:numId="18" w16cid:durableId="781799154">
    <w:abstractNumId w:val="5"/>
  </w:num>
  <w:num w:numId="19" w16cid:durableId="557135148">
    <w:abstractNumId w:val="13"/>
  </w:num>
  <w:num w:numId="20" w16cid:durableId="928579937">
    <w:abstractNumId w:val="19"/>
  </w:num>
  <w:num w:numId="21" w16cid:durableId="780490974">
    <w:abstractNumId w:val="17"/>
  </w:num>
  <w:num w:numId="22" w16cid:durableId="2138063054">
    <w:abstractNumId w:val="0"/>
  </w:num>
  <w:num w:numId="23" w16cid:durableId="1171221306">
    <w:abstractNumId w:val="0"/>
  </w:num>
  <w:num w:numId="24" w16cid:durableId="97101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4F3C"/>
    <w:rsid w:val="00005267"/>
    <w:rsid w:val="000061E7"/>
    <w:rsid w:val="00006346"/>
    <w:rsid w:val="000069EB"/>
    <w:rsid w:val="00006A45"/>
    <w:rsid w:val="00014FC1"/>
    <w:rsid w:val="00016137"/>
    <w:rsid w:val="00020DC3"/>
    <w:rsid w:val="00021C67"/>
    <w:rsid w:val="00024147"/>
    <w:rsid w:val="00024483"/>
    <w:rsid w:val="000256A9"/>
    <w:rsid w:val="00026EEE"/>
    <w:rsid w:val="000301F0"/>
    <w:rsid w:val="00030557"/>
    <w:rsid w:val="00030701"/>
    <w:rsid w:val="00030F51"/>
    <w:rsid w:val="000343EB"/>
    <w:rsid w:val="0003527B"/>
    <w:rsid w:val="00035A84"/>
    <w:rsid w:val="00040816"/>
    <w:rsid w:val="00040CC9"/>
    <w:rsid w:val="00041F81"/>
    <w:rsid w:val="000425ED"/>
    <w:rsid w:val="0004361D"/>
    <w:rsid w:val="00045CCB"/>
    <w:rsid w:val="000503C6"/>
    <w:rsid w:val="00050F4D"/>
    <w:rsid w:val="000510FC"/>
    <w:rsid w:val="00051555"/>
    <w:rsid w:val="00051E86"/>
    <w:rsid w:val="00054AFE"/>
    <w:rsid w:val="0005544E"/>
    <w:rsid w:val="000575F9"/>
    <w:rsid w:val="000618FC"/>
    <w:rsid w:val="00065466"/>
    <w:rsid w:val="00066072"/>
    <w:rsid w:val="000665F3"/>
    <w:rsid w:val="00067071"/>
    <w:rsid w:val="00067F67"/>
    <w:rsid w:val="00070652"/>
    <w:rsid w:val="00070757"/>
    <w:rsid w:val="00071284"/>
    <w:rsid w:val="00073AED"/>
    <w:rsid w:val="000751A7"/>
    <w:rsid w:val="0007746E"/>
    <w:rsid w:val="00077AF9"/>
    <w:rsid w:val="00080D10"/>
    <w:rsid w:val="00081241"/>
    <w:rsid w:val="00081692"/>
    <w:rsid w:val="00081EF8"/>
    <w:rsid w:val="00082417"/>
    <w:rsid w:val="0008357F"/>
    <w:rsid w:val="00083A35"/>
    <w:rsid w:val="00083A61"/>
    <w:rsid w:val="00083DAB"/>
    <w:rsid w:val="0008406B"/>
    <w:rsid w:val="00084918"/>
    <w:rsid w:val="00087F85"/>
    <w:rsid w:val="00090DB6"/>
    <w:rsid w:val="00090E73"/>
    <w:rsid w:val="00091F11"/>
    <w:rsid w:val="00094235"/>
    <w:rsid w:val="00096AD4"/>
    <w:rsid w:val="00097DB9"/>
    <w:rsid w:val="000A05E0"/>
    <w:rsid w:val="000A06FB"/>
    <w:rsid w:val="000A31D3"/>
    <w:rsid w:val="000A3F71"/>
    <w:rsid w:val="000A50CF"/>
    <w:rsid w:val="000A511E"/>
    <w:rsid w:val="000A64B3"/>
    <w:rsid w:val="000A6A47"/>
    <w:rsid w:val="000A6C25"/>
    <w:rsid w:val="000B005C"/>
    <w:rsid w:val="000B10DE"/>
    <w:rsid w:val="000B2D36"/>
    <w:rsid w:val="000B2E86"/>
    <w:rsid w:val="000B5D2F"/>
    <w:rsid w:val="000B5E32"/>
    <w:rsid w:val="000B6244"/>
    <w:rsid w:val="000B695A"/>
    <w:rsid w:val="000B72A8"/>
    <w:rsid w:val="000C0B39"/>
    <w:rsid w:val="000C210A"/>
    <w:rsid w:val="000C27E5"/>
    <w:rsid w:val="000C30D6"/>
    <w:rsid w:val="000C47D1"/>
    <w:rsid w:val="000C50A1"/>
    <w:rsid w:val="000C56DD"/>
    <w:rsid w:val="000C63F4"/>
    <w:rsid w:val="000D11CB"/>
    <w:rsid w:val="000D14C4"/>
    <w:rsid w:val="000D1672"/>
    <w:rsid w:val="000D178A"/>
    <w:rsid w:val="000D18CE"/>
    <w:rsid w:val="000D40C6"/>
    <w:rsid w:val="000D52F6"/>
    <w:rsid w:val="000D6C67"/>
    <w:rsid w:val="000E0CAB"/>
    <w:rsid w:val="000E1B84"/>
    <w:rsid w:val="000E2F62"/>
    <w:rsid w:val="000E38ED"/>
    <w:rsid w:val="000E3AF1"/>
    <w:rsid w:val="000E45C7"/>
    <w:rsid w:val="000E7F24"/>
    <w:rsid w:val="000F03BE"/>
    <w:rsid w:val="000F1757"/>
    <w:rsid w:val="000F225B"/>
    <w:rsid w:val="000F333E"/>
    <w:rsid w:val="000F41BC"/>
    <w:rsid w:val="000F48E9"/>
    <w:rsid w:val="000F4DAE"/>
    <w:rsid w:val="000F7ADB"/>
    <w:rsid w:val="000F7FAF"/>
    <w:rsid w:val="00100D8B"/>
    <w:rsid w:val="001016B4"/>
    <w:rsid w:val="00102045"/>
    <w:rsid w:val="00102264"/>
    <w:rsid w:val="00103537"/>
    <w:rsid w:val="00103B01"/>
    <w:rsid w:val="0010421C"/>
    <w:rsid w:val="0010465B"/>
    <w:rsid w:val="0010570F"/>
    <w:rsid w:val="00105975"/>
    <w:rsid w:val="00110090"/>
    <w:rsid w:val="0011116D"/>
    <w:rsid w:val="00111386"/>
    <w:rsid w:val="001118DF"/>
    <w:rsid w:val="00111F4D"/>
    <w:rsid w:val="00112A28"/>
    <w:rsid w:val="00113571"/>
    <w:rsid w:val="00114DDF"/>
    <w:rsid w:val="00115230"/>
    <w:rsid w:val="00115B5F"/>
    <w:rsid w:val="001162B4"/>
    <w:rsid w:val="00116DF3"/>
    <w:rsid w:val="00122B90"/>
    <w:rsid w:val="00122CBC"/>
    <w:rsid w:val="0012414B"/>
    <w:rsid w:val="00124FA3"/>
    <w:rsid w:val="00126C65"/>
    <w:rsid w:val="00126D4A"/>
    <w:rsid w:val="00127415"/>
    <w:rsid w:val="00130D87"/>
    <w:rsid w:val="00131762"/>
    <w:rsid w:val="001318EB"/>
    <w:rsid w:val="00132DA9"/>
    <w:rsid w:val="0013305B"/>
    <w:rsid w:val="001331FD"/>
    <w:rsid w:val="00133B99"/>
    <w:rsid w:val="0013569C"/>
    <w:rsid w:val="00135939"/>
    <w:rsid w:val="001369E3"/>
    <w:rsid w:val="001374BD"/>
    <w:rsid w:val="001375DD"/>
    <w:rsid w:val="00142EFB"/>
    <w:rsid w:val="001438BF"/>
    <w:rsid w:val="001443BD"/>
    <w:rsid w:val="00144A87"/>
    <w:rsid w:val="00145B62"/>
    <w:rsid w:val="00146193"/>
    <w:rsid w:val="00152022"/>
    <w:rsid w:val="00152026"/>
    <w:rsid w:val="00152A41"/>
    <w:rsid w:val="00157129"/>
    <w:rsid w:val="001577E9"/>
    <w:rsid w:val="00157A59"/>
    <w:rsid w:val="0016138C"/>
    <w:rsid w:val="00162D60"/>
    <w:rsid w:val="001640D5"/>
    <w:rsid w:val="00164B4E"/>
    <w:rsid w:val="001653D7"/>
    <w:rsid w:val="001659FB"/>
    <w:rsid w:val="00166F97"/>
    <w:rsid w:val="00172C99"/>
    <w:rsid w:val="001731CE"/>
    <w:rsid w:val="00174ABA"/>
    <w:rsid w:val="00175C72"/>
    <w:rsid w:val="00177B37"/>
    <w:rsid w:val="00180F93"/>
    <w:rsid w:val="00181B06"/>
    <w:rsid w:val="0018672E"/>
    <w:rsid w:val="00187F34"/>
    <w:rsid w:val="00191DD2"/>
    <w:rsid w:val="00196A14"/>
    <w:rsid w:val="00197E9B"/>
    <w:rsid w:val="001A1185"/>
    <w:rsid w:val="001A1FEB"/>
    <w:rsid w:val="001A3D77"/>
    <w:rsid w:val="001A4C03"/>
    <w:rsid w:val="001A5492"/>
    <w:rsid w:val="001B30F7"/>
    <w:rsid w:val="001B31F0"/>
    <w:rsid w:val="001B4862"/>
    <w:rsid w:val="001B5147"/>
    <w:rsid w:val="001B65FF"/>
    <w:rsid w:val="001B710A"/>
    <w:rsid w:val="001B771D"/>
    <w:rsid w:val="001B7C20"/>
    <w:rsid w:val="001C0B32"/>
    <w:rsid w:val="001C2C09"/>
    <w:rsid w:val="001C2D66"/>
    <w:rsid w:val="001C36F7"/>
    <w:rsid w:val="001C4BE1"/>
    <w:rsid w:val="001C5338"/>
    <w:rsid w:val="001C7F21"/>
    <w:rsid w:val="001D0C20"/>
    <w:rsid w:val="001D1497"/>
    <w:rsid w:val="001D5534"/>
    <w:rsid w:val="001D63D9"/>
    <w:rsid w:val="001D7ADF"/>
    <w:rsid w:val="001E0F71"/>
    <w:rsid w:val="001E17FB"/>
    <w:rsid w:val="001E255E"/>
    <w:rsid w:val="001E2B9B"/>
    <w:rsid w:val="001E2C06"/>
    <w:rsid w:val="001E2F7E"/>
    <w:rsid w:val="001E35BA"/>
    <w:rsid w:val="001E49D3"/>
    <w:rsid w:val="001E4CCB"/>
    <w:rsid w:val="001E51A6"/>
    <w:rsid w:val="001E6D05"/>
    <w:rsid w:val="001E73E8"/>
    <w:rsid w:val="001E7C28"/>
    <w:rsid w:val="001F11A1"/>
    <w:rsid w:val="001F1AB5"/>
    <w:rsid w:val="001F1BDF"/>
    <w:rsid w:val="001F1D6D"/>
    <w:rsid w:val="001F2877"/>
    <w:rsid w:val="001F35F8"/>
    <w:rsid w:val="001F39FC"/>
    <w:rsid w:val="001F4AC3"/>
    <w:rsid w:val="001F4CAC"/>
    <w:rsid w:val="001F52E0"/>
    <w:rsid w:val="001F590C"/>
    <w:rsid w:val="001F7110"/>
    <w:rsid w:val="001F773D"/>
    <w:rsid w:val="001F7E96"/>
    <w:rsid w:val="002005F5"/>
    <w:rsid w:val="00202284"/>
    <w:rsid w:val="0020528D"/>
    <w:rsid w:val="0020543B"/>
    <w:rsid w:val="00205751"/>
    <w:rsid w:val="00205A66"/>
    <w:rsid w:val="002063CF"/>
    <w:rsid w:val="00206613"/>
    <w:rsid w:val="0020756B"/>
    <w:rsid w:val="00207E75"/>
    <w:rsid w:val="00210D86"/>
    <w:rsid w:val="0021158F"/>
    <w:rsid w:val="00212488"/>
    <w:rsid w:val="002129A6"/>
    <w:rsid w:val="002151DB"/>
    <w:rsid w:val="00220628"/>
    <w:rsid w:val="00221A45"/>
    <w:rsid w:val="00221BA0"/>
    <w:rsid w:val="002260C7"/>
    <w:rsid w:val="002304D2"/>
    <w:rsid w:val="002338C1"/>
    <w:rsid w:val="00233D04"/>
    <w:rsid w:val="00234ABD"/>
    <w:rsid w:val="00236491"/>
    <w:rsid w:val="00236C3B"/>
    <w:rsid w:val="00236E2A"/>
    <w:rsid w:val="002376B3"/>
    <w:rsid w:val="00237F62"/>
    <w:rsid w:val="00241E10"/>
    <w:rsid w:val="00243B18"/>
    <w:rsid w:val="0024586A"/>
    <w:rsid w:val="0024601F"/>
    <w:rsid w:val="002502E1"/>
    <w:rsid w:val="00250F80"/>
    <w:rsid w:val="0025124F"/>
    <w:rsid w:val="002518A2"/>
    <w:rsid w:val="002528B3"/>
    <w:rsid w:val="0025551F"/>
    <w:rsid w:val="00255F8C"/>
    <w:rsid w:val="00256174"/>
    <w:rsid w:val="00256F0C"/>
    <w:rsid w:val="00257231"/>
    <w:rsid w:val="00257681"/>
    <w:rsid w:val="00260318"/>
    <w:rsid w:val="00261C23"/>
    <w:rsid w:val="00262807"/>
    <w:rsid w:val="00262C05"/>
    <w:rsid w:val="00266242"/>
    <w:rsid w:val="002673AA"/>
    <w:rsid w:val="002715AF"/>
    <w:rsid w:val="002717F0"/>
    <w:rsid w:val="0027301C"/>
    <w:rsid w:val="00273099"/>
    <w:rsid w:val="00281D14"/>
    <w:rsid w:val="00282C13"/>
    <w:rsid w:val="002833D8"/>
    <w:rsid w:val="00285669"/>
    <w:rsid w:val="00286BF6"/>
    <w:rsid w:val="002903B7"/>
    <w:rsid w:val="00295E54"/>
    <w:rsid w:val="002962D7"/>
    <w:rsid w:val="00296C33"/>
    <w:rsid w:val="002A0D7B"/>
    <w:rsid w:val="002A0DF7"/>
    <w:rsid w:val="002A268C"/>
    <w:rsid w:val="002A2975"/>
    <w:rsid w:val="002A460D"/>
    <w:rsid w:val="002A4CEA"/>
    <w:rsid w:val="002A505B"/>
    <w:rsid w:val="002A5EE9"/>
    <w:rsid w:val="002A60E0"/>
    <w:rsid w:val="002B03A5"/>
    <w:rsid w:val="002B1AA8"/>
    <w:rsid w:val="002B1E87"/>
    <w:rsid w:val="002B687A"/>
    <w:rsid w:val="002C1344"/>
    <w:rsid w:val="002C252E"/>
    <w:rsid w:val="002C3A2A"/>
    <w:rsid w:val="002C458A"/>
    <w:rsid w:val="002C6552"/>
    <w:rsid w:val="002C6773"/>
    <w:rsid w:val="002C6F51"/>
    <w:rsid w:val="002C73EC"/>
    <w:rsid w:val="002D0FE0"/>
    <w:rsid w:val="002D269A"/>
    <w:rsid w:val="002D2A3D"/>
    <w:rsid w:val="002D39A1"/>
    <w:rsid w:val="002D3E72"/>
    <w:rsid w:val="002D3EAC"/>
    <w:rsid w:val="002D46A9"/>
    <w:rsid w:val="002D4955"/>
    <w:rsid w:val="002D5D1D"/>
    <w:rsid w:val="002D6EFD"/>
    <w:rsid w:val="002D74CF"/>
    <w:rsid w:val="002E0A45"/>
    <w:rsid w:val="002E0B17"/>
    <w:rsid w:val="002E26B4"/>
    <w:rsid w:val="002E3A3E"/>
    <w:rsid w:val="002E4FFB"/>
    <w:rsid w:val="002E63A7"/>
    <w:rsid w:val="002E650E"/>
    <w:rsid w:val="002E659A"/>
    <w:rsid w:val="002E6E2F"/>
    <w:rsid w:val="002E7DED"/>
    <w:rsid w:val="002F0334"/>
    <w:rsid w:val="002F2A7B"/>
    <w:rsid w:val="002F4AB2"/>
    <w:rsid w:val="002F4B9D"/>
    <w:rsid w:val="002F5944"/>
    <w:rsid w:val="002F7BC2"/>
    <w:rsid w:val="002F7E11"/>
    <w:rsid w:val="0030037C"/>
    <w:rsid w:val="00301C72"/>
    <w:rsid w:val="00303414"/>
    <w:rsid w:val="00304087"/>
    <w:rsid w:val="003053DC"/>
    <w:rsid w:val="003054B0"/>
    <w:rsid w:val="003057B1"/>
    <w:rsid w:val="003062AD"/>
    <w:rsid w:val="00310ACD"/>
    <w:rsid w:val="00310FD4"/>
    <w:rsid w:val="00311C88"/>
    <w:rsid w:val="00312C23"/>
    <w:rsid w:val="0031379F"/>
    <w:rsid w:val="00313A9C"/>
    <w:rsid w:val="0031510F"/>
    <w:rsid w:val="0031621E"/>
    <w:rsid w:val="00316A16"/>
    <w:rsid w:val="00320228"/>
    <w:rsid w:val="00320A26"/>
    <w:rsid w:val="003212F3"/>
    <w:rsid w:val="00321344"/>
    <w:rsid w:val="003214E8"/>
    <w:rsid w:val="00321788"/>
    <w:rsid w:val="0032234C"/>
    <w:rsid w:val="00325064"/>
    <w:rsid w:val="00325EC9"/>
    <w:rsid w:val="003279C6"/>
    <w:rsid w:val="0032B295"/>
    <w:rsid w:val="00331A3E"/>
    <w:rsid w:val="00332F13"/>
    <w:rsid w:val="0033451C"/>
    <w:rsid w:val="00335660"/>
    <w:rsid w:val="00335FBD"/>
    <w:rsid w:val="00336854"/>
    <w:rsid w:val="0033769B"/>
    <w:rsid w:val="0034015C"/>
    <w:rsid w:val="0034098D"/>
    <w:rsid w:val="00341409"/>
    <w:rsid w:val="00341CAE"/>
    <w:rsid w:val="003442F4"/>
    <w:rsid w:val="00344546"/>
    <w:rsid w:val="003455CF"/>
    <w:rsid w:val="00346DC7"/>
    <w:rsid w:val="0034716E"/>
    <w:rsid w:val="003472CC"/>
    <w:rsid w:val="00350CB4"/>
    <w:rsid w:val="00353705"/>
    <w:rsid w:val="003542C7"/>
    <w:rsid w:val="00354C69"/>
    <w:rsid w:val="00355536"/>
    <w:rsid w:val="003562E8"/>
    <w:rsid w:val="003614D7"/>
    <w:rsid w:val="00362E45"/>
    <w:rsid w:val="0036357D"/>
    <w:rsid w:val="003649BC"/>
    <w:rsid w:val="00364F7E"/>
    <w:rsid w:val="00365E44"/>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4F62"/>
    <w:rsid w:val="00385438"/>
    <w:rsid w:val="003858E5"/>
    <w:rsid w:val="003877B6"/>
    <w:rsid w:val="00391539"/>
    <w:rsid w:val="003921B7"/>
    <w:rsid w:val="00393887"/>
    <w:rsid w:val="00393F1B"/>
    <w:rsid w:val="00394C6B"/>
    <w:rsid w:val="0039610B"/>
    <w:rsid w:val="00397C2B"/>
    <w:rsid w:val="00397C90"/>
    <w:rsid w:val="003A0961"/>
    <w:rsid w:val="003A290F"/>
    <w:rsid w:val="003A4AAA"/>
    <w:rsid w:val="003A4B10"/>
    <w:rsid w:val="003A4E2E"/>
    <w:rsid w:val="003A4E62"/>
    <w:rsid w:val="003A5A6A"/>
    <w:rsid w:val="003A775E"/>
    <w:rsid w:val="003B02F2"/>
    <w:rsid w:val="003B0BD0"/>
    <w:rsid w:val="003B0CDD"/>
    <w:rsid w:val="003B1069"/>
    <w:rsid w:val="003B1B03"/>
    <w:rsid w:val="003B38CC"/>
    <w:rsid w:val="003B390A"/>
    <w:rsid w:val="003B3D53"/>
    <w:rsid w:val="003B4E3A"/>
    <w:rsid w:val="003B6373"/>
    <w:rsid w:val="003B79E1"/>
    <w:rsid w:val="003C0E8C"/>
    <w:rsid w:val="003C15DE"/>
    <w:rsid w:val="003C2096"/>
    <w:rsid w:val="003C2889"/>
    <w:rsid w:val="003C34C9"/>
    <w:rsid w:val="003C4EB2"/>
    <w:rsid w:val="003C5E05"/>
    <w:rsid w:val="003C63D0"/>
    <w:rsid w:val="003C7959"/>
    <w:rsid w:val="003D3968"/>
    <w:rsid w:val="003D42AF"/>
    <w:rsid w:val="003D4AD2"/>
    <w:rsid w:val="003D5E11"/>
    <w:rsid w:val="003D73C0"/>
    <w:rsid w:val="003E031D"/>
    <w:rsid w:val="003E7305"/>
    <w:rsid w:val="003F0C1C"/>
    <w:rsid w:val="003F1AF3"/>
    <w:rsid w:val="003F22DC"/>
    <w:rsid w:val="003F25E4"/>
    <w:rsid w:val="003F4743"/>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128C1"/>
    <w:rsid w:val="004137C0"/>
    <w:rsid w:val="004138F3"/>
    <w:rsid w:val="00421F20"/>
    <w:rsid w:val="0042261C"/>
    <w:rsid w:val="00423B63"/>
    <w:rsid w:val="004250AA"/>
    <w:rsid w:val="00427BEA"/>
    <w:rsid w:val="00427EDC"/>
    <w:rsid w:val="00430120"/>
    <w:rsid w:val="00430E6C"/>
    <w:rsid w:val="004313E7"/>
    <w:rsid w:val="00432542"/>
    <w:rsid w:val="004339B2"/>
    <w:rsid w:val="00436CCB"/>
    <w:rsid w:val="00444A70"/>
    <w:rsid w:val="0044763B"/>
    <w:rsid w:val="00452696"/>
    <w:rsid w:val="004531F3"/>
    <w:rsid w:val="00453F32"/>
    <w:rsid w:val="00456A53"/>
    <w:rsid w:val="0046213C"/>
    <w:rsid w:val="00462518"/>
    <w:rsid w:val="0046266D"/>
    <w:rsid w:val="004629B3"/>
    <w:rsid w:val="00463022"/>
    <w:rsid w:val="0046376E"/>
    <w:rsid w:val="00463B50"/>
    <w:rsid w:val="0046587C"/>
    <w:rsid w:val="0046690F"/>
    <w:rsid w:val="0046792B"/>
    <w:rsid w:val="00471116"/>
    <w:rsid w:val="00472FEC"/>
    <w:rsid w:val="00474FC4"/>
    <w:rsid w:val="00476830"/>
    <w:rsid w:val="0047696E"/>
    <w:rsid w:val="004770F6"/>
    <w:rsid w:val="004812D2"/>
    <w:rsid w:val="00483B28"/>
    <w:rsid w:val="004858E1"/>
    <w:rsid w:val="00485EF2"/>
    <w:rsid w:val="004864A1"/>
    <w:rsid w:val="0048769E"/>
    <w:rsid w:val="00490A03"/>
    <w:rsid w:val="00490B0D"/>
    <w:rsid w:val="00490E5D"/>
    <w:rsid w:val="00492B0A"/>
    <w:rsid w:val="00492D88"/>
    <w:rsid w:val="00493327"/>
    <w:rsid w:val="0049382E"/>
    <w:rsid w:val="00494DBE"/>
    <w:rsid w:val="00495CE6"/>
    <w:rsid w:val="00497524"/>
    <w:rsid w:val="00497D5E"/>
    <w:rsid w:val="004A144D"/>
    <w:rsid w:val="004A1D27"/>
    <w:rsid w:val="004A323C"/>
    <w:rsid w:val="004A4DEC"/>
    <w:rsid w:val="004B0801"/>
    <w:rsid w:val="004B1117"/>
    <w:rsid w:val="004B1A6B"/>
    <w:rsid w:val="004B1FC8"/>
    <w:rsid w:val="004B339A"/>
    <w:rsid w:val="004B54E8"/>
    <w:rsid w:val="004B773C"/>
    <w:rsid w:val="004C0138"/>
    <w:rsid w:val="004C0686"/>
    <w:rsid w:val="004C12E8"/>
    <w:rsid w:val="004C130C"/>
    <w:rsid w:val="004C1578"/>
    <w:rsid w:val="004C174B"/>
    <w:rsid w:val="004C1C36"/>
    <w:rsid w:val="004C286B"/>
    <w:rsid w:val="004C33BA"/>
    <w:rsid w:val="004C35E9"/>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20"/>
    <w:rsid w:val="004E28C9"/>
    <w:rsid w:val="004E3341"/>
    <w:rsid w:val="004E5124"/>
    <w:rsid w:val="004E7BE2"/>
    <w:rsid w:val="004E7E3A"/>
    <w:rsid w:val="004F10C1"/>
    <w:rsid w:val="004F1C5E"/>
    <w:rsid w:val="004F3E47"/>
    <w:rsid w:val="004F4CC8"/>
    <w:rsid w:val="004F4F5A"/>
    <w:rsid w:val="004F51FF"/>
    <w:rsid w:val="004F56E7"/>
    <w:rsid w:val="004F5AD9"/>
    <w:rsid w:val="004F7B18"/>
    <w:rsid w:val="00500955"/>
    <w:rsid w:val="00501494"/>
    <w:rsid w:val="0050159C"/>
    <w:rsid w:val="005022B7"/>
    <w:rsid w:val="00502E62"/>
    <w:rsid w:val="00506B8A"/>
    <w:rsid w:val="005110D3"/>
    <w:rsid w:val="00514D57"/>
    <w:rsid w:val="005152D4"/>
    <w:rsid w:val="005209E1"/>
    <w:rsid w:val="00520A65"/>
    <w:rsid w:val="005218B8"/>
    <w:rsid w:val="0052212B"/>
    <w:rsid w:val="005221A8"/>
    <w:rsid w:val="005230C7"/>
    <w:rsid w:val="005254BF"/>
    <w:rsid w:val="0052625A"/>
    <w:rsid w:val="005266EA"/>
    <w:rsid w:val="005268DA"/>
    <w:rsid w:val="00527072"/>
    <w:rsid w:val="0053001D"/>
    <w:rsid w:val="00534B46"/>
    <w:rsid w:val="00534CE8"/>
    <w:rsid w:val="00535018"/>
    <w:rsid w:val="005355DB"/>
    <w:rsid w:val="00535866"/>
    <w:rsid w:val="00536ACC"/>
    <w:rsid w:val="00540358"/>
    <w:rsid w:val="00540A05"/>
    <w:rsid w:val="00540C12"/>
    <w:rsid w:val="00540D47"/>
    <w:rsid w:val="005428D7"/>
    <w:rsid w:val="00542D43"/>
    <w:rsid w:val="00542E32"/>
    <w:rsid w:val="00544504"/>
    <w:rsid w:val="005463C3"/>
    <w:rsid w:val="005465A3"/>
    <w:rsid w:val="00547C7C"/>
    <w:rsid w:val="005506D5"/>
    <w:rsid w:val="00550864"/>
    <w:rsid w:val="00551D6C"/>
    <w:rsid w:val="00553580"/>
    <w:rsid w:val="00554F31"/>
    <w:rsid w:val="005550A8"/>
    <w:rsid w:val="0055571E"/>
    <w:rsid w:val="00556F67"/>
    <w:rsid w:val="00557849"/>
    <w:rsid w:val="00563009"/>
    <w:rsid w:val="005635B7"/>
    <w:rsid w:val="005652E8"/>
    <w:rsid w:val="0056772E"/>
    <w:rsid w:val="00567A17"/>
    <w:rsid w:val="0057667C"/>
    <w:rsid w:val="00576BDA"/>
    <w:rsid w:val="00577DB4"/>
    <w:rsid w:val="00581B1C"/>
    <w:rsid w:val="005826DA"/>
    <w:rsid w:val="00582943"/>
    <w:rsid w:val="00582D0E"/>
    <w:rsid w:val="00582E09"/>
    <w:rsid w:val="005833F0"/>
    <w:rsid w:val="00586280"/>
    <w:rsid w:val="005865FC"/>
    <w:rsid w:val="00586640"/>
    <w:rsid w:val="005869CE"/>
    <w:rsid w:val="00586CAF"/>
    <w:rsid w:val="005873E9"/>
    <w:rsid w:val="00587A90"/>
    <w:rsid w:val="00591180"/>
    <w:rsid w:val="00592E9F"/>
    <w:rsid w:val="00594EF6"/>
    <w:rsid w:val="00595286"/>
    <w:rsid w:val="0059722C"/>
    <w:rsid w:val="005977A6"/>
    <w:rsid w:val="00597D07"/>
    <w:rsid w:val="00597DD6"/>
    <w:rsid w:val="005A16E6"/>
    <w:rsid w:val="005A2EB1"/>
    <w:rsid w:val="005A30D7"/>
    <w:rsid w:val="005A3846"/>
    <w:rsid w:val="005A5E6B"/>
    <w:rsid w:val="005A678F"/>
    <w:rsid w:val="005A7DE8"/>
    <w:rsid w:val="005A7E97"/>
    <w:rsid w:val="005B2CD2"/>
    <w:rsid w:val="005B632A"/>
    <w:rsid w:val="005B6A58"/>
    <w:rsid w:val="005C2655"/>
    <w:rsid w:val="005C2D0E"/>
    <w:rsid w:val="005C5A83"/>
    <w:rsid w:val="005C7112"/>
    <w:rsid w:val="005D0561"/>
    <w:rsid w:val="005D0AD9"/>
    <w:rsid w:val="005D1A67"/>
    <w:rsid w:val="005D22F6"/>
    <w:rsid w:val="005D6774"/>
    <w:rsid w:val="005D68AA"/>
    <w:rsid w:val="005D6BD1"/>
    <w:rsid w:val="005E060E"/>
    <w:rsid w:val="005E0C30"/>
    <w:rsid w:val="005E1DCB"/>
    <w:rsid w:val="005E2377"/>
    <w:rsid w:val="005E33E0"/>
    <w:rsid w:val="005E3FBB"/>
    <w:rsid w:val="005E66B4"/>
    <w:rsid w:val="005E69D9"/>
    <w:rsid w:val="005E6CB1"/>
    <w:rsid w:val="005E7116"/>
    <w:rsid w:val="005E7971"/>
    <w:rsid w:val="005F17D1"/>
    <w:rsid w:val="005F27F4"/>
    <w:rsid w:val="005F2F9B"/>
    <w:rsid w:val="005F3239"/>
    <w:rsid w:val="005F39BF"/>
    <w:rsid w:val="005F566C"/>
    <w:rsid w:val="005F6567"/>
    <w:rsid w:val="005F676D"/>
    <w:rsid w:val="005F7A8A"/>
    <w:rsid w:val="00600998"/>
    <w:rsid w:val="00600ACF"/>
    <w:rsid w:val="006019EB"/>
    <w:rsid w:val="006042BE"/>
    <w:rsid w:val="00605DFE"/>
    <w:rsid w:val="00607094"/>
    <w:rsid w:val="00607256"/>
    <w:rsid w:val="0060790C"/>
    <w:rsid w:val="0060791E"/>
    <w:rsid w:val="00611F08"/>
    <w:rsid w:val="00613BF1"/>
    <w:rsid w:val="006144B1"/>
    <w:rsid w:val="00615A5C"/>
    <w:rsid w:val="006177FF"/>
    <w:rsid w:val="0062077F"/>
    <w:rsid w:val="00621BC7"/>
    <w:rsid w:val="00622033"/>
    <w:rsid w:val="0062232C"/>
    <w:rsid w:val="00627FA3"/>
    <w:rsid w:val="00630644"/>
    <w:rsid w:val="006335F1"/>
    <w:rsid w:val="006336FD"/>
    <w:rsid w:val="00633B49"/>
    <w:rsid w:val="006345B6"/>
    <w:rsid w:val="00635616"/>
    <w:rsid w:val="00635712"/>
    <w:rsid w:val="00635984"/>
    <w:rsid w:val="00635F41"/>
    <w:rsid w:val="006368FF"/>
    <w:rsid w:val="006377D4"/>
    <w:rsid w:val="00640135"/>
    <w:rsid w:val="006402FF"/>
    <w:rsid w:val="006405EF"/>
    <w:rsid w:val="00640BFB"/>
    <w:rsid w:val="00640D3C"/>
    <w:rsid w:val="0064107F"/>
    <w:rsid w:val="00643D8A"/>
    <w:rsid w:val="00645A5C"/>
    <w:rsid w:val="00647AB9"/>
    <w:rsid w:val="00650894"/>
    <w:rsid w:val="0065112B"/>
    <w:rsid w:val="00652091"/>
    <w:rsid w:val="00652229"/>
    <w:rsid w:val="00652793"/>
    <w:rsid w:val="006528DE"/>
    <w:rsid w:val="00657789"/>
    <w:rsid w:val="00660320"/>
    <w:rsid w:val="0066187E"/>
    <w:rsid w:val="00662375"/>
    <w:rsid w:val="006626CA"/>
    <w:rsid w:val="00663487"/>
    <w:rsid w:val="00665511"/>
    <w:rsid w:val="006662DE"/>
    <w:rsid w:val="00670F88"/>
    <w:rsid w:val="00672382"/>
    <w:rsid w:val="00672D0F"/>
    <w:rsid w:val="006733BB"/>
    <w:rsid w:val="00676E80"/>
    <w:rsid w:val="006770F7"/>
    <w:rsid w:val="00680F04"/>
    <w:rsid w:val="00681257"/>
    <w:rsid w:val="00681C3E"/>
    <w:rsid w:val="006822E9"/>
    <w:rsid w:val="00682643"/>
    <w:rsid w:val="00682EB9"/>
    <w:rsid w:val="00682F1E"/>
    <w:rsid w:val="0068378C"/>
    <w:rsid w:val="006839D3"/>
    <w:rsid w:val="0068441A"/>
    <w:rsid w:val="0068699A"/>
    <w:rsid w:val="00690B19"/>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A70"/>
    <w:rsid w:val="006C2BB0"/>
    <w:rsid w:val="006C33BE"/>
    <w:rsid w:val="006C4B3D"/>
    <w:rsid w:val="006C5B53"/>
    <w:rsid w:val="006C7E78"/>
    <w:rsid w:val="006D064D"/>
    <w:rsid w:val="006D098F"/>
    <w:rsid w:val="006D20E3"/>
    <w:rsid w:val="006D2218"/>
    <w:rsid w:val="006D33E1"/>
    <w:rsid w:val="006D4996"/>
    <w:rsid w:val="006D535B"/>
    <w:rsid w:val="006D54AB"/>
    <w:rsid w:val="006D5525"/>
    <w:rsid w:val="006D58E5"/>
    <w:rsid w:val="006E1084"/>
    <w:rsid w:val="006E10B2"/>
    <w:rsid w:val="006E12F0"/>
    <w:rsid w:val="006E1FA9"/>
    <w:rsid w:val="006E2D24"/>
    <w:rsid w:val="006E3006"/>
    <w:rsid w:val="006E4F02"/>
    <w:rsid w:val="006E5032"/>
    <w:rsid w:val="006E5BDA"/>
    <w:rsid w:val="006E6935"/>
    <w:rsid w:val="006E7AC9"/>
    <w:rsid w:val="006F0FC7"/>
    <w:rsid w:val="006F39A9"/>
    <w:rsid w:val="006F3D9D"/>
    <w:rsid w:val="006F524E"/>
    <w:rsid w:val="006F5743"/>
    <w:rsid w:val="006F5D57"/>
    <w:rsid w:val="006F643F"/>
    <w:rsid w:val="006F670F"/>
    <w:rsid w:val="006F77F3"/>
    <w:rsid w:val="0070063C"/>
    <w:rsid w:val="00700D69"/>
    <w:rsid w:val="00702921"/>
    <w:rsid w:val="00703272"/>
    <w:rsid w:val="0070362C"/>
    <w:rsid w:val="0070471B"/>
    <w:rsid w:val="00705BBE"/>
    <w:rsid w:val="007063E6"/>
    <w:rsid w:val="0070733C"/>
    <w:rsid w:val="007102D5"/>
    <w:rsid w:val="00710C5D"/>
    <w:rsid w:val="0071348C"/>
    <w:rsid w:val="00717273"/>
    <w:rsid w:val="00720FD4"/>
    <w:rsid w:val="00722C50"/>
    <w:rsid w:val="00723C6D"/>
    <w:rsid w:val="00724550"/>
    <w:rsid w:val="00724737"/>
    <w:rsid w:val="00724AF2"/>
    <w:rsid w:val="00730624"/>
    <w:rsid w:val="0073096C"/>
    <w:rsid w:val="0073100D"/>
    <w:rsid w:val="00731368"/>
    <w:rsid w:val="00733429"/>
    <w:rsid w:val="00733A46"/>
    <w:rsid w:val="00735E2D"/>
    <w:rsid w:val="007366CF"/>
    <w:rsid w:val="00736F2C"/>
    <w:rsid w:val="00740055"/>
    <w:rsid w:val="00741902"/>
    <w:rsid w:val="007419C8"/>
    <w:rsid w:val="00741D9F"/>
    <w:rsid w:val="00742398"/>
    <w:rsid w:val="007432A9"/>
    <w:rsid w:val="00743B63"/>
    <w:rsid w:val="0074488E"/>
    <w:rsid w:val="00745C0B"/>
    <w:rsid w:val="00746050"/>
    <w:rsid w:val="00746118"/>
    <w:rsid w:val="00746C7F"/>
    <w:rsid w:val="007507B5"/>
    <w:rsid w:val="0075091D"/>
    <w:rsid w:val="00750EC4"/>
    <w:rsid w:val="00751831"/>
    <w:rsid w:val="0075201B"/>
    <w:rsid w:val="00753A24"/>
    <w:rsid w:val="0075430D"/>
    <w:rsid w:val="007558B1"/>
    <w:rsid w:val="0075779F"/>
    <w:rsid w:val="0076354B"/>
    <w:rsid w:val="007658F3"/>
    <w:rsid w:val="007661FA"/>
    <w:rsid w:val="00766EA2"/>
    <w:rsid w:val="00767034"/>
    <w:rsid w:val="007712DB"/>
    <w:rsid w:val="00772188"/>
    <w:rsid w:val="0077222A"/>
    <w:rsid w:val="00773909"/>
    <w:rsid w:val="0077411B"/>
    <w:rsid w:val="0077433B"/>
    <w:rsid w:val="00774E1E"/>
    <w:rsid w:val="0078078A"/>
    <w:rsid w:val="0078118A"/>
    <w:rsid w:val="007813D0"/>
    <w:rsid w:val="007845AC"/>
    <w:rsid w:val="00785993"/>
    <w:rsid w:val="00785A0D"/>
    <w:rsid w:val="00785FC4"/>
    <w:rsid w:val="007863BF"/>
    <w:rsid w:val="007866E2"/>
    <w:rsid w:val="00786BA3"/>
    <w:rsid w:val="00790993"/>
    <w:rsid w:val="0079202F"/>
    <w:rsid w:val="0079203E"/>
    <w:rsid w:val="007921BF"/>
    <w:rsid w:val="00792596"/>
    <w:rsid w:val="007934C3"/>
    <w:rsid w:val="00794903"/>
    <w:rsid w:val="00795486"/>
    <w:rsid w:val="00795AF2"/>
    <w:rsid w:val="00795E4F"/>
    <w:rsid w:val="00797A67"/>
    <w:rsid w:val="007A0287"/>
    <w:rsid w:val="007A09FC"/>
    <w:rsid w:val="007A2AAD"/>
    <w:rsid w:val="007A4432"/>
    <w:rsid w:val="007A59E9"/>
    <w:rsid w:val="007A784E"/>
    <w:rsid w:val="007A7E31"/>
    <w:rsid w:val="007B02A0"/>
    <w:rsid w:val="007B07C8"/>
    <w:rsid w:val="007B278C"/>
    <w:rsid w:val="007B2DAD"/>
    <w:rsid w:val="007B3774"/>
    <w:rsid w:val="007B459E"/>
    <w:rsid w:val="007B4939"/>
    <w:rsid w:val="007B499C"/>
    <w:rsid w:val="007B4D4B"/>
    <w:rsid w:val="007B55A2"/>
    <w:rsid w:val="007B58C6"/>
    <w:rsid w:val="007B5EE2"/>
    <w:rsid w:val="007B76D8"/>
    <w:rsid w:val="007C0646"/>
    <w:rsid w:val="007C1E5E"/>
    <w:rsid w:val="007C1E9D"/>
    <w:rsid w:val="007C3AE3"/>
    <w:rsid w:val="007C6C51"/>
    <w:rsid w:val="007D0000"/>
    <w:rsid w:val="007D2A02"/>
    <w:rsid w:val="007D5EA2"/>
    <w:rsid w:val="007D6144"/>
    <w:rsid w:val="007D62A4"/>
    <w:rsid w:val="007D6A53"/>
    <w:rsid w:val="007D6CE5"/>
    <w:rsid w:val="007E0917"/>
    <w:rsid w:val="007E1736"/>
    <w:rsid w:val="007E1E31"/>
    <w:rsid w:val="007E25DD"/>
    <w:rsid w:val="007E2887"/>
    <w:rsid w:val="007E3318"/>
    <w:rsid w:val="007E6EA1"/>
    <w:rsid w:val="007F0F63"/>
    <w:rsid w:val="007F2B1E"/>
    <w:rsid w:val="007F4590"/>
    <w:rsid w:val="007F4B5D"/>
    <w:rsid w:val="007F62B4"/>
    <w:rsid w:val="007F7DF9"/>
    <w:rsid w:val="00800FD6"/>
    <w:rsid w:val="00801517"/>
    <w:rsid w:val="00803B8A"/>
    <w:rsid w:val="00804966"/>
    <w:rsid w:val="0080510A"/>
    <w:rsid w:val="0080596A"/>
    <w:rsid w:val="00805CBF"/>
    <w:rsid w:val="008079E2"/>
    <w:rsid w:val="00810AC4"/>
    <w:rsid w:val="0081218E"/>
    <w:rsid w:val="0081228B"/>
    <w:rsid w:val="00813492"/>
    <w:rsid w:val="00814DE2"/>
    <w:rsid w:val="00816ED1"/>
    <w:rsid w:val="008174AE"/>
    <w:rsid w:val="008177EE"/>
    <w:rsid w:val="00817895"/>
    <w:rsid w:val="00817AE8"/>
    <w:rsid w:val="00817DE8"/>
    <w:rsid w:val="00821B58"/>
    <w:rsid w:val="008229F5"/>
    <w:rsid w:val="008259DE"/>
    <w:rsid w:val="0082699A"/>
    <w:rsid w:val="00827F2A"/>
    <w:rsid w:val="00832633"/>
    <w:rsid w:val="0083342C"/>
    <w:rsid w:val="00833869"/>
    <w:rsid w:val="00833A2B"/>
    <w:rsid w:val="00833CEB"/>
    <w:rsid w:val="008359B8"/>
    <w:rsid w:val="0083662B"/>
    <w:rsid w:val="008372D2"/>
    <w:rsid w:val="008377BC"/>
    <w:rsid w:val="00844C17"/>
    <w:rsid w:val="00846017"/>
    <w:rsid w:val="00847726"/>
    <w:rsid w:val="00851033"/>
    <w:rsid w:val="00851A55"/>
    <w:rsid w:val="00851CB1"/>
    <w:rsid w:val="00852511"/>
    <w:rsid w:val="0085252F"/>
    <w:rsid w:val="008558EF"/>
    <w:rsid w:val="00855FD0"/>
    <w:rsid w:val="00857408"/>
    <w:rsid w:val="008578A9"/>
    <w:rsid w:val="0086072A"/>
    <w:rsid w:val="0086088F"/>
    <w:rsid w:val="00861422"/>
    <w:rsid w:val="008614F1"/>
    <w:rsid w:val="00862FD6"/>
    <w:rsid w:val="008639B3"/>
    <w:rsid w:val="00863C1A"/>
    <w:rsid w:val="00863DA3"/>
    <w:rsid w:val="0086470F"/>
    <w:rsid w:val="00865882"/>
    <w:rsid w:val="00866CDD"/>
    <w:rsid w:val="008712FE"/>
    <w:rsid w:val="0087142D"/>
    <w:rsid w:val="00872928"/>
    <w:rsid w:val="00872DA6"/>
    <w:rsid w:val="00873416"/>
    <w:rsid w:val="00873956"/>
    <w:rsid w:val="0087538C"/>
    <w:rsid w:val="00875CB0"/>
    <w:rsid w:val="008770CC"/>
    <w:rsid w:val="00877800"/>
    <w:rsid w:val="00877C32"/>
    <w:rsid w:val="0088094B"/>
    <w:rsid w:val="00880E72"/>
    <w:rsid w:val="0088176E"/>
    <w:rsid w:val="0088191A"/>
    <w:rsid w:val="008825EE"/>
    <w:rsid w:val="00882DD2"/>
    <w:rsid w:val="00882DE4"/>
    <w:rsid w:val="0088313E"/>
    <w:rsid w:val="0088596E"/>
    <w:rsid w:val="00885D26"/>
    <w:rsid w:val="00886C54"/>
    <w:rsid w:val="00886F34"/>
    <w:rsid w:val="008870ED"/>
    <w:rsid w:val="008877FC"/>
    <w:rsid w:val="0089796A"/>
    <w:rsid w:val="0089799B"/>
    <w:rsid w:val="008A2375"/>
    <w:rsid w:val="008A54B6"/>
    <w:rsid w:val="008A56FE"/>
    <w:rsid w:val="008A7DEB"/>
    <w:rsid w:val="008B1B65"/>
    <w:rsid w:val="008B3557"/>
    <w:rsid w:val="008B39E0"/>
    <w:rsid w:val="008B4302"/>
    <w:rsid w:val="008B548B"/>
    <w:rsid w:val="008B5E05"/>
    <w:rsid w:val="008B605A"/>
    <w:rsid w:val="008B642A"/>
    <w:rsid w:val="008C027E"/>
    <w:rsid w:val="008C093B"/>
    <w:rsid w:val="008C0E76"/>
    <w:rsid w:val="008C2665"/>
    <w:rsid w:val="008C6041"/>
    <w:rsid w:val="008C68D0"/>
    <w:rsid w:val="008C74E3"/>
    <w:rsid w:val="008D0936"/>
    <w:rsid w:val="008D39B2"/>
    <w:rsid w:val="008D403B"/>
    <w:rsid w:val="008D4707"/>
    <w:rsid w:val="008D76C5"/>
    <w:rsid w:val="008E0A04"/>
    <w:rsid w:val="008E0AFA"/>
    <w:rsid w:val="008E411B"/>
    <w:rsid w:val="008E4F56"/>
    <w:rsid w:val="008E4FBF"/>
    <w:rsid w:val="008E6D91"/>
    <w:rsid w:val="008E75D3"/>
    <w:rsid w:val="008E7E48"/>
    <w:rsid w:val="008F02E9"/>
    <w:rsid w:val="008F0CE4"/>
    <w:rsid w:val="008F0EFC"/>
    <w:rsid w:val="008F125E"/>
    <w:rsid w:val="008F1CC5"/>
    <w:rsid w:val="008F2B54"/>
    <w:rsid w:val="008F2CC5"/>
    <w:rsid w:val="008F2F3B"/>
    <w:rsid w:val="008F4C1E"/>
    <w:rsid w:val="008F4D2F"/>
    <w:rsid w:val="008F510A"/>
    <w:rsid w:val="008F55A2"/>
    <w:rsid w:val="008F64E2"/>
    <w:rsid w:val="00900078"/>
    <w:rsid w:val="00900235"/>
    <w:rsid w:val="00900D3C"/>
    <w:rsid w:val="009038F2"/>
    <w:rsid w:val="00906292"/>
    <w:rsid w:val="00914B5B"/>
    <w:rsid w:val="00916732"/>
    <w:rsid w:val="00917162"/>
    <w:rsid w:val="009172B9"/>
    <w:rsid w:val="009178AA"/>
    <w:rsid w:val="00923001"/>
    <w:rsid w:val="0092358D"/>
    <w:rsid w:val="009238BF"/>
    <w:rsid w:val="009251CC"/>
    <w:rsid w:val="0092714E"/>
    <w:rsid w:val="00927661"/>
    <w:rsid w:val="00931E24"/>
    <w:rsid w:val="009324F0"/>
    <w:rsid w:val="0093478F"/>
    <w:rsid w:val="00936826"/>
    <w:rsid w:val="00940B3D"/>
    <w:rsid w:val="00942002"/>
    <w:rsid w:val="00942359"/>
    <w:rsid w:val="009446D6"/>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C9A"/>
    <w:rsid w:val="00960CBC"/>
    <w:rsid w:val="00963A06"/>
    <w:rsid w:val="00965192"/>
    <w:rsid w:val="00965286"/>
    <w:rsid w:val="00967DD4"/>
    <w:rsid w:val="009700B1"/>
    <w:rsid w:val="00970ECF"/>
    <w:rsid w:val="00971261"/>
    <w:rsid w:val="00971FD4"/>
    <w:rsid w:val="009722CB"/>
    <w:rsid w:val="009739A0"/>
    <w:rsid w:val="00974EE4"/>
    <w:rsid w:val="00974F84"/>
    <w:rsid w:val="00975D5B"/>
    <w:rsid w:val="00976216"/>
    <w:rsid w:val="009767C7"/>
    <w:rsid w:val="00977D30"/>
    <w:rsid w:val="00980E69"/>
    <w:rsid w:val="0098334C"/>
    <w:rsid w:val="009839AE"/>
    <w:rsid w:val="00984643"/>
    <w:rsid w:val="0098576C"/>
    <w:rsid w:val="0098579A"/>
    <w:rsid w:val="00986885"/>
    <w:rsid w:val="00991475"/>
    <w:rsid w:val="009918DD"/>
    <w:rsid w:val="0099195A"/>
    <w:rsid w:val="00991BD2"/>
    <w:rsid w:val="00992407"/>
    <w:rsid w:val="00992A11"/>
    <w:rsid w:val="00994681"/>
    <w:rsid w:val="0099486A"/>
    <w:rsid w:val="0099492D"/>
    <w:rsid w:val="00995FCE"/>
    <w:rsid w:val="009A0B33"/>
    <w:rsid w:val="009A0E26"/>
    <w:rsid w:val="009A16EC"/>
    <w:rsid w:val="009A22C2"/>
    <w:rsid w:val="009A743E"/>
    <w:rsid w:val="009A7CF6"/>
    <w:rsid w:val="009B1B55"/>
    <w:rsid w:val="009B29B7"/>
    <w:rsid w:val="009B3199"/>
    <w:rsid w:val="009B3B37"/>
    <w:rsid w:val="009B4A56"/>
    <w:rsid w:val="009B63F4"/>
    <w:rsid w:val="009B7D1F"/>
    <w:rsid w:val="009C088E"/>
    <w:rsid w:val="009C17DC"/>
    <w:rsid w:val="009C37AB"/>
    <w:rsid w:val="009C4C7A"/>
    <w:rsid w:val="009C4D35"/>
    <w:rsid w:val="009C5E51"/>
    <w:rsid w:val="009C7B68"/>
    <w:rsid w:val="009D1522"/>
    <w:rsid w:val="009D51F0"/>
    <w:rsid w:val="009D7252"/>
    <w:rsid w:val="009E1FF6"/>
    <w:rsid w:val="009E3CAF"/>
    <w:rsid w:val="009E3F48"/>
    <w:rsid w:val="009E53A5"/>
    <w:rsid w:val="009E5B95"/>
    <w:rsid w:val="009E5CCE"/>
    <w:rsid w:val="009E5EB4"/>
    <w:rsid w:val="009E6BA8"/>
    <w:rsid w:val="009F563C"/>
    <w:rsid w:val="009F610E"/>
    <w:rsid w:val="00A00DA9"/>
    <w:rsid w:val="00A00E4B"/>
    <w:rsid w:val="00A00F7E"/>
    <w:rsid w:val="00A044D6"/>
    <w:rsid w:val="00A04ADB"/>
    <w:rsid w:val="00A04F89"/>
    <w:rsid w:val="00A05F11"/>
    <w:rsid w:val="00A11E0F"/>
    <w:rsid w:val="00A12378"/>
    <w:rsid w:val="00A141E9"/>
    <w:rsid w:val="00A15D78"/>
    <w:rsid w:val="00A15EBE"/>
    <w:rsid w:val="00A1784C"/>
    <w:rsid w:val="00A17F5B"/>
    <w:rsid w:val="00A20196"/>
    <w:rsid w:val="00A216E5"/>
    <w:rsid w:val="00A24752"/>
    <w:rsid w:val="00A26744"/>
    <w:rsid w:val="00A26CB6"/>
    <w:rsid w:val="00A30A00"/>
    <w:rsid w:val="00A32F82"/>
    <w:rsid w:val="00A32F8B"/>
    <w:rsid w:val="00A3431E"/>
    <w:rsid w:val="00A34F9F"/>
    <w:rsid w:val="00A36481"/>
    <w:rsid w:val="00A36675"/>
    <w:rsid w:val="00A3756F"/>
    <w:rsid w:val="00A41CC3"/>
    <w:rsid w:val="00A41DBE"/>
    <w:rsid w:val="00A42D6F"/>
    <w:rsid w:val="00A43870"/>
    <w:rsid w:val="00A44642"/>
    <w:rsid w:val="00A4474B"/>
    <w:rsid w:val="00A45A62"/>
    <w:rsid w:val="00A462DC"/>
    <w:rsid w:val="00A4657C"/>
    <w:rsid w:val="00A46C7E"/>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6D5A"/>
    <w:rsid w:val="00A66DB1"/>
    <w:rsid w:val="00A678F9"/>
    <w:rsid w:val="00A67A92"/>
    <w:rsid w:val="00A70AC2"/>
    <w:rsid w:val="00A70DC6"/>
    <w:rsid w:val="00A74FDC"/>
    <w:rsid w:val="00A77192"/>
    <w:rsid w:val="00A8089F"/>
    <w:rsid w:val="00A821BE"/>
    <w:rsid w:val="00A842D5"/>
    <w:rsid w:val="00A87870"/>
    <w:rsid w:val="00A903F3"/>
    <w:rsid w:val="00A90F18"/>
    <w:rsid w:val="00A90FFB"/>
    <w:rsid w:val="00A9149D"/>
    <w:rsid w:val="00A91A70"/>
    <w:rsid w:val="00A9302F"/>
    <w:rsid w:val="00A940AF"/>
    <w:rsid w:val="00A957F6"/>
    <w:rsid w:val="00A959CF"/>
    <w:rsid w:val="00A97316"/>
    <w:rsid w:val="00A979DC"/>
    <w:rsid w:val="00AA010B"/>
    <w:rsid w:val="00AA0D54"/>
    <w:rsid w:val="00AA1B85"/>
    <w:rsid w:val="00AA3290"/>
    <w:rsid w:val="00AA46F0"/>
    <w:rsid w:val="00AA4CA2"/>
    <w:rsid w:val="00AA6481"/>
    <w:rsid w:val="00AA7270"/>
    <w:rsid w:val="00AB0C08"/>
    <w:rsid w:val="00AB12AC"/>
    <w:rsid w:val="00AB1CB6"/>
    <w:rsid w:val="00AB1D9A"/>
    <w:rsid w:val="00AB4A1F"/>
    <w:rsid w:val="00AB5C61"/>
    <w:rsid w:val="00AB6760"/>
    <w:rsid w:val="00AC3540"/>
    <w:rsid w:val="00AC3D15"/>
    <w:rsid w:val="00AC5055"/>
    <w:rsid w:val="00AD0C22"/>
    <w:rsid w:val="00AD1AD7"/>
    <w:rsid w:val="00AD1AE2"/>
    <w:rsid w:val="00AD1DC6"/>
    <w:rsid w:val="00AD3290"/>
    <w:rsid w:val="00AD442C"/>
    <w:rsid w:val="00AD44FE"/>
    <w:rsid w:val="00AD5A37"/>
    <w:rsid w:val="00AD73BF"/>
    <w:rsid w:val="00AE05A4"/>
    <w:rsid w:val="00AE177E"/>
    <w:rsid w:val="00AE25FC"/>
    <w:rsid w:val="00AE400C"/>
    <w:rsid w:val="00AE49F1"/>
    <w:rsid w:val="00AE4A1C"/>
    <w:rsid w:val="00AE4B7A"/>
    <w:rsid w:val="00AE5532"/>
    <w:rsid w:val="00AE74D8"/>
    <w:rsid w:val="00AF0B6F"/>
    <w:rsid w:val="00AF1D69"/>
    <w:rsid w:val="00AF30D0"/>
    <w:rsid w:val="00AF41FA"/>
    <w:rsid w:val="00AF71EB"/>
    <w:rsid w:val="00B00988"/>
    <w:rsid w:val="00B01405"/>
    <w:rsid w:val="00B03639"/>
    <w:rsid w:val="00B052E8"/>
    <w:rsid w:val="00B05CCA"/>
    <w:rsid w:val="00B077D3"/>
    <w:rsid w:val="00B100C9"/>
    <w:rsid w:val="00B10AC8"/>
    <w:rsid w:val="00B10E8A"/>
    <w:rsid w:val="00B11099"/>
    <w:rsid w:val="00B1118A"/>
    <w:rsid w:val="00B13CE1"/>
    <w:rsid w:val="00B14271"/>
    <w:rsid w:val="00B16270"/>
    <w:rsid w:val="00B17A40"/>
    <w:rsid w:val="00B22578"/>
    <w:rsid w:val="00B231D1"/>
    <w:rsid w:val="00B23C16"/>
    <w:rsid w:val="00B23C52"/>
    <w:rsid w:val="00B247C7"/>
    <w:rsid w:val="00B259E1"/>
    <w:rsid w:val="00B2685D"/>
    <w:rsid w:val="00B26D1E"/>
    <w:rsid w:val="00B27573"/>
    <w:rsid w:val="00B30351"/>
    <w:rsid w:val="00B33837"/>
    <w:rsid w:val="00B33C2A"/>
    <w:rsid w:val="00B34A14"/>
    <w:rsid w:val="00B35967"/>
    <w:rsid w:val="00B363D9"/>
    <w:rsid w:val="00B403AF"/>
    <w:rsid w:val="00B422EC"/>
    <w:rsid w:val="00B44875"/>
    <w:rsid w:val="00B44C07"/>
    <w:rsid w:val="00B46320"/>
    <w:rsid w:val="00B4657A"/>
    <w:rsid w:val="00B471F4"/>
    <w:rsid w:val="00B47F0A"/>
    <w:rsid w:val="00B50B6B"/>
    <w:rsid w:val="00B54329"/>
    <w:rsid w:val="00B54885"/>
    <w:rsid w:val="00B54BFF"/>
    <w:rsid w:val="00B554C9"/>
    <w:rsid w:val="00B56AD9"/>
    <w:rsid w:val="00B56EE3"/>
    <w:rsid w:val="00B57158"/>
    <w:rsid w:val="00B5778D"/>
    <w:rsid w:val="00B614C0"/>
    <w:rsid w:val="00B61D0B"/>
    <w:rsid w:val="00B63235"/>
    <w:rsid w:val="00B634AB"/>
    <w:rsid w:val="00B63624"/>
    <w:rsid w:val="00B64763"/>
    <w:rsid w:val="00B6678B"/>
    <w:rsid w:val="00B7037B"/>
    <w:rsid w:val="00B71295"/>
    <w:rsid w:val="00B719F6"/>
    <w:rsid w:val="00B726D4"/>
    <w:rsid w:val="00B72969"/>
    <w:rsid w:val="00B758FD"/>
    <w:rsid w:val="00B76807"/>
    <w:rsid w:val="00B77D24"/>
    <w:rsid w:val="00B8214F"/>
    <w:rsid w:val="00B82B43"/>
    <w:rsid w:val="00B82B48"/>
    <w:rsid w:val="00B84B3D"/>
    <w:rsid w:val="00B85133"/>
    <w:rsid w:val="00B8643A"/>
    <w:rsid w:val="00B86A4F"/>
    <w:rsid w:val="00B93035"/>
    <w:rsid w:val="00B940EB"/>
    <w:rsid w:val="00B9431C"/>
    <w:rsid w:val="00B94F52"/>
    <w:rsid w:val="00B951FF"/>
    <w:rsid w:val="00B95798"/>
    <w:rsid w:val="00B958E8"/>
    <w:rsid w:val="00B97637"/>
    <w:rsid w:val="00B97E4A"/>
    <w:rsid w:val="00BA09B2"/>
    <w:rsid w:val="00BA0F35"/>
    <w:rsid w:val="00BA12BC"/>
    <w:rsid w:val="00BA465D"/>
    <w:rsid w:val="00BA52C0"/>
    <w:rsid w:val="00BA5B46"/>
    <w:rsid w:val="00BA63D4"/>
    <w:rsid w:val="00BB10E9"/>
    <w:rsid w:val="00BB2D73"/>
    <w:rsid w:val="00BB400D"/>
    <w:rsid w:val="00BB45BA"/>
    <w:rsid w:val="00BB48B2"/>
    <w:rsid w:val="00BB4A3A"/>
    <w:rsid w:val="00BB4D6A"/>
    <w:rsid w:val="00BB5D0B"/>
    <w:rsid w:val="00BB629C"/>
    <w:rsid w:val="00BC0995"/>
    <w:rsid w:val="00BC1761"/>
    <w:rsid w:val="00BC19ED"/>
    <w:rsid w:val="00BC513A"/>
    <w:rsid w:val="00BC6C56"/>
    <w:rsid w:val="00BC6DE2"/>
    <w:rsid w:val="00BC6E62"/>
    <w:rsid w:val="00BD013A"/>
    <w:rsid w:val="00BD2510"/>
    <w:rsid w:val="00BD3A53"/>
    <w:rsid w:val="00BD5A19"/>
    <w:rsid w:val="00BD656A"/>
    <w:rsid w:val="00BD6D1B"/>
    <w:rsid w:val="00BE13AB"/>
    <w:rsid w:val="00BE2403"/>
    <w:rsid w:val="00BE2D0A"/>
    <w:rsid w:val="00BE47D4"/>
    <w:rsid w:val="00BE793A"/>
    <w:rsid w:val="00BE7A0B"/>
    <w:rsid w:val="00BF114D"/>
    <w:rsid w:val="00BF2B82"/>
    <w:rsid w:val="00BF2CEB"/>
    <w:rsid w:val="00BF3F53"/>
    <w:rsid w:val="00BF432A"/>
    <w:rsid w:val="00BF5D70"/>
    <w:rsid w:val="00BF6E82"/>
    <w:rsid w:val="00C060C7"/>
    <w:rsid w:val="00C06DCC"/>
    <w:rsid w:val="00C07F92"/>
    <w:rsid w:val="00C10EA4"/>
    <w:rsid w:val="00C11D25"/>
    <w:rsid w:val="00C13217"/>
    <w:rsid w:val="00C15BEC"/>
    <w:rsid w:val="00C15DB5"/>
    <w:rsid w:val="00C16D26"/>
    <w:rsid w:val="00C208E2"/>
    <w:rsid w:val="00C20D11"/>
    <w:rsid w:val="00C21897"/>
    <w:rsid w:val="00C2288E"/>
    <w:rsid w:val="00C22B54"/>
    <w:rsid w:val="00C24279"/>
    <w:rsid w:val="00C24C17"/>
    <w:rsid w:val="00C31595"/>
    <w:rsid w:val="00C31B25"/>
    <w:rsid w:val="00C3309D"/>
    <w:rsid w:val="00C3411D"/>
    <w:rsid w:val="00C34357"/>
    <w:rsid w:val="00C34829"/>
    <w:rsid w:val="00C363B8"/>
    <w:rsid w:val="00C3758F"/>
    <w:rsid w:val="00C407CA"/>
    <w:rsid w:val="00C40B88"/>
    <w:rsid w:val="00C42DE4"/>
    <w:rsid w:val="00C44489"/>
    <w:rsid w:val="00C44FC2"/>
    <w:rsid w:val="00C47D87"/>
    <w:rsid w:val="00C47FCD"/>
    <w:rsid w:val="00C50FA6"/>
    <w:rsid w:val="00C5376E"/>
    <w:rsid w:val="00C554C1"/>
    <w:rsid w:val="00C55AEE"/>
    <w:rsid w:val="00C55B25"/>
    <w:rsid w:val="00C564EB"/>
    <w:rsid w:val="00C5701B"/>
    <w:rsid w:val="00C60387"/>
    <w:rsid w:val="00C6069A"/>
    <w:rsid w:val="00C61BDC"/>
    <w:rsid w:val="00C64D40"/>
    <w:rsid w:val="00C65957"/>
    <w:rsid w:val="00C66218"/>
    <w:rsid w:val="00C677C9"/>
    <w:rsid w:val="00C70DBC"/>
    <w:rsid w:val="00C71E80"/>
    <w:rsid w:val="00C7750A"/>
    <w:rsid w:val="00C80467"/>
    <w:rsid w:val="00C808A6"/>
    <w:rsid w:val="00C84AC6"/>
    <w:rsid w:val="00C855DB"/>
    <w:rsid w:val="00C855F3"/>
    <w:rsid w:val="00C86270"/>
    <w:rsid w:val="00C86C49"/>
    <w:rsid w:val="00C90C20"/>
    <w:rsid w:val="00C948CF"/>
    <w:rsid w:val="00C94F6F"/>
    <w:rsid w:val="00C95798"/>
    <w:rsid w:val="00C95A74"/>
    <w:rsid w:val="00C97091"/>
    <w:rsid w:val="00C97260"/>
    <w:rsid w:val="00C97391"/>
    <w:rsid w:val="00CA14A5"/>
    <w:rsid w:val="00CA1A7C"/>
    <w:rsid w:val="00CA1AB8"/>
    <w:rsid w:val="00CA2001"/>
    <w:rsid w:val="00CA2B10"/>
    <w:rsid w:val="00CA3F11"/>
    <w:rsid w:val="00CA5256"/>
    <w:rsid w:val="00CA5564"/>
    <w:rsid w:val="00CB078E"/>
    <w:rsid w:val="00CB3782"/>
    <w:rsid w:val="00CB4718"/>
    <w:rsid w:val="00CB4D20"/>
    <w:rsid w:val="00CB5B6C"/>
    <w:rsid w:val="00CB74E3"/>
    <w:rsid w:val="00CC052E"/>
    <w:rsid w:val="00CC06E5"/>
    <w:rsid w:val="00CC0B14"/>
    <w:rsid w:val="00CC1079"/>
    <w:rsid w:val="00CC5B9C"/>
    <w:rsid w:val="00CD02DF"/>
    <w:rsid w:val="00CD10A5"/>
    <w:rsid w:val="00CD16BE"/>
    <w:rsid w:val="00CD179F"/>
    <w:rsid w:val="00CD1F32"/>
    <w:rsid w:val="00CD2268"/>
    <w:rsid w:val="00CD44C3"/>
    <w:rsid w:val="00CD4616"/>
    <w:rsid w:val="00CD56AF"/>
    <w:rsid w:val="00CD5FFA"/>
    <w:rsid w:val="00CD608B"/>
    <w:rsid w:val="00CD61BB"/>
    <w:rsid w:val="00CE33D5"/>
    <w:rsid w:val="00CE4712"/>
    <w:rsid w:val="00CE6073"/>
    <w:rsid w:val="00CE761C"/>
    <w:rsid w:val="00CF5D37"/>
    <w:rsid w:val="00CF6353"/>
    <w:rsid w:val="00CF6F33"/>
    <w:rsid w:val="00CF7C7B"/>
    <w:rsid w:val="00D02248"/>
    <w:rsid w:val="00D04429"/>
    <w:rsid w:val="00D04B47"/>
    <w:rsid w:val="00D04E37"/>
    <w:rsid w:val="00D063B8"/>
    <w:rsid w:val="00D06825"/>
    <w:rsid w:val="00D07467"/>
    <w:rsid w:val="00D076E6"/>
    <w:rsid w:val="00D10594"/>
    <w:rsid w:val="00D15CDD"/>
    <w:rsid w:val="00D17185"/>
    <w:rsid w:val="00D17E3B"/>
    <w:rsid w:val="00D2306F"/>
    <w:rsid w:val="00D233A1"/>
    <w:rsid w:val="00D23C09"/>
    <w:rsid w:val="00D23CED"/>
    <w:rsid w:val="00D241D1"/>
    <w:rsid w:val="00D24BD2"/>
    <w:rsid w:val="00D254F7"/>
    <w:rsid w:val="00D2573D"/>
    <w:rsid w:val="00D25828"/>
    <w:rsid w:val="00D25B40"/>
    <w:rsid w:val="00D260A2"/>
    <w:rsid w:val="00D30CC6"/>
    <w:rsid w:val="00D30DA4"/>
    <w:rsid w:val="00D31722"/>
    <w:rsid w:val="00D3260C"/>
    <w:rsid w:val="00D33DB5"/>
    <w:rsid w:val="00D35790"/>
    <w:rsid w:val="00D41971"/>
    <w:rsid w:val="00D442D5"/>
    <w:rsid w:val="00D45043"/>
    <w:rsid w:val="00D4757A"/>
    <w:rsid w:val="00D51576"/>
    <w:rsid w:val="00D519AF"/>
    <w:rsid w:val="00D532A9"/>
    <w:rsid w:val="00D5437A"/>
    <w:rsid w:val="00D5611E"/>
    <w:rsid w:val="00D5653B"/>
    <w:rsid w:val="00D56C30"/>
    <w:rsid w:val="00D56DF7"/>
    <w:rsid w:val="00D5726D"/>
    <w:rsid w:val="00D572AC"/>
    <w:rsid w:val="00D6071F"/>
    <w:rsid w:val="00D60AA4"/>
    <w:rsid w:val="00D61D6E"/>
    <w:rsid w:val="00D62A31"/>
    <w:rsid w:val="00D62EF1"/>
    <w:rsid w:val="00D6309D"/>
    <w:rsid w:val="00D6389F"/>
    <w:rsid w:val="00D644CA"/>
    <w:rsid w:val="00D64EA0"/>
    <w:rsid w:val="00D66327"/>
    <w:rsid w:val="00D66FC2"/>
    <w:rsid w:val="00D7044E"/>
    <w:rsid w:val="00D704A8"/>
    <w:rsid w:val="00D76C7E"/>
    <w:rsid w:val="00D771DE"/>
    <w:rsid w:val="00D77337"/>
    <w:rsid w:val="00D7776D"/>
    <w:rsid w:val="00D77E35"/>
    <w:rsid w:val="00D80C6C"/>
    <w:rsid w:val="00D81971"/>
    <w:rsid w:val="00D81AEF"/>
    <w:rsid w:val="00D82A42"/>
    <w:rsid w:val="00D834F1"/>
    <w:rsid w:val="00D83609"/>
    <w:rsid w:val="00D83AA6"/>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77F4"/>
    <w:rsid w:val="00D97A5B"/>
    <w:rsid w:val="00DA1E18"/>
    <w:rsid w:val="00DA2009"/>
    <w:rsid w:val="00DA585A"/>
    <w:rsid w:val="00DA7741"/>
    <w:rsid w:val="00DA7769"/>
    <w:rsid w:val="00DB05B1"/>
    <w:rsid w:val="00DB2823"/>
    <w:rsid w:val="00DB2D74"/>
    <w:rsid w:val="00DB3786"/>
    <w:rsid w:val="00DB59E8"/>
    <w:rsid w:val="00DB5A79"/>
    <w:rsid w:val="00DC19D6"/>
    <w:rsid w:val="00DC2465"/>
    <w:rsid w:val="00DC3143"/>
    <w:rsid w:val="00DC4BCA"/>
    <w:rsid w:val="00DC5E2C"/>
    <w:rsid w:val="00DC7D48"/>
    <w:rsid w:val="00DD0253"/>
    <w:rsid w:val="00DD145A"/>
    <w:rsid w:val="00DD512E"/>
    <w:rsid w:val="00DD5EC8"/>
    <w:rsid w:val="00DD7BEC"/>
    <w:rsid w:val="00DE083E"/>
    <w:rsid w:val="00DE0C22"/>
    <w:rsid w:val="00DE1177"/>
    <w:rsid w:val="00DE28DD"/>
    <w:rsid w:val="00DE2C94"/>
    <w:rsid w:val="00DE2CEA"/>
    <w:rsid w:val="00DE3CFE"/>
    <w:rsid w:val="00DE567C"/>
    <w:rsid w:val="00DE6154"/>
    <w:rsid w:val="00DE634D"/>
    <w:rsid w:val="00DE6A3C"/>
    <w:rsid w:val="00DE74F4"/>
    <w:rsid w:val="00DE7C8B"/>
    <w:rsid w:val="00DE7F97"/>
    <w:rsid w:val="00DF0AAF"/>
    <w:rsid w:val="00DF1010"/>
    <w:rsid w:val="00DF2244"/>
    <w:rsid w:val="00DF2414"/>
    <w:rsid w:val="00DF334D"/>
    <w:rsid w:val="00DF53D9"/>
    <w:rsid w:val="00DF5AEA"/>
    <w:rsid w:val="00DF5D49"/>
    <w:rsid w:val="00DF63F6"/>
    <w:rsid w:val="00DF772E"/>
    <w:rsid w:val="00DF7992"/>
    <w:rsid w:val="00DF7BD0"/>
    <w:rsid w:val="00E00C8E"/>
    <w:rsid w:val="00E0198A"/>
    <w:rsid w:val="00E0219D"/>
    <w:rsid w:val="00E0276A"/>
    <w:rsid w:val="00E0374B"/>
    <w:rsid w:val="00E0632F"/>
    <w:rsid w:val="00E06C36"/>
    <w:rsid w:val="00E071A9"/>
    <w:rsid w:val="00E07D26"/>
    <w:rsid w:val="00E10B28"/>
    <w:rsid w:val="00E117FD"/>
    <w:rsid w:val="00E13747"/>
    <w:rsid w:val="00E14758"/>
    <w:rsid w:val="00E21088"/>
    <w:rsid w:val="00E23C5E"/>
    <w:rsid w:val="00E23E29"/>
    <w:rsid w:val="00E24632"/>
    <w:rsid w:val="00E25155"/>
    <w:rsid w:val="00E25AEA"/>
    <w:rsid w:val="00E27C2C"/>
    <w:rsid w:val="00E27DBA"/>
    <w:rsid w:val="00E30D26"/>
    <w:rsid w:val="00E30DEF"/>
    <w:rsid w:val="00E30ED2"/>
    <w:rsid w:val="00E31276"/>
    <w:rsid w:val="00E3155D"/>
    <w:rsid w:val="00E32102"/>
    <w:rsid w:val="00E34666"/>
    <w:rsid w:val="00E36A66"/>
    <w:rsid w:val="00E37F70"/>
    <w:rsid w:val="00E41377"/>
    <w:rsid w:val="00E41985"/>
    <w:rsid w:val="00E42B89"/>
    <w:rsid w:val="00E43E33"/>
    <w:rsid w:val="00E446C1"/>
    <w:rsid w:val="00E46BCD"/>
    <w:rsid w:val="00E51CCC"/>
    <w:rsid w:val="00E52079"/>
    <w:rsid w:val="00E52E5F"/>
    <w:rsid w:val="00E545D7"/>
    <w:rsid w:val="00E547FE"/>
    <w:rsid w:val="00E54960"/>
    <w:rsid w:val="00E55927"/>
    <w:rsid w:val="00E5669C"/>
    <w:rsid w:val="00E57819"/>
    <w:rsid w:val="00E60ECA"/>
    <w:rsid w:val="00E613AB"/>
    <w:rsid w:val="00E637B6"/>
    <w:rsid w:val="00E63FE2"/>
    <w:rsid w:val="00E663B6"/>
    <w:rsid w:val="00E66BBE"/>
    <w:rsid w:val="00E670B5"/>
    <w:rsid w:val="00E6780D"/>
    <w:rsid w:val="00E71292"/>
    <w:rsid w:val="00E71DFE"/>
    <w:rsid w:val="00E73083"/>
    <w:rsid w:val="00E756E4"/>
    <w:rsid w:val="00E758B9"/>
    <w:rsid w:val="00E76025"/>
    <w:rsid w:val="00E76B45"/>
    <w:rsid w:val="00E81BC1"/>
    <w:rsid w:val="00E82FE5"/>
    <w:rsid w:val="00E83724"/>
    <w:rsid w:val="00E84236"/>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295"/>
    <w:rsid w:val="00E96643"/>
    <w:rsid w:val="00E96CAF"/>
    <w:rsid w:val="00E96CE0"/>
    <w:rsid w:val="00E96EAF"/>
    <w:rsid w:val="00EA044C"/>
    <w:rsid w:val="00EA1752"/>
    <w:rsid w:val="00EA1911"/>
    <w:rsid w:val="00EA539B"/>
    <w:rsid w:val="00EA5A89"/>
    <w:rsid w:val="00EA5BDB"/>
    <w:rsid w:val="00EA63FA"/>
    <w:rsid w:val="00EB0A73"/>
    <w:rsid w:val="00EB0A9C"/>
    <w:rsid w:val="00EB0B55"/>
    <w:rsid w:val="00EB30AD"/>
    <w:rsid w:val="00EB3A98"/>
    <w:rsid w:val="00EB46D9"/>
    <w:rsid w:val="00EB59BE"/>
    <w:rsid w:val="00EB6EF6"/>
    <w:rsid w:val="00EC0199"/>
    <w:rsid w:val="00EC0E64"/>
    <w:rsid w:val="00EC142D"/>
    <w:rsid w:val="00EC1E16"/>
    <w:rsid w:val="00EC2DD1"/>
    <w:rsid w:val="00EC4B8E"/>
    <w:rsid w:val="00EC4BA5"/>
    <w:rsid w:val="00EC52DA"/>
    <w:rsid w:val="00EC6074"/>
    <w:rsid w:val="00EC6F28"/>
    <w:rsid w:val="00ED0024"/>
    <w:rsid w:val="00ED0EA0"/>
    <w:rsid w:val="00ED0F85"/>
    <w:rsid w:val="00ED2B5C"/>
    <w:rsid w:val="00ED3269"/>
    <w:rsid w:val="00ED3A18"/>
    <w:rsid w:val="00ED3AB7"/>
    <w:rsid w:val="00ED3C57"/>
    <w:rsid w:val="00EE1A8C"/>
    <w:rsid w:val="00EE3FED"/>
    <w:rsid w:val="00EE4643"/>
    <w:rsid w:val="00EE529F"/>
    <w:rsid w:val="00EE65B6"/>
    <w:rsid w:val="00EE7C86"/>
    <w:rsid w:val="00EF0635"/>
    <w:rsid w:val="00EF1330"/>
    <w:rsid w:val="00EF15FF"/>
    <w:rsid w:val="00EF31D8"/>
    <w:rsid w:val="00EF55E6"/>
    <w:rsid w:val="00EF5707"/>
    <w:rsid w:val="00EF6F1F"/>
    <w:rsid w:val="00EF70EC"/>
    <w:rsid w:val="00EF7111"/>
    <w:rsid w:val="00EF7D1A"/>
    <w:rsid w:val="00F02759"/>
    <w:rsid w:val="00F03B49"/>
    <w:rsid w:val="00F0448F"/>
    <w:rsid w:val="00F0716C"/>
    <w:rsid w:val="00F105AE"/>
    <w:rsid w:val="00F108A8"/>
    <w:rsid w:val="00F13319"/>
    <w:rsid w:val="00F14353"/>
    <w:rsid w:val="00F1628B"/>
    <w:rsid w:val="00F22E81"/>
    <w:rsid w:val="00F270E9"/>
    <w:rsid w:val="00F273EF"/>
    <w:rsid w:val="00F27440"/>
    <w:rsid w:val="00F275C0"/>
    <w:rsid w:val="00F317B5"/>
    <w:rsid w:val="00F3268B"/>
    <w:rsid w:val="00F33348"/>
    <w:rsid w:val="00F346B6"/>
    <w:rsid w:val="00F3608D"/>
    <w:rsid w:val="00F36145"/>
    <w:rsid w:val="00F37BDD"/>
    <w:rsid w:val="00F40716"/>
    <w:rsid w:val="00F41503"/>
    <w:rsid w:val="00F417D4"/>
    <w:rsid w:val="00F432CF"/>
    <w:rsid w:val="00F437FD"/>
    <w:rsid w:val="00F43B69"/>
    <w:rsid w:val="00F43FF9"/>
    <w:rsid w:val="00F4479A"/>
    <w:rsid w:val="00F44D82"/>
    <w:rsid w:val="00F45589"/>
    <w:rsid w:val="00F46207"/>
    <w:rsid w:val="00F466C8"/>
    <w:rsid w:val="00F469A9"/>
    <w:rsid w:val="00F46B50"/>
    <w:rsid w:val="00F47C20"/>
    <w:rsid w:val="00F50B46"/>
    <w:rsid w:val="00F50D1F"/>
    <w:rsid w:val="00F51545"/>
    <w:rsid w:val="00F521DE"/>
    <w:rsid w:val="00F53A2D"/>
    <w:rsid w:val="00F541D4"/>
    <w:rsid w:val="00F55295"/>
    <w:rsid w:val="00F553CE"/>
    <w:rsid w:val="00F55A00"/>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4E67"/>
    <w:rsid w:val="00F83004"/>
    <w:rsid w:val="00F8309B"/>
    <w:rsid w:val="00F833C9"/>
    <w:rsid w:val="00F90064"/>
    <w:rsid w:val="00F9022A"/>
    <w:rsid w:val="00F94217"/>
    <w:rsid w:val="00F9586C"/>
    <w:rsid w:val="00F96AFD"/>
    <w:rsid w:val="00F96F4C"/>
    <w:rsid w:val="00FA07F4"/>
    <w:rsid w:val="00FA1398"/>
    <w:rsid w:val="00FA1515"/>
    <w:rsid w:val="00FA2E19"/>
    <w:rsid w:val="00FA43C8"/>
    <w:rsid w:val="00FA697F"/>
    <w:rsid w:val="00FB0147"/>
    <w:rsid w:val="00FB0F92"/>
    <w:rsid w:val="00FB2FB3"/>
    <w:rsid w:val="00FB3846"/>
    <w:rsid w:val="00FB5059"/>
    <w:rsid w:val="00FB5521"/>
    <w:rsid w:val="00FB610D"/>
    <w:rsid w:val="00FB626E"/>
    <w:rsid w:val="00FC27D1"/>
    <w:rsid w:val="00FC4477"/>
    <w:rsid w:val="00FC46FB"/>
    <w:rsid w:val="00FC6630"/>
    <w:rsid w:val="00FC7B66"/>
    <w:rsid w:val="00FD0D94"/>
    <w:rsid w:val="00FD106C"/>
    <w:rsid w:val="00FD2BD3"/>
    <w:rsid w:val="00FD3DEF"/>
    <w:rsid w:val="00FD4CCA"/>
    <w:rsid w:val="00FD58B1"/>
    <w:rsid w:val="00FD7002"/>
    <w:rsid w:val="00FD7610"/>
    <w:rsid w:val="00FE04BA"/>
    <w:rsid w:val="00FE234B"/>
    <w:rsid w:val="00FE2A9E"/>
    <w:rsid w:val="00FE34B3"/>
    <w:rsid w:val="00FE46B7"/>
    <w:rsid w:val="00FE4CEC"/>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26A01"/>
  <w15:docId w15:val="{28B9EEC5-11B2-4FF2-9C1D-D9856B8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1">
    <w:name w:val="Незакрита згадка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paragraph" w:customStyle="1" w:styleId="He02berschriftEbene2">
    <w:name w:val="_He_02_Überschrift Ebene 2"/>
    <w:next w:val="He01Flietext"/>
    <w:qFormat/>
    <w:rsid w:val="00741902"/>
    <w:pPr>
      <w:spacing w:after="113"/>
    </w:pPr>
    <w:rPr>
      <w:rFonts w:eastAsiaTheme="minorHAnsi" w:cstheme="minorBidi"/>
      <w:b/>
      <w:sz w:val="3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na.androschuk@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mara@pr-service.com.u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997E0AF8-10BE-4E41-BAAA-27554C512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D1B7EED6-AF30-487A-8B7E-E9D7A6D8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1355</Words>
  <Characters>8569</Characters>
  <Application>Microsoft Office Word</Application>
  <DocSecurity>0</DocSecurity>
  <Lines>155</Lines>
  <Paragraphs>55</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9869</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Elena Androschuk</cp:lastModifiedBy>
  <cp:revision>4</cp:revision>
  <cp:lastPrinted>2024-05-03T08:49:00Z</cp:lastPrinted>
  <dcterms:created xsi:type="dcterms:W3CDTF">2024-07-29T07:40:00Z</dcterms:created>
  <dcterms:modified xsi:type="dcterms:W3CDTF">2024-07-30T08:52:00Z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y fmtid="{D5CDD505-2E9C-101B-9397-08002B2CF9AE}" pid="4" name="GrammarlyDocumentId">
    <vt:lpwstr>7fa0003ca6f2385ee56d43f94c2474dec7f4288863385d48368fe6037ef488d4</vt:lpwstr>
  </property>
</Properties>
</file>