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98FAE79" w:rsidR="00B422EC" w:rsidRPr="00177A8C" w:rsidRDefault="00081692" w:rsidP="00D65E91">
      <w:pPr>
        <w:pStyle w:val="MonthDayYear"/>
        <w:tabs>
          <w:tab w:val="left" w:pos="6804"/>
        </w:tabs>
      </w:pPr>
      <w:r w:rsidRPr="00177A8C">
        <w:rPr>
          <w:rFonts w:hint="eastAsia"/>
        </w:rPr>
        <w:tab/>
      </w:r>
      <w:r w:rsidR="006F1BEC" w:rsidRPr="00177A8C">
        <w:rPr>
          <w:rFonts w:hint="eastAsia"/>
        </w:rPr>
        <w:tab/>
        <w:t>2024</w:t>
      </w:r>
      <w:r w:rsidR="006F1BEC" w:rsidRPr="00177A8C">
        <w:rPr>
          <w:rFonts w:hint="eastAsia"/>
        </w:rPr>
        <w:t>年</w:t>
      </w:r>
      <w:r w:rsidR="006F1BEC" w:rsidRPr="00177A8C">
        <w:rPr>
          <w:rFonts w:hint="eastAsia"/>
        </w:rPr>
        <w:t>8</w:t>
      </w:r>
      <w:r w:rsidR="006F1BEC" w:rsidRPr="00177A8C">
        <w:rPr>
          <w:rFonts w:hint="eastAsia"/>
        </w:rPr>
        <w:t>月</w:t>
      </w:r>
      <w:r w:rsidR="006F1BEC" w:rsidRPr="00177A8C">
        <w:rPr>
          <w:rFonts w:hint="eastAsia"/>
        </w:rPr>
        <w:t>13</w:t>
      </w:r>
      <w:r w:rsidR="006F1BEC" w:rsidRPr="00177A8C">
        <w:rPr>
          <w:rFonts w:hint="eastAsia"/>
        </w:rPr>
        <w:t>日</w:t>
      </w:r>
    </w:p>
    <w:p w14:paraId="42E18679" w14:textId="0DF2F262" w:rsidR="00033476" w:rsidRPr="00177A8C" w:rsidRDefault="00033476" w:rsidP="00033476">
      <w:pPr>
        <w:pStyle w:val="MonthDayYear"/>
        <w:tabs>
          <w:tab w:val="left" w:pos="7513"/>
        </w:tabs>
        <w:jc w:val="left"/>
      </w:pPr>
    </w:p>
    <w:p w14:paraId="60F0AAB2" w14:textId="49DAC86A" w:rsidR="00033476" w:rsidRPr="00177A8C" w:rsidRDefault="006F1BEC" w:rsidP="00D65E91">
      <w:pPr>
        <w:pStyle w:val="Topline"/>
        <w:spacing w:before="120" w:after="360"/>
        <w:rPr>
          <w:rFonts w:asciiTheme="majorHAnsi" w:eastAsiaTheme="majorEastAsia" w:hAnsiTheme="majorHAnsi" w:cstheme="majorHAnsi"/>
        </w:rPr>
      </w:pPr>
      <w:r w:rsidRPr="00177A8C">
        <w:rPr>
          <w:rFonts w:asciiTheme="majorHAnsi" w:eastAsiaTheme="majorEastAsia" w:hAnsiTheme="majorHAnsi" w:hint="eastAsia"/>
        </w:rPr>
        <w:t>上半年业绩强劲增长，</w:t>
      </w:r>
      <w:r w:rsidR="00FA14FE" w:rsidRPr="00AC131D">
        <w:rPr>
          <w:rFonts w:asciiTheme="majorHAnsi" w:eastAsiaTheme="majorEastAsia" w:hAnsiTheme="majorHAnsi" w:hint="eastAsia"/>
        </w:rPr>
        <w:t>加强</w:t>
      </w:r>
      <w:r w:rsidR="00200921" w:rsidRPr="00FA14FE">
        <w:rPr>
          <w:rFonts w:asciiTheme="majorHAnsi" w:eastAsiaTheme="majorEastAsia" w:hAnsiTheme="majorHAnsi" w:hint="eastAsia"/>
        </w:rPr>
        <w:t>了</w:t>
      </w:r>
      <w:r w:rsidR="00DC57ED" w:rsidRPr="00AC131D">
        <w:rPr>
          <w:rFonts w:asciiTheme="majorHAnsi" w:eastAsiaTheme="majorEastAsia" w:hAnsiTheme="majorHAnsi" w:hint="eastAsia"/>
        </w:rPr>
        <w:t>对</w:t>
      </w:r>
      <w:r w:rsidRPr="00FA14FE">
        <w:rPr>
          <w:rFonts w:asciiTheme="majorHAnsi" w:eastAsiaTheme="majorEastAsia" w:hAnsiTheme="majorHAnsi" w:hint="eastAsia"/>
        </w:rPr>
        <w:t>增长战略</w:t>
      </w:r>
      <w:r w:rsidR="00200921" w:rsidRPr="00FA14FE">
        <w:rPr>
          <w:rFonts w:asciiTheme="majorHAnsi" w:eastAsiaTheme="majorEastAsia" w:hAnsiTheme="majorHAnsi" w:hint="eastAsia"/>
        </w:rPr>
        <w:t>的</w:t>
      </w:r>
      <w:r w:rsidRPr="00FA14FE">
        <w:rPr>
          <w:rFonts w:asciiTheme="majorHAnsi" w:eastAsiaTheme="majorEastAsia" w:hAnsiTheme="majorHAnsi" w:hint="eastAsia"/>
        </w:rPr>
        <w:t>成功</w:t>
      </w:r>
      <w:r w:rsidR="00200921" w:rsidRPr="00FA14FE">
        <w:rPr>
          <w:rFonts w:asciiTheme="majorHAnsi" w:eastAsiaTheme="majorEastAsia" w:hAnsiTheme="majorHAnsi" w:hint="eastAsia"/>
        </w:rPr>
        <w:t>实施</w:t>
      </w:r>
    </w:p>
    <w:p w14:paraId="0BD1473C" w14:textId="15DEA9B7" w:rsidR="00033476" w:rsidRPr="00177A8C" w:rsidRDefault="006F1BEC" w:rsidP="00D65E91">
      <w:pPr>
        <w:rPr>
          <w:rStyle w:val="Headline"/>
          <w:rFonts w:asciiTheme="majorHAnsi" w:eastAsiaTheme="majorEastAsia" w:hAnsiTheme="majorHAnsi" w:cstheme="majorHAnsi"/>
        </w:rPr>
      </w:pPr>
      <w:r w:rsidRPr="00177A8C">
        <w:rPr>
          <w:rStyle w:val="Headline"/>
          <w:rFonts w:asciiTheme="majorHAnsi" w:eastAsiaTheme="majorEastAsia" w:hAnsiTheme="majorHAnsi" w:hint="eastAsia"/>
        </w:rPr>
        <w:t>汉高</w:t>
      </w:r>
      <w:r w:rsidR="00BF07D6">
        <w:rPr>
          <w:rStyle w:val="Headline"/>
          <w:rFonts w:asciiTheme="majorHAnsi" w:eastAsiaTheme="majorEastAsia" w:hAnsiTheme="majorHAnsi" w:hint="eastAsia"/>
        </w:rPr>
        <w:t>在</w:t>
      </w:r>
      <w:r w:rsidR="00BF07D6" w:rsidRPr="00177A8C">
        <w:rPr>
          <w:rStyle w:val="Headline"/>
          <w:rFonts w:asciiTheme="majorHAnsi" w:eastAsiaTheme="majorEastAsia" w:hAnsiTheme="majorHAnsi" w:hint="eastAsia"/>
        </w:rPr>
        <w:t>2024</w:t>
      </w:r>
      <w:r w:rsidR="00BF07D6" w:rsidRPr="00177A8C">
        <w:rPr>
          <w:rStyle w:val="Headline"/>
          <w:rFonts w:asciiTheme="majorHAnsi" w:eastAsiaTheme="majorEastAsia" w:hAnsiTheme="majorHAnsi" w:hint="eastAsia"/>
        </w:rPr>
        <w:t>年上半年</w:t>
      </w:r>
      <w:r w:rsidR="00BF07D6">
        <w:rPr>
          <w:rStyle w:val="Headline"/>
          <w:rFonts w:asciiTheme="majorHAnsi" w:eastAsiaTheme="majorEastAsia" w:hAnsiTheme="majorHAnsi" w:hint="eastAsia"/>
        </w:rPr>
        <w:t>实现良好的</w:t>
      </w:r>
      <w:r w:rsidRPr="00177A8C">
        <w:rPr>
          <w:rStyle w:val="Headline"/>
          <w:rFonts w:asciiTheme="majorHAnsi" w:eastAsiaTheme="majorEastAsia" w:hAnsiTheme="majorHAnsi" w:hint="eastAsia"/>
        </w:rPr>
        <w:t>有机销售额增长，盈利情况显著改善</w:t>
      </w:r>
    </w:p>
    <w:p w14:paraId="76A670BB" w14:textId="77777777" w:rsidR="00033476" w:rsidRPr="00177A8C" w:rsidRDefault="00033476" w:rsidP="00033476"/>
    <w:p w14:paraId="47B907C5" w14:textId="77777777" w:rsidR="00EF6A33" w:rsidRPr="00EF6A33" w:rsidRDefault="006F1BEC"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rPr>
      </w:pPr>
      <w:bookmarkStart w:id="0" w:name="_Hlk140061525"/>
      <w:bookmarkStart w:id="1" w:name="_Hlk43712519"/>
      <w:r w:rsidRPr="00EF6A33">
        <w:rPr>
          <w:rFonts w:asciiTheme="majorHAnsi" w:eastAsiaTheme="majorEastAsia" w:hAnsiTheme="majorHAnsi" w:hint="eastAsia"/>
          <w:b/>
        </w:rPr>
        <w:t>上半年集团有机销售额增长</w:t>
      </w:r>
      <w:r w:rsidRPr="00EF6A33">
        <w:rPr>
          <w:rFonts w:asciiTheme="majorHAnsi" w:eastAsiaTheme="majorEastAsia" w:hAnsiTheme="majorHAnsi" w:hint="eastAsia"/>
          <w:b/>
        </w:rPr>
        <w:t>2.9%</w:t>
      </w:r>
      <w:r w:rsidRPr="00EF6A33">
        <w:rPr>
          <w:rFonts w:asciiTheme="majorHAnsi" w:eastAsiaTheme="majorEastAsia" w:hAnsiTheme="majorHAnsi" w:hint="eastAsia"/>
          <w:b/>
        </w:rPr>
        <w:t>，达到约</w:t>
      </w:r>
      <w:r w:rsidRPr="00EF6A33">
        <w:rPr>
          <w:rFonts w:asciiTheme="majorHAnsi" w:eastAsiaTheme="majorEastAsia" w:hAnsiTheme="majorHAnsi" w:hint="eastAsia"/>
          <w:b/>
        </w:rPr>
        <w:t>108</w:t>
      </w:r>
      <w:r w:rsidRPr="00EF6A33">
        <w:rPr>
          <w:rFonts w:asciiTheme="majorHAnsi" w:eastAsiaTheme="majorEastAsia" w:hAnsiTheme="majorHAnsi" w:hint="eastAsia"/>
          <w:b/>
        </w:rPr>
        <w:t>亿欧元（名义下降</w:t>
      </w:r>
      <w:r w:rsidRPr="00EF6A33">
        <w:rPr>
          <w:rFonts w:asciiTheme="majorHAnsi" w:eastAsiaTheme="majorEastAsia" w:hAnsiTheme="majorHAnsi" w:hint="eastAsia"/>
          <w:b/>
        </w:rPr>
        <w:t>1.0%</w:t>
      </w:r>
      <w:r w:rsidRPr="00EF6A33">
        <w:rPr>
          <w:rFonts w:asciiTheme="majorHAnsi" w:eastAsiaTheme="majorEastAsia" w:hAnsiTheme="majorHAnsi" w:hint="eastAsia"/>
          <w:b/>
        </w:rPr>
        <w:t>），两个业务部</w:t>
      </w:r>
      <w:r w:rsidR="006F2B29" w:rsidRPr="00EF6A33">
        <w:rPr>
          <w:rFonts w:asciiTheme="majorHAnsi" w:eastAsiaTheme="majorEastAsia" w:hAnsiTheme="majorHAnsi" w:hint="eastAsia"/>
          <w:b/>
        </w:rPr>
        <w:t>门</w:t>
      </w:r>
      <w:r w:rsidRPr="00EF6A33">
        <w:rPr>
          <w:rFonts w:asciiTheme="majorHAnsi" w:eastAsiaTheme="majorEastAsia" w:hAnsiTheme="majorHAnsi" w:hint="eastAsia"/>
          <w:b/>
        </w:rPr>
        <w:t>均有所增长</w:t>
      </w:r>
    </w:p>
    <w:p w14:paraId="65C7BEFB" w14:textId="77777777" w:rsidR="00EF6A33" w:rsidRPr="00EF6A33" w:rsidRDefault="006F1BEC"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rPr>
      </w:pPr>
      <w:r w:rsidRPr="00EF6A33">
        <w:rPr>
          <w:rFonts w:asciiTheme="majorHAnsi" w:eastAsiaTheme="majorEastAsia" w:hAnsiTheme="majorHAnsi" w:hint="eastAsia"/>
          <w:b/>
        </w:rPr>
        <w:t>营业利润（息税前利润）</w:t>
      </w:r>
      <w:r w:rsidRPr="00EF6A33">
        <w:rPr>
          <w:rFonts w:asciiTheme="majorHAnsi" w:eastAsiaTheme="majorEastAsia" w:hAnsiTheme="majorHAnsi" w:hint="eastAsia"/>
          <w:b/>
        </w:rPr>
        <w:t>*</w:t>
      </w:r>
      <w:r w:rsidRPr="00EF6A33">
        <w:rPr>
          <w:rFonts w:asciiTheme="majorHAnsi" w:eastAsiaTheme="majorEastAsia" w:hAnsiTheme="majorHAnsi" w:hint="eastAsia"/>
          <w:b/>
        </w:rPr>
        <w:t>：大幅增</w:t>
      </w:r>
      <w:r w:rsidR="00880BF1" w:rsidRPr="00EF6A33">
        <w:rPr>
          <w:rFonts w:asciiTheme="majorHAnsi" w:eastAsiaTheme="majorEastAsia" w:hAnsiTheme="majorHAnsi" w:hint="eastAsia"/>
          <w:b/>
        </w:rPr>
        <w:t>长</w:t>
      </w:r>
      <w:r w:rsidRPr="00EF6A33">
        <w:rPr>
          <w:rFonts w:asciiTheme="majorHAnsi" w:eastAsiaTheme="majorEastAsia" w:hAnsiTheme="majorHAnsi" w:hint="eastAsia"/>
          <w:b/>
        </w:rPr>
        <w:t>至</w:t>
      </w:r>
      <w:r w:rsidRPr="00EF6A33">
        <w:rPr>
          <w:rFonts w:asciiTheme="majorHAnsi" w:eastAsiaTheme="majorEastAsia" w:hAnsiTheme="majorHAnsi" w:hint="eastAsia"/>
          <w:b/>
        </w:rPr>
        <w:t xml:space="preserve">16.10 </w:t>
      </w:r>
      <w:r w:rsidRPr="00EF6A33">
        <w:rPr>
          <w:rFonts w:asciiTheme="majorHAnsi" w:eastAsiaTheme="majorEastAsia" w:hAnsiTheme="majorHAnsi" w:hint="eastAsia"/>
          <w:b/>
        </w:rPr>
        <w:t>亿欧元（增长</w:t>
      </w:r>
      <w:r w:rsidRPr="00EF6A33">
        <w:rPr>
          <w:rFonts w:asciiTheme="majorHAnsi" w:eastAsiaTheme="majorEastAsia" w:hAnsiTheme="majorHAnsi" w:hint="eastAsia"/>
          <w:b/>
        </w:rPr>
        <w:t>28.4%</w:t>
      </w:r>
      <w:r w:rsidRPr="00EF6A33">
        <w:rPr>
          <w:rFonts w:asciiTheme="majorHAnsi" w:eastAsiaTheme="majorEastAsia" w:hAnsiTheme="majorHAnsi" w:hint="eastAsia"/>
          <w:b/>
        </w:rPr>
        <w:t>）</w:t>
      </w:r>
    </w:p>
    <w:p w14:paraId="484D49DA" w14:textId="77777777" w:rsidR="00EF6A33" w:rsidRPr="00EF6A33" w:rsidRDefault="006F1BEC"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rPr>
      </w:pPr>
      <w:r w:rsidRPr="00EF6A33">
        <w:rPr>
          <w:rFonts w:asciiTheme="majorHAnsi" w:eastAsiaTheme="majorEastAsia" w:hAnsiTheme="majorHAnsi" w:hint="eastAsia"/>
          <w:b/>
        </w:rPr>
        <w:t>息税前利润率</w:t>
      </w:r>
      <w:r w:rsidRPr="00EF6A33">
        <w:rPr>
          <w:rFonts w:asciiTheme="majorHAnsi" w:eastAsiaTheme="majorEastAsia" w:hAnsiTheme="majorHAnsi" w:hint="eastAsia"/>
          <w:b/>
        </w:rPr>
        <w:t>*</w:t>
      </w:r>
      <w:r w:rsidRPr="00EF6A33">
        <w:rPr>
          <w:rFonts w:asciiTheme="majorHAnsi" w:eastAsiaTheme="majorEastAsia" w:hAnsiTheme="majorHAnsi" w:hint="eastAsia"/>
          <w:b/>
        </w:rPr>
        <w:t>大幅</w:t>
      </w:r>
      <w:r w:rsidR="00880BF1" w:rsidRPr="00EF6A33">
        <w:rPr>
          <w:rFonts w:asciiTheme="majorHAnsi" w:eastAsiaTheme="majorEastAsia" w:hAnsiTheme="majorHAnsi" w:hint="eastAsia"/>
          <w:b/>
        </w:rPr>
        <w:t>增长至</w:t>
      </w:r>
      <w:r w:rsidRPr="00EF6A33">
        <w:rPr>
          <w:rFonts w:asciiTheme="majorHAnsi" w:eastAsiaTheme="majorEastAsia" w:hAnsiTheme="majorHAnsi" w:hint="eastAsia"/>
          <w:b/>
        </w:rPr>
        <w:t>14.9%</w:t>
      </w:r>
      <w:r w:rsidRPr="00EF6A33">
        <w:rPr>
          <w:rFonts w:asciiTheme="majorHAnsi" w:eastAsiaTheme="majorEastAsia" w:hAnsiTheme="majorHAnsi" w:hint="eastAsia"/>
          <w:b/>
        </w:rPr>
        <w:t>（增长</w:t>
      </w:r>
      <w:r w:rsidRPr="00EF6A33">
        <w:rPr>
          <w:rFonts w:asciiTheme="majorHAnsi" w:eastAsiaTheme="majorEastAsia" w:hAnsiTheme="majorHAnsi" w:hint="eastAsia"/>
          <w:b/>
        </w:rPr>
        <w:t>340</w:t>
      </w:r>
      <w:r w:rsidRPr="00EF6A33">
        <w:rPr>
          <w:rFonts w:asciiTheme="majorHAnsi" w:eastAsiaTheme="majorEastAsia" w:hAnsiTheme="majorHAnsi" w:hint="eastAsia"/>
          <w:b/>
        </w:rPr>
        <w:t>个基点）</w:t>
      </w:r>
    </w:p>
    <w:p w14:paraId="6DBE659A" w14:textId="77777777" w:rsidR="00EF6A33" w:rsidRPr="00EF6A33" w:rsidRDefault="006F1BEC"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rPr>
      </w:pPr>
      <w:r w:rsidRPr="00EF6A33">
        <w:rPr>
          <w:rFonts w:asciiTheme="majorHAnsi" w:eastAsiaTheme="majorEastAsia" w:hAnsiTheme="majorHAnsi" w:hint="eastAsia"/>
          <w:b/>
        </w:rPr>
        <w:t>优先股每股收益（</w:t>
      </w:r>
      <w:r w:rsidRPr="00EF6A33">
        <w:rPr>
          <w:rFonts w:asciiTheme="majorHAnsi" w:eastAsiaTheme="majorEastAsia" w:hAnsiTheme="majorHAnsi" w:hint="eastAsia"/>
          <w:b/>
        </w:rPr>
        <w:t>EPS</w:t>
      </w:r>
      <w:r w:rsidRPr="00EF6A33">
        <w:rPr>
          <w:rFonts w:asciiTheme="majorHAnsi" w:eastAsiaTheme="majorEastAsia" w:hAnsiTheme="majorHAnsi" w:hint="eastAsia"/>
          <w:b/>
        </w:rPr>
        <w:t>）</w:t>
      </w:r>
      <w:r w:rsidRPr="00EF6A33">
        <w:rPr>
          <w:rFonts w:asciiTheme="majorHAnsi" w:eastAsiaTheme="majorEastAsia" w:hAnsiTheme="majorHAnsi" w:hint="eastAsia"/>
          <w:b/>
        </w:rPr>
        <w:t>**</w:t>
      </w:r>
      <w:r w:rsidRPr="00EF6A33">
        <w:rPr>
          <w:rFonts w:asciiTheme="majorHAnsi" w:eastAsiaTheme="majorEastAsia" w:hAnsiTheme="majorHAnsi" w:hint="eastAsia"/>
          <w:b/>
        </w:rPr>
        <w:t>：按固定汇率计算，增长</w:t>
      </w:r>
      <w:r w:rsidRPr="00EF6A33">
        <w:rPr>
          <w:rFonts w:asciiTheme="majorHAnsi" w:eastAsiaTheme="majorEastAsia" w:hAnsiTheme="majorHAnsi" w:hint="eastAsia"/>
          <w:b/>
        </w:rPr>
        <w:t>32.9%</w:t>
      </w:r>
      <w:r w:rsidRPr="00EF6A33">
        <w:rPr>
          <w:rFonts w:asciiTheme="majorHAnsi" w:eastAsiaTheme="majorEastAsia" w:hAnsiTheme="majorHAnsi" w:hint="eastAsia"/>
          <w:b/>
        </w:rPr>
        <w:t>，达到</w:t>
      </w:r>
      <w:r w:rsidRPr="00EF6A33">
        <w:rPr>
          <w:rFonts w:asciiTheme="majorHAnsi" w:eastAsiaTheme="majorEastAsia" w:hAnsiTheme="majorHAnsi" w:hint="eastAsia"/>
          <w:b/>
        </w:rPr>
        <w:t>2.78</w:t>
      </w:r>
      <w:r w:rsidRPr="00EF6A33">
        <w:rPr>
          <w:rFonts w:asciiTheme="majorHAnsi" w:eastAsiaTheme="majorEastAsia" w:hAnsiTheme="majorHAnsi" w:hint="eastAsia"/>
          <w:b/>
        </w:rPr>
        <w:t>欧元</w:t>
      </w:r>
    </w:p>
    <w:p w14:paraId="672D3C77" w14:textId="77777777" w:rsidR="00EF6A33" w:rsidRPr="00EF6A33" w:rsidRDefault="006F1BEC"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rPr>
      </w:pPr>
      <w:r w:rsidRPr="00EF6A33">
        <w:rPr>
          <w:rFonts w:asciiTheme="majorHAnsi" w:eastAsiaTheme="majorEastAsia" w:hAnsiTheme="majorHAnsi" w:hint="eastAsia"/>
          <w:b/>
        </w:rPr>
        <w:t>自由现金流充足，达到约</w:t>
      </w:r>
      <w:r w:rsidRPr="00EF6A33">
        <w:rPr>
          <w:rFonts w:asciiTheme="majorHAnsi" w:eastAsiaTheme="majorEastAsia" w:hAnsiTheme="majorHAnsi" w:hint="eastAsia"/>
          <w:b/>
        </w:rPr>
        <w:t>8</w:t>
      </w:r>
      <w:r w:rsidRPr="00EF6A33">
        <w:rPr>
          <w:rFonts w:asciiTheme="majorHAnsi" w:eastAsiaTheme="majorEastAsia" w:hAnsiTheme="majorHAnsi" w:hint="eastAsia"/>
          <w:b/>
        </w:rPr>
        <w:t>亿欧元</w:t>
      </w:r>
      <w:bookmarkEnd w:id="0"/>
    </w:p>
    <w:p w14:paraId="2027FC94" w14:textId="77777777" w:rsidR="00EF6A33" w:rsidRPr="00EF6A33" w:rsidRDefault="006F1BEC"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rPr>
      </w:pPr>
      <w:r w:rsidRPr="00EF6A33">
        <w:rPr>
          <w:rFonts w:asciiTheme="majorHAnsi" w:eastAsiaTheme="majorEastAsia" w:hAnsiTheme="majorHAnsi" w:hint="eastAsia"/>
          <w:b/>
        </w:rPr>
        <w:t>战略增长议程实施取得新进展</w:t>
      </w:r>
    </w:p>
    <w:p w14:paraId="7ACB2441" w14:textId="7EB5D136" w:rsidR="00700939" w:rsidRPr="00EF6A33" w:rsidRDefault="006F1BEC" w:rsidP="00EF6A33">
      <w:pPr>
        <w:pStyle w:val="ListParagraph"/>
        <w:numPr>
          <w:ilvl w:val="0"/>
          <w:numId w:val="7"/>
        </w:numPr>
        <w:ind w:left="284" w:right="-108" w:hanging="357"/>
        <w:contextualSpacing w:val="0"/>
        <w:jc w:val="left"/>
        <w:rPr>
          <w:rFonts w:asciiTheme="majorHAnsi" w:eastAsiaTheme="majorEastAsia" w:hAnsiTheme="majorHAnsi" w:cstheme="majorHAnsi"/>
          <w:b/>
          <w:szCs w:val="22"/>
        </w:rPr>
      </w:pPr>
      <w:r w:rsidRPr="00EF6A33">
        <w:rPr>
          <w:rFonts w:asciiTheme="majorHAnsi" w:eastAsiaTheme="majorEastAsia" w:hAnsiTheme="majorHAnsi" w:hint="eastAsia"/>
          <w:b/>
        </w:rPr>
        <w:t>7</w:t>
      </w:r>
      <w:r w:rsidRPr="00EF6A33">
        <w:rPr>
          <w:rFonts w:asciiTheme="majorHAnsi" w:eastAsiaTheme="majorEastAsia" w:hAnsiTheme="majorHAnsi" w:hint="eastAsia"/>
          <w:b/>
        </w:rPr>
        <w:t>月中旬已上调了</w:t>
      </w:r>
      <w:r w:rsidR="00B224FF" w:rsidRPr="00EF6A33">
        <w:rPr>
          <w:rFonts w:asciiTheme="majorHAnsi" w:eastAsiaTheme="majorEastAsia" w:hAnsiTheme="majorHAnsi" w:hint="eastAsia"/>
          <w:b/>
        </w:rPr>
        <w:t>对</w:t>
      </w:r>
      <w:r w:rsidRPr="00EF6A33">
        <w:rPr>
          <w:rFonts w:asciiTheme="majorHAnsi" w:eastAsiaTheme="majorEastAsia" w:hAnsiTheme="majorHAnsi" w:hint="eastAsia"/>
          <w:b/>
        </w:rPr>
        <w:t>2024</w:t>
      </w:r>
      <w:r w:rsidRPr="00EF6A33">
        <w:rPr>
          <w:rFonts w:asciiTheme="majorHAnsi" w:eastAsiaTheme="majorEastAsia" w:hAnsiTheme="majorHAnsi" w:hint="eastAsia"/>
          <w:b/>
        </w:rPr>
        <w:t>财年的盈利预期：</w:t>
      </w:r>
    </w:p>
    <w:p w14:paraId="05405C96" w14:textId="0731A215" w:rsidR="00700939" w:rsidRPr="006C587D" w:rsidRDefault="006F1BEC" w:rsidP="00EF6A33">
      <w:pPr>
        <w:pStyle w:val="He01FlietextAufzhlung2Ebene"/>
        <w:spacing w:after="0"/>
        <w:rPr>
          <w:lang w:val="en-US"/>
        </w:rPr>
      </w:pPr>
      <w:r w:rsidRPr="00177A8C">
        <w:rPr>
          <w:rFonts w:hint="eastAsia"/>
        </w:rPr>
        <w:t>有机销售额增长</w:t>
      </w:r>
      <w:r w:rsidRPr="006C587D">
        <w:rPr>
          <w:rFonts w:hint="eastAsia"/>
          <w:lang w:val="en-US"/>
        </w:rPr>
        <w:t>：2.5%</w:t>
      </w:r>
      <w:r w:rsidRPr="00177A8C">
        <w:rPr>
          <w:rFonts w:hint="eastAsia"/>
        </w:rPr>
        <w:t>至</w:t>
      </w:r>
      <w:r w:rsidRPr="006C587D">
        <w:rPr>
          <w:rFonts w:hint="eastAsia"/>
          <w:lang w:val="en-US"/>
        </w:rPr>
        <w:t>4.5%（</w:t>
      </w:r>
      <w:r w:rsidRPr="00177A8C">
        <w:rPr>
          <w:rFonts w:hint="eastAsia"/>
        </w:rPr>
        <w:t>不变</w:t>
      </w:r>
      <w:r w:rsidRPr="006C587D">
        <w:rPr>
          <w:rFonts w:hint="eastAsia"/>
          <w:lang w:val="en-US"/>
        </w:rPr>
        <w:t>）</w:t>
      </w:r>
    </w:p>
    <w:p w14:paraId="2F6BFCE1" w14:textId="77777777" w:rsidR="004D0844" w:rsidRPr="006C587D" w:rsidRDefault="006F1BEC" w:rsidP="004D0844">
      <w:pPr>
        <w:pStyle w:val="He01FlietextAufzhlung2Ebene"/>
        <w:spacing w:after="0"/>
        <w:rPr>
          <w:lang w:val="en-US"/>
        </w:rPr>
      </w:pPr>
      <w:r w:rsidRPr="00177A8C">
        <w:rPr>
          <w:rFonts w:hint="eastAsia"/>
        </w:rPr>
        <w:t>调整后的销售回报率</w:t>
      </w:r>
      <w:r w:rsidRPr="006C587D">
        <w:rPr>
          <w:rFonts w:hint="eastAsia"/>
          <w:lang w:val="en-US"/>
        </w:rPr>
        <w:t>：13.5%</w:t>
      </w:r>
      <w:r w:rsidRPr="00177A8C">
        <w:rPr>
          <w:rFonts w:hint="eastAsia"/>
        </w:rPr>
        <w:t>至</w:t>
      </w:r>
      <w:r w:rsidRPr="006C587D">
        <w:rPr>
          <w:rFonts w:hint="eastAsia"/>
          <w:lang w:val="en-US"/>
        </w:rPr>
        <w:t>14.5%（</w:t>
      </w:r>
      <w:r w:rsidRPr="00177A8C">
        <w:rPr>
          <w:rFonts w:hint="eastAsia"/>
        </w:rPr>
        <w:t>此前为</w:t>
      </w:r>
      <w:r w:rsidRPr="006C587D">
        <w:rPr>
          <w:rFonts w:hint="eastAsia"/>
          <w:lang w:val="en-US"/>
        </w:rPr>
        <w:t>：13.0%</w:t>
      </w:r>
      <w:r w:rsidRPr="00177A8C">
        <w:rPr>
          <w:rFonts w:hint="eastAsia"/>
        </w:rPr>
        <w:t>至</w:t>
      </w:r>
      <w:r w:rsidRPr="006C587D">
        <w:rPr>
          <w:rFonts w:hint="eastAsia"/>
          <w:lang w:val="en-US"/>
        </w:rPr>
        <w:t>14.0%）</w:t>
      </w:r>
    </w:p>
    <w:p w14:paraId="799F73CB" w14:textId="40AFB2D2" w:rsidR="00700939" w:rsidRPr="006C587D" w:rsidRDefault="006F1BEC" w:rsidP="004D0844">
      <w:pPr>
        <w:pStyle w:val="He01FlietextAufzhlung2Ebene"/>
        <w:spacing w:after="0"/>
        <w:rPr>
          <w:lang w:val="en-US"/>
        </w:rPr>
      </w:pPr>
      <w:r w:rsidRPr="00177A8C">
        <w:rPr>
          <w:rFonts w:hint="eastAsia"/>
        </w:rPr>
        <w:t>调整后的优先股每股收益</w:t>
      </w:r>
      <w:r w:rsidRPr="006C587D">
        <w:rPr>
          <w:rFonts w:hint="eastAsia"/>
          <w:lang w:val="en-US"/>
        </w:rPr>
        <w:t>（EPS）：</w:t>
      </w:r>
      <w:r w:rsidRPr="00177A8C">
        <w:rPr>
          <w:rFonts w:hint="eastAsia"/>
        </w:rPr>
        <w:t>按固定汇率计算的增长幅度为</w:t>
      </w:r>
      <w:r w:rsidRPr="006C587D">
        <w:rPr>
          <w:rFonts w:hint="eastAsia"/>
          <w:lang w:val="en-US"/>
        </w:rPr>
        <w:t>20.0%</w:t>
      </w:r>
      <w:r w:rsidRPr="00177A8C">
        <w:rPr>
          <w:rFonts w:hint="eastAsia"/>
        </w:rPr>
        <w:t>至</w:t>
      </w:r>
      <w:r w:rsidRPr="006C587D">
        <w:rPr>
          <w:rFonts w:hint="eastAsia"/>
          <w:lang w:val="en-US"/>
        </w:rPr>
        <w:t>30.0%（</w:t>
      </w:r>
      <w:r w:rsidRPr="00177A8C">
        <w:rPr>
          <w:rFonts w:hint="eastAsia"/>
        </w:rPr>
        <w:t>此前为</w:t>
      </w:r>
      <w:r w:rsidRPr="006C587D">
        <w:rPr>
          <w:rFonts w:hint="eastAsia"/>
          <w:lang w:val="en-US"/>
        </w:rPr>
        <w:t>：15.0%</w:t>
      </w:r>
      <w:r w:rsidRPr="00177A8C">
        <w:rPr>
          <w:rFonts w:hint="eastAsia"/>
        </w:rPr>
        <w:t>至</w:t>
      </w:r>
      <w:r w:rsidRPr="006C587D">
        <w:rPr>
          <w:rFonts w:hint="eastAsia"/>
          <w:lang w:val="en-US"/>
        </w:rPr>
        <w:t>25.0%）</w:t>
      </w:r>
    </w:p>
    <w:p w14:paraId="54B5106F" w14:textId="5CA53851" w:rsidR="00DE6C0E" w:rsidRPr="004D0844" w:rsidRDefault="006F1BEC" w:rsidP="004D0844">
      <w:pPr>
        <w:pStyle w:val="ListParagraph"/>
        <w:numPr>
          <w:ilvl w:val="0"/>
          <w:numId w:val="7"/>
        </w:numPr>
        <w:ind w:left="284" w:right="-108" w:hanging="357"/>
        <w:contextualSpacing w:val="0"/>
        <w:jc w:val="left"/>
        <w:rPr>
          <w:rFonts w:asciiTheme="majorHAnsi" w:eastAsiaTheme="majorEastAsia" w:hAnsiTheme="majorHAnsi" w:cstheme="majorHAnsi"/>
          <w:b/>
          <w:szCs w:val="22"/>
        </w:rPr>
      </w:pPr>
      <w:r w:rsidRPr="004D0844">
        <w:rPr>
          <w:rFonts w:asciiTheme="majorHAnsi" w:eastAsiaTheme="majorEastAsia" w:hAnsiTheme="majorHAnsi" w:hint="eastAsia"/>
          <w:b/>
        </w:rPr>
        <w:t>中长期财务目标将于中期内实现</w:t>
      </w:r>
    </w:p>
    <w:p w14:paraId="1ACA27E9" w14:textId="4AC2D0A8" w:rsidR="00DE6C0E" w:rsidRPr="00177A8C" w:rsidRDefault="00DE6C0E" w:rsidP="00D65E91">
      <w:pPr>
        <w:jc w:val="left"/>
      </w:pPr>
    </w:p>
    <w:bookmarkEnd w:id="1"/>
    <w:p w14:paraId="71024B74" w14:textId="345AE341" w:rsidR="00417640" w:rsidRPr="00177A8C" w:rsidRDefault="006F1BEC" w:rsidP="00272A6F">
      <w:r w:rsidRPr="00177A8C">
        <w:rPr>
          <w:rFonts w:hint="eastAsia"/>
        </w:rPr>
        <w:t>杜塞尔多夫</w:t>
      </w:r>
      <w:r w:rsidRPr="00177A8C">
        <w:rPr>
          <w:rFonts w:hint="eastAsia"/>
        </w:rPr>
        <w:t xml:space="preserve"> </w:t>
      </w:r>
      <w:r w:rsidR="004B2886">
        <w:rPr>
          <w:rFonts w:hint="eastAsia"/>
        </w:rPr>
        <w:t>——</w:t>
      </w:r>
      <w:r w:rsidRPr="00177A8C">
        <w:rPr>
          <w:rFonts w:hint="eastAsia"/>
        </w:rPr>
        <w:t xml:space="preserve"> 2024</w:t>
      </w:r>
      <w:r w:rsidRPr="00177A8C">
        <w:rPr>
          <w:rFonts w:hint="eastAsia"/>
        </w:rPr>
        <w:t>年上半年，尽管经济环境持续充满挑战，汉高依然实现了良好的有机销售额增长和强劲的</w:t>
      </w:r>
      <w:r w:rsidR="004E735E">
        <w:rPr>
          <w:rFonts w:hint="eastAsia"/>
        </w:rPr>
        <w:t>收益</w:t>
      </w:r>
      <w:r w:rsidRPr="00177A8C">
        <w:rPr>
          <w:rFonts w:hint="eastAsia"/>
        </w:rPr>
        <w:t>增长</w:t>
      </w:r>
      <w:r w:rsidR="004C538F">
        <w:rPr>
          <w:rFonts w:hint="eastAsia"/>
        </w:rPr>
        <w:t>，成功延续了</w:t>
      </w:r>
      <w:r w:rsidRPr="00177A8C">
        <w:rPr>
          <w:rFonts w:hint="eastAsia"/>
        </w:rPr>
        <w:t>其盈利性增长的发展道路。汉高首席执行官卡斯滕·诺贝尔（</w:t>
      </w:r>
      <w:r w:rsidRPr="00177A8C">
        <w:rPr>
          <w:rFonts w:hint="eastAsia"/>
        </w:rPr>
        <w:t>Carsten Knobel</w:t>
      </w:r>
      <w:r w:rsidRPr="00177A8C">
        <w:rPr>
          <w:rFonts w:hint="eastAsia"/>
        </w:rPr>
        <w:t>）表示：“总体上，我们在上半年取得了非常好的业绩。这表明我们的战略方向是正确的，我们在目标性增长议程方面正取得切实的成果。”</w:t>
      </w:r>
    </w:p>
    <w:p w14:paraId="31C9A36F" w14:textId="77777777" w:rsidR="00D65E91" w:rsidRPr="00177A8C" w:rsidRDefault="00D65E91" w:rsidP="00272A6F">
      <w:pPr>
        <w:rPr>
          <w:rFonts w:cs="Segoe UI"/>
          <w:szCs w:val="22"/>
        </w:rPr>
      </w:pPr>
    </w:p>
    <w:p w14:paraId="7DE4421C" w14:textId="5DA7D5B5" w:rsidR="00B62B2A" w:rsidRPr="00177A8C" w:rsidRDefault="006F1BEC" w:rsidP="00272A6F">
      <w:pPr>
        <w:rPr>
          <w:rFonts w:cs="Segoe UI"/>
          <w:szCs w:val="22"/>
        </w:rPr>
      </w:pPr>
      <w:r w:rsidRPr="00177A8C">
        <w:rPr>
          <w:rFonts w:hint="eastAsia"/>
        </w:rPr>
        <w:t>卡斯滕·诺贝尔补充道：“今年上半年，在两个业务部</w:t>
      </w:r>
      <w:r w:rsidR="00486D3B">
        <w:rPr>
          <w:rFonts w:hint="eastAsia"/>
        </w:rPr>
        <w:t>门</w:t>
      </w:r>
      <w:r w:rsidRPr="00177A8C">
        <w:rPr>
          <w:rFonts w:hint="eastAsia"/>
        </w:rPr>
        <w:t>的</w:t>
      </w:r>
      <w:r w:rsidR="00486D3B">
        <w:rPr>
          <w:rFonts w:hint="eastAsia"/>
        </w:rPr>
        <w:t>共同</w:t>
      </w:r>
      <w:r w:rsidRPr="00177A8C">
        <w:rPr>
          <w:rFonts w:hint="eastAsia"/>
        </w:rPr>
        <w:t>推动下，集团实现了有机销售增长，并且改善了盈利状况。我们</w:t>
      </w:r>
      <w:r w:rsidR="00141DA6">
        <w:rPr>
          <w:rFonts w:hint="eastAsia"/>
        </w:rPr>
        <w:t>成功合并了</w:t>
      </w:r>
      <w:r w:rsidRPr="00177A8C">
        <w:rPr>
          <w:rFonts w:hint="eastAsia"/>
        </w:rPr>
        <w:t>消费</w:t>
      </w:r>
      <w:r w:rsidR="00141DA6">
        <w:rPr>
          <w:rFonts w:hint="eastAsia"/>
        </w:rPr>
        <w:t>品</w:t>
      </w:r>
      <w:r w:rsidRPr="00177A8C">
        <w:rPr>
          <w:rFonts w:hint="eastAsia"/>
        </w:rPr>
        <w:t>业务，相关战略措施和计划的实施对销售额、毛利率和盈利增长产生了非常积极的影响。在粘合剂业务方面，我们的组织架构与客户的联系更加紧密，我们发起的变革为汉高的积极发展做出了重大贡献。我们的自由现金流也非常</w:t>
      </w:r>
      <w:r w:rsidRPr="00177A8C">
        <w:rPr>
          <w:rFonts w:hint="eastAsia"/>
        </w:rPr>
        <w:lastRenderedPageBreak/>
        <w:t>充足，甚至超过了</w:t>
      </w:r>
      <w:r w:rsidRPr="00177A8C">
        <w:rPr>
          <w:rFonts w:hint="eastAsia"/>
        </w:rPr>
        <w:t>2023</w:t>
      </w:r>
      <w:r w:rsidRPr="00177A8C">
        <w:rPr>
          <w:rFonts w:hint="eastAsia"/>
        </w:rPr>
        <w:t>年上半年</w:t>
      </w:r>
      <w:r w:rsidR="004A4662">
        <w:rPr>
          <w:rFonts w:hint="eastAsia"/>
        </w:rPr>
        <w:t>的高</w:t>
      </w:r>
      <w:r w:rsidRPr="00177A8C">
        <w:rPr>
          <w:rFonts w:hint="eastAsia"/>
        </w:rPr>
        <w:t>水平。所有这些成果使我们能够进一步有针对性地投资于我们的业务和未来：即品牌、技术和创新。此外，我们正在推动可持续发展和数字化领域的相关重要举措，以进一步增强我们的竞争优势。”</w:t>
      </w:r>
    </w:p>
    <w:p w14:paraId="642A570F" w14:textId="23CECF96" w:rsidR="00B62B2A" w:rsidRPr="00177A8C" w:rsidRDefault="00B62B2A" w:rsidP="00272A6F">
      <w:pPr>
        <w:rPr>
          <w:rFonts w:cs="Segoe UI"/>
          <w:szCs w:val="22"/>
        </w:rPr>
      </w:pPr>
    </w:p>
    <w:p w14:paraId="068A7763" w14:textId="4CE77B01" w:rsidR="00DC5CDA" w:rsidRPr="00177A8C" w:rsidRDefault="006F1BEC" w:rsidP="00272A6F">
      <w:pPr>
        <w:rPr>
          <w:rFonts w:cs="Segoe UI"/>
          <w:szCs w:val="22"/>
        </w:rPr>
      </w:pPr>
      <w:r w:rsidRPr="00177A8C">
        <w:rPr>
          <w:rFonts w:hint="eastAsia"/>
        </w:rPr>
        <w:t>“继上半年实现强劲业绩</w:t>
      </w:r>
      <w:r w:rsidR="001B236E">
        <w:rPr>
          <w:rFonts w:hint="eastAsia"/>
        </w:rPr>
        <w:t>表现</w:t>
      </w:r>
      <w:r w:rsidRPr="00177A8C">
        <w:rPr>
          <w:rFonts w:hint="eastAsia"/>
        </w:rPr>
        <w:t>之后，我们对下半年充满信心，</w:t>
      </w:r>
      <w:r w:rsidR="007128C0">
        <w:rPr>
          <w:rFonts w:hint="eastAsia"/>
        </w:rPr>
        <w:t>并</w:t>
      </w:r>
      <w:r w:rsidRPr="00177A8C">
        <w:rPr>
          <w:rFonts w:hint="eastAsia"/>
        </w:rPr>
        <w:t>在</w:t>
      </w:r>
      <w:r w:rsidRPr="00177A8C">
        <w:rPr>
          <w:rFonts w:hint="eastAsia"/>
        </w:rPr>
        <w:t>7</w:t>
      </w:r>
      <w:r w:rsidRPr="00177A8C">
        <w:rPr>
          <w:rFonts w:hint="eastAsia"/>
        </w:rPr>
        <w:t>月中旬上调了</w:t>
      </w:r>
      <w:r w:rsidR="007E15DC">
        <w:rPr>
          <w:rFonts w:hint="eastAsia"/>
        </w:rPr>
        <w:t>对</w:t>
      </w:r>
      <w:r w:rsidRPr="00177A8C">
        <w:rPr>
          <w:rFonts w:hint="eastAsia"/>
        </w:rPr>
        <w:t>2024</w:t>
      </w:r>
      <w:r w:rsidRPr="00177A8C">
        <w:rPr>
          <w:rFonts w:hint="eastAsia"/>
        </w:rPr>
        <w:t>财年的盈利预期。我们正在兑现自己的承诺，</w:t>
      </w:r>
      <w:r w:rsidR="00814AEC">
        <w:rPr>
          <w:rFonts w:hint="eastAsia"/>
        </w:rPr>
        <w:t>并沿着正确的发展方向</w:t>
      </w:r>
      <w:r w:rsidRPr="00177A8C">
        <w:rPr>
          <w:rFonts w:hint="eastAsia"/>
        </w:rPr>
        <w:t>实现进一步</w:t>
      </w:r>
      <w:r w:rsidR="00FB4BB1">
        <w:rPr>
          <w:rFonts w:hint="eastAsia"/>
        </w:rPr>
        <w:t>的</w:t>
      </w:r>
      <w:r w:rsidRPr="00177A8C">
        <w:rPr>
          <w:rFonts w:hint="eastAsia"/>
        </w:rPr>
        <w:t>盈利增长。这也反映在我们对中长期财务目标的调整上：我们有信心在中期就实现</w:t>
      </w:r>
      <w:r w:rsidR="00720BC4">
        <w:rPr>
          <w:rFonts w:hint="eastAsia"/>
        </w:rPr>
        <w:t>既定</w:t>
      </w:r>
      <w:r w:rsidRPr="00177A8C">
        <w:rPr>
          <w:rFonts w:hint="eastAsia"/>
        </w:rPr>
        <w:t>的销售和盈利目标。”</w:t>
      </w:r>
    </w:p>
    <w:p w14:paraId="1F73CADD" w14:textId="77777777" w:rsidR="00033476" w:rsidRPr="00177A8C" w:rsidRDefault="00033476" w:rsidP="00272A6F">
      <w:pPr>
        <w:rPr>
          <w:rFonts w:cs="Segoe UI"/>
          <w:szCs w:val="22"/>
        </w:rPr>
      </w:pPr>
    </w:p>
    <w:p w14:paraId="383A3F60" w14:textId="39EFBCD0" w:rsidR="00033476" w:rsidRPr="00177A8C" w:rsidRDefault="006F1BEC" w:rsidP="00272A6F">
      <w:pPr>
        <w:ind w:right="-108"/>
        <w:jc w:val="left"/>
        <w:rPr>
          <w:b/>
        </w:rPr>
      </w:pPr>
      <w:r w:rsidRPr="00177A8C">
        <w:rPr>
          <w:rFonts w:hint="eastAsia"/>
          <w:b/>
        </w:rPr>
        <w:t>2024</w:t>
      </w:r>
      <w:r w:rsidRPr="00177A8C">
        <w:rPr>
          <w:rFonts w:hint="eastAsia"/>
          <w:b/>
        </w:rPr>
        <w:t>财年展望</w:t>
      </w:r>
    </w:p>
    <w:p w14:paraId="3DB54B11" w14:textId="77777777" w:rsidR="00D65E91" w:rsidRPr="00177A8C" w:rsidRDefault="00D65E91" w:rsidP="00272A6F">
      <w:pPr>
        <w:ind w:right="-108"/>
        <w:jc w:val="left"/>
        <w:rPr>
          <w:rFonts w:cs="Segoe UI"/>
          <w:b/>
          <w:bCs/>
          <w:szCs w:val="22"/>
        </w:rPr>
      </w:pPr>
    </w:p>
    <w:p w14:paraId="2FA16D84" w14:textId="6766A383" w:rsidR="00DE6C0E" w:rsidRPr="00177A8C" w:rsidRDefault="006F1BEC" w:rsidP="00272A6F">
      <w:pPr>
        <w:rPr>
          <w:rFonts w:cs="Segoe UI"/>
          <w:szCs w:val="22"/>
        </w:rPr>
      </w:pPr>
      <w:r w:rsidRPr="00177A8C">
        <w:rPr>
          <w:rFonts w:hint="eastAsia"/>
        </w:rPr>
        <w:t>7</w:t>
      </w:r>
      <w:r w:rsidRPr="00177A8C">
        <w:rPr>
          <w:rFonts w:hint="eastAsia"/>
        </w:rPr>
        <w:t>月</w:t>
      </w:r>
      <w:r w:rsidRPr="00177A8C">
        <w:rPr>
          <w:rFonts w:hint="eastAsia"/>
        </w:rPr>
        <w:t>17</w:t>
      </w:r>
      <w:r w:rsidRPr="00177A8C">
        <w:rPr>
          <w:rFonts w:hint="eastAsia"/>
        </w:rPr>
        <w:t>日，公司上调了</w:t>
      </w:r>
      <w:r w:rsidRPr="00177A8C">
        <w:rPr>
          <w:rFonts w:hint="eastAsia"/>
        </w:rPr>
        <w:t>2024</w:t>
      </w:r>
      <w:r w:rsidRPr="00177A8C">
        <w:rPr>
          <w:rFonts w:hint="eastAsia"/>
        </w:rPr>
        <w:t>年</w:t>
      </w:r>
      <w:r w:rsidRPr="00177A8C">
        <w:rPr>
          <w:rFonts w:hint="eastAsia"/>
        </w:rPr>
        <w:t>5</w:t>
      </w:r>
      <w:r w:rsidRPr="00177A8C">
        <w:rPr>
          <w:rFonts w:hint="eastAsia"/>
        </w:rPr>
        <w:t>月</w:t>
      </w:r>
      <w:r w:rsidRPr="00177A8C">
        <w:rPr>
          <w:rFonts w:hint="eastAsia"/>
        </w:rPr>
        <w:t>3</w:t>
      </w:r>
      <w:r w:rsidRPr="00177A8C">
        <w:rPr>
          <w:rFonts w:hint="eastAsia"/>
        </w:rPr>
        <w:t>日更新的本财年盈利预期展望。这主要是由于消费品牌业务部的利润预期</w:t>
      </w:r>
      <w:r w:rsidR="00543E0E">
        <w:rPr>
          <w:rFonts w:hint="eastAsia"/>
        </w:rPr>
        <w:t>有所</w:t>
      </w:r>
      <w:r w:rsidRPr="00177A8C">
        <w:rPr>
          <w:rFonts w:hint="eastAsia"/>
        </w:rPr>
        <w:t>提高，与此同时，公司也在加大对营销领域的投资，以支持创新。此次财务展望仍然</w:t>
      </w:r>
      <w:r w:rsidR="004A18C6">
        <w:rPr>
          <w:rFonts w:hint="eastAsia"/>
        </w:rPr>
        <w:t>顾及</w:t>
      </w:r>
      <w:r w:rsidRPr="00177A8C">
        <w:rPr>
          <w:rFonts w:hint="eastAsia"/>
        </w:rPr>
        <w:t>到了</w:t>
      </w:r>
      <w:r w:rsidR="008F080D">
        <w:rPr>
          <w:rFonts w:hint="eastAsia"/>
        </w:rPr>
        <w:t>对</w:t>
      </w:r>
      <w:r w:rsidRPr="00177A8C">
        <w:rPr>
          <w:rFonts w:hint="eastAsia"/>
        </w:rPr>
        <w:t>下半年直接原材料价格上涨的预期。汉高目前预计</w:t>
      </w:r>
      <w:r w:rsidRPr="00177A8C">
        <w:rPr>
          <w:rFonts w:hint="eastAsia"/>
        </w:rPr>
        <w:t>2024</w:t>
      </w:r>
      <w:r w:rsidRPr="00177A8C">
        <w:rPr>
          <w:rFonts w:hint="eastAsia"/>
        </w:rPr>
        <w:t>财年的销售额和盈利情况如下：</w:t>
      </w:r>
    </w:p>
    <w:p w14:paraId="7CD8C817" w14:textId="77777777" w:rsidR="000D738C" w:rsidRPr="00177A8C" w:rsidRDefault="000D738C" w:rsidP="00272A6F">
      <w:pPr>
        <w:rPr>
          <w:rFonts w:cs="Segoe UI"/>
          <w:szCs w:val="22"/>
        </w:rPr>
      </w:pPr>
    </w:p>
    <w:p w14:paraId="0EE70A87" w14:textId="5DB0F9C2" w:rsidR="00E61A7F" w:rsidRPr="00177A8C" w:rsidRDefault="006F1BEC" w:rsidP="00272A6F">
      <w:r w:rsidRPr="00177A8C">
        <w:rPr>
          <w:rFonts w:hint="eastAsia"/>
        </w:rPr>
        <w:t>在集团层面，汉高仍然预计</w:t>
      </w:r>
      <w:r w:rsidRPr="00177A8C">
        <w:rPr>
          <w:rFonts w:hint="eastAsia"/>
        </w:rPr>
        <w:t>2024</w:t>
      </w:r>
      <w:r w:rsidRPr="00177A8C">
        <w:rPr>
          <w:rFonts w:hint="eastAsia"/>
        </w:rPr>
        <w:t>财年</w:t>
      </w:r>
      <w:r w:rsidRPr="00177A8C">
        <w:rPr>
          <w:rFonts w:hint="eastAsia"/>
          <w:b/>
          <w:bCs/>
        </w:rPr>
        <w:t>有机销售额增长</w:t>
      </w:r>
      <w:r w:rsidRPr="00177A8C">
        <w:rPr>
          <w:rFonts w:hint="eastAsia"/>
        </w:rPr>
        <w:t>2.5%</w:t>
      </w:r>
      <w:r w:rsidRPr="00177A8C">
        <w:rPr>
          <w:rFonts w:hint="eastAsia"/>
        </w:rPr>
        <w:t>至</w:t>
      </w:r>
      <w:r w:rsidRPr="00177A8C">
        <w:rPr>
          <w:rFonts w:hint="eastAsia"/>
        </w:rPr>
        <w:t>4.5%</w:t>
      </w:r>
      <w:r w:rsidRPr="00177A8C">
        <w:rPr>
          <w:rFonts w:hint="eastAsia"/>
        </w:rPr>
        <w:t>。粘合剂技术业务部的有机销售额增长率预计仍在</w:t>
      </w:r>
      <w:r w:rsidRPr="00177A8C">
        <w:rPr>
          <w:rFonts w:hint="eastAsia"/>
        </w:rPr>
        <w:t>2.0%</w:t>
      </w:r>
      <w:r w:rsidRPr="00177A8C">
        <w:rPr>
          <w:rFonts w:hint="eastAsia"/>
        </w:rPr>
        <w:t>至</w:t>
      </w:r>
      <w:r w:rsidRPr="00177A8C">
        <w:rPr>
          <w:rFonts w:hint="eastAsia"/>
        </w:rPr>
        <w:t>4.0%</w:t>
      </w:r>
      <w:r w:rsidRPr="00177A8C">
        <w:rPr>
          <w:rFonts w:hint="eastAsia"/>
        </w:rPr>
        <w:t>之间，而消费品牌业务部的有机销售额增长率预计在</w:t>
      </w:r>
      <w:r w:rsidRPr="00177A8C">
        <w:rPr>
          <w:rFonts w:hint="eastAsia"/>
        </w:rPr>
        <w:t>3.0%</w:t>
      </w:r>
      <w:r w:rsidRPr="00177A8C">
        <w:rPr>
          <w:rFonts w:hint="eastAsia"/>
        </w:rPr>
        <w:t>至</w:t>
      </w:r>
      <w:r w:rsidRPr="00177A8C">
        <w:rPr>
          <w:rFonts w:hint="eastAsia"/>
        </w:rPr>
        <w:t>5.0%</w:t>
      </w:r>
      <w:r w:rsidRPr="00177A8C">
        <w:rPr>
          <w:rFonts w:hint="eastAsia"/>
        </w:rPr>
        <w:t>之间。在集团层面，</w:t>
      </w:r>
      <w:r w:rsidRPr="00177A8C">
        <w:rPr>
          <w:rFonts w:hint="eastAsia"/>
          <w:b/>
          <w:bCs/>
        </w:rPr>
        <w:t>调整后的销售回报率（息税前利润率）</w:t>
      </w:r>
      <w:r w:rsidRPr="00177A8C">
        <w:rPr>
          <w:rFonts w:hint="eastAsia"/>
        </w:rPr>
        <w:t>预计为</w:t>
      </w:r>
      <w:r w:rsidRPr="00177A8C">
        <w:rPr>
          <w:rFonts w:hint="eastAsia"/>
        </w:rPr>
        <w:t>13.5%</w:t>
      </w:r>
      <w:r w:rsidRPr="00177A8C">
        <w:rPr>
          <w:rFonts w:hint="eastAsia"/>
        </w:rPr>
        <w:t>至</w:t>
      </w:r>
      <w:r w:rsidRPr="00177A8C">
        <w:rPr>
          <w:rFonts w:hint="eastAsia"/>
        </w:rPr>
        <w:t>14.5%</w:t>
      </w:r>
      <w:r w:rsidRPr="00177A8C">
        <w:rPr>
          <w:rFonts w:hint="eastAsia"/>
        </w:rPr>
        <w:t>（此前为：</w:t>
      </w:r>
      <w:r w:rsidRPr="00177A8C">
        <w:rPr>
          <w:rFonts w:hint="eastAsia"/>
        </w:rPr>
        <w:t>13.0%</w:t>
      </w:r>
      <w:r w:rsidRPr="00177A8C">
        <w:rPr>
          <w:rFonts w:hint="eastAsia"/>
        </w:rPr>
        <w:t>至</w:t>
      </w:r>
      <w:r w:rsidRPr="00177A8C">
        <w:rPr>
          <w:rFonts w:hint="eastAsia"/>
        </w:rPr>
        <w:t>14.0%</w:t>
      </w:r>
      <w:r w:rsidRPr="00177A8C">
        <w:rPr>
          <w:rFonts w:hint="eastAsia"/>
        </w:rPr>
        <w:t>）。对于粘合剂技术业务部，汉高预计调整后的销售回报率仍为</w:t>
      </w:r>
      <w:r w:rsidRPr="00177A8C">
        <w:rPr>
          <w:rFonts w:hint="eastAsia"/>
        </w:rPr>
        <w:t>16.0%</w:t>
      </w:r>
      <w:r w:rsidRPr="00177A8C">
        <w:rPr>
          <w:rFonts w:hint="eastAsia"/>
        </w:rPr>
        <w:t>至</w:t>
      </w:r>
      <w:r w:rsidRPr="00177A8C">
        <w:rPr>
          <w:rFonts w:hint="eastAsia"/>
        </w:rPr>
        <w:t>17.0%</w:t>
      </w:r>
      <w:r w:rsidRPr="00177A8C">
        <w:rPr>
          <w:rFonts w:hint="eastAsia"/>
        </w:rPr>
        <w:t>。对于消费品牌业务部，汉高预计调整后的销售回报率为</w:t>
      </w:r>
      <w:r w:rsidRPr="00177A8C">
        <w:rPr>
          <w:rFonts w:hint="eastAsia"/>
        </w:rPr>
        <w:t>13.0%</w:t>
      </w:r>
      <w:r w:rsidRPr="00177A8C">
        <w:rPr>
          <w:rFonts w:hint="eastAsia"/>
        </w:rPr>
        <w:t>至</w:t>
      </w:r>
      <w:r w:rsidRPr="00177A8C">
        <w:rPr>
          <w:rFonts w:hint="eastAsia"/>
        </w:rPr>
        <w:t>14.0%</w:t>
      </w:r>
      <w:r w:rsidRPr="00177A8C">
        <w:rPr>
          <w:rFonts w:hint="eastAsia"/>
        </w:rPr>
        <w:t>（此前为：</w:t>
      </w:r>
      <w:r w:rsidRPr="00177A8C">
        <w:rPr>
          <w:rFonts w:hint="eastAsia"/>
        </w:rPr>
        <w:t>12.0%</w:t>
      </w:r>
      <w:r w:rsidRPr="00177A8C">
        <w:rPr>
          <w:rFonts w:hint="eastAsia"/>
        </w:rPr>
        <w:t>至</w:t>
      </w:r>
      <w:r w:rsidRPr="00177A8C">
        <w:rPr>
          <w:rFonts w:hint="eastAsia"/>
        </w:rPr>
        <w:t>13.0%</w:t>
      </w:r>
      <w:r w:rsidRPr="00177A8C">
        <w:rPr>
          <w:rFonts w:hint="eastAsia"/>
        </w:rPr>
        <w:t>）。对于按固定汇率计算的</w:t>
      </w:r>
      <w:r w:rsidRPr="00177A8C">
        <w:rPr>
          <w:rFonts w:hint="eastAsia"/>
          <w:b/>
          <w:bCs/>
        </w:rPr>
        <w:t>调整后优先股每股收益（</w:t>
      </w:r>
      <w:r w:rsidRPr="00177A8C">
        <w:rPr>
          <w:rFonts w:hint="eastAsia"/>
          <w:b/>
          <w:bCs/>
        </w:rPr>
        <w:t>EPS</w:t>
      </w:r>
      <w:r w:rsidRPr="00177A8C">
        <w:rPr>
          <w:rFonts w:hint="eastAsia"/>
          <w:b/>
          <w:bCs/>
        </w:rPr>
        <w:t>）</w:t>
      </w:r>
      <w:r w:rsidRPr="00177A8C">
        <w:rPr>
          <w:rFonts w:hint="eastAsia"/>
        </w:rPr>
        <w:t>，汉高现在预计增长幅度为</w:t>
      </w:r>
      <w:r w:rsidRPr="00177A8C">
        <w:rPr>
          <w:rFonts w:hint="eastAsia"/>
        </w:rPr>
        <w:t>20%</w:t>
      </w:r>
      <w:r w:rsidRPr="00177A8C">
        <w:rPr>
          <w:rFonts w:hint="eastAsia"/>
        </w:rPr>
        <w:t>至</w:t>
      </w:r>
      <w:r w:rsidRPr="00177A8C">
        <w:rPr>
          <w:rFonts w:hint="eastAsia"/>
        </w:rPr>
        <w:t>30%</w:t>
      </w:r>
      <w:r w:rsidRPr="00177A8C">
        <w:rPr>
          <w:rFonts w:hint="eastAsia"/>
        </w:rPr>
        <w:t>（此前为：</w:t>
      </w:r>
      <w:r w:rsidRPr="00177A8C">
        <w:rPr>
          <w:rFonts w:hint="eastAsia"/>
        </w:rPr>
        <w:t>15.0%</w:t>
      </w:r>
      <w:r w:rsidRPr="00177A8C">
        <w:rPr>
          <w:rFonts w:hint="eastAsia"/>
        </w:rPr>
        <w:t>至</w:t>
      </w:r>
      <w:r w:rsidRPr="00177A8C">
        <w:rPr>
          <w:rFonts w:hint="eastAsia"/>
        </w:rPr>
        <w:t>25.0%</w:t>
      </w:r>
      <w:r w:rsidRPr="00177A8C">
        <w:rPr>
          <w:rFonts w:hint="eastAsia"/>
        </w:rPr>
        <w:t>）。</w:t>
      </w:r>
    </w:p>
    <w:p w14:paraId="62895597" w14:textId="77777777" w:rsidR="00D65E91" w:rsidRPr="00177A8C" w:rsidRDefault="00D65E91" w:rsidP="00272A6F">
      <w:pPr>
        <w:rPr>
          <w:rFonts w:cs="Segoe UI"/>
          <w:szCs w:val="22"/>
        </w:rPr>
      </w:pPr>
    </w:p>
    <w:p w14:paraId="5988F815" w14:textId="775686F5" w:rsidR="00E61A7F" w:rsidRPr="00177A8C" w:rsidRDefault="006F1BEC" w:rsidP="00272A6F">
      <w:pPr>
        <w:jc w:val="left"/>
        <w:rPr>
          <w:b/>
        </w:rPr>
      </w:pPr>
      <w:r w:rsidRPr="00177A8C">
        <w:rPr>
          <w:rFonts w:hint="eastAsia"/>
          <w:b/>
        </w:rPr>
        <w:t>2024</w:t>
      </w:r>
      <w:r w:rsidRPr="00177A8C">
        <w:rPr>
          <w:rFonts w:hint="eastAsia"/>
          <w:b/>
        </w:rPr>
        <w:t>年上半年的销售额和盈利情况</w:t>
      </w:r>
    </w:p>
    <w:p w14:paraId="6E31627B" w14:textId="75EACBAA" w:rsidR="000B31E4" w:rsidRPr="00177A8C" w:rsidRDefault="006F1BEC" w:rsidP="00272A6F">
      <w:pPr>
        <w:rPr>
          <w:rFonts w:cs="Segoe UI"/>
          <w:szCs w:val="22"/>
        </w:rPr>
      </w:pPr>
      <w:r w:rsidRPr="00177A8C">
        <w:rPr>
          <w:rFonts w:hint="eastAsia"/>
        </w:rPr>
        <w:t>面对持续严峻的市场环境，汉高</w:t>
      </w:r>
      <w:r w:rsidRPr="00177A8C">
        <w:rPr>
          <w:rFonts w:hint="eastAsia"/>
        </w:rPr>
        <w:t>2024</w:t>
      </w:r>
      <w:r w:rsidRPr="00177A8C">
        <w:rPr>
          <w:rFonts w:hint="eastAsia"/>
        </w:rPr>
        <w:t>年上半年实现</w:t>
      </w:r>
      <w:r w:rsidRPr="00177A8C">
        <w:rPr>
          <w:rFonts w:hint="eastAsia"/>
          <w:b/>
          <w:bCs/>
        </w:rPr>
        <w:t>集团销售额</w:t>
      </w:r>
      <w:r w:rsidRPr="00177A8C">
        <w:rPr>
          <w:rFonts w:hint="eastAsia"/>
        </w:rPr>
        <w:t>108.13</w:t>
      </w:r>
      <w:r w:rsidRPr="00177A8C">
        <w:rPr>
          <w:rFonts w:hint="eastAsia"/>
        </w:rPr>
        <w:t>亿欧元，名义下滑</w:t>
      </w:r>
      <w:r w:rsidRPr="00177A8C">
        <w:rPr>
          <w:rFonts w:hint="eastAsia"/>
        </w:rPr>
        <w:t>1.0%</w:t>
      </w:r>
      <w:r w:rsidRPr="00177A8C">
        <w:rPr>
          <w:rFonts w:hint="eastAsia"/>
        </w:rPr>
        <w:t>。在前几个季度的名义销售额受到俄罗斯业务剥离的负面影响后，汉高在</w:t>
      </w:r>
      <w:r w:rsidRPr="00177A8C">
        <w:rPr>
          <w:rFonts w:hint="eastAsia"/>
        </w:rPr>
        <w:t>2024</w:t>
      </w:r>
      <w:r w:rsidRPr="00177A8C">
        <w:rPr>
          <w:rFonts w:hint="eastAsia"/>
        </w:rPr>
        <w:t>年第二季度</w:t>
      </w:r>
      <w:r w:rsidR="00F71743">
        <w:rPr>
          <w:rFonts w:hint="eastAsia"/>
        </w:rPr>
        <w:t>重新</w:t>
      </w:r>
      <w:r w:rsidRPr="00177A8C">
        <w:rPr>
          <w:rFonts w:hint="eastAsia"/>
        </w:rPr>
        <w:t>实现了名义销售额增长（第二季度：</w:t>
      </w:r>
      <w:r w:rsidRPr="00177A8C">
        <w:rPr>
          <w:rFonts w:hint="eastAsia"/>
        </w:rPr>
        <w:t>54.96</w:t>
      </w:r>
      <w:r w:rsidRPr="00177A8C">
        <w:rPr>
          <w:rFonts w:hint="eastAsia"/>
        </w:rPr>
        <w:t>亿欧元，增长</w:t>
      </w:r>
      <w:r w:rsidRPr="00177A8C">
        <w:rPr>
          <w:rFonts w:hint="eastAsia"/>
        </w:rPr>
        <w:t>3.4%</w:t>
      </w:r>
      <w:r w:rsidRPr="00177A8C">
        <w:rPr>
          <w:rFonts w:hint="eastAsia"/>
        </w:rPr>
        <w:t>）。外汇因素导致销售额下降</w:t>
      </w:r>
      <w:r w:rsidRPr="00177A8C">
        <w:rPr>
          <w:rFonts w:hint="eastAsia"/>
        </w:rPr>
        <w:t>1.9%</w:t>
      </w:r>
      <w:r w:rsidRPr="00177A8C">
        <w:rPr>
          <w:rFonts w:hint="eastAsia"/>
        </w:rPr>
        <w:t>（第二季度：</w:t>
      </w:r>
      <w:r w:rsidR="00967631">
        <w:rPr>
          <w:rFonts w:hint="eastAsia"/>
        </w:rPr>
        <w:t>增长</w:t>
      </w:r>
      <w:r w:rsidRPr="00177A8C">
        <w:rPr>
          <w:rFonts w:hint="eastAsia"/>
        </w:rPr>
        <w:t>0.2%</w:t>
      </w:r>
      <w:r w:rsidRPr="00177A8C">
        <w:rPr>
          <w:rFonts w:hint="eastAsia"/>
        </w:rPr>
        <w:t>）。收购和撤资导致销售额下降</w:t>
      </w:r>
      <w:r w:rsidRPr="00177A8C">
        <w:rPr>
          <w:rFonts w:hint="eastAsia"/>
        </w:rPr>
        <w:t>2.1%</w:t>
      </w:r>
      <w:r w:rsidRPr="00177A8C">
        <w:rPr>
          <w:rFonts w:hint="eastAsia"/>
        </w:rPr>
        <w:t>（第二季度：</w:t>
      </w:r>
      <w:r w:rsidR="00967631">
        <w:rPr>
          <w:rFonts w:hint="eastAsia"/>
        </w:rPr>
        <w:t>增长</w:t>
      </w:r>
      <w:r w:rsidRPr="00177A8C">
        <w:rPr>
          <w:rFonts w:hint="eastAsia"/>
        </w:rPr>
        <w:t>0.3%</w:t>
      </w:r>
      <w:r w:rsidRPr="00177A8C">
        <w:rPr>
          <w:rFonts w:hint="eastAsia"/>
        </w:rPr>
        <w:t>）。尽管</w:t>
      </w:r>
      <w:r w:rsidRPr="00177A8C">
        <w:rPr>
          <w:rFonts w:hint="eastAsia"/>
        </w:rPr>
        <w:t>2023</w:t>
      </w:r>
      <w:r w:rsidRPr="00177A8C">
        <w:rPr>
          <w:rFonts w:hint="eastAsia"/>
        </w:rPr>
        <w:t>年</w:t>
      </w:r>
      <w:r w:rsidRPr="00177A8C">
        <w:rPr>
          <w:rFonts w:hint="eastAsia"/>
        </w:rPr>
        <w:t>4</w:t>
      </w:r>
      <w:r w:rsidRPr="00177A8C">
        <w:rPr>
          <w:rFonts w:hint="eastAsia"/>
        </w:rPr>
        <w:t>月对俄罗斯业务活动的剥离导致了负面影响，但两个业务部门近期完成的</w:t>
      </w:r>
      <w:r w:rsidR="00ED2643">
        <w:rPr>
          <w:rFonts w:hint="eastAsia"/>
        </w:rPr>
        <w:t>对</w:t>
      </w:r>
      <w:r w:rsidR="00ED2643" w:rsidRPr="00177A8C">
        <w:rPr>
          <w:rFonts w:hint="eastAsia"/>
        </w:rPr>
        <w:t>Seal for Life</w:t>
      </w:r>
      <w:r w:rsidR="00ED2643">
        <w:rPr>
          <w:rFonts w:hint="eastAsia"/>
        </w:rPr>
        <w:t>以及沙宣的</w:t>
      </w:r>
      <w:r w:rsidRPr="00177A8C">
        <w:rPr>
          <w:rFonts w:hint="eastAsia"/>
        </w:rPr>
        <w:t>收购</w:t>
      </w:r>
      <w:r w:rsidR="00ED2643">
        <w:rPr>
          <w:rFonts w:hint="eastAsia"/>
        </w:rPr>
        <w:t>为销售额</w:t>
      </w:r>
      <w:r w:rsidRPr="00177A8C">
        <w:rPr>
          <w:rFonts w:hint="eastAsia"/>
        </w:rPr>
        <w:t>带来了积极影响。对外汇因素和收购</w:t>
      </w:r>
      <w:r w:rsidRPr="00177A8C">
        <w:rPr>
          <w:rFonts w:hint="eastAsia"/>
        </w:rPr>
        <w:t>/</w:t>
      </w:r>
      <w:r w:rsidRPr="00177A8C">
        <w:rPr>
          <w:rFonts w:hint="eastAsia"/>
        </w:rPr>
        <w:t>撤资进行调整后，汉高的</w:t>
      </w:r>
      <w:r w:rsidRPr="00177A8C">
        <w:rPr>
          <w:rFonts w:hint="eastAsia"/>
          <w:b/>
          <w:bCs/>
        </w:rPr>
        <w:t>有机销售额</w:t>
      </w:r>
      <w:r w:rsidRPr="00177A8C">
        <w:rPr>
          <w:rFonts w:hint="eastAsia"/>
        </w:rPr>
        <w:t>增长</w:t>
      </w:r>
      <w:r w:rsidRPr="00177A8C">
        <w:rPr>
          <w:rFonts w:hint="eastAsia"/>
        </w:rPr>
        <w:t>2.9%</w:t>
      </w:r>
      <w:r w:rsidRPr="00177A8C">
        <w:rPr>
          <w:rFonts w:hint="eastAsia"/>
        </w:rPr>
        <w:t>（第二季度：</w:t>
      </w:r>
      <w:r w:rsidR="00B93951">
        <w:rPr>
          <w:rFonts w:hint="eastAsia"/>
        </w:rPr>
        <w:t>增长</w:t>
      </w:r>
      <w:r w:rsidRPr="00177A8C">
        <w:rPr>
          <w:rFonts w:hint="eastAsia"/>
        </w:rPr>
        <w:t>2.8%</w:t>
      </w:r>
      <w:r w:rsidRPr="00177A8C">
        <w:rPr>
          <w:rFonts w:hint="eastAsia"/>
        </w:rPr>
        <w:t>）。</w:t>
      </w:r>
    </w:p>
    <w:p w14:paraId="371F28DF" w14:textId="77777777" w:rsidR="000B31E4" w:rsidRPr="00177A8C" w:rsidRDefault="000B31E4" w:rsidP="00272A6F">
      <w:pPr>
        <w:rPr>
          <w:rFonts w:cs="Segoe UI"/>
          <w:szCs w:val="22"/>
        </w:rPr>
      </w:pPr>
    </w:p>
    <w:p w14:paraId="4131D5F6" w14:textId="1888F41E" w:rsidR="00DC5CDA" w:rsidRPr="00177A8C" w:rsidRDefault="006F1BEC" w:rsidP="00272A6F">
      <w:pPr>
        <w:rPr>
          <w:rFonts w:cs="Segoe UI"/>
          <w:szCs w:val="22"/>
        </w:rPr>
      </w:pPr>
      <w:r w:rsidRPr="00177A8C">
        <w:rPr>
          <w:rFonts w:hint="eastAsia"/>
        </w:rPr>
        <w:t>2024</w:t>
      </w:r>
      <w:r w:rsidRPr="00177A8C">
        <w:rPr>
          <w:rFonts w:hint="eastAsia"/>
        </w:rPr>
        <w:t>年上半年，</w:t>
      </w:r>
      <w:r w:rsidRPr="00177A8C">
        <w:rPr>
          <w:rFonts w:hint="eastAsia"/>
          <w:b/>
          <w:bCs/>
        </w:rPr>
        <w:t>粘合剂技术</w:t>
      </w:r>
      <w:r w:rsidRPr="00177A8C">
        <w:rPr>
          <w:rFonts w:hint="eastAsia"/>
        </w:rPr>
        <w:t>业务部在移动和电子业务以及工匠、建筑和专业业务领域的推动下，有机销售额增长</w:t>
      </w:r>
      <w:r w:rsidRPr="00177A8C">
        <w:rPr>
          <w:rFonts w:hint="eastAsia"/>
        </w:rPr>
        <w:t>2.0%</w:t>
      </w:r>
      <w:r w:rsidRPr="00177A8C">
        <w:rPr>
          <w:rFonts w:hint="eastAsia"/>
        </w:rPr>
        <w:t>。（第二季度：</w:t>
      </w:r>
      <w:r w:rsidR="002502B2">
        <w:rPr>
          <w:rFonts w:hint="eastAsia"/>
        </w:rPr>
        <w:t>增长</w:t>
      </w:r>
      <w:r w:rsidRPr="00177A8C">
        <w:rPr>
          <w:rFonts w:hint="eastAsia"/>
        </w:rPr>
        <w:t>2.6%</w:t>
      </w:r>
      <w:r w:rsidRPr="00177A8C">
        <w:rPr>
          <w:rFonts w:hint="eastAsia"/>
        </w:rPr>
        <w:t>）。</w:t>
      </w:r>
      <w:r w:rsidRPr="00177A8C">
        <w:rPr>
          <w:rFonts w:hint="eastAsia"/>
          <w:b/>
        </w:rPr>
        <w:t>消费品牌</w:t>
      </w:r>
      <w:r w:rsidRPr="00177A8C">
        <w:rPr>
          <w:rFonts w:hint="eastAsia"/>
        </w:rPr>
        <w:t>业务部实现了</w:t>
      </w:r>
      <w:r w:rsidRPr="00177A8C">
        <w:rPr>
          <w:rFonts w:hint="eastAsia"/>
        </w:rPr>
        <w:t>4.3%</w:t>
      </w:r>
      <w:r w:rsidRPr="00177A8C">
        <w:rPr>
          <w:rFonts w:hint="eastAsia"/>
        </w:rPr>
        <w:t>的有机销售额增长，所有业务领域都为此做出了贡献（第二季度：</w:t>
      </w:r>
      <w:r w:rsidR="002502B2">
        <w:rPr>
          <w:rFonts w:hint="eastAsia"/>
        </w:rPr>
        <w:t>增长</w:t>
      </w:r>
      <w:r w:rsidRPr="00177A8C">
        <w:rPr>
          <w:rFonts w:hint="eastAsia"/>
        </w:rPr>
        <w:t>3.3%</w:t>
      </w:r>
      <w:r w:rsidRPr="00177A8C">
        <w:rPr>
          <w:rFonts w:hint="eastAsia"/>
        </w:rPr>
        <w:t>）。两个业务部销售额的增长主要得益于价格的上涨。在集团层面，销量继续受到消费品牌</w:t>
      </w:r>
      <w:r w:rsidR="00FD6FCB">
        <w:rPr>
          <w:rFonts w:hint="eastAsia"/>
        </w:rPr>
        <w:t>业务部</w:t>
      </w:r>
      <w:r w:rsidRPr="00177A8C">
        <w:rPr>
          <w:rFonts w:hint="eastAsia"/>
        </w:rPr>
        <w:t>产品组合</w:t>
      </w:r>
      <w:r w:rsidR="0049251E">
        <w:rPr>
          <w:rFonts w:hint="eastAsia"/>
        </w:rPr>
        <w:t>优化</w:t>
      </w:r>
      <w:r w:rsidRPr="00177A8C">
        <w:rPr>
          <w:rFonts w:hint="eastAsia"/>
        </w:rPr>
        <w:t>措施的影响，</w:t>
      </w:r>
      <w:r w:rsidR="00A1705A">
        <w:rPr>
          <w:rFonts w:hint="eastAsia"/>
        </w:rPr>
        <w:t>但</w:t>
      </w:r>
      <w:r w:rsidRPr="00177A8C">
        <w:rPr>
          <w:rFonts w:hint="eastAsia"/>
        </w:rPr>
        <w:t>与</w:t>
      </w:r>
      <w:r w:rsidRPr="00177A8C">
        <w:rPr>
          <w:rFonts w:hint="eastAsia"/>
        </w:rPr>
        <w:t>2023</w:t>
      </w:r>
      <w:r w:rsidRPr="00177A8C">
        <w:rPr>
          <w:rFonts w:hint="eastAsia"/>
        </w:rPr>
        <w:t>年上半年相比略呈上升趋势，</w:t>
      </w:r>
      <w:r w:rsidR="009D4907">
        <w:rPr>
          <w:rFonts w:hint="eastAsia"/>
        </w:rPr>
        <w:t>与</w:t>
      </w:r>
      <w:r w:rsidRPr="00177A8C">
        <w:rPr>
          <w:rFonts w:hint="eastAsia"/>
        </w:rPr>
        <w:t>2024</w:t>
      </w:r>
      <w:r w:rsidRPr="00177A8C">
        <w:rPr>
          <w:rFonts w:hint="eastAsia"/>
        </w:rPr>
        <w:t>年第一季度</w:t>
      </w:r>
      <w:r w:rsidR="000345B0">
        <w:rPr>
          <w:rFonts w:hint="eastAsia"/>
        </w:rPr>
        <w:t>相比</w:t>
      </w:r>
      <w:r w:rsidR="00DF4E5A">
        <w:rPr>
          <w:rFonts w:hint="eastAsia"/>
        </w:rPr>
        <w:t>实现</w:t>
      </w:r>
      <w:r w:rsidRPr="00177A8C">
        <w:rPr>
          <w:rFonts w:hint="eastAsia"/>
        </w:rPr>
        <w:t>连续</w:t>
      </w:r>
      <w:r w:rsidR="00EF4D77">
        <w:rPr>
          <w:rFonts w:hint="eastAsia"/>
        </w:rPr>
        <w:t>性</w:t>
      </w:r>
      <w:r w:rsidRPr="00177A8C">
        <w:rPr>
          <w:rFonts w:hint="eastAsia"/>
        </w:rPr>
        <w:t>改善。</w:t>
      </w:r>
      <w:r w:rsidRPr="00177A8C">
        <w:rPr>
          <w:rFonts w:hint="eastAsia"/>
        </w:rPr>
        <w:t xml:space="preserve"> </w:t>
      </w:r>
    </w:p>
    <w:p w14:paraId="7BAD4C7B" w14:textId="77777777" w:rsidR="00033476" w:rsidRPr="00177A8C" w:rsidRDefault="00033476" w:rsidP="00272A6F">
      <w:pPr>
        <w:rPr>
          <w:rFonts w:cs="Segoe UI"/>
          <w:szCs w:val="22"/>
        </w:rPr>
      </w:pPr>
    </w:p>
    <w:p w14:paraId="3E184C96" w14:textId="5909DB51" w:rsidR="00483617" w:rsidRPr="00177A8C" w:rsidRDefault="006F1BEC" w:rsidP="00272A6F">
      <w:pPr>
        <w:rPr>
          <w:rFonts w:cs="Segoe UI"/>
          <w:szCs w:val="22"/>
        </w:rPr>
      </w:pPr>
      <w:r w:rsidRPr="00177A8C">
        <w:rPr>
          <w:rFonts w:hint="eastAsia"/>
        </w:rPr>
        <w:lastRenderedPageBreak/>
        <w:t>今年上半年，</w:t>
      </w:r>
      <w:r w:rsidRPr="00177A8C">
        <w:rPr>
          <w:rFonts w:hint="eastAsia"/>
          <w:b/>
          <w:bCs/>
        </w:rPr>
        <w:t>欧洲</w:t>
      </w:r>
      <w:r w:rsidRPr="00177A8C">
        <w:rPr>
          <w:rFonts w:hint="eastAsia"/>
        </w:rPr>
        <w:t>地区的有机销售额增长</w:t>
      </w:r>
      <w:r w:rsidRPr="00177A8C">
        <w:rPr>
          <w:rFonts w:hint="eastAsia"/>
        </w:rPr>
        <w:t>1.8%</w:t>
      </w:r>
      <w:r w:rsidRPr="00177A8C">
        <w:rPr>
          <w:rFonts w:hint="eastAsia"/>
        </w:rPr>
        <w:t>（第二季度：</w:t>
      </w:r>
      <w:r w:rsidR="009253A9">
        <w:rPr>
          <w:rFonts w:hint="eastAsia"/>
        </w:rPr>
        <w:t>增长</w:t>
      </w:r>
      <w:r w:rsidRPr="00177A8C">
        <w:rPr>
          <w:rFonts w:hint="eastAsia"/>
        </w:rPr>
        <w:t>1.2%</w:t>
      </w:r>
      <w:r w:rsidRPr="00177A8C">
        <w:rPr>
          <w:rFonts w:hint="eastAsia"/>
        </w:rPr>
        <w:t>）。</w:t>
      </w:r>
      <w:r w:rsidRPr="00177A8C">
        <w:rPr>
          <w:rFonts w:hint="eastAsia"/>
          <w:b/>
          <w:bCs/>
        </w:rPr>
        <w:t>在印度、中东和非洲地区，</w:t>
      </w:r>
      <w:r w:rsidRPr="00177A8C">
        <w:rPr>
          <w:rFonts w:hint="eastAsia"/>
        </w:rPr>
        <w:t>汉高实现了</w:t>
      </w:r>
      <w:r w:rsidRPr="00177A8C">
        <w:rPr>
          <w:rFonts w:hint="eastAsia"/>
        </w:rPr>
        <w:t>21.0%</w:t>
      </w:r>
      <w:r w:rsidRPr="00177A8C">
        <w:rPr>
          <w:rFonts w:hint="eastAsia"/>
        </w:rPr>
        <w:t>的两位数有机销售额增长（第二季度：</w:t>
      </w:r>
      <w:r w:rsidR="009253A9">
        <w:rPr>
          <w:rFonts w:hint="eastAsia"/>
        </w:rPr>
        <w:t>增长</w:t>
      </w:r>
      <w:r w:rsidRPr="00177A8C">
        <w:rPr>
          <w:rFonts w:hint="eastAsia"/>
        </w:rPr>
        <w:t>13.7%</w:t>
      </w:r>
      <w:r w:rsidRPr="00177A8C">
        <w:rPr>
          <w:rFonts w:hint="eastAsia"/>
        </w:rPr>
        <w:t>）。</w:t>
      </w:r>
      <w:r w:rsidRPr="00177A8C">
        <w:rPr>
          <w:rFonts w:hint="eastAsia"/>
          <w:b/>
          <w:bCs/>
        </w:rPr>
        <w:t>北美</w:t>
      </w:r>
      <w:r w:rsidRPr="00177A8C">
        <w:rPr>
          <w:rFonts w:hint="eastAsia"/>
        </w:rPr>
        <w:t>地区有机销售额下降</w:t>
      </w:r>
      <w:r w:rsidRPr="00177A8C">
        <w:rPr>
          <w:rFonts w:hint="eastAsia"/>
        </w:rPr>
        <w:t>1.6%</w:t>
      </w:r>
      <w:r w:rsidRPr="00177A8C">
        <w:rPr>
          <w:rFonts w:hint="eastAsia"/>
        </w:rPr>
        <w:t>（第二季度：下降</w:t>
      </w:r>
      <w:r w:rsidRPr="00177A8C">
        <w:rPr>
          <w:rFonts w:hint="eastAsia"/>
        </w:rPr>
        <w:t>0.2%</w:t>
      </w:r>
      <w:r w:rsidRPr="00177A8C">
        <w:rPr>
          <w:rFonts w:hint="eastAsia"/>
        </w:rPr>
        <w:t>）。</w:t>
      </w:r>
      <w:r w:rsidRPr="00177A8C">
        <w:rPr>
          <w:rFonts w:hint="eastAsia"/>
          <w:b/>
          <w:bCs/>
        </w:rPr>
        <w:t>拉美</w:t>
      </w:r>
      <w:r w:rsidRPr="00177A8C">
        <w:rPr>
          <w:rFonts w:hint="eastAsia"/>
        </w:rPr>
        <w:t>地区有机销售额持平（第二季度：</w:t>
      </w:r>
      <w:r w:rsidR="009253A9">
        <w:rPr>
          <w:rFonts w:hint="eastAsia"/>
        </w:rPr>
        <w:t>增长</w:t>
      </w:r>
      <w:r w:rsidRPr="00177A8C">
        <w:rPr>
          <w:rFonts w:hint="eastAsia"/>
        </w:rPr>
        <w:t>2.7%</w:t>
      </w:r>
      <w:r w:rsidRPr="00177A8C">
        <w:rPr>
          <w:rFonts w:hint="eastAsia"/>
        </w:rPr>
        <w:t>）。</w:t>
      </w:r>
      <w:r w:rsidRPr="00177A8C">
        <w:rPr>
          <w:rFonts w:hint="eastAsia"/>
          <w:b/>
          <w:bCs/>
        </w:rPr>
        <w:t>亚太</w:t>
      </w:r>
      <w:r w:rsidRPr="00177A8C">
        <w:rPr>
          <w:rFonts w:hint="eastAsia"/>
        </w:rPr>
        <w:t>地区实现了</w:t>
      </w:r>
      <w:r w:rsidRPr="00177A8C">
        <w:rPr>
          <w:rFonts w:hint="eastAsia"/>
        </w:rPr>
        <w:t>5.5%</w:t>
      </w:r>
      <w:r w:rsidRPr="00177A8C">
        <w:rPr>
          <w:rFonts w:hint="eastAsia"/>
        </w:rPr>
        <w:t>的有机销售额增长（第二季度：</w:t>
      </w:r>
      <w:r w:rsidR="009253A9">
        <w:rPr>
          <w:rFonts w:hint="eastAsia"/>
        </w:rPr>
        <w:t>增长</w:t>
      </w:r>
      <w:r w:rsidRPr="00177A8C">
        <w:rPr>
          <w:rFonts w:hint="eastAsia"/>
        </w:rPr>
        <w:t>7.5%</w:t>
      </w:r>
      <w:r w:rsidRPr="00177A8C">
        <w:rPr>
          <w:rFonts w:hint="eastAsia"/>
        </w:rPr>
        <w:t>）。</w:t>
      </w:r>
      <w:r w:rsidRPr="00177A8C">
        <w:rPr>
          <w:rFonts w:hint="eastAsia"/>
        </w:rPr>
        <w:t xml:space="preserve"> </w:t>
      </w:r>
    </w:p>
    <w:p w14:paraId="56B7EA49" w14:textId="77777777" w:rsidR="00E67B4F" w:rsidRPr="00177A8C" w:rsidRDefault="00E67B4F" w:rsidP="00272A6F">
      <w:pPr>
        <w:rPr>
          <w:rFonts w:cs="Segoe UI"/>
          <w:bCs/>
          <w:szCs w:val="22"/>
        </w:rPr>
      </w:pPr>
    </w:p>
    <w:p w14:paraId="498F94F2" w14:textId="03D9EC99" w:rsidR="002B35E0" w:rsidRPr="00177A8C" w:rsidRDefault="006F1BEC" w:rsidP="00272A6F">
      <w:pPr>
        <w:rPr>
          <w:rFonts w:cs="Segoe UI"/>
          <w:bCs/>
          <w:szCs w:val="22"/>
        </w:rPr>
      </w:pPr>
      <w:r w:rsidRPr="00177A8C">
        <w:rPr>
          <w:rFonts w:hint="eastAsia"/>
          <w:b/>
          <w:bCs/>
        </w:rPr>
        <w:t>调整后的营业利润（调整后的息税前利润）</w:t>
      </w:r>
      <w:r w:rsidRPr="00177A8C">
        <w:rPr>
          <w:rFonts w:hint="eastAsia"/>
        </w:rPr>
        <w:t>从</w:t>
      </w:r>
      <w:r w:rsidRPr="00177A8C">
        <w:rPr>
          <w:rFonts w:hint="eastAsia"/>
        </w:rPr>
        <w:t>2023</w:t>
      </w:r>
      <w:r w:rsidRPr="00177A8C">
        <w:rPr>
          <w:rFonts w:hint="eastAsia"/>
        </w:rPr>
        <w:t>年上半年的</w:t>
      </w:r>
      <w:r w:rsidRPr="00177A8C">
        <w:rPr>
          <w:rFonts w:hint="eastAsia"/>
        </w:rPr>
        <w:t>12.54</w:t>
      </w:r>
      <w:r w:rsidRPr="00177A8C">
        <w:rPr>
          <w:rFonts w:hint="eastAsia"/>
        </w:rPr>
        <w:t>亿欧元大幅增至</w:t>
      </w:r>
      <w:r w:rsidRPr="00177A8C">
        <w:rPr>
          <w:rFonts w:hint="eastAsia"/>
        </w:rPr>
        <w:t>16.10</w:t>
      </w:r>
      <w:r w:rsidRPr="00177A8C">
        <w:rPr>
          <w:rFonts w:hint="eastAsia"/>
        </w:rPr>
        <w:t>亿欧元，增幅达</w:t>
      </w:r>
      <w:r w:rsidRPr="00177A8C">
        <w:rPr>
          <w:rFonts w:hint="eastAsia"/>
        </w:rPr>
        <w:t>28.4%</w:t>
      </w:r>
      <w:r w:rsidRPr="00177A8C">
        <w:rPr>
          <w:rFonts w:hint="eastAsia"/>
        </w:rPr>
        <w:t>，这主要得益于毛利率的强劲增长。</w:t>
      </w:r>
      <w:r w:rsidRPr="00177A8C">
        <w:rPr>
          <w:rFonts w:hint="eastAsia"/>
        </w:rPr>
        <w:t xml:space="preserve"> </w:t>
      </w:r>
    </w:p>
    <w:p w14:paraId="75C429F8" w14:textId="77777777" w:rsidR="002B35E0" w:rsidRPr="00177A8C" w:rsidRDefault="002B35E0" w:rsidP="00272A6F">
      <w:pPr>
        <w:rPr>
          <w:rFonts w:cs="Segoe UI"/>
          <w:bCs/>
          <w:szCs w:val="22"/>
        </w:rPr>
      </w:pPr>
    </w:p>
    <w:p w14:paraId="27213617" w14:textId="6A2FAA02" w:rsidR="002B35E0" w:rsidRPr="00177A8C" w:rsidRDefault="006F1BEC" w:rsidP="00272A6F">
      <w:pPr>
        <w:rPr>
          <w:rFonts w:cs="Segoe UI"/>
          <w:bCs/>
          <w:szCs w:val="22"/>
        </w:rPr>
      </w:pPr>
      <w:r w:rsidRPr="00AC131D">
        <w:rPr>
          <w:rFonts w:hint="eastAsia"/>
        </w:rPr>
        <w:t>汉高集团</w:t>
      </w:r>
      <w:r w:rsidRPr="00177A8C">
        <w:rPr>
          <w:rFonts w:hint="eastAsia"/>
          <w:b/>
          <w:bCs/>
        </w:rPr>
        <w:t>调整后的销售回报率（调整后的息税前利润率）</w:t>
      </w:r>
      <w:r w:rsidRPr="00177A8C">
        <w:rPr>
          <w:rFonts w:hint="eastAsia"/>
        </w:rPr>
        <w:t>从</w:t>
      </w:r>
      <w:r w:rsidRPr="00177A8C">
        <w:rPr>
          <w:rFonts w:hint="eastAsia"/>
        </w:rPr>
        <w:t>11.5%</w:t>
      </w:r>
      <w:r w:rsidRPr="00177A8C">
        <w:rPr>
          <w:rFonts w:hint="eastAsia"/>
        </w:rPr>
        <w:t>大幅提</w:t>
      </w:r>
      <w:r w:rsidR="009D676A">
        <w:rPr>
          <w:rFonts w:hint="eastAsia"/>
        </w:rPr>
        <w:t>升</w:t>
      </w:r>
      <w:r w:rsidRPr="00177A8C">
        <w:rPr>
          <w:rFonts w:hint="eastAsia"/>
        </w:rPr>
        <w:t>至</w:t>
      </w:r>
      <w:r w:rsidRPr="00177A8C">
        <w:rPr>
          <w:rFonts w:hint="eastAsia"/>
        </w:rPr>
        <w:t>14.9%</w:t>
      </w:r>
      <w:r w:rsidRPr="00177A8C">
        <w:rPr>
          <w:rFonts w:hint="eastAsia"/>
        </w:rPr>
        <w:t>，增长</w:t>
      </w:r>
      <w:r w:rsidRPr="00177A8C">
        <w:rPr>
          <w:rFonts w:hint="eastAsia"/>
        </w:rPr>
        <w:t>340</w:t>
      </w:r>
      <w:r w:rsidRPr="00177A8C">
        <w:rPr>
          <w:rFonts w:hint="eastAsia"/>
        </w:rPr>
        <w:t>个基点。</w:t>
      </w:r>
    </w:p>
    <w:p w14:paraId="0504B383" w14:textId="77777777" w:rsidR="000B31E4" w:rsidRPr="00177A8C" w:rsidRDefault="000B31E4" w:rsidP="00272A6F">
      <w:pPr>
        <w:rPr>
          <w:rFonts w:cs="Segoe UI"/>
          <w:b/>
          <w:szCs w:val="22"/>
        </w:rPr>
      </w:pPr>
    </w:p>
    <w:p w14:paraId="4BB67E6C" w14:textId="419A0B08" w:rsidR="006823EE" w:rsidRPr="00177A8C" w:rsidRDefault="006F1BEC" w:rsidP="00272A6F">
      <w:pPr>
        <w:rPr>
          <w:rFonts w:cs="Segoe UI"/>
          <w:bCs/>
          <w:szCs w:val="22"/>
        </w:rPr>
      </w:pPr>
      <w:r w:rsidRPr="00177A8C">
        <w:rPr>
          <w:rFonts w:hint="eastAsia"/>
          <w:b/>
          <w:bCs/>
        </w:rPr>
        <w:t>优先股每股收益</w:t>
      </w:r>
      <w:r w:rsidRPr="00177A8C">
        <w:rPr>
          <w:rFonts w:hint="eastAsia"/>
        </w:rPr>
        <w:t>大幅增至</w:t>
      </w:r>
      <w:r w:rsidRPr="00177A8C">
        <w:rPr>
          <w:rFonts w:hint="eastAsia"/>
        </w:rPr>
        <w:t>2.46</w:t>
      </w:r>
      <w:r w:rsidRPr="00177A8C">
        <w:rPr>
          <w:rFonts w:hint="eastAsia"/>
        </w:rPr>
        <w:t>欧元（去年：</w:t>
      </w:r>
      <w:r w:rsidRPr="00177A8C">
        <w:rPr>
          <w:rFonts w:hint="eastAsia"/>
        </w:rPr>
        <w:t>1.35</w:t>
      </w:r>
      <w:r w:rsidRPr="00177A8C">
        <w:rPr>
          <w:rFonts w:hint="eastAsia"/>
        </w:rPr>
        <w:t>欧元）。调整后的优先股每股收益为</w:t>
      </w:r>
      <w:r w:rsidRPr="00177A8C">
        <w:rPr>
          <w:rFonts w:hint="eastAsia"/>
        </w:rPr>
        <w:t>2.78</w:t>
      </w:r>
      <w:r w:rsidRPr="00177A8C">
        <w:rPr>
          <w:rFonts w:hint="eastAsia"/>
        </w:rPr>
        <w:t>欧元，与去年同期的</w:t>
      </w:r>
      <w:r w:rsidRPr="00177A8C">
        <w:rPr>
          <w:rFonts w:hint="eastAsia"/>
        </w:rPr>
        <w:t>2.13</w:t>
      </w:r>
      <w:r w:rsidRPr="00177A8C">
        <w:rPr>
          <w:rFonts w:hint="eastAsia"/>
        </w:rPr>
        <w:t>欧元相比增长</w:t>
      </w:r>
      <w:r w:rsidRPr="00177A8C">
        <w:rPr>
          <w:rFonts w:hint="eastAsia"/>
        </w:rPr>
        <w:t>30.5%</w:t>
      </w:r>
      <w:r w:rsidRPr="00177A8C">
        <w:rPr>
          <w:rFonts w:hint="eastAsia"/>
        </w:rPr>
        <w:t>。这一大幅增长主要得益于调整后的营业利润的增长。按固定汇率计算，调整后的优先股每股收益实现</w:t>
      </w:r>
      <w:r w:rsidRPr="00177A8C">
        <w:rPr>
          <w:rFonts w:hint="eastAsia"/>
        </w:rPr>
        <w:t>32.9%</w:t>
      </w:r>
      <w:r w:rsidRPr="00177A8C">
        <w:rPr>
          <w:rFonts w:hint="eastAsia"/>
        </w:rPr>
        <w:t>的</w:t>
      </w:r>
      <w:r w:rsidR="006C28CB">
        <w:rPr>
          <w:rFonts w:hint="eastAsia"/>
        </w:rPr>
        <w:t>明显</w:t>
      </w:r>
      <w:r w:rsidRPr="00177A8C">
        <w:rPr>
          <w:rFonts w:hint="eastAsia"/>
        </w:rPr>
        <w:t>两位数增长。</w:t>
      </w:r>
    </w:p>
    <w:p w14:paraId="4117A15C" w14:textId="77777777" w:rsidR="005018C2" w:rsidRPr="00177A8C" w:rsidRDefault="005018C2" w:rsidP="00272A6F">
      <w:pPr>
        <w:rPr>
          <w:rFonts w:cs="Segoe UI"/>
          <w:szCs w:val="22"/>
        </w:rPr>
      </w:pPr>
    </w:p>
    <w:p w14:paraId="3291D73E" w14:textId="26C73102" w:rsidR="00033476" w:rsidRPr="00177A8C" w:rsidRDefault="006F1BEC" w:rsidP="00272A6F">
      <w:pPr>
        <w:rPr>
          <w:rFonts w:cs="Segoe UI"/>
          <w:szCs w:val="22"/>
        </w:rPr>
      </w:pPr>
      <w:r w:rsidRPr="00177A8C">
        <w:rPr>
          <w:rFonts w:hint="eastAsia"/>
        </w:rPr>
        <w:t>与去年同期相比，</w:t>
      </w:r>
      <w:r w:rsidRPr="00177A8C">
        <w:rPr>
          <w:rFonts w:hint="eastAsia"/>
          <w:b/>
          <w:bCs/>
        </w:rPr>
        <w:t>净营运资本</w:t>
      </w:r>
      <w:r w:rsidRPr="00177A8C">
        <w:rPr>
          <w:rFonts w:hint="eastAsia"/>
        </w:rPr>
        <w:t>下降</w:t>
      </w:r>
      <w:r w:rsidRPr="00177A8C">
        <w:rPr>
          <w:rFonts w:hint="eastAsia"/>
        </w:rPr>
        <w:t>0.9%</w:t>
      </w:r>
      <w:r w:rsidRPr="00177A8C">
        <w:rPr>
          <w:rFonts w:hint="eastAsia"/>
        </w:rPr>
        <w:t>，从</w:t>
      </w:r>
      <w:r w:rsidRPr="00177A8C">
        <w:rPr>
          <w:rFonts w:hint="eastAsia"/>
        </w:rPr>
        <w:t>6.1%</w:t>
      </w:r>
      <w:r w:rsidRPr="00177A8C">
        <w:rPr>
          <w:rFonts w:hint="eastAsia"/>
        </w:rPr>
        <w:t>降至</w:t>
      </w:r>
      <w:r w:rsidRPr="00177A8C">
        <w:rPr>
          <w:rFonts w:hint="eastAsia"/>
        </w:rPr>
        <w:t>5.2%</w:t>
      </w:r>
      <w:r w:rsidRPr="00177A8C">
        <w:rPr>
          <w:rFonts w:hint="eastAsia"/>
        </w:rPr>
        <w:t>。</w:t>
      </w:r>
    </w:p>
    <w:p w14:paraId="1FFB4343" w14:textId="77777777" w:rsidR="00033476" w:rsidRPr="00177A8C" w:rsidRDefault="00033476" w:rsidP="00272A6F">
      <w:pPr>
        <w:rPr>
          <w:rFonts w:cs="Segoe UI"/>
          <w:szCs w:val="22"/>
        </w:rPr>
      </w:pPr>
    </w:p>
    <w:p w14:paraId="63418D73" w14:textId="4DA618DB" w:rsidR="00B33C35" w:rsidRPr="00177A8C" w:rsidRDefault="006F1BEC" w:rsidP="00272A6F">
      <w:pPr>
        <w:autoSpaceDE w:val="0"/>
        <w:autoSpaceDN w:val="0"/>
        <w:adjustRightInd w:val="0"/>
      </w:pPr>
      <w:r w:rsidRPr="00177A8C">
        <w:rPr>
          <w:rFonts w:hint="eastAsia"/>
          <w:b/>
          <w:bCs/>
        </w:rPr>
        <w:t>自由现金流</w:t>
      </w:r>
      <w:r w:rsidRPr="00177A8C">
        <w:rPr>
          <w:rFonts w:hint="eastAsia"/>
        </w:rPr>
        <w:t>达到</w:t>
      </w:r>
      <w:r w:rsidRPr="00177A8C">
        <w:rPr>
          <w:rFonts w:hint="eastAsia"/>
        </w:rPr>
        <w:t>7.72</w:t>
      </w:r>
      <w:r w:rsidRPr="00177A8C">
        <w:rPr>
          <w:rFonts w:hint="eastAsia"/>
        </w:rPr>
        <w:t>亿欧元，高于</w:t>
      </w:r>
      <w:r w:rsidRPr="00177A8C">
        <w:rPr>
          <w:rFonts w:hint="eastAsia"/>
        </w:rPr>
        <w:t>2023</w:t>
      </w:r>
      <w:r w:rsidRPr="00177A8C">
        <w:rPr>
          <w:rFonts w:hint="eastAsia"/>
        </w:rPr>
        <w:t>年上半年</w:t>
      </w:r>
      <w:r w:rsidR="00F007D1" w:rsidRPr="00177A8C">
        <w:rPr>
          <w:rFonts w:hint="eastAsia"/>
        </w:rPr>
        <w:t>水平</w:t>
      </w:r>
      <w:r w:rsidRPr="00177A8C">
        <w:rPr>
          <w:rFonts w:hint="eastAsia"/>
        </w:rPr>
        <w:t>（</w:t>
      </w:r>
      <w:r w:rsidRPr="00177A8C">
        <w:rPr>
          <w:rFonts w:hint="eastAsia"/>
        </w:rPr>
        <w:t>7.49</w:t>
      </w:r>
      <w:r w:rsidRPr="00177A8C">
        <w:rPr>
          <w:rFonts w:hint="eastAsia"/>
        </w:rPr>
        <w:t>亿欧元）。这主要是由于经营活动的现金流增加。</w:t>
      </w:r>
      <w:r w:rsidRPr="00177A8C">
        <w:rPr>
          <w:rFonts w:hint="eastAsia"/>
        </w:rPr>
        <w:t xml:space="preserve"> </w:t>
      </w:r>
    </w:p>
    <w:p w14:paraId="6D917835" w14:textId="77777777" w:rsidR="00033476" w:rsidRPr="00177A8C" w:rsidRDefault="00033476" w:rsidP="00272A6F">
      <w:pPr>
        <w:autoSpaceDE w:val="0"/>
        <w:autoSpaceDN w:val="0"/>
        <w:adjustRightInd w:val="0"/>
        <w:rPr>
          <w:rFonts w:cs="Segoe UI"/>
          <w:szCs w:val="22"/>
        </w:rPr>
      </w:pPr>
    </w:p>
    <w:p w14:paraId="7063C506" w14:textId="2AF2B585" w:rsidR="00E843A4" w:rsidRPr="00177A8C" w:rsidRDefault="006F1BEC" w:rsidP="00272A6F">
      <w:pPr>
        <w:rPr>
          <w:rFonts w:cs="Segoe UI"/>
          <w:szCs w:val="22"/>
        </w:rPr>
      </w:pPr>
      <w:r w:rsidRPr="00177A8C">
        <w:rPr>
          <w:rFonts w:hint="eastAsia"/>
        </w:rPr>
        <w:t>截至</w:t>
      </w:r>
      <w:r w:rsidRPr="00177A8C">
        <w:rPr>
          <w:rFonts w:hint="eastAsia"/>
        </w:rPr>
        <w:t>2024</w:t>
      </w:r>
      <w:r w:rsidRPr="00177A8C">
        <w:rPr>
          <w:rFonts w:hint="eastAsia"/>
        </w:rPr>
        <w:t>年</w:t>
      </w:r>
      <w:r w:rsidRPr="00177A8C">
        <w:rPr>
          <w:rFonts w:hint="eastAsia"/>
        </w:rPr>
        <w:t>6</w:t>
      </w:r>
      <w:r w:rsidRPr="00177A8C">
        <w:rPr>
          <w:rFonts w:hint="eastAsia"/>
        </w:rPr>
        <w:t>月</w:t>
      </w:r>
      <w:r w:rsidRPr="00177A8C">
        <w:rPr>
          <w:rFonts w:hint="eastAsia"/>
        </w:rPr>
        <w:t>30</w:t>
      </w:r>
      <w:r w:rsidRPr="00177A8C">
        <w:rPr>
          <w:rFonts w:hint="eastAsia"/>
        </w:rPr>
        <w:t>日，</w:t>
      </w:r>
      <w:r w:rsidRPr="00177A8C">
        <w:rPr>
          <w:rFonts w:hint="eastAsia"/>
          <w:b/>
          <w:bCs/>
        </w:rPr>
        <w:t>净财务状况</w:t>
      </w:r>
      <w:r w:rsidRPr="00177A8C">
        <w:rPr>
          <w:rFonts w:hint="eastAsia"/>
        </w:rPr>
        <w:t>为</w:t>
      </w:r>
      <w:r w:rsidRPr="00177A8C">
        <w:rPr>
          <w:rFonts w:hint="eastAsia"/>
        </w:rPr>
        <w:t>-14.40</w:t>
      </w:r>
      <w:r w:rsidRPr="00177A8C">
        <w:rPr>
          <w:rFonts w:hint="eastAsia"/>
        </w:rPr>
        <w:t>亿欧元（</w:t>
      </w:r>
      <w:r w:rsidRPr="00177A8C">
        <w:rPr>
          <w:rFonts w:hint="eastAsia"/>
        </w:rPr>
        <w:t>2023</w:t>
      </w:r>
      <w:r w:rsidRPr="00177A8C">
        <w:rPr>
          <w:rFonts w:hint="eastAsia"/>
        </w:rPr>
        <w:t>年</w:t>
      </w:r>
      <w:r w:rsidRPr="00177A8C">
        <w:rPr>
          <w:rFonts w:hint="eastAsia"/>
        </w:rPr>
        <w:t>12</w:t>
      </w:r>
      <w:r w:rsidRPr="00177A8C">
        <w:rPr>
          <w:rFonts w:hint="eastAsia"/>
        </w:rPr>
        <w:t>月</w:t>
      </w:r>
      <w:r w:rsidRPr="00177A8C">
        <w:rPr>
          <w:rFonts w:hint="eastAsia"/>
        </w:rPr>
        <w:t>31</w:t>
      </w:r>
      <w:r w:rsidRPr="00177A8C">
        <w:rPr>
          <w:rFonts w:hint="eastAsia"/>
        </w:rPr>
        <w:t>日：</w:t>
      </w:r>
      <w:r w:rsidRPr="00177A8C">
        <w:rPr>
          <w:rFonts w:hint="eastAsia"/>
        </w:rPr>
        <w:t>1200</w:t>
      </w:r>
      <w:r w:rsidRPr="00177A8C">
        <w:rPr>
          <w:rFonts w:hint="eastAsia"/>
        </w:rPr>
        <w:t>万欧元）。</w:t>
      </w:r>
    </w:p>
    <w:p w14:paraId="7DBD33CF" w14:textId="77777777" w:rsidR="00033476" w:rsidRPr="00177A8C" w:rsidRDefault="00033476" w:rsidP="00272A6F">
      <w:pPr>
        <w:jc w:val="left"/>
        <w:rPr>
          <w:rFonts w:cs="Segoe UI"/>
          <w:color w:val="3B3B3B"/>
          <w:shd w:val="clear" w:color="auto" w:fill="FFFFFF"/>
        </w:rPr>
      </w:pPr>
    </w:p>
    <w:p w14:paraId="5683DF1E" w14:textId="7814796C" w:rsidR="00033476" w:rsidRPr="00177A8C" w:rsidRDefault="006F1BEC" w:rsidP="00272A6F">
      <w:pPr>
        <w:rPr>
          <w:b/>
        </w:rPr>
      </w:pPr>
      <w:r w:rsidRPr="00177A8C">
        <w:rPr>
          <w:rFonts w:hint="eastAsia"/>
          <w:b/>
        </w:rPr>
        <w:t>2024</w:t>
      </w:r>
      <w:r w:rsidRPr="00177A8C">
        <w:rPr>
          <w:rFonts w:hint="eastAsia"/>
          <w:b/>
        </w:rPr>
        <w:t>年上半年各业务部</w:t>
      </w:r>
      <w:r w:rsidR="00077382">
        <w:rPr>
          <w:rFonts w:hint="eastAsia"/>
          <w:b/>
        </w:rPr>
        <w:t>门</w:t>
      </w:r>
      <w:r w:rsidRPr="00177A8C">
        <w:rPr>
          <w:rFonts w:hint="eastAsia"/>
          <w:b/>
        </w:rPr>
        <w:t>的</w:t>
      </w:r>
      <w:r w:rsidR="00077382">
        <w:rPr>
          <w:rFonts w:hint="eastAsia"/>
          <w:b/>
        </w:rPr>
        <w:t>业绩表现</w:t>
      </w:r>
    </w:p>
    <w:p w14:paraId="65DE810D" w14:textId="6DA98C52" w:rsidR="00266359" w:rsidRPr="00177A8C" w:rsidRDefault="006F1BEC" w:rsidP="00272A6F">
      <w:pPr>
        <w:rPr>
          <w:rFonts w:cs="Segoe UI"/>
          <w:bCs/>
          <w:szCs w:val="22"/>
        </w:rPr>
      </w:pPr>
      <w:bookmarkStart w:id="2" w:name="SNAMD_dc825768bfb2420dbdc0e075b6c733f3"/>
      <w:bookmarkStart w:id="3" w:name="SNERR_085cbfa1dc5245baabab2f6ce609ab4b"/>
      <w:r w:rsidRPr="00177A8C">
        <w:rPr>
          <w:rFonts w:hint="eastAsia"/>
          <w:b/>
          <w:bCs/>
          <w:color w:val="000000" w:themeColor="text1"/>
        </w:rPr>
        <w:t>粘合剂技术</w:t>
      </w:r>
      <w:r w:rsidRPr="00177A8C">
        <w:rPr>
          <w:rFonts w:hint="eastAsia"/>
          <w:color w:val="000000" w:themeColor="text1"/>
        </w:rPr>
        <w:t>业务部在</w:t>
      </w:r>
      <w:r w:rsidRPr="00177A8C">
        <w:rPr>
          <w:rFonts w:hint="eastAsia"/>
          <w:color w:val="000000" w:themeColor="text1"/>
        </w:rPr>
        <w:t>2024</w:t>
      </w:r>
      <w:r w:rsidRPr="00177A8C">
        <w:rPr>
          <w:rFonts w:hint="eastAsia"/>
          <w:color w:val="000000" w:themeColor="text1"/>
        </w:rPr>
        <w:t>年上半年的</w:t>
      </w:r>
      <w:r w:rsidRPr="00177A8C">
        <w:rPr>
          <w:rFonts w:hint="eastAsia"/>
          <w:b/>
          <w:bCs/>
          <w:color w:val="000000" w:themeColor="text1"/>
        </w:rPr>
        <w:t>销售额</w:t>
      </w:r>
      <w:r w:rsidRPr="00177A8C">
        <w:rPr>
          <w:rFonts w:hint="eastAsia"/>
          <w:color w:val="000000" w:themeColor="text1"/>
        </w:rPr>
        <w:t>为</w:t>
      </w:r>
      <w:r w:rsidRPr="00177A8C">
        <w:rPr>
          <w:rFonts w:hint="eastAsia"/>
          <w:color w:val="000000" w:themeColor="text1"/>
        </w:rPr>
        <w:t>54.75</w:t>
      </w:r>
      <w:r w:rsidRPr="00177A8C">
        <w:rPr>
          <w:rFonts w:hint="eastAsia"/>
          <w:color w:val="000000" w:themeColor="text1"/>
        </w:rPr>
        <w:t>亿欧元，名义上与去年同期持平（第二季度：</w:t>
      </w:r>
      <w:r w:rsidRPr="00177A8C">
        <w:rPr>
          <w:rFonts w:hint="eastAsia"/>
          <w:color w:val="000000" w:themeColor="text1"/>
        </w:rPr>
        <w:t>27.98</w:t>
      </w:r>
      <w:r w:rsidRPr="00177A8C">
        <w:rPr>
          <w:rFonts w:hint="eastAsia"/>
          <w:color w:val="000000" w:themeColor="text1"/>
        </w:rPr>
        <w:t>亿欧元）。</w:t>
      </w:r>
      <w:r w:rsidRPr="00177A8C">
        <w:rPr>
          <w:rFonts w:hint="eastAsia"/>
          <w:b/>
          <w:bCs/>
        </w:rPr>
        <w:t>有机销售额</w:t>
      </w:r>
      <w:r w:rsidRPr="00177A8C">
        <w:rPr>
          <w:rFonts w:hint="eastAsia"/>
        </w:rPr>
        <w:t>增长</w:t>
      </w:r>
      <w:r w:rsidRPr="00177A8C">
        <w:rPr>
          <w:rFonts w:hint="eastAsia"/>
        </w:rPr>
        <w:t>2.0%</w:t>
      </w:r>
      <w:r w:rsidRPr="00177A8C">
        <w:rPr>
          <w:rFonts w:hint="eastAsia"/>
        </w:rPr>
        <w:t>（第二季度：</w:t>
      </w:r>
      <w:r w:rsidR="00F000B5">
        <w:rPr>
          <w:rFonts w:hint="eastAsia"/>
        </w:rPr>
        <w:t>增长</w:t>
      </w:r>
      <w:r w:rsidRPr="00177A8C">
        <w:rPr>
          <w:rFonts w:hint="eastAsia"/>
        </w:rPr>
        <w:t>2.6%</w:t>
      </w:r>
      <w:r w:rsidRPr="00177A8C">
        <w:rPr>
          <w:rFonts w:hint="eastAsia"/>
        </w:rPr>
        <w:t>）。</w:t>
      </w:r>
      <w:r w:rsidRPr="00177A8C">
        <w:rPr>
          <w:rFonts w:hint="eastAsia"/>
          <w:color w:val="000000" w:themeColor="text1"/>
        </w:rPr>
        <w:t>这一增长主要得益于价格上涨</w:t>
      </w:r>
      <w:r w:rsidRPr="00177A8C">
        <w:rPr>
          <w:rFonts w:hint="eastAsia"/>
          <w:color w:val="000000" w:themeColor="text1"/>
        </w:rPr>
        <w:t>0.2%</w:t>
      </w:r>
      <w:r w:rsidRPr="00177A8C">
        <w:rPr>
          <w:rFonts w:hint="eastAsia"/>
          <w:color w:val="000000" w:themeColor="text1"/>
        </w:rPr>
        <w:t>和销量增长</w:t>
      </w:r>
      <w:r w:rsidRPr="00177A8C">
        <w:rPr>
          <w:rFonts w:hint="eastAsia"/>
          <w:color w:val="000000" w:themeColor="text1"/>
        </w:rPr>
        <w:t>1.8%</w:t>
      </w:r>
      <w:r w:rsidRPr="00177A8C">
        <w:rPr>
          <w:rFonts w:hint="eastAsia"/>
          <w:color w:val="000000" w:themeColor="text1"/>
        </w:rPr>
        <w:t>。因此，与</w:t>
      </w:r>
      <w:r w:rsidRPr="00177A8C">
        <w:rPr>
          <w:rFonts w:hint="eastAsia"/>
          <w:color w:val="000000" w:themeColor="text1"/>
        </w:rPr>
        <w:t>2024</w:t>
      </w:r>
      <w:r w:rsidRPr="00177A8C">
        <w:rPr>
          <w:rFonts w:hint="eastAsia"/>
          <w:color w:val="000000" w:themeColor="text1"/>
        </w:rPr>
        <w:t>年第一季度相比，该业务部第二季度的销量实现了连续性改善。</w:t>
      </w:r>
      <w:r w:rsidRPr="00177A8C">
        <w:rPr>
          <w:rFonts w:hint="eastAsia"/>
          <w:color w:val="000000" w:themeColor="text1"/>
        </w:rPr>
        <w:t xml:space="preserve"> </w:t>
      </w:r>
      <w:bookmarkEnd w:id="2"/>
      <w:bookmarkEnd w:id="3"/>
    </w:p>
    <w:p w14:paraId="2760A9EF" w14:textId="77777777" w:rsidR="00266359" w:rsidRPr="00177A8C" w:rsidRDefault="00266359" w:rsidP="00272A6F">
      <w:pPr>
        <w:rPr>
          <w:rFonts w:cs="Segoe UI"/>
          <w:bCs/>
          <w:szCs w:val="22"/>
        </w:rPr>
      </w:pPr>
    </w:p>
    <w:p w14:paraId="4043C299" w14:textId="77777777" w:rsidR="00322E28" w:rsidRDefault="006F1BEC" w:rsidP="00272A6F">
      <w:r w:rsidRPr="00177A8C">
        <w:rPr>
          <w:rFonts w:hint="eastAsia"/>
          <w:b/>
          <w:bCs/>
        </w:rPr>
        <w:t>移动和电子</w:t>
      </w:r>
      <w:r w:rsidRPr="00177A8C">
        <w:rPr>
          <w:rFonts w:hint="eastAsia"/>
        </w:rPr>
        <w:t>业务领域</w:t>
      </w:r>
      <w:r w:rsidR="006C7712" w:rsidRPr="00177A8C">
        <w:rPr>
          <w:rFonts w:hint="eastAsia"/>
        </w:rPr>
        <w:t>的有机销售额</w:t>
      </w:r>
      <w:r w:rsidRPr="00177A8C">
        <w:rPr>
          <w:rFonts w:hint="eastAsia"/>
        </w:rPr>
        <w:t>实现了</w:t>
      </w:r>
      <w:r w:rsidRPr="00177A8C">
        <w:rPr>
          <w:rFonts w:hint="eastAsia"/>
        </w:rPr>
        <w:t>5.3%</w:t>
      </w:r>
      <w:r w:rsidR="006C7712">
        <w:rPr>
          <w:rFonts w:hint="eastAsia"/>
        </w:rPr>
        <w:t>的</w:t>
      </w:r>
      <w:r w:rsidRPr="00177A8C">
        <w:rPr>
          <w:rFonts w:hint="eastAsia"/>
        </w:rPr>
        <w:t>强劲增长（第二季度：</w:t>
      </w:r>
      <w:r w:rsidR="006C7712">
        <w:rPr>
          <w:rFonts w:hint="eastAsia"/>
        </w:rPr>
        <w:t>增长</w:t>
      </w:r>
      <w:r w:rsidRPr="00177A8C">
        <w:rPr>
          <w:rFonts w:hint="eastAsia"/>
        </w:rPr>
        <w:t>6.8%</w:t>
      </w:r>
      <w:r w:rsidRPr="00177A8C">
        <w:rPr>
          <w:rFonts w:hint="eastAsia"/>
        </w:rPr>
        <w:t>）。这一增长得益于所有业务</w:t>
      </w:r>
      <w:r w:rsidR="00FA39FD">
        <w:rPr>
          <w:rFonts w:hint="eastAsia"/>
        </w:rPr>
        <w:t>单元</w:t>
      </w:r>
      <w:r w:rsidRPr="00177A8C">
        <w:rPr>
          <w:rFonts w:hint="eastAsia"/>
        </w:rPr>
        <w:t>的支持，尤其是电子业务，与去年同期的疲软相比，该业务领域的有机销售额实现了两位数的增长。</w:t>
      </w:r>
      <w:r w:rsidRPr="00177A8C">
        <w:rPr>
          <w:rFonts w:hint="eastAsia"/>
          <w:b/>
          <w:bCs/>
        </w:rPr>
        <w:t>包装和消费品</w:t>
      </w:r>
      <w:r w:rsidRPr="00177A8C">
        <w:rPr>
          <w:rFonts w:hint="eastAsia"/>
        </w:rPr>
        <w:t>业务领域的有机销售额下降</w:t>
      </w:r>
      <w:r w:rsidRPr="00177A8C">
        <w:rPr>
          <w:rFonts w:hint="eastAsia"/>
        </w:rPr>
        <w:t>0.6%</w:t>
      </w:r>
      <w:r w:rsidRPr="00177A8C">
        <w:rPr>
          <w:rFonts w:hint="eastAsia"/>
        </w:rPr>
        <w:t>（第二季度：下降</w:t>
      </w:r>
      <w:r w:rsidRPr="00177A8C">
        <w:rPr>
          <w:rFonts w:hint="eastAsia"/>
        </w:rPr>
        <w:t>1.0%</w:t>
      </w:r>
      <w:r w:rsidRPr="00177A8C">
        <w:rPr>
          <w:rFonts w:hint="eastAsia"/>
        </w:rPr>
        <w:t>）。在包装业务方面，销量的增长抵消了价格下滑的</w:t>
      </w:r>
      <w:r w:rsidR="00F65A53">
        <w:rPr>
          <w:rFonts w:hint="eastAsia"/>
        </w:rPr>
        <w:t>负面</w:t>
      </w:r>
      <w:r w:rsidRPr="00177A8C">
        <w:rPr>
          <w:rFonts w:hint="eastAsia"/>
        </w:rPr>
        <w:t>影响。</w:t>
      </w:r>
      <w:r w:rsidR="007C3F73" w:rsidRPr="00177A8C">
        <w:rPr>
          <w:rFonts w:hint="eastAsia"/>
        </w:rPr>
        <w:t>消费品业务</w:t>
      </w:r>
      <w:r w:rsidRPr="00177A8C">
        <w:rPr>
          <w:rFonts w:hint="eastAsia"/>
        </w:rPr>
        <w:t>总体</w:t>
      </w:r>
      <w:r w:rsidR="007C3F73">
        <w:rPr>
          <w:rFonts w:hint="eastAsia"/>
        </w:rPr>
        <w:t>上</w:t>
      </w:r>
      <w:r w:rsidRPr="00177A8C">
        <w:rPr>
          <w:rFonts w:hint="eastAsia"/>
        </w:rPr>
        <w:t>与去年同期的强劲表现相比略有下滑。</w:t>
      </w:r>
      <w:r w:rsidRPr="00177A8C">
        <w:rPr>
          <w:rFonts w:hint="eastAsia"/>
          <w:b/>
          <w:bCs/>
        </w:rPr>
        <w:t>工匠、建筑和专业</w:t>
      </w:r>
      <w:r w:rsidRPr="00177A8C">
        <w:rPr>
          <w:rFonts w:hint="eastAsia"/>
        </w:rPr>
        <w:t>业务领域实现了</w:t>
      </w:r>
      <w:r w:rsidRPr="00177A8C">
        <w:rPr>
          <w:rFonts w:hint="eastAsia"/>
        </w:rPr>
        <w:t>1.0%</w:t>
      </w:r>
      <w:r w:rsidRPr="00177A8C">
        <w:rPr>
          <w:rFonts w:hint="eastAsia"/>
        </w:rPr>
        <w:t>的有机销售额增长（第二季度：</w:t>
      </w:r>
      <w:r w:rsidR="00B057DC">
        <w:rPr>
          <w:rFonts w:hint="eastAsia"/>
        </w:rPr>
        <w:t>增长</w:t>
      </w:r>
      <w:r w:rsidRPr="00177A8C">
        <w:rPr>
          <w:rFonts w:hint="eastAsia"/>
        </w:rPr>
        <w:t>1.7%</w:t>
      </w:r>
      <w:r w:rsidRPr="00177A8C">
        <w:rPr>
          <w:rFonts w:hint="eastAsia"/>
        </w:rPr>
        <w:t>），这得益于建筑及消费品和工匠业务</w:t>
      </w:r>
      <w:r w:rsidR="005358D7">
        <w:rPr>
          <w:rFonts w:hint="eastAsia"/>
        </w:rPr>
        <w:t>所做出</w:t>
      </w:r>
      <w:r w:rsidRPr="00177A8C">
        <w:rPr>
          <w:rFonts w:hint="eastAsia"/>
        </w:rPr>
        <w:t>的贡献。另一方面，由于需求疲软，通用制造与维护业务略有下滑。</w:t>
      </w:r>
      <w:r w:rsidRPr="00177A8C">
        <w:rPr>
          <w:rFonts w:hint="eastAsia"/>
        </w:rPr>
        <w:t xml:space="preserve"> </w:t>
      </w:r>
    </w:p>
    <w:p w14:paraId="0E69D5C7" w14:textId="77777777" w:rsidR="00121625" w:rsidRDefault="00121625" w:rsidP="00272A6F">
      <w:pPr>
        <w:rPr>
          <w:rFonts w:eastAsiaTheme="minorEastAsia" w:cs="Segoe UI"/>
          <w:szCs w:val="18"/>
        </w:rPr>
      </w:pPr>
    </w:p>
    <w:p w14:paraId="65F1CFA3" w14:textId="788FD0A2" w:rsidR="00B241F2" w:rsidRPr="00322E28" w:rsidRDefault="00533318" w:rsidP="00272A6F">
      <w:pPr>
        <w:rPr>
          <w:rFonts w:eastAsia="Segoe UI" w:cs="Segoe UI"/>
          <w:szCs w:val="18"/>
        </w:rPr>
      </w:pPr>
      <w:r w:rsidRPr="00AC131D">
        <w:rPr>
          <w:rFonts w:hint="eastAsia"/>
          <w:color w:val="000000" w:themeColor="text1"/>
        </w:rPr>
        <w:lastRenderedPageBreak/>
        <w:t>粘合剂技术</w:t>
      </w:r>
      <w:r w:rsidRPr="00177A8C">
        <w:rPr>
          <w:rFonts w:hint="eastAsia"/>
          <w:color w:val="000000" w:themeColor="text1"/>
        </w:rPr>
        <w:t>业务部在</w:t>
      </w:r>
      <w:r w:rsidR="006F1BEC" w:rsidRPr="00177A8C">
        <w:rPr>
          <w:rFonts w:hint="eastAsia"/>
        </w:rPr>
        <w:t>2024</w:t>
      </w:r>
      <w:r w:rsidR="006F1BEC" w:rsidRPr="00177A8C">
        <w:rPr>
          <w:rFonts w:hint="eastAsia"/>
        </w:rPr>
        <w:t>年上半年</w:t>
      </w:r>
      <w:r w:rsidR="006F1BEC" w:rsidRPr="00177A8C">
        <w:rPr>
          <w:rFonts w:hint="eastAsia"/>
          <w:b/>
          <w:bCs/>
        </w:rPr>
        <w:t>调整后的营业利润</w:t>
      </w:r>
      <w:r w:rsidR="006F1BEC" w:rsidRPr="00177A8C">
        <w:rPr>
          <w:rFonts w:hint="eastAsia"/>
        </w:rPr>
        <w:t>增长</w:t>
      </w:r>
      <w:r w:rsidR="006F1BEC" w:rsidRPr="00177A8C">
        <w:rPr>
          <w:rFonts w:hint="eastAsia"/>
        </w:rPr>
        <w:t>21.8%</w:t>
      </w:r>
      <w:r w:rsidR="006F1BEC" w:rsidRPr="00177A8C">
        <w:rPr>
          <w:rFonts w:hint="eastAsia"/>
        </w:rPr>
        <w:t>，达到</w:t>
      </w:r>
      <w:r w:rsidR="006F1BEC" w:rsidRPr="00177A8C">
        <w:rPr>
          <w:rFonts w:hint="eastAsia"/>
        </w:rPr>
        <w:t>9.33</w:t>
      </w:r>
      <w:r w:rsidR="006F1BEC" w:rsidRPr="00177A8C">
        <w:rPr>
          <w:rFonts w:hint="eastAsia"/>
        </w:rPr>
        <w:t>亿欧元，去年同期为</w:t>
      </w:r>
      <w:r w:rsidR="006F1BEC" w:rsidRPr="00177A8C">
        <w:rPr>
          <w:rFonts w:hint="eastAsia"/>
        </w:rPr>
        <w:t>7.66</w:t>
      </w:r>
      <w:r w:rsidR="006F1BEC" w:rsidRPr="00177A8C">
        <w:rPr>
          <w:rFonts w:hint="eastAsia"/>
        </w:rPr>
        <w:t>亿欧元。</w:t>
      </w:r>
      <w:r w:rsidR="006F1BEC" w:rsidRPr="00177A8C">
        <w:rPr>
          <w:rFonts w:hint="eastAsia"/>
          <w:b/>
          <w:bCs/>
        </w:rPr>
        <w:t>调整后的销售回报</w:t>
      </w:r>
      <w:r w:rsidR="00B241A3">
        <w:rPr>
          <w:rFonts w:hint="eastAsia"/>
          <w:b/>
          <w:bCs/>
        </w:rPr>
        <w:t>率</w:t>
      </w:r>
      <w:r w:rsidR="006F1BEC" w:rsidRPr="00177A8C">
        <w:rPr>
          <w:rFonts w:hint="eastAsia"/>
        </w:rPr>
        <w:t>上</w:t>
      </w:r>
      <w:r w:rsidR="00D137FE">
        <w:rPr>
          <w:rFonts w:hint="eastAsia"/>
        </w:rPr>
        <w:t>升</w:t>
      </w:r>
      <w:r w:rsidR="006F1BEC" w:rsidRPr="00177A8C">
        <w:rPr>
          <w:rFonts w:hint="eastAsia"/>
        </w:rPr>
        <w:t>310</w:t>
      </w:r>
      <w:r w:rsidR="006F1BEC" w:rsidRPr="00177A8C">
        <w:rPr>
          <w:rFonts w:hint="eastAsia"/>
        </w:rPr>
        <w:t>个基点，达到</w:t>
      </w:r>
      <w:r w:rsidR="006F1BEC" w:rsidRPr="00177A8C">
        <w:rPr>
          <w:rFonts w:hint="eastAsia"/>
        </w:rPr>
        <w:t>17.0%</w:t>
      </w:r>
      <w:r w:rsidR="006F1BEC" w:rsidRPr="00177A8C">
        <w:rPr>
          <w:rFonts w:hint="eastAsia"/>
        </w:rPr>
        <w:t>。较低的原材料成本、积极的组合效应和供应链效率对毛利率产生了特别积极的影响。</w:t>
      </w:r>
    </w:p>
    <w:p w14:paraId="691A3D8E" w14:textId="77777777" w:rsidR="00D65E91" w:rsidRPr="00177A8C" w:rsidRDefault="00D65E91" w:rsidP="00272A6F">
      <w:pPr>
        <w:rPr>
          <w:rFonts w:cs="Segoe UI"/>
          <w:bCs/>
          <w:szCs w:val="22"/>
        </w:rPr>
      </w:pPr>
    </w:p>
    <w:p w14:paraId="1DDE2A6A" w14:textId="0AD3A294" w:rsidR="00266359" w:rsidRPr="00177A8C" w:rsidRDefault="006F1BEC" w:rsidP="00272A6F">
      <w:pPr>
        <w:rPr>
          <w:rFonts w:cs="Segoe UI"/>
          <w:szCs w:val="22"/>
        </w:rPr>
      </w:pPr>
      <w:r w:rsidRPr="00177A8C">
        <w:rPr>
          <w:rFonts w:hint="eastAsia"/>
          <w:b/>
          <w:bCs/>
        </w:rPr>
        <w:t>消费品牌</w:t>
      </w:r>
      <w:r w:rsidRPr="00177A8C">
        <w:rPr>
          <w:rFonts w:hint="eastAsia"/>
        </w:rPr>
        <w:t>业务部在</w:t>
      </w:r>
      <w:r w:rsidRPr="00177A8C">
        <w:rPr>
          <w:rFonts w:hint="eastAsia"/>
        </w:rPr>
        <w:t>2024</w:t>
      </w:r>
      <w:r w:rsidRPr="00177A8C">
        <w:rPr>
          <w:rFonts w:hint="eastAsia"/>
        </w:rPr>
        <w:t>年上半年的</w:t>
      </w:r>
      <w:r w:rsidRPr="00177A8C">
        <w:rPr>
          <w:rFonts w:hint="eastAsia"/>
          <w:b/>
          <w:bCs/>
        </w:rPr>
        <w:t>销售额</w:t>
      </w:r>
      <w:r w:rsidRPr="00177A8C">
        <w:rPr>
          <w:rFonts w:hint="eastAsia"/>
        </w:rPr>
        <w:t>为</w:t>
      </w:r>
      <w:r w:rsidRPr="00177A8C">
        <w:rPr>
          <w:rFonts w:hint="eastAsia"/>
        </w:rPr>
        <w:t>52.66</w:t>
      </w:r>
      <w:r w:rsidRPr="00177A8C">
        <w:rPr>
          <w:rFonts w:hint="eastAsia"/>
        </w:rPr>
        <w:t>亿欧元（第二季度：</w:t>
      </w:r>
      <w:r w:rsidRPr="00177A8C">
        <w:rPr>
          <w:rFonts w:hint="eastAsia"/>
        </w:rPr>
        <w:t>26.62</w:t>
      </w:r>
      <w:r w:rsidRPr="00177A8C">
        <w:rPr>
          <w:rFonts w:hint="eastAsia"/>
        </w:rPr>
        <w:t>亿欧元）</w:t>
      </w:r>
      <w:r w:rsidR="00437BB5">
        <w:rPr>
          <w:rFonts w:hint="eastAsia"/>
        </w:rPr>
        <w:t>，</w:t>
      </w:r>
      <w:r w:rsidRPr="00177A8C">
        <w:rPr>
          <w:rFonts w:hint="eastAsia"/>
          <w:b/>
          <w:bCs/>
        </w:rPr>
        <w:t>名义</w:t>
      </w:r>
      <w:r w:rsidRPr="00177A8C">
        <w:rPr>
          <w:rFonts w:hint="eastAsia"/>
        </w:rPr>
        <w:t>下降</w:t>
      </w:r>
      <w:r w:rsidRPr="00177A8C">
        <w:rPr>
          <w:rFonts w:hint="eastAsia"/>
        </w:rPr>
        <w:t>1.8%</w:t>
      </w:r>
      <w:r w:rsidR="00B829CA">
        <w:rPr>
          <w:rFonts w:hint="eastAsia"/>
        </w:rPr>
        <w:t>，</w:t>
      </w:r>
      <w:r w:rsidRPr="00177A8C">
        <w:rPr>
          <w:rFonts w:hint="eastAsia"/>
          <w:b/>
          <w:bCs/>
        </w:rPr>
        <w:t>有机</w:t>
      </w:r>
      <w:r w:rsidRPr="00AC131D">
        <w:rPr>
          <w:rFonts w:hint="eastAsia"/>
        </w:rPr>
        <w:t>销售额</w:t>
      </w:r>
      <w:r w:rsidRPr="00177A8C">
        <w:rPr>
          <w:rFonts w:hint="eastAsia"/>
        </w:rPr>
        <w:t>增长</w:t>
      </w:r>
      <w:r w:rsidRPr="00177A8C">
        <w:rPr>
          <w:rFonts w:hint="eastAsia"/>
        </w:rPr>
        <w:t>4.3%</w:t>
      </w:r>
      <w:r w:rsidRPr="00177A8C">
        <w:rPr>
          <w:rFonts w:hint="eastAsia"/>
        </w:rPr>
        <w:t>（第二季度：</w:t>
      </w:r>
      <w:r w:rsidR="008E6E28">
        <w:rPr>
          <w:rFonts w:hint="eastAsia"/>
        </w:rPr>
        <w:t>增长</w:t>
      </w:r>
      <w:r w:rsidRPr="00177A8C">
        <w:rPr>
          <w:rFonts w:hint="eastAsia"/>
        </w:rPr>
        <w:t>3.3%</w:t>
      </w:r>
      <w:r w:rsidRPr="00177A8C">
        <w:rPr>
          <w:rFonts w:hint="eastAsia"/>
        </w:rPr>
        <w:t>）。这一增长</w:t>
      </w:r>
      <w:r w:rsidR="006B1554">
        <w:rPr>
          <w:rFonts w:hint="eastAsia"/>
        </w:rPr>
        <w:t>得益于</w:t>
      </w:r>
      <w:r w:rsidRPr="00177A8C">
        <w:rPr>
          <w:rFonts w:hint="eastAsia"/>
        </w:rPr>
        <w:t>5.1%</w:t>
      </w:r>
      <w:r w:rsidRPr="00177A8C">
        <w:rPr>
          <w:rFonts w:hint="eastAsia"/>
        </w:rPr>
        <w:t>的价格上涨。主要由于正在进行的产品组合优化措施，销量</w:t>
      </w:r>
      <w:r w:rsidR="00E832F9">
        <w:rPr>
          <w:rFonts w:hint="eastAsia"/>
        </w:rPr>
        <w:t>小幅下滑</w:t>
      </w:r>
      <w:r w:rsidRPr="00177A8C">
        <w:rPr>
          <w:rFonts w:hint="eastAsia"/>
        </w:rPr>
        <w:t>0.9%</w:t>
      </w:r>
      <w:r w:rsidRPr="00177A8C">
        <w:rPr>
          <w:rFonts w:hint="eastAsia"/>
        </w:rPr>
        <w:t>。</w:t>
      </w:r>
      <w:r w:rsidR="00D963FF">
        <w:rPr>
          <w:rFonts w:hint="eastAsia"/>
        </w:rPr>
        <w:t>然而</w:t>
      </w:r>
      <w:r w:rsidRPr="00177A8C">
        <w:rPr>
          <w:rFonts w:hint="eastAsia"/>
        </w:rPr>
        <w:t>，与</w:t>
      </w:r>
      <w:r w:rsidRPr="00177A8C">
        <w:rPr>
          <w:rFonts w:hint="eastAsia"/>
        </w:rPr>
        <w:t>2024</w:t>
      </w:r>
      <w:r w:rsidRPr="00177A8C">
        <w:rPr>
          <w:rFonts w:hint="eastAsia"/>
        </w:rPr>
        <w:t>年第一季度相比，第二季度的销量实现了连续性改善。</w:t>
      </w:r>
    </w:p>
    <w:p w14:paraId="00DEB354" w14:textId="77777777" w:rsidR="00266359" w:rsidRPr="00177A8C" w:rsidRDefault="00266359" w:rsidP="00272A6F">
      <w:pPr>
        <w:rPr>
          <w:rFonts w:cs="Segoe UI"/>
          <w:szCs w:val="22"/>
        </w:rPr>
      </w:pPr>
    </w:p>
    <w:p w14:paraId="57C18E66" w14:textId="2F43AF54" w:rsidR="00266359" w:rsidRPr="00177A8C" w:rsidRDefault="006F1BEC" w:rsidP="00272A6F">
      <w:r w:rsidRPr="00177A8C">
        <w:rPr>
          <w:rFonts w:hint="eastAsia"/>
          <w:b/>
          <w:bCs/>
        </w:rPr>
        <w:t>洗涤剂及家用</w:t>
      </w:r>
      <w:r w:rsidR="008C3E8C">
        <w:rPr>
          <w:rFonts w:hint="eastAsia"/>
          <w:b/>
          <w:bCs/>
        </w:rPr>
        <w:t>护理</w:t>
      </w:r>
      <w:r w:rsidRPr="00177A8C">
        <w:rPr>
          <w:rFonts w:hint="eastAsia"/>
        </w:rPr>
        <w:t>业务实现了强劲的有机销售额增长，达到</w:t>
      </w:r>
      <w:r w:rsidRPr="00177A8C">
        <w:rPr>
          <w:rFonts w:hint="eastAsia"/>
        </w:rPr>
        <w:t>3.1%</w:t>
      </w:r>
      <w:r w:rsidRPr="00177A8C">
        <w:rPr>
          <w:rFonts w:hint="eastAsia"/>
        </w:rPr>
        <w:t>（第二季度：</w:t>
      </w:r>
      <w:r w:rsidR="008E6E28">
        <w:rPr>
          <w:rFonts w:hint="eastAsia"/>
        </w:rPr>
        <w:t>增长</w:t>
      </w:r>
      <w:r w:rsidRPr="00177A8C">
        <w:rPr>
          <w:rFonts w:hint="eastAsia"/>
        </w:rPr>
        <w:t>1.5%</w:t>
      </w:r>
      <w:r w:rsidRPr="00177A8C">
        <w:rPr>
          <w:rFonts w:hint="eastAsia"/>
        </w:rPr>
        <w:t>）。洗涤剂业务实现了显著的有机销售额增长，这主要是由</w:t>
      </w:r>
      <w:r w:rsidR="00E27FCB">
        <w:rPr>
          <w:rFonts w:hint="eastAsia"/>
        </w:rPr>
        <w:t>纤维养护</w:t>
      </w:r>
      <w:r w:rsidRPr="00177A8C">
        <w:rPr>
          <w:rFonts w:hint="eastAsia"/>
        </w:rPr>
        <w:t>品类销售额的两位数增长以及</w:t>
      </w:r>
      <w:r w:rsidR="003F750F">
        <w:rPr>
          <w:rFonts w:hint="eastAsia"/>
        </w:rPr>
        <w:t>织物清洁</w:t>
      </w:r>
      <w:r w:rsidRPr="00177A8C">
        <w:rPr>
          <w:rFonts w:hint="eastAsia"/>
        </w:rPr>
        <w:t>品类的</w:t>
      </w:r>
      <w:r w:rsidR="00ED48DA">
        <w:rPr>
          <w:rFonts w:hint="eastAsia"/>
        </w:rPr>
        <w:t>良好</w:t>
      </w:r>
      <w:r w:rsidRPr="00177A8C">
        <w:rPr>
          <w:rFonts w:hint="eastAsia"/>
        </w:rPr>
        <w:t>销售额增长所推动。家用护理业务的显著增长主要归功于</w:t>
      </w:r>
      <w:r w:rsidR="002A7B37">
        <w:rPr>
          <w:rFonts w:hint="eastAsia"/>
        </w:rPr>
        <w:t>餐具洗涤</w:t>
      </w:r>
      <w:r w:rsidRPr="00177A8C">
        <w:rPr>
          <w:rFonts w:hint="eastAsia"/>
        </w:rPr>
        <w:t>品类和洁厕品类销售额的两位数增长。</w:t>
      </w:r>
      <w:r w:rsidRPr="00177A8C">
        <w:rPr>
          <w:rFonts w:hint="eastAsia"/>
          <w:b/>
          <w:bCs/>
        </w:rPr>
        <w:t>美发</w:t>
      </w:r>
      <w:r w:rsidRPr="00177A8C">
        <w:rPr>
          <w:rFonts w:hint="eastAsia"/>
        </w:rPr>
        <w:t>业务</w:t>
      </w:r>
      <w:r w:rsidR="00DE7BB5">
        <w:rPr>
          <w:rFonts w:hint="eastAsia"/>
        </w:rPr>
        <w:t>的</w:t>
      </w:r>
      <w:r w:rsidR="00DE7BB5" w:rsidRPr="00177A8C">
        <w:rPr>
          <w:rFonts w:hint="eastAsia"/>
        </w:rPr>
        <w:t>有机销售额</w:t>
      </w:r>
      <w:r w:rsidRPr="00177A8C">
        <w:rPr>
          <w:rFonts w:hint="eastAsia"/>
        </w:rPr>
        <w:t>在上半年实现了</w:t>
      </w:r>
      <w:r w:rsidRPr="00177A8C">
        <w:rPr>
          <w:rFonts w:hint="eastAsia"/>
        </w:rPr>
        <w:t>7.3%</w:t>
      </w:r>
      <w:r w:rsidRPr="00177A8C">
        <w:rPr>
          <w:rFonts w:hint="eastAsia"/>
        </w:rPr>
        <w:t>的显著增长（第二季度：</w:t>
      </w:r>
      <w:r w:rsidR="00DE7BB5">
        <w:rPr>
          <w:rFonts w:hint="eastAsia"/>
        </w:rPr>
        <w:t>增长</w:t>
      </w:r>
      <w:r w:rsidRPr="00177A8C">
        <w:rPr>
          <w:rFonts w:hint="eastAsia"/>
        </w:rPr>
        <w:t>7.7%</w:t>
      </w:r>
      <w:r w:rsidRPr="00177A8C">
        <w:rPr>
          <w:rFonts w:hint="eastAsia"/>
        </w:rPr>
        <w:t>）。</w:t>
      </w:r>
      <w:r w:rsidR="00A8075D">
        <w:rPr>
          <w:rFonts w:hint="eastAsia"/>
        </w:rPr>
        <w:t>零售线</w:t>
      </w:r>
      <w:r w:rsidRPr="00177A8C">
        <w:rPr>
          <w:rFonts w:hint="eastAsia"/>
        </w:rPr>
        <w:t>业务实现了两位数的增长，主要得益于</w:t>
      </w:r>
      <w:r w:rsidR="00A8075D">
        <w:rPr>
          <w:rFonts w:hint="eastAsia"/>
        </w:rPr>
        <w:t>造型</w:t>
      </w:r>
      <w:r w:rsidRPr="00177A8C">
        <w:rPr>
          <w:rFonts w:hint="eastAsia"/>
        </w:rPr>
        <w:t>品类的增长，</w:t>
      </w:r>
      <w:r w:rsidR="003D4682">
        <w:rPr>
          <w:rFonts w:hint="eastAsia"/>
        </w:rPr>
        <w:t>其</w:t>
      </w:r>
      <w:r w:rsidRPr="00177A8C">
        <w:rPr>
          <w:rFonts w:hint="eastAsia"/>
        </w:rPr>
        <w:t>有机销售额在去年同期也实现了两位数的增长。专业</w:t>
      </w:r>
      <w:r w:rsidR="003D4682">
        <w:rPr>
          <w:rFonts w:hint="eastAsia"/>
        </w:rPr>
        <w:t>线</w:t>
      </w:r>
      <w:r w:rsidRPr="00177A8C">
        <w:rPr>
          <w:rFonts w:hint="eastAsia"/>
        </w:rPr>
        <w:t>业务实现强劲的有机销售额增长。</w:t>
      </w:r>
      <w:r w:rsidRPr="00177A8C">
        <w:rPr>
          <w:rFonts w:hint="eastAsia"/>
          <w:b/>
          <w:bCs/>
        </w:rPr>
        <w:t>其他消费品</w:t>
      </w:r>
      <w:r w:rsidRPr="00177A8C">
        <w:rPr>
          <w:rFonts w:hint="eastAsia"/>
        </w:rPr>
        <w:t>业务领域实现了</w:t>
      </w:r>
      <w:r w:rsidRPr="00177A8C">
        <w:rPr>
          <w:rFonts w:hint="eastAsia"/>
        </w:rPr>
        <w:t>2.3%</w:t>
      </w:r>
      <w:r w:rsidRPr="00177A8C">
        <w:rPr>
          <w:rFonts w:hint="eastAsia"/>
        </w:rPr>
        <w:t>的有机销售额增长（第二季度：</w:t>
      </w:r>
      <w:r w:rsidR="003D4682">
        <w:rPr>
          <w:rFonts w:hint="eastAsia"/>
        </w:rPr>
        <w:t>增长</w:t>
      </w:r>
      <w:r w:rsidRPr="00177A8C">
        <w:rPr>
          <w:rFonts w:hint="eastAsia"/>
        </w:rPr>
        <w:t>0.7%</w:t>
      </w:r>
      <w:r w:rsidRPr="00177A8C">
        <w:rPr>
          <w:rFonts w:hint="eastAsia"/>
        </w:rPr>
        <w:t>）。</w:t>
      </w:r>
      <w:r w:rsidRPr="00177A8C">
        <w:rPr>
          <w:rFonts w:hint="eastAsia"/>
        </w:rPr>
        <w:t xml:space="preserve"> </w:t>
      </w:r>
    </w:p>
    <w:p w14:paraId="5FCF0009" w14:textId="77777777" w:rsidR="00266359" w:rsidRPr="00177A8C" w:rsidRDefault="00266359" w:rsidP="00272A6F"/>
    <w:p w14:paraId="59CD1488" w14:textId="1C31B218" w:rsidR="00E31E3B" w:rsidRPr="00177A8C" w:rsidRDefault="003D4682" w:rsidP="00272A6F">
      <w:pPr>
        <w:rPr>
          <w:rFonts w:cs="Segoe UI"/>
          <w:szCs w:val="22"/>
        </w:rPr>
      </w:pPr>
      <w:r w:rsidRPr="00AC131D">
        <w:rPr>
          <w:rFonts w:hint="eastAsia"/>
        </w:rPr>
        <w:t>消费品牌</w:t>
      </w:r>
      <w:r w:rsidRPr="00177A8C">
        <w:rPr>
          <w:rFonts w:hint="eastAsia"/>
        </w:rPr>
        <w:t>业务部</w:t>
      </w:r>
      <w:r>
        <w:rPr>
          <w:rFonts w:hint="eastAsia"/>
        </w:rPr>
        <w:t>的</w:t>
      </w:r>
      <w:r w:rsidR="006F1BEC" w:rsidRPr="00177A8C">
        <w:rPr>
          <w:rFonts w:hint="eastAsia"/>
          <w:b/>
          <w:bCs/>
        </w:rPr>
        <w:t>调整后的营业利润</w:t>
      </w:r>
      <w:r w:rsidR="006F1BEC" w:rsidRPr="00177A8C">
        <w:rPr>
          <w:rFonts w:hint="eastAsia"/>
        </w:rPr>
        <w:t>为</w:t>
      </w:r>
      <w:r w:rsidR="006F1BEC" w:rsidRPr="00177A8C">
        <w:rPr>
          <w:rFonts w:hint="eastAsia"/>
        </w:rPr>
        <w:t>7.53</w:t>
      </w:r>
      <w:r w:rsidR="006F1BEC" w:rsidRPr="00177A8C">
        <w:rPr>
          <w:rFonts w:hint="eastAsia"/>
        </w:rPr>
        <w:t>亿欧元，与去年同期相比增长</w:t>
      </w:r>
      <w:r w:rsidR="006F1BEC" w:rsidRPr="00177A8C">
        <w:rPr>
          <w:rFonts w:hint="eastAsia"/>
        </w:rPr>
        <w:t>34.8%</w:t>
      </w:r>
      <w:r w:rsidR="006F1BEC" w:rsidRPr="00177A8C">
        <w:rPr>
          <w:rFonts w:hint="eastAsia"/>
        </w:rPr>
        <w:t>。这一增长主要得益于销售价格的上涨、整合后的消费品牌业务部所</w:t>
      </w:r>
      <w:r w:rsidR="0066654A">
        <w:rPr>
          <w:rFonts w:hint="eastAsia"/>
        </w:rPr>
        <w:t>带来</w:t>
      </w:r>
      <w:r w:rsidR="00A7008F">
        <w:rPr>
          <w:rFonts w:hint="eastAsia"/>
        </w:rPr>
        <w:t>的成本</w:t>
      </w:r>
      <w:r w:rsidR="0066654A">
        <w:rPr>
          <w:rFonts w:hint="eastAsia"/>
        </w:rPr>
        <w:t>节约</w:t>
      </w:r>
      <w:r w:rsidR="006F1BEC" w:rsidRPr="00177A8C">
        <w:rPr>
          <w:rFonts w:hint="eastAsia"/>
        </w:rPr>
        <w:t>，以及产品组合优化和价格稳定措施。</w:t>
      </w:r>
      <w:r w:rsidR="006F1BEC" w:rsidRPr="00177A8C">
        <w:rPr>
          <w:rFonts w:hint="eastAsia"/>
          <w:b/>
          <w:bCs/>
        </w:rPr>
        <w:t>调整后的销售回报率</w:t>
      </w:r>
      <w:r w:rsidR="006F1BEC" w:rsidRPr="00177A8C">
        <w:rPr>
          <w:rFonts w:hint="eastAsia"/>
        </w:rPr>
        <w:t>上</w:t>
      </w:r>
      <w:r w:rsidR="00970724">
        <w:rPr>
          <w:rFonts w:hint="eastAsia"/>
        </w:rPr>
        <w:t>升</w:t>
      </w:r>
      <w:r w:rsidR="006F1BEC" w:rsidRPr="00177A8C">
        <w:rPr>
          <w:rFonts w:hint="eastAsia"/>
        </w:rPr>
        <w:t>390</w:t>
      </w:r>
      <w:r w:rsidR="006F1BEC" w:rsidRPr="00177A8C">
        <w:rPr>
          <w:rFonts w:hint="eastAsia"/>
        </w:rPr>
        <w:t>个基点，达到</w:t>
      </w:r>
      <w:r w:rsidR="006F1BEC" w:rsidRPr="00177A8C">
        <w:rPr>
          <w:rFonts w:hint="eastAsia"/>
        </w:rPr>
        <w:t>14.3%</w:t>
      </w:r>
      <w:r w:rsidR="006F1BEC" w:rsidRPr="00177A8C">
        <w:rPr>
          <w:rFonts w:hint="eastAsia"/>
        </w:rPr>
        <w:t>。</w:t>
      </w:r>
    </w:p>
    <w:p w14:paraId="3C9D2CBA" w14:textId="77777777" w:rsidR="003F11AB" w:rsidRPr="00177A8C" w:rsidRDefault="003F11AB" w:rsidP="00272A6F">
      <w:pPr>
        <w:rPr>
          <w:rFonts w:cs="Segoe UI"/>
          <w:b/>
          <w:szCs w:val="22"/>
        </w:rPr>
      </w:pPr>
    </w:p>
    <w:p w14:paraId="198D3956" w14:textId="458AFE88" w:rsidR="00E10F79" w:rsidRPr="00177A8C" w:rsidRDefault="006F1BEC" w:rsidP="00272A6F">
      <w:pPr>
        <w:rPr>
          <w:b/>
        </w:rPr>
      </w:pPr>
      <w:r w:rsidRPr="00177A8C">
        <w:rPr>
          <w:rFonts w:hint="eastAsia"/>
          <w:b/>
        </w:rPr>
        <w:t>持续推动增长议程的实施</w:t>
      </w:r>
    </w:p>
    <w:p w14:paraId="5261333A" w14:textId="3C16BAA8" w:rsidR="00033476" w:rsidRPr="00177A8C" w:rsidRDefault="006F1BEC" w:rsidP="00272A6F">
      <w:bookmarkStart w:id="4" w:name="_Hlk109204398"/>
      <w:r w:rsidRPr="00177A8C">
        <w:rPr>
          <w:rFonts w:hint="eastAsia"/>
        </w:rPr>
        <w:t>2024</w:t>
      </w:r>
      <w:r w:rsidRPr="00177A8C">
        <w:rPr>
          <w:rFonts w:hint="eastAsia"/>
        </w:rPr>
        <w:t>年上半年，汉高继续坚持不懈地推进其目标性增长议程中的战略重点，并在</w:t>
      </w:r>
      <w:r w:rsidR="00B2128C">
        <w:rPr>
          <w:rFonts w:hint="eastAsia"/>
        </w:rPr>
        <w:t>各个方面</w:t>
      </w:r>
      <w:r w:rsidRPr="00177A8C">
        <w:rPr>
          <w:rFonts w:hint="eastAsia"/>
        </w:rPr>
        <w:t>都取得了良好进展。</w:t>
      </w:r>
    </w:p>
    <w:p w14:paraId="2BC21129" w14:textId="77777777" w:rsidR="00D65E91" w:rsidRPr="00177A8C" w:rsidRDefault="00D65E91" w:rsidP="00272A6F">
      <w:pPr>
        <w:rPr>
          <w:rFonts w:cs="Segoe UI"/>
          <w:bCs/>
          <w:szCs w:val="22"/>
        </w:rPr>
      </w:pPr>
    </w:p>
    <w:bookmarkEnd w:id="4"/>
    <w:p w14:paraId="31D483CD" w14:textId="1DD73C6F" w:rsidR="00B71798" w:rsidRPr="00177A8C" w:rsidRDefault="00000A76" w:rsidP="00272A6F">
      <w:pPr>
        <w:autoSpaceDE w:val="0"/>
        <w:autoSpaceDN w:val="0"/>
        <w:adjustRightInd w:val="0"/>
        <w:rPr>
          <w:rFonts w:cs="Segoe UI"/>
          <w:szCs w:val="22"/>
        </w:rPr>
      </w:pPr>
      <w:r w:rsidRPr="00177A8C">
        <w:rPr>
          <w:rFonts w:hint="eastAsia"/>
          <w:b/>
          <w:bCs/>
        </w:rPr>
        <w:t>消费品牌</w:t>
      </w:r>
      <w:r w:rsidRPr="00177A8C">
        <w:rPr>
          <w:rFonts w:hint="eastAsia"/>
        </w:rPr>
        <w:t>业务部</w:t>
      </w:r>
      <w:r>
        <w:rPr>
          <w:rFonts w:hint="eastAsia"/>
        </w:rPr>
        <w:t>是由</w:t>
      </w:r>
      <w:r w:rsidR="006F1BEC" w:rsidRPr="00177A8C">
        <w:rPr>
          <w:rFonts w:hint="eastAsia"/>
        </w:rPr>
        <w:t>原洗涤剂及家居护理业务和化妆品</w:t>
      </w:r>
      <w:r w:rsidR="006F1BEC" w:rsidRPr="00177A8C">
        <w:rPr>
          <w:rFonts w:hint="eastAsia"/>
        </w:rPr>
        <w:t>/</w:t>
      </w:r>
      <w:r w:rsidR="006F1BEC" w:rsidRPr="00177A8C">
        <w:rPr>
          <w:rFonts w:hint="eastAsia"/>
        </w:rPr>
        <w:t>美容用品业务</w:t>
      </w:r>
      <w:r w:rsidR="006F1BEC" w:rsidRPr="00177A8C">
        <w:rPr>
          <w:rFonts w:hint="eastAsia"/>
          <w:b/>
          <w:bCs/>
        </w:rPr>
        <w:t>合并</w:t>
      </w:r>
      <w:r w:rsidR="00A36A1B" w:rsidRPr="00AC131D">
        <w:rPr>
          <w:rFonts w:hint="eastAsia"/>
        </w:rPr>
        <w:t>而成</w:t>
      </w:r>
      <w:r w:rsidR="00A36A1B">
        <w:rPr>
          <w:rFonts w:hint="eastAsia"/>
        </w:rPr>
        <w:t>。</w:t>
      </w:r>
      <w:r w:rsidR="002E3D1C">
        <w:rPr>
          <w:rFonts w:hint="eastAsia"/>
        </w:rPr>
        <w:t>这一整合</w:t>
      </w:r>
      <w:r w:rsidR="00A36A1B">
        <w:rPr>
          <w:rFonts w:hint="eastAsia"/>
        </w:rPr>
        <w:t>分为两个阶段，并在</w:t>
      </w:r>
      <w:r w:rsidR="00A36A1B" w:rsidRPr="00177A8C">
        <w:rPr>
          <w:rFonts w:hint="eastAsia"/>
        </w:rPr>
        <w:t>2024</w:t>
      </w:r>
      <w:r w:rsidR="00A36A1B" w:rsidRPr="00177A8C">
        <w:rPr>
          <w:rFonts w:hint="eastAsia"/>
        </w:rPr>
        <w:t>年上半年</w:t>
      </w:r>
      <w:r w:rsidR="00A36A1B">
        <w:rPr>
          <w:rFonts w:hint="eastAsia"/>
        </w:rPr>
        <w:t>得到</w:t>
      </w:r>
      <w:r w:rsidR="006F1BEC" w:rsidRPr="00177A8C">
        <w:rPr>
          <w:rFonts w:hint="eastAsia"/>
        </w:rPr>
        <w:t>顺利推进。汉高在这一过程中进一步节约了成本。总体上，公司的目标是通过两个阶段的整合节省</w:t>
      </w:r>
      <w:r w:rsidR="006F1BEC" w:rsidRPr="00177A8C">
        <w:rPr>
          <w:rFonts w:hint="eastAsia"/>
        </w:rPr>
        <w:t>5.25</w:t>
      </w:r>
      <w:r w:rsidR="006F1BEC" w:rsidRPr="00177A8C">
        <w:rPr>
          <w:rFonts w:hint="eastAsia"/>
        </w:rPr>
        <w:t>亿欧元。这些都将在</w:t>
      </w:r>
      <w:r w:rsidR="006F1BEC" w:rsidRPr="00177A8C">
        <w:rPr>
          <w:rFonts w:hint="eastAsia"/>
        </w:rPr>
        <w:t>2026</w:t>
      </w:r>
      <w:r w:rsidR="006F1BEC" w:rsidRPr="00177A8C">
        <w:rPr>
          <w:rFonts w:hint="eastAsia"/>
        </w:rPr>
        <w:t>年底前全面实现。</w:t>
      </w:r>
    </w:p>
    <w:p w14:paraId="12C3E794" w14:textId="77777777" w:rsidR="00D65E91" w:rsidRPr="00177A8C" w:rsidRDefault="00D65E91" w:rsidP="00272A6F">
      <w:pPr>
        <w:jc w:val="left"/>
      </w:pPr>
    </w:p>
    <w:p w14:paraId="0860B868" w14:textId="50BA76CF" w:rsidR="00E10F79" w:rsidRPr="00177A8C" w:rsidRDefault="006F1BEC" w:rsidP="00272A6F">
      <w:pPr>
        <w:autoSpaceDE w:val="0"/>
        <w:autoSpaceDN w:val="0"/>
        <w:adjustRightInd w:val="0"/>
        <w:rPr>
          <w:rFonts w:cs="Segoe UI"/>
          <w:szCs w:val="22"/>
        </w:rPr>
      </w:pPr>
      <w:r w:rsidRPr="00177A8C">
        <w:rPr>
          <w:rFonts w:hint="eastAsia"/>
        </w:rPr>
        <w:t>整合第二阶段的重点是</w:t>
      </w:r>
      <w:r w:rsidR="00C21756">
        <w:rPr>
          <w:rFonts w:hint="eastAsia"/>
        </w:rPr>
        <w:t>优化</w:t>
      </w:r>
      <w:r w:rsidRPr="00177A8C">
        <w:rPr>
          <w:rFonts w:hint="eastAsia"/>
        </w:rPr>
        <w:t>消费品牌业务部</w:t>
      </w:r>
      <w:r w:rsidR="00C21756">
        <w:rPr>
          <w:rFonts w:hint="eastAsia"/>
        </w:rPr>
        <w:t>的</w:t>
      </w:r>
      <w:r w:rsidRPr="00177A8C">
        <w:rPr>
          <w:rFonts w:hint="eastAsia"/>
        </w:rPr>
        <w:t>供应链</w:t>
      </w:r>
      <w:r w:rsidR="001A632A">
        <w:rPr>
          <w:rFonts w:hint="eastAsia"/>
        </w:rPr>
        <w:t>。</w:t>
      </w:r>
      <w:r w:rsidRPr="00177A8C">
        <w:rPr>
          <w:rFonts w:hint="eastAsia"/>
        </w:rPr>
        <w:t>作为该阶段的一部分，</w:t>
      </w:r>
      <w:r w:rsidR="00BF362A" w:rsidRPr="00177A8C">
        <w:rPr>
          <w:rFonts w:hint="eastAsia"/>
        </w:rPr>
        <w:t>所谓的</w:t>
      </w:r>
      <w:r w:rsidR="00E90242">
        <w:rPr>
          <w:rFonts w:hint="eastAsia"/>
        </w:rPr>
        <w:t>“</w:t>
      </w:r>
      <w:r w:rsidR="00BF362A" w:rsidRPr="00177A8C">
        <w:rPr>
          <w:rFonts w:hint="eastAsia"/>
        </w:rPr>
        <w:t>1-1-1</w:t>
      </w:r>
      <w:r w:rsidR="00BF362A" w:rsidRPr="00177A8C">
        <w:rPr>
          <w:rFonts w:hint="eastAsia"/>
        </w:rPr>
        <w:t>原则</w:t>
      </w:r>
      <w:r w:rsidR="00E90242">
        <w:rPr>
          <w:rFonts w:hint="eastAsia"/>
        </w:rPr>
        <w:t>”</w:t>
      </w:r>
      <w:r w:rsidRPr="00177A8C">
        <w:rPr>
          <w:rFonts w:hint="eastAsia"/>
        </w:rPr>
        <w:t>已在近</w:t>
      </w:r>
      <w:r w:rsidRPr="00177A8C">
        <w:rPr>
          <w:rFonts w:hint="eastAsia"/>
        </w:rPr>
        <w:t>30</w:t>
      </w:r>
      <w:r w:rsidRPr="00177A8C">
        <w:rPr>
          <w:rFonts w:hint="eastAsia"/>
        </w:rPr>
        <w:t>个国家</w:t>
      </w:r>
      <w:r w:rsidR="00BF362A">
        <w:rPr>
          <w:rFonts w:hint="eastAsia"/>
        </w:rPr>
        <w:t>实行</w:t>
      </w:r>
      <w:r w:rsidRPr="00177A8C">
        <w:rPr>
          <w:rFonts w:hint="eastAsia"/>
        </w:rPr>
        <w:t>。</w:t>
      </w:r>
      <w:r w:rsidR="0021375B">
        <w:rPr>
          <w:rFonts w:hint="eastAsia"/>
        </w:rPr>
        <w:t>这是</w:t>
      </w:r>
      <w:r w:rsidR="002872FE">
        <w:rPr>
          <w:rFonts w:hint="eastAsia"/>
        </w:rPr>
        <w:t>在</w:t>
      </w:r>
      <w:r w:rsidR="002872FE" w:rsidRPr="00B62DAB">
        <w:rPr>
          <w:rFonts w:hint="eastAsia"/>
        </w:rPr>
        <w:t>“</w:t>
      </w:r>
      <w:r w:rsidR="002872FE">
        <w:rPr>
          <w:rFonts w:hint="eastAsia"/>
        </w:rPr>
        <w:t>一个客户一个对接窗口</w:t>
      </w:r>
      <w:r w:rsidR="002872FE" w:rsidRPr="00B62DAB">
        <w:rPr>
          <w:rFonts w:hint="eastAsia"/>
        </w:rPr>
        <w:t>”的原则</w:t>
      </w:r>
      <w:r w:rsidR="002872FE">
        <w:rPr>
          <w:rFonts w:hint="eastAsia"/>
        </w:rPr>
        <w:t>下</w:t>
      </w:r>
      <w:r w:rsidR="002872FE" w:rsidRPr="00B62DAB">
        <w:rPr>
          <w:rFonts w:hint="eastAsia"/>
        </w:rPr>
        <w:t>，以优化的物流能力推动商业整合</w:t>
      </w:r>
      <w:r w:rsidR="002872FE">
        <w:rPr>
          <w:rFonts w:hint="eastAsia"/>
        </w:rPr>
        <w:t>。</w:t>
      </w:r>
      <w:r w:rsidR="002872FE" w:rsidRPr="00B62DAB">
        <w:rPr>
          <w:rFonts w:hint="eastAsia"/>
        </w:rPr>
        <w:t>这意味着：一份订单、一次交货、一张发票</w:t>
      </w:r>
      <w:r w:rsidRPr="00177A8C">
        <w:rPr>
          <w:rFonts w:hint="eastAsia"/>
        </w:rPr>
        <w:t>。此外，生产和物流网络</w:t>
      </w:r>
      <w:r w:rsidR="0034685B">
        <w:rPr>
          <w:rFonts w:hint="eastAsia"/>
        </w:rPr>
        <w:t>得到了</w:t>
      </w:r>
      <w:r w:rsidR="0034685B" w:rsidRPr="00177A8C">
        <w:rPr>
          <w:rFonts w:hint="eastAsia"/>
        </w:rPr>
        <w:t>进一步优化和巩固</w:t>
      </w:r>
      <w:r w:rsidRPr="00177A8C">
        <w:rPr>
          <w:rFonts w:hint="eastAsia"/>
        </w:rPr>
        <w:t>，例如在美国和东欧国家的洗涤剂及</w:t>
      </w:r>
      <w:r w:rsidR="0034685B">
        <w:rPr>
          <w:rFonts w:hint="eastAsia"/>
        </w:rPr>
        <w:t>家用</w:t>
      </w:r>
      <w:r w:rsidRPr="00177A8C">
        <w:rPr>
          <w:rFonts w:hint="eastAsia"/>
        </w:rPr>
        <w:t>护理业务</w:t>
      </w:r>
      <w:r w:rsidR="00EA2A54">
        <w:rPr>
          <w:rFonts w:hint="eastAsia"/>
        </w:rPr>
        <w:t>正是如此</w:t>
      </w:r>
      <w:r w:rsidRPr="00177A8C">
        <w:rPr>
          <w:rFonts w:hint="eastAsia"/>
        </w:rPr>
        <w:t>。总体而言，这些措施已使</w:t>
      </w:r>
      <w:r w:rsidR="00ED063D">
        <w:rPr>
          <w:rFonts w:hint="eastAsia"/>
        </w:rPr>
        <w:t>供应链</w:t>
      </w:r>
      <w:r w:rsidRPr="00177A8C">
        <w:rPr>
          <w:rFonts w:hint="eastAsia"/>
        </w:rPr>
        <w:t>复杂</w:t>
      </w:r>
      <w:r w:rsidR="00887749">
        <w:rPr>
          <w:rFonts w:hint="eastAsia"/>
        </w:rPr>
        <w:t>程度</w:t>
      </w:r>
      <w:r w:rsidRPr="00177A8C">
        <w:rPr>
          <w:rFonts w:hint="eastAsia"/>
        </w:rPr>
        <w:t>总体降低了约</w:t>
      </w:r>
      <w:r w:rsidRPr="00177A8C">
        <w:rPr>
          <w:rFonts w:hint="eastAsia"/>
        </w:rPr>
        <w:t>16%</w:t>
      </w:r>
      <w:r w:rsidRPr="00177A8C">
        <w:rPr>
          <w:rFonts w:hint="eastAsia"/>
        </w:rPr>
        <w:t>。</w:t>
      </w:r>
    </w:p>
    <w:p w14:paraId="69832396" w14:textId="77777777" w:rsidR="00E10F79" w:rsidRPr="00177A8C" w:rsidRDefault="00E10F79" w:rsidP="00272A6F">
      <w:pPr>
        <w:autoSpaceDE w:val="0"/>
        <w:autoSpaceDN w:val="0"/>
        <w:adjustRightInd w:val="0"/>
        <w:rPr>
          <w:rFonts w:cs="Segoe UI"/>
          <w:szCs w:val="22"/>
        </w:rPr>
      </w:pPr>
    </w:p>
    <w:p w14:paraId="75F71581" w14:textId="130FF522" w:rsidR="00033476" w:rsidRPr="00177A8C" w:rsidRDefault="006F1BEC" w:rsidP="00272A6F">
      <w:pPr>
        <w:autoSpaceDE w:val="0"/>
        <w:autoSpaceDN w:val="0"/>
        <w:adjustRightInd w:val="0"/>
        <w:rPr>
          <w:rFonts w:cs="Segoe UI"/>
          <w:szCs w:val="22"/>
        </w:rPr>
      </w:pPr>
      <w:r w:rsidRPr="00177A8C">
        <w:rPr>
          <w:rFonts w:hint="eastAsia"/>
        </w:rPr>
        <w:t>汉高还进一步聚焦于消费品牌</w:t>
      </w:r>
      <w:r w:rsidR="00887749">
        <w:rPr>
          <w:rFonts w:hint="eastAsia"/>
        </w:rPr>
        <w:t>业务</w:t>
      </w:r>
      <w:r w:rsidRPr="00177A8C">
        <w:rPr>
          <w:rFonts w:hint="eastAsia"/>
        </w:rPr>
        <w:t>组合。近期的重点是北美的洗涤剂及</w:t>
      </w:r>
      <w:r w:rsidR="002F0C03">
        <w:rPr>
          <w:rFonts w:hint="eastAsia"/>
        </w:rPr>
        <w:t>家用</w:t>
      </w:r>
      <w:r w:rsidRPr="00177A8C">
        <w:rPr>
          <w:rFonts w:hint="eastAsia"/>
        </w:rPr>
        <w:t>护理业务。</w:t>
      </w:r>
    </w:p>
    <w:p w14:paraId="2300E31C" w14:textId="77777777" w:rsidR="00033476" w:rsidRPr="00177A8C" w:rsidRDefault="00033476" w:rsidP="00272A6F">
      <w:pPr>
        <w:autoSpaceDE w:val="0"/>
        <w:autoSpaceDN w:val="0"/>
        <w:adjustRightInd w:val="0"/>
        <w:rPr>
          <w:rFonts w:cs="Segoe UI"/>
          <w:szCs w:val="22"/>
        </w:rPr>
      </w:pPr>
    </w:p>
    <w:p w14:paraId="6E722B39" w14:textId="2BEAA8D3" w:rsidR="00A45717" w:rsidRPr="00177A8C" w:rsidRDefault="006F1BEC" w:rsidP="00272A6F">
      <w:pPr>
        <w:autoSpaceDE w:val="0"/>
        <w:autoSpaceDN w:val="0"/>
        <w:adjustRightInd w:val="0"/>
        <w:rPr>
          <w:rFonts w:cs="Segoe UI"/>
          <w:bCs/>
          <w:szCs w:val="22"/>
        </w:rPr>
      </w:pPr>
      <w:bookmarkStart w:id="5" w:name="_Hlk109382178"/>
      <w:r w:rsidRPr="00177A8C">
        <w:rPr>
          <w:rFonts w:hint="eastAsia"/>
        </w:rPr>
        <w:lastRenderedPageBreak/>
        <w:t>为了进一步增强</w:t>
      </w:r>
      <w:r w:rsidRPr="00177A8C">
        <w:rPr>
          <w:rFonts w:hint="eastAsia"/>
          <w:b/>
          <w:bCs/>
        </w:rPr>
        <w:t>竞争力</w:t>
      </w:r>
      <w:r w:rsidRPr="00177A8C">
        <w:rPr>
          <w:rFonts w:hint="eastAsia"/>
        </w:rPr>
        <w:t>，汉高专注于在有吸引力的业务领域进行有力的创新。这再次促进了两个业务部在</w:t>
      </w:r>
      <w:r w:rsidRPr="00177A8C">
        <w:rPr>
          <w:rFonts w:hint="eastAsia"/>
        </w:rPr>
        <w:t>2024</w:t>
      </w:r>
      <w:r w:rsidRPr="00177A8C">
        <w:rPr>
          <w:rFonts w:hint="eastAsia"/>
        </w:rPr>
        <w:t>年上半年的增长。在</w:t>
      </w:r>
      <w:r w:rsidRPr="00177A8C">
        <w:rPr>
          <w:rFonts w:hint="eastAsia"/>
          <w:b/>
          <w:bCs/>
        </w:rPr>
        <w:t>粘合剂技术</w:t>
      </w:r>
      <w:r w:rsidRPr="00177A8C">
        <w:rPr>
          <w:rFonts w:hint="eastAsia"/>
        </w:rPr>
        <w:t>领域，汽车零部件集成化的趋势推动了对创新粘合剂解决方案的需求。其中一个例子就是电子元件的集成</w:t>
      </w:r>
      <w:r w:rsidR="004C0BFD">
        <w:rPr>
          <w:rFonts w:hint="eastAsia"/>
        </w:rPr>
        <w:t>。</w:t>
      </w:r>
      <w:r w:rsidRPr="00177A8C">
        <w:rPr>
          <w:rFonts w:hint="eastAsia"/>
        </w:rPr>
        <w:t>无论汽车采用哪种动力</w:t>
      </w:r>
      <w:r w:rsidR="00BC5971">
        <w:rPr>
          <w:rFonts w:hint="eastAsia"/>
        </w:rPr>
        <w:t>传动</w:t>
      </w:r>
      <w:r w:rsidRPr="00177A8C">
        <w:rPr>
          <w:rFonts w:hint="eastAsia"/>
        </w:rPr>
        <w:t>系统，</w:t>
      </w:r>
      <w:r w:rsidR="00BC5971">
        <w:rPr>
          <w:rFonts w:hint="eastAsia"/>
        </w:rPr>
        <w:t>它</w:t>
      </w:r>
      <w:r w:rsidRPr="00177A8C">
        <w:rPr>
          <w:rFonts w:hint="eastAsia"/>
        </w:rPr>
        <w:t>都能</w:t>
      </w:r>
      <w:r w:rsidR="00BC5971">
        <w:rPr>
          <w:rFonts w:hint="eastAsia"/>
        </w:rPr>
        <w:t>为汽车</w:t>
      </w:r>
      <w:r w:rsidRPr="00177A8C">
        <w:rPr>
          <w:rFonts w:hint="eastAsia"/>
        </w:rPr>
        <w:t>带来极大的收益。同时，这是一个高度复杂的领域，对所用粘合剂解决方案的热管理有非常具体的要求。汉高</w:t>
      </w:r>
      <w:r w:rsidR="004C0BFD">
        <w:rPr>
          <w:rFonts w:hint="eastAsia"/>
        </w:rPr>
        <w:t>是在</w:t>
      </w:r>
      <w:r w:rsidR="0052367C">
        <w:rPr>
          <w:rFonts w:hint="eastAsia"/>
        </w:rPr>
        <w:t>早期</w:t>
      </w:r>
      <w:r w:rsidR="004C0BFD">
        <w:rPr>
          <w:rFonts w:hint="eastAsia"/>
        </w:rPr>
        <w:t>就</w:t>
      </w:r>
      <w:r w:rsidR="0052367C">
        <w:rPr>
          <w:rFonts w:hint="eastAsia"/>
        </w:rPr>
        <w:t>意识到这一趋势</w:t>
      </w:r>
      <w:r w:rsidR="004C0BFD">
        <w:rPr>
          <w:rFonts w:hint="eastAsia"/>
        </w:rPr>
        <w:t>并</w:t>
      </w:r>
      <w:r w:rsidRPr="00177A8C">
        <w:rPr>
          <w:rFonts w:hint="eastAsia"/>
        </w:rPr>
        <w:t>与领先的</w:t>
      </w:r>
      <w:r w:rsidR="00D72AE6">
        <w:rPr>
          <w:rFonts w:hint="eastAsia"/>
        </w:rPr>
        <w:t>整车厂（</w:t>
      </w:r>
      <w:r w:rsidRPr="00177A8C">
        <w:rPr>
          <w:rFonts w:hint="eastAsia"/>
        </w:rPr>
        <w:t>OEM</w:t>
      </w:r>
      <w:r w:rsidR="00D72AE6">
        <w:rPr>
          <w:rFonts w:hint="eastAsia"/>
        </w:rPr>
        <w:t>s</w:t>
      </w:r>
      <w:r w:rsidR="00D72AE6">
        <w:rPr>
          <w:rFonts w:hint="eastAsia"/>
        </w:rPr>
        <w:t>）</w:t>
      </w:r>
      <w:r w:rsidRPr="00177A8C">
        <w:rPr>
          <w:rFonts w:hint="eastAsia"/>
        </w:rPr>
        <w:t>和关键供应商合作开发创新解决方案的少数企业之一。预计未来几年，此类集成部件的市场增长潜力将超过</w:t>
      </w:r>
      <w:r w:rsidRPr="00177A8C">
        <w:rPr>
          <w:rFonts w:hint="eastAsia"/>
        </w:rPr>
        <w:t>20%</w:t>
      </w:r>
      <w:r w:rsidRPr="00177A8C">
        <w:rPr>
          <w:rFonts w:hint="eastAsia"/>
        </w:rPr>
        <w:t>。在</w:t>
      </w:r>
      <w:r w:rsidRPr="00177A8C">
        <w:rPr>
          <w:rFonts w:hint="eastAsia"/>
          <w:b/>
          <w:bCs/>
        </w:rPr>
        <w:t>消费品牌</w:t>
      </w:r>
      <w:r w:rsidRPr="00177A8C">
        <w:rPr>
          <w:rFonts w:hint="eastAsia"/>
        </w:rPr>
        <w:t>业务部，美发业务的有机销售额增长超过</w:t>
      </w:r>
      <w:r w:rsidRPr="00177A8C">
        <w:rPr>
          <w:rFonts w:hint="eastAsia"/>
        </w:rPr>
        <w:t>7%</w:t>
      </w:r>
      <w:r w:rsidRPr="00177A8C">
        <w:rPr>
          <w:rFonts w:hint="eastAsia"/>
        </w:rPr>
        <w:t>，增长势头非常强劲，这主要得益于施华蔻系列品牌</w:t>
      </w:r>
      <w:r w:rsidR="005B6AEB">
        <w:rPr>
          <w:rFonts w:hint="eastAsia"/>
        </w:rPr>
        <w:t>对</w:t>
      </w:r>
      <w:r w:rsidR="00BF6D99">
        <w:rPr>
          <w:rFonts w:hint="eastAsia"/>
        </w:rPr>
        <w:t>零售线</w:t>
      </w:r>
      <w:r w:rsidRPr="00177A8C">
        <w:rPr>
          <w:rFonts w:hint="eastAsia"/>
        </w:rPr>
        <w:t>业务</w:t>
      </w:r>
      <w:r w:rsidR="005B6AEB">
        <w:rPr>
          <w:rFonts w:hint="eastAsia"/>
        </w:rPr>
        <w:t>和</w:t>
      </w:r>
      <w:r w:rsidRPr="00177A8C">
        <w:rPr>
          <w:rFonts w:hint="eastAsia"/>
        </w:rPr>
        <w:t>专业</w:t>
      </w:r>
      <w:r w:rsidR="00BF6D99">
        <w:rPr>
          <w:rFonts w:hint="eastAsia"/>
        </w:rPr>
        <w:t>线</w:t>
      </w:r>
      <w:r w:rsidRPr="00177A8C">
        <w:rPr>
          <w:rFonts w:hint="eastAsia"/>
        </w:rPr>
        <w:t>业务</w:t>
      </w:r>
      <w:r w:rsidR="005B6AEB">
        <w:rPr>
          <w:rFonts w:hint="eastAsia"/>
        </w:rPr>
        <w:t>的推动</w:t>
      </w:r>
      <w:r w:rsidRPr="00177A8C">
        <w:rPr>
          <w:rFonts w:hint="eastAsia"/>
        </w:rPr>
        <w:t>。目前，该业务领域已连续四个季度实现销量正增长。与此同时，</w:t>
      </w:r>
      <w:r w:rsidR="003770EC">
        <w:rPr>
          <w:rFonts w:hint="eastAsia"/>
        </w:rPr>
        <w:t>造型</w:t>
      </w:r>
      <w:r w:rsidRPr="00177A8C">
        <w:rPr>
          <w:rFonts w:hint="eastAsia"/>
        </w:rPr>
        <w:t>和染发</w:t>
      </w:r>
      <w:r w:rsidR="003770EC">
        <w:rPr>
          <w:rFonts w:hint="eastAsia"/>
        </w:rPr>
        <w:t>品类</w:t>
      </w:r>
      <w:r w:rsidRPr="00177A8C">
        <w:rPr>
          <w:rFonts w:hint="eastAsia"/>
        </w:rPr>
        <w:t>的市场份额均增长</w:t>
      </w:r>
      <w:r w:rsidRPr="00177A8C">
        <w:rPr>
          <w:rFonts w:hint="eastAsia"/>
        </w:rPr>
        <w:t>40</w:t>
      </w:r>
      <w:r w:rsidRPr="00177A8C">
        <w:rPr>
          <w:rFonts w:hint="eastAsia"/>
        </w:rPr>
        <w:t>个基点。此外，</w:t>
      </w:r>
      <w:r w:rsidR="00D516FB">
        <w:rPr>
          <w:rFonts w:hint="eastAsia"/>
        </w:rPr>
        <w:t>Gliss</w:t>
      </w:r>
      <w:r w:rsidR="004E4F78">
        <w:rPr>
          <w:rFonts w:hint="eastAsia"/>
        </w:rPr>
        <w:t>重新推出</w:t>
      </w:r>
      <w:r w:rsidRPr="00177A8C">
        <w:rPr>
          <w:rFonts w:hint="eastAsia"/>
        </w:rPr>
        <w:t>100%</w:t>
      </w:r>
      <w:r w:rsidRPr="00177A8C">
        <w:rPr>
          <w:rFonts w:hint="eastAsia"/>
        </w:rPr>
        <w:t>强韧</w:t>
      </w:r>
      <w:r w:rsidR="004E4F78">
        <w:rPr>
          <w:rFonts w:hint="eastAsia"/>
        </w:rPr>
        <w:t>发质</w:t>
      </w:r>
      <w:r w:rsidRPr="00177A8C">
        <w:rPr>
          <w:rFonts w:hint="eastAsia"/>
        </w:rPr>
        <w:t>的新配方</w:t>
      </w:r>
      <w:r w:rsidR="004E4F78">
        <w:rPr>
          <w:rFonts w:hint="eastAsia"/>
        </w:rPr>
        <w:t>洗发水，为</w:t>
      </w:r>
      <w:r w:rsidRPr="00177A8C">
        <w:rPr>
          <w:rFonts w:hint="eastAsia"/>
        </w:rPr>
        <w:t>该品牌上半年的有机销售额</w:t>
      </w:r>
      <w:r w:rsidR="004E4F78">
        <w:rPr>
          <w:rFonts w:hint="eastAsia"/>
        </w:rPr>
        <w:t>带来</w:t>
      </w:r>
      <w:r w:rsidRPr="00177A8C">
        <w:rPr>
          <w:rFonts w:hint="eastAsia"/>
        </w:rPr>
        <w:t>两位数的增长。</w:t>
      </w:r>
    </w:p>
    <w:p w14:paraId="057C6209" w14:textId="77777777" w:rsidR="00A45717" w:rsidRPr="00177A8C" w:rsidRDefault="00A45717" w:rsidP="00272A6F">
      <w:pPr>
        <w:autoSpaceDE w:val="0"/>
        <w:autoSpaceDN w:val="0"/>
        <w:adjustRightInd w:val="0"/>
        <w:rPr>
          <w:rFonts w:cs="Segoe UI"/>
          <w:bCs/>
          <w:szCs w:val="22"/>
        </w:rPr>
      </w:pPr>
    </w:p>
    <w:p w14:paraId="5D3F3F74" w14:textId="518B061D" w:rsidR="00A45717" w:rsidRPr="00177A8C" w:rsidRDefault="006F1BEC" w:rsidP="00272A6F">
      <w:pPr>
        <w:rPr>
          <w:rFonts w:cs="Segoe UI"/>
          <w:szCs w:val="22"/>
        </w:rPr>
      </w:pPr>
      <w:bookmarkStart w:id="6" w:name="_Hlk140061007"/>
      <w:bookmarkEnd w:id="5"/>
      <w:r w:rsidRPr="006C587D">
        <w:rPr>
          <w:rFonts w:hint="eastAsia"/>
        </w:rPr>
        <w:t>卡斯滕·诺贝尔表示：“总体而言，我们对汉高上半年的</w:t>
      </w:r>
      <w:r w:rsidR="00F41DA9" w:rsidRPr="006C587D">
        <w:rPr>
          <w:rFonts w:hint="eastAsia"/>
        </w:rPr>
        <w:t>强劲</w:t>
      </w:r>
      <w:r w:rsidRPr="006C587D">
        <w:rPr>
          <w:rFonts w:hint="eastAsia"/>
        </w:rPr>
        <w:t>业绩</w:t>
      </w:r>
      <w:r w:rsidR="00F41DA9" w:rsidRPr="006C587D">
        <w:rPr>
          <w:rFonts w:hint="eastAsia"/>
        </w:rPr>
        <w:t>表现</w:t>
      </w:r>
      <w:r w:rsidRPr="006C587D">
        <w:rPr>
          <w:rFonts w:hint="eastAsia"/>
        </w:rPr>
        <w:t>感到非常满意，并为我们在实施战略增长议程方面取得的良好进展感到自豪。我们正在兑现自己的承诺。我们在业务、销售额和盈利方面都取得了切实进展。我们正</w:t>
      </w:r>
      <w:r w:rsidR="008868FA" w:rsidRPr="006C587D">
        <w:rPr>
          <w:rFonts w:hint="eastAsia"/>
        </w:rPr>
        <w:t>以</w:t>
      </w:r>
      <w:r w:rsidRPr="006C587D">
        <w:rPr>
          <w:rFonts w:hint="eastAsia"/>
        </w:rPr>
        <w:t>大胆</w:t>
      </w:r>
      <w:r w:rsidR="008868FA" w:rsidRPr="006C587D">
        <w:rPr>
          <w:rFonts w:hint="eastAsia"/>
        </w:rPr>
        <w:t>的</w:t>
      </w:r>
      <w:r w:rsidRPr="006C587D">
        <w:rPr>
          <w:rFonts w:hint="eastAsia"/>
        </w:rPr>
        <w:t>决策</w:t>
      </w:r>
      <w:r w:rsidR="008868FA" w:rsidRPr="006C587D">
        <w:rPr>
          <w:rFonts w:hint="eastAsia"/>
        </w:rPr>
        <w:t>实施变革</w:t>
      </w:r>
      <w:r w:rsidR="00B14204" w:rsidRPr="006C587D">
        <w:rPr>
          <w:rFonts w:hint="eastAsia"/>
        </w:rPr>
        <w:t>，以实现未来的成功</w:t>
      </w:r>
      <w:r w:rsidRPr="006C587D">
        <w:rPr>
          <w:rFonts w:hint="eastAsia"/>
        </w:rPr>
        <w:t>。在明确战略的指引下，我们正</w:t>
      </w:r>
      <w:r w:rsidR="00007CCB" w:rsidRPr="006C587D">
        <w:rPr>
          <w:rFonts w:hint="eastAsia"/>
        </w:rPr>
        <w:t>沿着正确的发展方向实现进一步的盈利增长</w:t>
      </w:r>
      <w:r w:rsidRPr="006C587D">
        <w:rPr>
          <w:rFonts w:hint="eastAsia"/>
        </w:rPr>
        <w:t>。”</w:t>
      </w:r>
    </w:p>
    <w:bookmarkEnd w:id="6"/>
    <w:p w14:paraId="23552B25" w14:textId="73EEC116" w:rsidR="00A15D78" w:rsidRDefault="00A15D78" w:rsidP="00AC131D">
      <w:pPr>
        <w:spacing w:line="240" w:lineRule="auto"/>
        <w:jc w:val="left"/>
        <w:rPr>
          <w:rStyle w:val="Hyperlink"/>
          <w:b/>
          <w:bCs/>
          <w:color w:val="auto"/>
          <w:u w:val="none"/>
        </w:rPr>
      </w:pPr>
    </w:p>
    <w:p w14:paraId="2D933DB7" w14:textId="77777777" w:rsidR="00BA286D" w:rsidRDefault="00BA286D" w:rsidP="00AC131D">
      <w:pPr>
        <w:spacing w:line="240" w:lineRule="auto"/>
        <w:jc w:val="left"/>
        <w:rPr>
          <w:rStyle w:val="Hyperlink"/>
          <w:b/>
          <w:bCs/>
          <w:color w:val="auto"/>
          <w:u w:val="none"/>
        </w:rPr>
      </w:pPr>
    </w:p>
    <w:p w14:paraId="71FEF741" w14:textId="77777777" w:rsidR="00BA286D" w:rsidRDefault="00BA286D" w:rsidP="00AC131D">
      <w:pPr>
        <w:spacing w:line="240" w:lineRule="auto"/>
        <w:jc w:val="left"/>
        <w:rPr>
          <w:rStyle w:val="Hyperlink"/>
          <w:b/>
          <w:bCs/>
          <w:color w:val="auto"/>
          <w:u w:val="none"/>
        </w:rPr>
      </w:pPr>
    </w:p>
    <w:p w14:paraId="78A53D5B" w14:textId="77777777" w:rsidR="00BA286D" w:rsidRPr="00D65E91" w:rsidRDefault="00BA286D" w:rsidP="00BA286D">
      <w:pPr>
        <w:autoSpaceDE w:val="0"/>
        <w:autoSpaceDN w:val="0"/>
        <w:adjustRightInd w:val="0"/>
        <w:spacing w:line="240" w:lineRule="auto"/>
        <w:rPr>
          <w:sz w:val="16"/>
          <w:szCs w:val="16"/>
        </w:rPr>
      </w:pPr>
      <w:r w:rsidRPr="00D65E91">
        <w:rPr>
          <w:rFonts w:hint="eastAsia"/>
          <w:sz w:val="16"/>
        </w:rPr>
        <w:t>*</w:t>
      </w:r>
      <w:r w:rsidRPr="00D65E91">
        <w:rPr>
          <w:rFonts w:hint="eastAsia"/>
          <w:sz w:val="16"/>
        </w:rPr>
        <w:t>对一次性费用和收入以及重组费用进行了调整。</w:t>
      </w:r>
    </w:p>
    <w:p w14:paraId="3A60290C" w14:textId="77777777" w:rsidR="004927A6" w:rsidRDefault="004927A6" w:rsidP="00AC131D">
      <w:pPr>
        <w:spacing w:line="240" w:lineRule="auto"/>
        <w:jc w:val="left"/>
        <w:rPr>
          <w:rStyle w:val="Hyperlink"/>
          <w:b/>
          <w:bCs/>
          <w:color w:val="auto"/>
          <w:u w:val="none"/>
        </w:rPr>
      </w:pPr>
    </w:p>
    <w:p w14:paraId="089340E6" w14:textId="77777777" w:rsidR="004927A6" w:rsidRDefault="004927A6" w:rsidP="00AC131D">
      <w:pPr>
        <w:spacing w:line="240" w:lineRule="auto"/>
        <w:jc w:val="left"/>
        <w:rPr>
          <w:rStyle w:val="Hyperlink"/>
          <w:b/>
          <w:bCs/>
          <w:color w:val="auto"/>
          <w:u w:val="none"/>
        </w:rPr>
      </w:pPr>
    </w:p>
    <w:p w14:paraId="54F72A7D" w14:textId="77777777" w:rsidR="00BA286D" w:rsidRDefault="00BA286D" w:rsidP="00AC131D">
      <w:pPr>
        <w:spacing w:line="240" w:lineRule="auto"/>
        <w:jc w:val="left"/>
        <w:rPr>
          <w:rStyle w:val="Hyperlink"/>
          <w:b/>
          <w:bCs/>
          <w:color w:val="auto"/>
          <w:u w:val="none"/>
        </w:rPr>
      </w:pPr>
    </w:p>
    <w:p w14:paraId="2C12E02C" w14:textId="77777777" w:rsidR="00BA286D" w:rsidRDefault="00BA286D" w:rsidP="00AC131D">
      <w:pPr>
        <w:spacing w:line="240" w:lineRule="auto"/>
        <w:jc w:val="left"/>
        <w:rPr>
          <w:rStyle w:val="Hyperlink"/>
          <w:b/>
          <w:bCs/>
          <w:color w:val="auto"/>
          <w:u w:val="none"/>
        </w:rPr>
      </w:pPr>
    </w:p>
    <w:p w14:paraId="2E24FB6F" w14:textId="77777777" w:rsidR="004927A6" w:rsidRDefault="004927A6" w:rsidP="00AC131D">
      <w:pPr>
        <w:spacing w:line="240" w:lineRule="auto"/>
        <w:jc w:val="left"/>
        <w:rPr>
          <w:rStyle w:val="Hyperlink"/>
          <w:b/>
          <w:bCs/>
          <w:color w:val="auto"/>
          <w:u w:val="none"/>
        </w:rPr>
      </w:pPr>
    </w:p>
    <w:p w14:paraId="260DE87A" w14:textId="77777777" w:rsidR="004927A6" w:rsidRPr="00984C8B" w:rsidRDefault="004927A6" w:rsidP="004927A6">
      <w:pPr>
        <w:rPr>
          <w:sz w:val="18"/>
          <w:szCs w:val="18"/>
        </w:rPr>
      </w:pPr>
      <w:r w:rsidRPr="00984C8B">
        <w:rPr>
          <w:rStyle w:val="AboutandContactHeadline"/>
          <w:rFonts w:hint="eastAsia"/>
        </w:rPr>
        <w:t>关于汉高</w:t>
      </w:r>
    </w:p>
    <w:p w14:paraId="7E9C6283" w14:textId="77777777" w:rsidR="004927A6" w:rsidRPr="00984C8B" w:rsidRDefault="004927A6" w:rsidP="004927A6">
      <w:pPr>
        <w:rPr>
          <w:rStyle w:val="AboutandContactBody"/>
        </w:rPr>
      </w:pPr>
      <w:r w:rsidRPr="00984C8B">
        <w:rPr>
          <w:rStyle w:val="AboutandContactBody"/>
          <w:rFonts w:hint="eastAsia"/>
        </w:rPr>
        <w:t>汉高凭借其品牌、创新和技术，在全球工业和消费品领域中拥有领先的市场地位。汉高粘合剂技术业务部是全球粘合剂、密封剂和功能性涂层市场的领导者。汉高消费品牌在各国市场和品类占据领先地位，在洗涤剂及家用护理和美发领域尤为突出。乐泰（</w:t>
      </w:r>
      <w:r w:rsidRPr="00984C8B">
        <w:rPr>
          <w:rStyle w:val="AboutandContactBody"/>
          <w:rFonts w:hint="eastAsia"/>
        </w:rPr>
        <w:t>Loctite</w:t>
      </w:r>
      <w:r w:rsidRPr="00984C8B">
        <w:rPr>
          <w:rStyle w:val="AboutandContactBody"/>
          <w:rFonts w:hint="eastAsia"/>
        </w:rPr>
        <w:t>）、宝莹（</w:t>
      </w:r>
      <w:r w:rsidRPr="00984C8B">
        <w:rPr>
          <w:rStyle w:val="AboutandContactBody"/>
          <w:rFonts w:hint="eastAsia"/>
        </w:rPr>
        <w:t xml:space="preserve"> Persil</w:t>
      </w:r>
      <w:r w:rsidRPr="00984C8B">
        <w:rPr>
          <w:rStyle w:val="AboutandContactBody"/>
          <w:rFonts w:hint="eastAsia"/>
        </w:rPr>
        <w:t>）和施华蔻（</w:t>
      </w:r>
      <w:r w:rsidRPr="00984C8B">
        <w:rPr>
          <w:rStyle w:val="AboutandContactBody"/>
          <w:rFonts w:hint="eastAsia"/>
        </w:rPr>
        <w:t>Schwarzkopf</w:t>
      </w:r>
      <w:r w:rsidRPr="00984C8B">
        <w:rPr>
          <w:rStyle w:val="AboutandContactBody"/>
          <w:rFonts w:hint="eastAsia"/>
        </w:rPr>
        <w:t>）是公司的三大核心品牌。</w:t>
      </w:r>
      <w:r w:rsidRPr="00984C8B">
        <w:rPr>
          <w:rStyle w:val="AboutandContactBody"/>
          <w:rFonts w:hint="eastAsia"/>
        </w:rPr>
        <w:t>2023</w:t>
      </w:r>
      <w:r w:rsidRPr="00984C8B">
        <w:rPr>
          <w:rStyle w:val="AboutandContactBody"/>
          <w:rFonts w:hint="eastAsia"/>
        </w:rPr>
        <w:t>财年，汉高实现销售额逾</w:t>
      </w:r>
      <w:r w:rsidRPr="00984C8B">
        <w:rPr>
          <w:rStyle w:val="AboutandContactBody"/>
          <w:rFonts w:hint="eastAsia"/>
        </w:rPr>
        <w:t>215</w:t>
      </w:r>
      <w:r w:rsidRPr="00984C8B">
        <w:rPr>
          <w:rStyle w:val="AboutandContactBody"/>
          <w:rFonts w:hint="eastAsia"/>
        </w:rPr>
        <w:t>亿欧元，调整后营业利润约为</w:t>
      </w:r>
      <w:r w:rsidRPr="00984C8B">
        <w:rPr>
          <w:rStyle w:val="AboutandContactBody"/>
          <w:rFonts w:hint="eastAsia"/>
        </w:rPr>
        <w:t>26</w:t>
      </w:r>
      <w:r w:rsidRPr="00984C8B">
        <w:rPr>
          <w:rStyle w:val="AboutandContactBody"/>
          <w:rFonts w:hint="eastAsia"/>
        </w:rPr>
        <w:t>亿欧元。汉高的优先股已列入德国</w:t>
      </w:r>
      <w:r w:rsidRPr="00984C8B">
        <w:rPr>
          <w:rStyle w:val="AboutandContactBody"/>
          <w:rFonts w:hint="eastAsia"/>
        </w:rPr>
        <w:t>DAX</w:t>
      </w:r>
      <w:r w:rsidRPr="00984C8B">
        <w:rPr>
          <w:rStyle w:val="AboutandContactBody"/>
          <w:rFonts w:hint="eastAsia"/>
        </w:rPr>
        <w:t>指数。可持续发展在汉高有着悠久的传统，公司确立有明晰的可持续发展战略和具体目标。成立于</w:t>
      </w:r>
      <w:r w:rsidRPr="00984C8B">
        <w:rPr>
          <w:rStyle w:val="AboutandContactBody"/>
          <w:rFonts w:hint="eastAsia"/>
        </w:rPr>
        <w:t>1876</w:t>
      </w:r>
      <w:r w:rsidRPr="00984C8B">
        <w:rPr>
          <w:rStyle w:val="AboutandContactBody"/>
          <w:rFonts w:hint="eastAsia"/>
        </w:rPr>
        <w:t>年，汉高如今在全球范围内约有</w:t>
      </w:r>
      <w:r w:rsidRPr="00984C8B">
        <w:rPr>
          <w:rStyle w:val="AboutandContactBody"/>
          <w:rFonts w:hint="eastAsia"/>
        </w:rPr>
        <w:t>4.8</w:t>
      </w:r>
      <w:r w:rsidRPr="00984C8B">
        <w:rPr>
          <w:rStyle w:val="AboutandContactBody"/>
          <w:rFonts w:hint="eastAsia"/>
        </w:rPr>
        <w:t>万名员工，在强大的企业文化、共同的价值观与企业目标“</w:t>
      </w:r>
      <w:r w:rsidRPr="00984C8B">
        <w:rPr>
          <w:rStyle w:val="AboutandContactBody"/>
          <w:rFonts w:hint="eastAsia"/>
        </w:rPr>
        <w:t>Pioneers at heart for the good of generations</w:t>
      </w:r>
      <w:r w:rsidRPr="00984C8B">
        <w:rPr>
          <w:rStyle w:val="AboutandContactBody"/>
          <w:rFonts w:hint="eastAsia"/>
        </w:rPr>
        <w:t>”的引领下，融合为一支多元化的团队。更多资讯，敬请访问</w:t>
      </w:r>
      <w:r w:rsidRPr="00984C8B">
        <w:rPr>
          <w:rStyle w:val="AboutandContactBody"/>
          <w:rFonts w:hint="eastAsia"/>
        </w:rPr>
        <w:t xml:space="preserve"> </w:t>
      </w:r>
      <w:hyperlink r:id="rId12" w:history="1">
        <w:r w:rsidRPr="00984C8B">
          <w:rPr>
            <w:rStyle w:val="Hyperlink"/>
            <w:rFonts w:hint="eastAsia"/>
          </w:rPr>
          <w:t>www.henkel.com</w:t>
        </w:r>
      </w:hyperlink>
      <w:r w:rsidRPr="00984C8B">
        <w:rPr>
          <w:rStyle w:val="AboutandContactBody"/>
          <w:rFonts w:hint="eastAsia"/>
          <w:szCs w:val="18"/>
        </w:rPr>
        <w:t xml:space="preserve"> </w:t>
      </w:r>
    </w:p>
    <w:p w14:paraId="507C45C2" w14:textId="77777777" w:rsidR="004927A6" w:rsidRPr="00984C8B" w:rsidRDefault="004927A6" w:rsidP="004927A6">
      <w:pPr>
        <w:pStyle w:val="He01Flietext"/>
        <w:rPr>
          <w:sz w:val="20"/>
          <w:szCs w:val="20"/>
          <w:lang w:val="en-US"/>
        </w:rPr>
      </w:pPr>
    </w:p>
    <w:p w14:paraId="4A8CFB38" w14:textId="77777777" w:rsidR="004927A6" w:rsidRPr="00984C8B" w:rsidRDefault="004927A6" w:rsidP="004927A6">
      <w:pPr>
        <w:rPr>
          <w:rFonts w:ascii="SimSun" w:hAnsi="SimSun"/>
          <w:sz w:val="14"/>
          <w:szCs w:val="14"/>
        </w:rPr>
      </w:pPr>
      <w:r w:rsidRPr="00984C8B">
        <w:rPr>
          <w:rFonts w:ascii="SimSun" w:hAnsi="SimSun" w:hint="eastAsia"/>
          <w:sz w:val="14"/>
          <w:szCs w:val="14"/>
        </w:rPr>
        <w:t>本文件所含提及未来业务发展、财务业绩及其他与汉高未来相关的事件或发展的声明，由此构成前瞻性声明。前瞻性表述的特点是使用诸如期望、打算、计划、预测、假设、相信、预计、预期、预见和类似的表述。这些表述乃汉高股份</w:t>
      </w:r>
      <w:r w:rsidRPr="00984C8B">
        <w:rPr>
          <w:rFonts w:ascii="SimSun" w:hAnsi="SimSun"/>
          <w:sz w:val="14"/>
          <w:szCs w:val="14"/>
        </w:rPr>
        <w:t>有限</w:t>
      </w:r>
      <w:r w:rsidRPr="00984C8B">
        <w:rPr>
          <w:rFonts w:ascii="SimSun" w:hAnsi="SimSun" w:hint="eastAsia"/>
          <w:sz w:val="14"/>
          <w:szCs w:val="14"/>
        </w:rPr>
        <w:t>及两合公司管理层基于现有的预测和假设。该等表述在任何情况下都不应该被理解成保证该等预期的准确无误。汉高股份</w:t>
      </w:r>
      <w:r w:rsidRPr="00984C8B">
        <w:rPr>
          <w:rFonts w:ascii="SimSun" w:hAnsi="SimSun"/>
          <w:sz w:val="14"/>
          <w:szCs w:val="14"/>
        </w:rPr>
        <w:t>有限</w:t>
      </w:r>
      <w:r w:rsidRPr="00984C8B">
        <w:rPr>
          <w:rFonts w:ascii="SimSun" w:hAnsi="SimSun" w:hint="eastAsia"/>
          <w:sz w:val="14"/>
          <w:szCs w:val="14"/>
        </w:rPr>
        <w:t>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p>
    <w:p w14:paraId="1D8E61B9" w14:textId="77777777" w:rsidR="004927A6" w:rsidRPr="00984C8B" w:rsidRDefault="004927A6" w:rsidP="004927A6">
      <w:pPr>
        <w:rPr>
          <w:rFonts w:ascii="SimSun" w:hAnsi="SimSun"/>
          <w:sz w:val="14"/>
          <w:szCs w:val="14"/>
        </w:rPr>
      </w:pPr>
      <w:r w:rsidRPr="00984C8B">
        <w:rPr>
          <w:rFonts w:ascii="SimSun" w:hAnsi="SimSun" w:hint="eastAsia"/>
          <w:sz w:val="14"/>
          <w:szCs w:val="14"/>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7A47A988" w14:textId="77777777" w:rsidR="004927A6" w:rsidRPr="00984C8B" w:rsidRDefault="004927A6" w:rsidP="004927A6">
      <w:pPr>
        <w:rPr>
          <w:rFonts w:ascii="SimSun" w:hAnsi="SimSun"/>
          <w:sz w:val="14"/>
          <w:szCs w:val="14"/>
        </w:rPr>
      </w:pPr>
      <w:r w:rsidRPr="00984C8B">
        <w:rPr>
          <w:rFonts w:ascii="SimSun" w:hAnsi="SimSun" w:hint="eastAsia"/>
          <w:sz w:val="14"/>
          <w:szCs w:val="14"/>
        </w:rPr>
        <w:t>本文件仅供参考，并不构成任何对证券的投资建议、出售要约或购买要约。</w:t>
      </w:r>
    </w:p>
    <w:p w14:paraId="2A3FB082" w14:textId="77777777" w:rsidR="004927A6" w:rsidRPr="00984C8B" w:rsidRDefault="004927A6" w:rsidP="004927A6">
      <w:pPr>
        <w:rPr>
          <w:rFonts w:ascii="SimSun" w:hAnsi="SimSun"/>
          <w:sz w:val="14"/>
          <w:szCs w:val="14"/>
        </w:rPr>
      </w:pPr>
    </w:p>
    <w:p w14:paraId="6863267E" w14:textId="77777777" w:rsidR="004927A6" w:rsidRPr="00984C8B" w:rsidRDefault="004927A6" w:rsidP="004927A6">
      <w:pPr>
        <w:tabs>
          <w:tab w:val="left" w:pos="1080"/>
          <w:tab w:val="left" w:pos="4500"/>
        </w:tabs>
        <w:spacing w:line="264" w:lineRule="auto"/>
        <w:rPr>
          <w:rStyle w:val="AboutandContactBody"/>
          <w:rFonts w:cs="Segoe UI"/>
          <w:b/>
          <w:bCs/>
          <w:szCs w:val="18"/>
        </w:rPr>
      </w:pPr>
      <w:r w:rsidRPr="00984C8B">
        <w:rPr>
          <w:rStyle w:val="AboutandContactBody"/>
          <w:rFonts w:cs="Segoe UI" w:hint="eastAsia"/>
          <w:b/>
          <w:bCs/>
          <w:szCs w:val="18"/>
        </w:rPr>
        <w:t>媒体联系人</w:t>
      </w:r>
    </w:p>
    <w:p w14:paraId="3EC8A39D" w14:textId="77777777" w:rsidR="004927A6" w:rsidRPr="00984C8B" w:rsidRDefault="004927A6" w:rsidP="004927A6">
      <w:pPr>
        <w:tabs>
          <w:tab w:val="left" w:pos="1080"/>
          <w:tab w:val="left" w:pos="4500"/>
        </w:tabs>
        <w:spacing w:line="264" w:lineRule="auto"/>
        <w:rPr>
          <w:rStyle w:val="AboutandContactBody"/>
          <w:rFonts w:cs="Segoe UI"/>
          <w:b/>
          <w:szCs w:val="18"/>
        </w:rPr>
      </w:pPr>
    </w:p>
    <w:p w14:paraId="323990D5" w14:textId="77777777" w:rsidR="004927A6" w:rsidRPr="00984C8B" w:rsidRDefault="004927A6" w:rsidP="004927A6">
      <w:pPr>
        <w:tabs>
          <w:tab w:val="left" w:pos="1080"/>
          <w:tab w:val="left" w:pos="4500"/>
        </w:tabs>
        <w:spacing w:line="264" w:lineRule="auto"/>
        <w:rPr>
          <w:rStyle w:val="AboutandContactBody"/>
          <w:rFonts w:cs="Segoe UI"/>
          <w:bCs/>
          <w:szCs w:val="18"/>
        </w:rPr>
      </w:pPr>
      <w:r w:rsidRPr="00984C8B">
        <w:rPr>
          <w:rFonts w:cs="Arial"/>
          <w:b/>
          <w:sz w:val="20"/>
          <w:lang w:val="en-CA" w:eastAsia="de-DE"/>
        </w:rPr>
        <w:t>Louise Cheung</w:t>
      </w:r>
      <w:r w:rsidRPr="00984C8B">
        <w:rPr>
          <w:rStyle w:val="AboutandContactBody"/>
          <w:rFonts w:cs="Segoe UI"/>
          <w:szCs w:val="18"/>
        </w:rPr>
        <w:tab/>
      </w:r>
    </w:p>
    <w:p w14:paraId="65760A34" w14:textId="77777777" w:rsidR="004927A6" w:rsidRPr="00984C8B" w:rsidRDefault="004927A6" w:rsidP="004927A6">
      <w:pPr>
        <w:tabs>
          <w:tab w:val="left" w:pos="709"/>
          <w:tab w:val="left" w:pos="4500"/>
          <w:tab w:val="left" w:pos="5245"/>
        </w:tabs>
        <w:spacing w:line="264" w:lineRule="auto"/>
        <w:rPr>
          <w:rStyle w:val="AboutandContactBody"/>
          <w:rFonts w:cs="Segoe UI"/>
          <w:szCs w:val="18"/>
        </w:rPr>
      </w:pPr>
      <w:r w:rsidRPr="00984C8B">
        <w:rPr>
          <w:rStyle w:val="AboutandContactBody"/>
          <w:rFonts w:cs="Segoe UI" w:hint="eastAsia"/>
          <w:szCs w:val="18"/>
        </w:rPr>
        <w:t>电话：</w:t>
      </w:r>
      <w:r w:rsidRPr="00984C8B">
        <w:rPr>
          <w:rStyle w:val="AboutandContactBody"/>
          <w:rFonts w:cs="Segoe UI"/>
          <w:szCs w:val="18"/>
        </w:rPr>
        <w:t>+86 21 2891 5152</w:t>
      </w:r>
      <w:r w:rsidRPr="00984C8B">
        <w:rPr>
          <w:rStyle w:val="AboutandContactBody"/>
          <w:rFonts w:cs="Segoe UI"/>
          <w:szCs w:val="18"/>
        </w:rPr>
        <w:tab/>
      </w:r>
    </w:p>
    <w:p w14:paraId="7C724A06" w14:textId="77777777" w:rsidR="004927A6" w:rsidRPr="00984C8B" w:rsidRDefault="004927A6" w:rsidP="004927A6">
      <w:pPr>
        <w:rPr>
          <w:rFonts w:cs="Segoe UI"/>
          <w:sz w:val="18"/>
          <w:szCs w:val="18"/>
        </w:rPr>
      </w:pPr>
      <w:r w:rsidRPr="00984C8B">
        <w:rPr>
          <w:rStyle w:val="AboutandContactBody"/>
          <w:rFonts w:cs="Segoe UI" w:hint="eastAsia"/>
          <w:szCs w:val="18"/>
        </w:rPr>
        <w:lastRenderedPageBreak/>
        <w:t>邮箱：</w:t>
      </w:r>
      <w:hyperlink r:id="rId13" w:history="1">
        <w:r w:rsidRPr="00984C8B">
          <w:rPr>
            <w:rStyle w:val="Hyperlink"/>
            <w:rFonts w:cs="Segoe UI"/>
          </w:rPr>
          <w:t>louise.cheung@henkel.com</w:t>
        </w:r>
      </w:hyperlink>
    </w:p>
    <w:p w14:paraId="478EBFEA" w14:textId="77777777" w:rsidR="004927A6" w:rsidRPr="00984C8B" w:rsidRDefault="004927A6" w:rsidP="004927A6">
      <w:pPr>
        <w:rPr>
          <w:rFonts w:cs="Segoe UI"/>
          <w:sz w:val="18"/>
          <w:szCs w:val="18"/>
        </w:rPr>
      </w:pPr>
    </w:p>
    <w:p w14:paraId="4A655809" w14:textId="77777777" w:rsidR="004927A6" w:rsidRPr="00984C8B" w:rsidRDefault="004927A6" w:rsidP="004927A6">
      <w:pPr>
        <w:tabs>
          <w:tab w:val="left" w:pos="851"/>
          <w:tab w:val="left" w:pos="4536"/>
          <w:tab w:val="left" w:pos="4962"/>
          <w:tab w:val="left" w:pos="5387"/>
        </w:tabs>
        <w:spacing w:line="360" w:lineRule="auto"/>
        <w:rPr>
          <w:rFonts w:cs="Arial"/>
          <w:b/>
          <w:sz w:val="20"/>
          <w:szCs w:val="18"/>
        </w:rPr>
      </w:pPr>
      <w:r w:rsidRPr="00984C8B">
        <w:rPr>
          <w:rFonts w:cs="Arial"/>
          <w:b/>
          <w:sz w:val="20"/>
          <w:szCs w:val="18"/>
          <w:lang w:val="en-CA" w:eastAsia="de-DE"/>
        </w:rPr>
        <w:t xml:space="preserve">Liki </w:t>
      </w:r>
      <w:r w:rsidRPr="00984C8B">
        <w:rPr>
          <w:rFonts w:cs="Arial"/>
          <w:b/>
          <w:sz w:val="20"/>
          <w:szCs w:val="18"/>
          <w:lang w:val="en-CA"/>
        </w:rPr>
        <w:t>Qin</w:t>
      </w:r>
      <w:r w:rsidRPr="00984C8B">
        <w:rPr>
          <w:rFonts w:cs="Arial" w:hint="eastAsia"/>
          <w:b/>
          <w:sz w:val="20"/>
          <w:szCs w:val="18"/>
          <w:lang w:val="en-CA"/>
        </w:rPr>
        <w:t>秦莉佳</w:t>
      </w:r>
      <w:r w:rsidRPr="00984C8B">
        <w:rPr>
          <w:rFonts w:cs="Arial"/>
          <w:b/>
          <w:sz w:val="20"/>
          <w:szCs w:val="18"/>
          <w:lang w:eastAsia="de-DE"/>
        </w:rPr>
        <w:tab/>
      </w:r>
    </w:p>
    <w:p w14:paraId="2CEF3DEB" w14:textId="77777777" w:rsidR="004927A6" w:rsidRPr="00984C8B" w:rsidRDefault="004927A6" w:rsidP="004927A6">
      <w:pPr>
        <w:tabs>
          <w:tab w:val="left" w:pos="709"/>
          <w:tab w:val="left" w:pos="4500"/>
          <w:tab w:val="left" w:pos="5245"/>
        </w:tabs>
        <w:spacing w:line="264" w:lineRule="auto"/>
        <w:rPr>
          <w:rFonts w:cs="Arial"/>
          <w:color w:val="000000"/>
          <w:sz w:val="20"/>
          <w:szCs w:val="18"/>
          <w:lang w:eastAsia="de-DE"/>
        </w:rPr>
      </w:pPr>
      <w:r w:rsidRPr="00984C8B">
        <w:rPr>
          <w:rStyle w:val="AboutandContactBody"/>
          <w:rFonts w:cs="Segoe UI" w:hint="eastAsia"/>
        </w:rPr>
        <w:t>电话</w:t>
      </w:r>
      <w:r w:rsidRPr="00984C8B">
        <w:rPr>
          <w:rStyle w:val="AboutandContactBody"/>
          <w:rFonts w:cs="Segoe UI"/>
        </w:rPr>
        <w:t>: +86 21 2891 4386</w:t>
      </w:r>
      <w:r w:rsidRPr="00984C8B">
        <w:rPr>
          <w:rFonts w:cs="Arial"/>
          <w:sz w:val="20"/>
          <w:szCs w:val="18"/>
          <w:lang w:eastAsia="de-DE"/>
        </w:rPr>
        <w:tab/>
      </w:r>
    </w:p>
    <w:p w14:paraId="71272261" w14:textId="77777777" w:rsidR="004927A6" w:rsidRPr="00A12BF7" w:rsidRDefault="004927A6" w:rsidP="004927A6">
      <w:pPr>
        <w:tabs>
          <w:tab w:val="left" w:pos="1080"/>
          <w:tab w:val="left" w:pos="4500"/>
        </w:tabs>
        <w:rPr>
          <w:rFonts w:cs="Arial"/>
          <w:sz w:val="18"/>
          <w:szCs w:val="18"/>
          <w:lang w:val="en-CA"/>
        </w:rPr>
      </w:pPr>
      <w:r w:rsidRPr="00984C8B">
        <w:rPr>
          <w:rFonts w:cs="Arial" w:hint="eastAsia"/>
          <w:sz w:val="18"/>
          <w:szCs w:val="18"/>
        </w:rPr>
        <w:t>邮件</w:t>
      </w:r>
      <w:r w:rsidRPr="00984C8B">
        <w:rPr>
          <w:rFonts w:cs="Arial"/>
          <w:sz w:val="18"/>
          <w:szCs w:val="18"/>
          <w:lang w:eastAsia="de-DE"/>
        </w:rPr>
        <w:t xml:space="preserve">: </w:t>
      </w:r>
      <w:hyperlink r:id="rId14" w:history="1">
        <w:r w:rsidRPr="00984C8B">
          <w:rPr>
            <w:rStyle w:val="Hyperlink"/>
            <w:rFonts w:cs="Arial"/>
            <w:lang w:val="en-CA"/>
          </w:rPr>
          <w:t>liki.qin@henkel.com</w:t>
        </w:r>
      </w:hyperlink>
    </w:p>
    <w:p w14:paraId="055EE46B" w14:textId="77777777" w:rsidR="004927A6" w:rsidRPr="00FD7B3C" w:rsidRDefault="004927A6" w:rsidP="004927A6">
      <w:pPr>
        <w:rPr>
          <w:rFonts w:ascii="SimSun" w:hAnsi="SimSun"/>
          <w:sz w:val="14"/>
          <w:szCs w:val="14"/>
        </w:rPr>
      </w:pPr>
    </w:p>
    <w:p w14:paraId="246D960B" w14:textId="77777777" w:rsidR="004927A6" w:rsidRPr="002A795E" w:rsidRDefault="004927A6" w:rsidP="004927A6">
      <w:pPr>
        <w:rPr>
          <w:rFonts w:ascii="Arial" w:hAnsi="Arial" w:cs="Arial"/>
        </w:rPr>
      </w:pPr>
    </w:p>
    <w:p w14:paraId="1E0E4F88" w14:textId="77777777" w:rsidR="004927A6" w:rsidRPr="00AC131D" w:rsidRDefault="004927A6" w:rsidP="00AC131D">
      <w:pPr>
        <w:spacing w:line="240" w:lineRule="auto"/>
        <w:jc w:val="left"/>
        <w:rPr>
          <w:rStyle w:val="Hyperlink"/>
          <w:b/>
          <w:bCs/>
          <w:color w:val="auto"/>
          <w:u w:val="none"/>
        </w:rPr>
      </w:pPr>
    </w:p>
    <w:sectPr w:rsidR="004927A6" w:rsidRPr="00AC131D" w:rsidSect="00A41DBE">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8DAF" w14:textId="77777777" w:rsidR="00EC1263" w:rsidRDefault="00EC1263">
      <w:r>
        <w:separator/>
      </w:r>
    </w:p>
  </w:endnote>
  <w:endnote w:type="continuationSeparator" w:id="0">
    <w:p w14:paraId="42D2597E" w14:textId="77777777" w:rsidR="00EC1263" w:rsidRDefault="00EC1263">
      <w:r>
        <w:continuationSeparator/>
      </w:r>
    </w:p>
  </w:endnote>
  <w:endnote w:type="continuationNotice" w:id="1">
    <w:p w14:paraId="53B1FB12" w14:textId="77777777" w:rsidR="00EC1263" w:rsidRDefault="00EC12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27F6" w14:textId="77777777" w:rsidR="0067316A" w:rsidRPr="00D65E91" w:rsidRDefault="0067316A" w:rsidP="0067316A">
    <w:pPr>
      <w:pStyle w:val="Footer"/>
      <w:tabs>
        <w:tab w:val="clear" w:pos="7083"/>
        <w:tab w:val="clear" w:pos="8640"/>
        <w:tab w:val="right" w:pos="9071"/>
      </w:tabs>
      <w:jc w:val="both"/>
    </w:pPr>
    <w:r w:rsidRPr="00D65E91">
      <w:rPr>
        <w:rFonts w:hint="eastAsia"/>
      </w:rPr>
      <w:t>Henkel AG &amp; Co. KGaA</w:t>
    </w:r>
    <w:r w:rsidRPr="00D65E91">
      <w:rPr>
        <w:rFonts w:hint="eastAsia"/>
      </w:rPr>
      <w:tab/>
      <w:t xml:space="preserve">Page </w:t>
    </w:r>
    <w:r w:rsidRPr="00D65E91">
      <w:rPr>
        <w:rFonts w:hint="eastAsia"/>
      </w:rPr>
      <w:fldChar w:fldCharType="begin"/>
    </w:r>
    <w:r w:rsidRPr="00D65E91">
      <w:rPr>
        <w:rFonts w:hint="eastAsia"/>
      </w:rPr>
      <w:instrText xml:space="preserve"> PAGE  \* Arabic  \* MERGEFORMAT </w:instrText>
    </w:r>
    <w:r w:rsidRPr="00D65E91">
      <w:rPr>
        <w:rFonts w:hint="eastAsia"/>
      </w:rPr>
      <w:fldChar w:fldCharType="separate"/>
    </w:r>
    <w:r w:rsidRPr="00D65E91">
      <w:rPr>
        <w:rFonts w:hint="eastAsia"/>
      </w:rPr>
      <w:t>7</w:t>
    </w:r>
    <w:r w:rsidRPr="00D65E91">
      <w:rPr>
        <w:rFonts w:hint="eastAsia"/>
      </w:rPr>
      <w:fldChar w:fldCharType="end"/>
    </w:r>
    <w:r w:rsidRPr="00D65E91">
      <w:rPr>
        <w:rFonts w:hint="eastAsia"/>
      </w:rPr>
      <w:t>/</w:t>
    </w:r>
    <w:fldSimple w:instr="NUMPAGES  \* Arabic  \* MERGEFORMAT">
      <w:r w:rsidRPr="00D65E91">
        <w:rPr>
          <w:rFonts w:hint="eastAsia"/>
        </w:rPr>
        <w:t>10</w:t>
      </w:r>
    </w:fldSimple>
  </w:p>
  <w:p w14:paraId="637D10C9" w14:textId="51BD31D1" w:rsidR="00CF6F33" w:rsidRPr="00D65E91" w:rsidRDefault="00112A28" w:rsidP="00112A28">
    <w:pPr>
      <w:pStyle w:val="Footer"/>
      <w:tabs>
        <w:tab w:val="clear" w:pos="7083"/>
        <w:tab w:val="clear" w:pos="8640"/>
        <w:tab w:val="right" w:pos="9071"/>
      </w:tabs>
      <w:jc w:val="both"/>
    </w:pPr>
    <w:r w:rsidRPr="00D65E91">
      <w:rPr>
        <w:rFonts w:hint="eastAsia"/>
      </w:rPr>
      <w:t>汉高股份有限及两合公司</w:t>
    </w:r>
    <w:r w:rsidRPr="00D65E91">
      <w:rPr>
        <w:rFonts w:hint="eastAsia"/>
      </w:rPr>
      <w:tab/>
    </w:r>
    <w:r w:rsidRPr="00D65E91">
      <w:rPr>
        <w:rFonts w:hint="eastAsia"/>
      </w:rPr>
      <w:t>页码</w:t>
    </w:r>
    <w:r w:rsidRPr="00D65E91">
      <w:fldChar w:fldCharType="begin"/>
    </w:r>
    <w:r w:rsidRPr="00D65E91">
      <w:instrText xml:space="preserve"> PAGE  \* Arabic  \* MERGEFORMAT </w:instrText>
    </w:r>
    <w:r w:rsidRPr="00D65E91">
      <w:fldChar w:fldCharType="separate"/>
    </w:r>
    <w:r w:rsidRPr="00D65E91">
      <w:t>2</w:t>
    </w:r>
    <w:r w:rsidRPr="00D65E91">
      <w:fldChar w:fldCharType="end"/>
    </w:r>
    <w:r w:rsidRPr="00D65E91">
      <w:rPr>
        <w:rFonts w:hint="eastAsia"/>
      </w:rPr>
      <w:t>/</w:t>
    </w:r>
    <w:fldSimple w:instr="NUMPAGES  \* Arabic  \* MERGEFORMAT">
      <w:r w:rsidRPr="00D65E91">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618DF674" w:rsidR="00CF6F33" w:rsidRPr="00D65E91" w:rsidRDefault="009E5B95" w:rsidP="00992A11">
    <w:pPr>
      <w:pStyle w:val="Footer"/>
    </w:pPr>
    <w:r w:rsidRPr="00D65E91">
      <w:rPr>
        <w:rFonts w:hint="eastAsia"/>
      </w:rPr>
      <w:drawing>
        <wp:inline distT="0" distB="0" distL="0" distR="0" wp14:anchorId="1C787FF5" wp14:editId="07CBB02F">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322E28" w:rsidRPr="00D65E91">
      <w:rPr>
        <w:rFonts w:hint="eastAsia"/>
      </w:rPr>
      <w:t xml:space="preserve"> </w:t>
    </w:r>
    <w:r w:rsidRPr="00D65E91">
      <w:rPr>
        <w:rFonts w:hint="eastAsia"/>
      </w:rPr>
      <w:br/>
    </w:r>
    <w:r w:rsidRPr="00D65E91">
      <w:rPr>
        <w:rFonts w:hint="eastAsia"/>
      </w:rPr>
      <w:t>页码</w:t>
    </w:r>
    <w:r w:rsidR="0067316A" w:rsidRPr="00D65E91">
      <w:fldChar w:fldCharType="begin"/>
    </w:r>
    <w:r w:rsidR="0067316A" w:rsidRPr="00D65E91">
      <w:instrText xml:space="preserve"> PAGE  \* Arabic  \* MERGEFORMAT </w:instrText>
    </w:r>
    <w:r w:rsidR="0067316A" w:rsidRPr="00D65E91">
      <w:fldChar w:fldCharType="separate"/>
    </w:r>
    <w:r w:rsidR="0067316A" w:rsidRPr="00D65E91">
      <w:t>1</w:t>
    </w:r>
    <w:r w:rsidR="0067316A" w:rsidRPr="00D65E91">
      <w:fldChar w:fldCharType="end"/>
    </w:r>
    <w:r w:rsidRPr="00D65E91">
      <w:rPr>
        <w:rFonts w:hint="eastAsia"/>
      </w:rPr>
      <w:t>/</w:t>
    </w:r>
    <w:fldSimple w:instr=" NUMPAGES  \* Arabic  \* MERGEFORMAT ">
      <w:r w:rsidR="0067316A" w:rsidRPr="00D65E91">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D3A64" w14:textId="77777777" w:rsidR="00EC1263" w:rsidRDefault="00EC1263">
      <w:r>
        <w:separator/>
      </w:r>
    </w:p>
  </w:footnote>
  <w:footnote w:type="continuationSeparator" w:id="0">
    <w:p w14:paraId="06F383FF" w14:textId="77777777" w:rsidR="00EC1263" w:rsidRDefault="00EC1263">
      <w:r>
        <w:continuationSeparator/>
      </w:r>
    </w:p>
  </w:footnote>
  <w:footnote w:type="continuationNotice" w:id="1">
    <w:p w14:paraId="081D85B7" w14:textId="77777777" w:rsidR="00EC1263" w:rsidRDefault="00EC12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5A9C746" w:rsidR="00CF6F33" w:rsidRPr="00D65E91" w:rsidRDefault="0059722C" w:rsidP="00EB46D9">
    <w:pPr>
      <w:pStyle w:val="Header"/>
    </w:pPr>
    <w:r w:rsidRPr="00D65E91">
      <w:rPr>
        <w:rFonts w:hint="eastAsia"/>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65E91">
      <w:rPr>
        <w:rFonts w:hint="eastAsia"/>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6E6E786"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D65E91">
      <w:rPr>
        <w:rFonts w:hint="eastAsia"/>
      </w:rPr>
      <w:br/>
    </w:r>
    <w:r w:rsidRPr="00D65E91">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6"/>
  </w:num>
  <w:num w:numId="4" w16cid:durableId="1234970366">
    <w:abstractNumId w:val="10"/>
  </w:num>
  <w:num w:numId="5" w16cid:durableId="1008554684">
    <w:abstractNumId w:val="7"/>
  </w:num>
  <w:num w:numId="6" w16cid:durableId="933825870">
    <w:abstractNumId w:val="12"/>
  </w:num>
  <w:num w:numId="7" w16cid:durableId="912852597">
    <w:abstractNumId w:val="9"/>
  </w:num>
  <w:num w:numId="8" w16cid:durableId="1625698526">
    <w:abstractNumId w:val="15"/>
  </w:num>
  <w:num w:numId="9" w16cid:durableId="1415131532">
    <w:abstractNumId w:val="0"/>
  </w:num>
  <w:num w:numId="10" w16cid:durableId="1753891704">
    <w:abstractNumId w:val="18"/>
  </w:num>
  <w:num w:numId="11" w16cid:durableId="1821996854">
    <w:abstractNumId w:val="8"/>
  </w:num>
  <w:num w:numId="12" w16cid:durableId="1174342575">
    <w:abstractNumId w:val="0"/>
  </w:num>
  <w:num w:numId="13" w16cid:durableId="421489921">
    <w:abstractNumId w:val="3"/>
  </w:num>
  <w:num w:numId="14" w16cid:durableId="2017075722">
    <w:abstractNumId w:val="4"/>
  </w:num>
  <w:num w:numId="15" w16cid:durableId="809250421">
    <w:abstractNumId w:val="17"/>
  </w:num>
  <w:num w:numId="16" w16cid:durableId="642275258">
    <w:abstractNumId w:val="13"/>
  </w:num>
  <w:num w:numId="17" w16cid:durableId="1280260482">
    <w:abstractNumId w:val="11"/>
  </w:num>
  <w:num w:numId="18" w16cid:durableId="1581863752">
    <w:abstractNumId w:val="5"/>
  </w:num>
  <w:num w:numId="19" w16cid:durableId="1326934875">
    <w:abstractNumId w:val="14"/>
  </w:num>
  <w:num w:numId="20" w16cid:durableId="1572081013">
    <w:abstractNumId w:val="6"/>
  </w:num>
  <w:num w:numId="21" w16cid:durableId="1252617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0A76"/>
    <w:rsid w:val="00002AA4"/>
    <w:rsid w:val="00004F3C"/>
    <w:rsid w:val="000050F2"/>
    <w:rsid w:val="00005267"/>
    <w:rsid w:val="00006346"/>
    <w:rsid w:val="000069EB"/>
    <w:rsid w:val="00006A45"/>
    <w:rsid w:val="000070A8"/>
    <w:rsid w:val="00007CCB"/>
    <w:rsid w:val="00012E70"/>
    <w:rsid w:val="000136FE"/>
    <w:rsid w:val="00014FC1"/>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45B0"/>
    <w:rsid w:val="00034F19"/>
    <w:rsid w:val="00035A84"/>
    <w:rsid w:val="00037933"/>
    <w:rsid w:val="00040390"/>
    <w:rsid w:val="00040816"/>
    <w:rsid w:val="00040CC9"/>
    <w:rsid w:val="00041F81"/>
    <w:rsid w:val="000425ED"/>
    <w:rsid w:val="00045CCB"/>
    <w:rsid w:val="000510FC"/>
    <w:rsid w:val="00051555"/>
    <w:rsid w:val="00051E86"/>
    <w:rsid w:val="000527F1"/>
    <w:rsid w:val="00054AFE"/>
    <w:rsid w:val="0005544E"/>
    <w:rsid w:val="000570AE"/>
    <w:rsid w:val="000575F9"/>
    <w:rsid w:val="0006148D"/>
    <w:rsid w:val="000618FC"/>
    <w:rsid w:val="00063BE9"/>
    <w:rsid w:val="00065466"/>
    <w:rsid w:val="000665F3"/>
    <w:rsid w:val="00067071"/>
    <w:rsid w:val="00067F67"/>
    <w:rsid w:val="00070652"/>
    <w:rsid w:val="00070757"/>
    <w:rsid w:val="00071284"/>
    <w:rsid w:val="00073AED"/>
    <w:rsid w:val="00074942"/>
    <w:rsid w:val="000751A7"/>
    <w:rsid w:val="0007558F"/>
    <w:rsid w:val="00077382"/>
    <w:rsid w:val="000773D2"/>
    <w:rsid w:val="0007746E"/>
    <w:rsid w:val="00077AF9"/>
    <w:rsid w:val="00080D10"/>
    <w:rsid w:val="00081241"/>
    <w:rsid w:val="00081692"/>
    <w:rsid w:val="00081EF8"/>
    <w:rsid w:val="00082417"/>
    <w:rsid w:val="0008357F"/>
    <w:rsid w:val="00083A35"/>
    <w:rsid w:val="00083A61"/>
    <w:rsid w:val="00083DAB"/>
    <w:rsid w:val="00083F9D"/>
    <w:rsid w:val="0008406B"/>
    <w:rsid w:val="00084918"/>
    <w:rsid w:val="0008581D"/>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B005C"/>
    <w:rsid w:val="000B10DE"/>
    <w:rsid w:val="000B2E86"/>
    <w:rsid w:val="000B31E4"/>
    <w:rsid w:val="000B4714"/>
    <w:rsid w:val="000B5D2F"/>
    <w:rsid w:val="000B5E32"/>
    <w:rsid w:val="000B6244"/>
    <w:rsid w:val="000B695A"/>
    <w:rsid w:val="000B72A8"/>
    <w:rsid w:val="000C210A"/>
    <w:rsid w:val="000C27E5"/>
    <w:rsid w:val="000C30D6"/>
    <w:rsid w:val="000C47D1"/>
    <w:rsid w:val="000C50A1"/>
    <w:rsid w:val="000C56DD"/>
    <w:rsid w:val="000C63F4"/>
    <w:rsid w:val="000C65FB"/>
    <w:rsid w:val="000D11CB"/>
    <w:rsid w:val="000D14C4"/>
    <w:rsid w:val="000D1672"/>
    <w:rsid w:val="000D178A"/>
    <w:rsid w:val="000D18CE"/>
    <w:rsid w:val="000D40C6"/>
    <w:rsid w:val="000D52F6"/>
    <w:rsid w:val="000D6C67"/>
    <w:rsid w:val="000D738C"/>
    <w:rsid w:val="000E0CAB"/>
    <w:rsid w:val="000E11D9"/>
    <w:rsid w:val="000E1B84"/>
    <w:rsid w:val="000E2F62"/>
    <w:rsid w:val="000E38ED"/>
    <w:rsid w:val="000E45C7"/>
    <w:rsid w:val="000E7F24"/>
    <w:rsid w:val="000F03BE"/>
    <w:rsid w:val="000F1757"/>
    <w:rsid w:val="000F225B"/>
    <w:rsid w:val="000F333E"/>
    <w:rsid w:val="000F41BC"/>
    <w:rsid w:val="000F48E9"/>
    <w:rsid w:val="000F4DAE"/>
    <w:rsid w:val="000F7ADB"/>
    <w:rsid w:val="000F7FAF"/>
    <w:rsid w:val="001000BB"/>
    <w:rsid w:val="0010048F"/>
    <w:rsid w:val="00100D8B"/>
    <w:rsid w:val="00100FC9"/>
    <w:rsid w:val="00101CB5"/>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35E4"/>
    <w:rsid w:val="00114B27"/>
    <w:rsid w:val="00114DDF"/>
    <w:rsid w:val="00115230"/>
    <w:rsid w:val="00115B5F"/>
    <w:rsid w:val="001162B4"/>
    <w:rsid w:val="00116DF3"/>
    <w:rsid w:val="00117B1C"/>
    <w:rsid w:val="00121625"/>
    <w:rsid w:val="00122B90"/>
    <w:rsid w:val="00122CBC"/>
    <w:rsid w:val="0012414B"/>
    <w:rsid w:val="00124FA3"/>
    <w:rsid w:val="00126C65"/>
    <w:rsid w:val="00126D4A"/>
    <w:rsid w:val="00131762"/>
    <w:rsid w:val="001318EB"/>
    <w:rsid w:val="00132DA9"/>
    <w:rsid w:val="0013305B"/>
    <w:rsid w:val="00133B99"/>
    <w:rsid w:val="0013569C"/>
    <w:rsid w:val="00135939"/>
    <w:rsid w:val="001369E3"/>
    <w:rsid w:val="001375DD"/>
    <w:rsid w:val="00141DA6"/>
    <w:rsid w:val="00142EFB"/>
    <w:rsid w:val="001438BF"/>
    <w:rsid w:val="001443BD"/>
    <w:rsid w:val="00144A87"/>
    <w:rsid w:val="00144DD5"/>
    <w:rsid w:val="0014545C"/>
    <w:rsid w:val="00145B62"/>
    <w:rsid w:val="00146193"/>
    <w:rsid w:val="00152022"/>
    <w:rsid w:val="00152026"/>
    <w:rsid w:val="00152A41"/>
    <w:rsid w:val="001577E9"/>
    <w:rsid w:val="00157A59"/>
    <w:rsid w:val="0016138C"/>
    <w:rsid w:val="00162D60"/>
    <w:rsid w:val="001640D5"/>
    <w:rsid w:val="00164BE6"/>
    <w:rsid w:val="001653D7"/>
    <w:rsid w:val="001659FB"/>
    <w:rsid w:val="00166F97"/>
    <w:rsid w:val="00172C99"/>
    <w:rsid w:val="001731CE"/>
    <w:rsid w:val="00175C72"/>
    <w:rsid w:val="00177A8C"/>
    <w:rsid w:val="00177B37"/>
    <w:rsid w:val="00180F93"/>
    <w:rsid w:val="00181B06"/>
    <w:rsid w:val="001859AD"/>
    <w:rsid w:val="0018672E"/>
    <w:rsid w:val="00187A15"/>
    <w:rsid w:val="00191458"/>
    <w:rsid w:val="00191DD2"/>
    <w:rsid w:val="00196828"/>
    <w:rsid w:val="00196A14"/>
    <w:rsid w:val="00197E9B"/>
    <w:rsid w:val="001A1185"/>
    <w:rsid w:val="001A1FEB"/>
    <w:rsid w:val="001A3D77"/>
    <w:rsid w:val="001A4C03"/>
    <w:rsid w:val="001A632A"/>
    <w:rsid w:val="001B236E"/>
    <w:rsid w:val="001B3094"/>
    <w:rsid w:val="001B30F7"/>
    <w:rsid w:val="001B31F0"/>
    <w:rsid w:val="001B4862"/>
    <w:rsid w:val="001B5147"/>
    <w:rsid w:val="001B65FF"/>
    <w:rsid w:val="001B710A"/>
    <w:rsid w:val="001B771D"/>
    <w:rsid w:val="001B7C20"/>
    <w:rsid w:val="001C0B32"/>
    <w:rsid w:val="001C2D66"/>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11A1"/>
    <w:rsid w:val="001F1AB5"/>
    <w:rsid w:val="001F1BDF"/>
    <w:rsid w:val="001F1D6D"/>
    <w:rsid w:val="001F35F8"/>
    <w:rsid w:val="001F39FC"/>
    <w:rsid w:val="001F4AC3"/>
    <w:rsid w:val="001F4CAC"/>
    <w:rsid w:val="001F52E0"/>
    <w:rsid w:val="001F590C"/>
    <w:rsid w:val="001F5D69"/>
    <w:rsid w:val="001F7110"/>
    <w:rsid w:val="001F75DB"/>
    <w:rsid w:val="001F773D"/>
    <w:rsid w:val="001F7E96"/>
    <w:rsid w:val="002005F5"/>
    <w:rsid w:val="00200921"/>
    <w:rsid w:val="00202284"/>
    <w:rsid w:val="00202C65"/>
    <w:rsid w:val="0020528D"/>
    <w:rsid w:val="0020543B"/>
    <w:rsid w:val="00205A66"/>
    <w:rsid w:val="002063CF"/>
    <w:rsid w:val="00206613"/>
    <w:rsid w:val="0020756B"/>
    <w:rsid w:val="00207E75"/>
    <w:rsid w:val="00210D86"/>
    <w:rsid w:val="0021158F"/>
    <w:rsid w:val="00212488"/>
    <w:rsid w:val="002129A6"/>
    <w:rsid w:val="0021375B"/>
    <w:rsid w:val="002151DB"/>
    <w:rsid w:val="0021591A"/>
    <w:rsid w:val="00220628"/>
    <w:rsid w:val="00221A45"/>
    <w:rsid w:val="00221BA0"/>
    <w:rsid w:val="00222DEE"/>
    <w:rsid w:val="002260C7"/>
    <w:rsid w:val="002304D2"/>
    <w:rsid w:val="002338C1"/>
    <w:rsid w:val="00233D04"/>
    <w:rsid w:val="0023494D"/>
    <w:rsid w:val="00234ABD"/>
    <w:rsid w:val="00236491"/>
    <w:rsid w:val="00236C3B"/>
    <w:rsid w:val="00236E2A"/>
    <w:rsid w:val="00237F62"/>
    <w:rsid w:val="00241E10"/>
    <w:rsid w:val="00242A6B"/>
    <w:rsid w:val="0024458B"/>
    <w:rsid w:val="0024586A"/>
    <w:rsid w:val="0024601F"/>
    <w:rsid w:val="002502B2"/>
    <w:rsid w:val="002502E1"/>
    <w:rsid w:val="00250F80"/>
    <w:rsid w:val="0025124F"/>
    <w:rsid w:val="00251330"/>
    <w:rsid w:val="002518A2"/>
    <w:rsid w:val="002528B3"/>
    <w:rsid w:val="0025551F"/>
    <w:rsid w:val="00255F8C"/>
    <w:rsid w:val="00256174"/>
    <w:rsid w:val="00256F0C"/>
    <w:rsid w:val="00257231"/>
    <w:rsid w:val="00260318"/>
    <w:rsid w:val="00261C23"/>
    <w:rsid w:val="00262C05"/>
    <w:rsid w:val="00263868"/>
    <w:rsid w:val="00266359"/>
    <w:rsid w:val="002715AF"/>
    <w:rsid w:val="002717F0"/>
    <w:rsid w:val="00272A6F"/>
    <w:rsid w:val="0027301C"/>
    <w:rsid w:val="00273099"/>
    <w:rsid w:val="00281D14"/>
    <w:rsid w:val="00282953"/>
    <w:rsid w:val="00282C13"/>
    <w:rsid w:val="002833D8"/>
    <w:rsid w:val="00285669"/>
    <w:rsid w:val="00286BF6"/>
    <w:rsid w:val="002872FE"/>
    <w:rsid w:val="00287337"/>
    <w:rsid w:val="00287DEE"/>
    <w:rsid w:val="002903B7"/>
    <w:rsid w:val="00294EB3"/>
    <w:rsid w:val="00295E54"/>
    <w:rsid w:val="002962D7"/>
    <w:rsid w:val="00296C33"/>
    <w:rsid w:val="002A0462"/>
    <w:rsid w:val="002A0D7B"/>
    <w:rsid w:val="002A0DF7"/>
    <w:rsid w:val="002A268C"/>
    <w:rsid w:val="002A2975"/>
    <w:rsid w:val="002A460D"/>
    <w:rsid w:val="002A4CEA"/>
    <w:rsid w:val="002A505B"/>
    <w:rsid w:val="002A5EE9"/>
    <w:rsid w:val="002A60E0"/>
    <w:rsid w:val="002A7B37"/>
    <w:rsid w:val="002B03A5"/>
    <w:rsid w:val="002B1AA8"/>
    <w:rsid w:val="002B1E51"/>
    <w:rsid w:val="002B1E87"/>
    <w:rsid w:val="002B35E0"/>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4A4"/>
    <w:rsid w:val="002D5969"/>
    <w:rsid w:val="002D5D1D"/>
    <w:rsid w:val="002D6EFD"/>
    <w:rsid w:val="002D74CF"/>
    <w:rsid w:val="002E0A45"/>
    <w:rsid w:val="002E0B17"/>
    <w:rsid w:val="002E26B4"/>
    <w:rsid w:val="002E3D1C"/>
    <w:rsid w:val="002E4FFB"/>
    <w:rsid w:val="002E6110"/>
    <w:rsid w:val="002E63A7"/>
    <w:rsid w:val="002E650E"/>
    <w:rsid w:val="002E6E2F"/>
    <w:rsid w:val="002E7DED"/>
    <w:rsid w:val="002F0334"/>
    <w:rsid w:val="002F0C03"/>
    <w:rsid w:val="002F2A7B"/>
    <w:rsid w:val="002F4AB2"/>
    <w:rsid w:val="002F5944"/>
    <w:rsid w:val="002F7BC2"/>
    <w:rsid w:val="002F7E11"/>
    <w:rsid w:val="0030037C"/>
    <w:rsid w:val="00301C72"/>
    <w:rsid w:val="00304087"/>
    <w:rsid w:val="003053B8"/>
    <w:rsid w:val="003053DC"/>
    <w:rsid w:val="003054B0"/>
    <w:rsid w:val="003057B1"/>
    <w:rsid w:val="003062AD"/>
    <w:rsid w:val="00306D32"/>
    <w:rsid w:val="00310ACD"/>
    <w:rsid w:val="00312C23"/>
    <w:rsid w:val="0031379F"/>
    <w:rsid w:val="00313A9C"/>
    <w:rsid w:val="00314A97"/>
    <w:rsid w:val="0031621E"/>
    <w:rsid w:val="00316A16"/>
    <w:rsid w:val="00320228"/>
    <w:rsid w:val="00320A26"/>
    <w:rsid w:val="003212F3"/>
    <w:rsid w:val="00321344"/>
    <w:rsid w:val="00321788"/>
    <w:rsid w:val="00322E28"/>
    <w:rsid w:val="00325064"/>
    <w:rsid w:val="00325630"/>
    <w:rsid w:val="00325EC9"/>
    <w:rsid w:val="00326D29"/>
    <w:rsid w:val="003279C6"/>
    <w:rsid w:val="0032B295"/>
    <w:rsid w:val="00331A3E"/>
    <w:rsid w:val="0033451C"/>
    <w:rsid w:val="00335660"/>
    <w:rsid w:val="00335FBD"/>
    <w:rsid w:val="00336854"/>
    <w:rsid w:val="0033769B"/>
    <w:rsid w:val="0034015C"/>
    <w:rsid w:val="00341409"/>
    <w:rsid w:val="00341CAE"/>
    <w:rsid w:val="003442F4"/>
    <w:rsid w:val="00344546"/>
    <w:rsid w:val="003455CF"/>
    <w:rsid w:val="00345FA1"/>
    <w:rsid w:val="0034685B"/>
    <w:rsid w:val="0034716E"/>
    <w:rsid w:val="00350CB4"/>
    <w:rsid w:val="00353705"/>
    <w:rsid w:val="00354B07"/>
    <w:rsid w:val="00354C69"/>
    <w:rsid w:val="00355536"/>
    <w:rsid w:val="003562E8"/>
    <w:rsid w:val="003614D7"/>
    <w:rsid w:val="00361E9F"/>
    <w:rsid w:val="00361FB0"/>
    <w:rsid w:val="0036357D"/>
    <w:rsid w:val="003649BC"/>
    <w:rsid w:val="00364F7E"/>
    <w:rsid w:val="00365E44"/>
    <w:rsid w:val="003662B1"/>
    <w:rsid w:val="003667AD"/>
    <w:rsid w:val="00367AA1"/>
    <w:rsid w:val="00370A5B"/>
    <w:rsid w:val="00372497"/>
    <w:rsid w:val="00372619"/>
    <w:rsid w:val="00372E36"/>
    <w:rsid w:val="00373D53"/>
    <w:rsid w:val="00375653"/>
    <w:rsid w:val="00375DFA"/>
    <w:rsid w:val="00375F7D"/>
    <w:rsid w:val="003767D3"/>
    <w:rsid w:val="00376EE9"/>
    <w:rsid w:val="00376FFC"/>
    <w:rsid w:val="003770EC"/>
    <w:rsid w:val="00377CBB"/>
    <w:rsid w:val="00384F62"/>
    <w:rsid w:val="00385438"/>
    <w:rsid w:val="003858E5"/>
    <w:rsid w:val="00385E09"/>
    <w:rsid w:val="00386BA4"/>
    <w:rsid w:val="003877B6"/>
    <w:rsid w:val="00391539"/>
    <w:rsid w:val="003915B0"/>
    <w:rsid w:val="003921B7"/>
    <w:rsid w:val="00393887"/>
    <w:rsid w:val="00393F1B"/>
    <w:rsid w:val="00394C6B"/>
    <w:rsid w:val="0039610B"/>
    <w:rsid w:val="00397C2B"/>
    <w:rsid w:val="00397C90"/>
    <w:rsid w:val="003A0961"/>
    <w:rsid w:val="003A290F"/>
    <w:rsid w:val="003A4AAA"/>
    <w:rsid w:val="003A4B10"/>
    <w:rsid w:val="003A4E2E"/>
    <w:rsid w:val="003A4E62"/>
    <w:rsid w:val="003A56EB"/>
    <w:rsid w:val="003A5A6A"/>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34C9"/>
    <w:rsid w:val="003C4EB2"/>
    <w:rsid w:val="003C5E05"/>
    <w:rsid w:val="003C63D0"/>
    <w:rsid w:val="003C7959"/>
    <w:rsid w:val="003D0FD1"/>
    <w:rsid w:val="003D3968"/>
    <w:rsid w:val="003D42AF"/>
    <w:rsid w:val="003D4682"/>
    <w:rsid w:val="003D4AD2"/>
    <w:rsid w:val="003D5E11"/>
    <w:rsid w:val="003D73C0"/>
    <w:rsid w:val="003E031D"/>
    <w:rsid w:val="003E1343"/>
    <w:rsid w:val="003E6849"/>
    <w:rsid w:val="003E7305"/>
    <w:rsid w:val="003F0C1C"/>
    <w:rsid w:val="003F11AB"/>
    <w:rsid w:val="003F1AF3"/>
    <w:rsid w:val="003F25E4"/>
    <w:rsid w:val="003F4743"/>
    <w:rsid w:val="003F4804"/>
    <w:rsid w:val="003F4AAA"/>
    <w:rsid w:val="003F4D8D"/>
    <w:rsid w:val="003F66A4"/>
    <w:rsid w:val="003F750F"/>
    <w:rsid w:val="00401508"/>
    <w:rsid w:val="00401688"/>
    <w:rsid w:val="004024D9"/>
    <w:rsid w:val="0040257E"/>
    <w:rsid w:val="0040386D"/>
    <w:rsid w:val="00404188"/>
    <w:rsid w:val="00406435"/>
    <w:rsid w:val="004066F9"/>
    <w:rsid w:val="00406CBE"/>
    <w:rsid w:val="00406E1E"/>
    <w:rsid w:val="004073DC"/>
    <w:rsid w:val="004128C1"/>
    <w:rsid w:val="004137C0"/>
    <w:rsid w:val="004138F3"/>
    <w:rsid w:val="00417640"/>
    <w:rsid w:val="00421F20"/>
    <w:rsid w:val="00423B63"/>
    <w:rsid w:val="0042630F"/>
    <w:rsid w:val="00427BEA"/>
    <w:rsid w:val="00427EDC"/>
    <w:rsid w:val="00430120"/>
    <w:rsid w:val="004313E7"/>
    <w:rsid w:val="00432542"/>
    <w:rsid w:val="004339B2"/>
    <w:rsid w:val="00436CCB"/>
    <w:rsid w:val="00437BB5"/>
    <w:rsid w:val="00440223"/>
    <w:rsid w:val="00444A70"/>
    <w:rsid w:val="0044763B"/>
    <w:rsid w:val="00452696"/>
    <w:rsid w:val="00453F32"/>
    <w:rsid w:val="00454597"/>
    <w:rsid w:val="00454665"/>
    <w:rsid w:val="00456A53"/>
    <w:rsid w:val="0046213C"/>
    <w:rsid w:val="00462518"/>
    <w:rsid w:val="0046266D"/>
    <w:rsid w:val="004629B3"/>
    <w:rsid w:val="00463022"/>
    <w:rsid w:val="0046376E"/>
    <w:rsid w:val="00463B50"/>
    <w:rsid w:val="004647C5"/>
    <w:rsid w:val="0046587C"/>
    <w:rsid w:val="0046690F"/>
    <w:rsid w:val="0046792B"/>
    <w:rsid w:val="00471116"/>
    <w:rsid w:val="00472FEC"/>
    <w:rsid w:val="0047503A"/>
    <w:rsid w:val="00476830"/>
    <w:rsid w:val="0047696E"/>
    <w:rsid w:val="004770F6"/>
    <w:rsid w:val="004812D2"/>
    <w:rsid w:val="00483617"/>
    <w:rsid w:val="00483B28"/>
    <w:rsid w:val="004858E1"/>
    <w:rsid w:val="00485EF2"/>
    <w:rsid w:val="004864A1"/>
    <w:rsid w:val="00486D3B"/>
    <w:rsid w:val="0048769E"/>
    <w:rsid w:val="00490A03"/>
    <w:rsid w:val="00490B0D"/>
    <w:rsid w:val="00490E5D"/>
    <w:rsid w:val="0049251E"/>
    <w:rsid w:val="004927A6"/>
    <w:rsid w:val="00492B0A"/>
    <w:rsid w:val="00492D88"/>
    <w:rsid w:val="00493327"/>
    <w:rsid w:val="0049382E"/>
    <w:rsid w:val="00493B38"/>
    <w:rsid w:val="00494DBE"/>
    <w:rsid w:val="00495CE6"/>
    <w:rsid w:val="00497524"/>
    <w:rsid w:val="00497D5E"/>
    <w:rsid w:val="004A144D"/>
    <w:rsid w:val="004A18C6"/>
    <w:rsid w:val="004A1A89"/>
    <w:rsid w:val="004A1D27"/>
    <w:rsid w:val="004A323C"/>
    <w:rsid w:val="004A4662"/>
    <w:rsid w:val="004A5A76"/>
    <w:rsid w:val="004B0801"/>
    <w:rsid w:val="004B1117"/>
    <w:rsid w:val="004B1A6B"/>
    <w:rsid w:val="004B1FC8"/>
    <w:rsid w:val="004B2886"/>
    <w:rsid w:val="004B339A"/>
    <w:rsid w:val="004B54E8"/>
    <w:rsid w:val="004B773C"/>
    <w:rsid w:val="004C0138"/>
    <w:rsid w:val="004C0686"/>
    <w:rsid w:val="004C0BFD"/>
    <w:rsid w:val="004C12E8"/>
    <w:rsid w:val="004C130C"/>
    <w:rsid w:val="004C1578"/>
    <w:rsid w:val="004C174B"/>
    <w:rsid w:val="004C286B"/>
    <w:rsid w:val="004C33BA"/>
    <w:rsid w:val="004C47EA"/>
    <w:rsid w:val="004C4FEB"/>
    <w:rsid w:val="004C538F"/>
    <w:rsid w:val="004C6570"/>
    <w:rsid w:val="004C678C"/>
    <w:rsid w:val="004C6B79"/>
    <w:rsid w:val="004C7345"/>
    <w:rsid w:val="004D059B"/>
    <w:rsid w:val="004D0844"/>
    <w:rsid w:val="004D09E8"/>
    <w:rsid w:val="004D09F9"/>
    <w:rsid w:val="004D0E64"/>
    <w:rsid w:val="004D304E"/>
    <w:rsid w:val="004D4543"/>
    <w:rsid w:val="004D48A8"/>
    <w:rsid w:val="004D4CB6"/>
    <w:rsid w:val="004D4DCB"/>
    <w:rsid w:val="004E0907"/>
    <w:rsid w:val="004E20CF"/>
    <w:rsid w:val="004E2324"/>
    <w:rsid w:val="004E28C9"/>
    <w:rsid w:val="004E3341"/>
    <w:rsid w:val="004E4F78"/>
    <w:rsid w:val="004E5124"/>
    <w:rsid w:val="004E735E"/>
    <w:rsid w:val="004E7BE2"/>
    <w:rsid w:val="004E7E3A"/>
    <w:rsid w:val="004F10C1"/>
    <w:rsid w:val="004F1C5E"/>
    <w:rsid w:val="004F3E47"/>
    <w:rsid w:val="004F4CC8"/>
    <w:rsid w:val="004F4F5A"/>
    <w:rsid w:val="004F51FF"/>
    <w:rsid w:val="004F56E7"/>
    <w:rsid w:val="004F5AD9"/>
    <w:rsid w:val="004F699F"/>
    <w:rsid w:val="00500955"/>
    <w:rsid w:val="0050159C"/>
    <w:rsid w:val="005018C2"/>
    <w:rsid w:val="005022B7"/>
    <w:rsid w:val="00502E62"/>
    <w:rsid w:val="00506B8A"/>
    <w:rsid w:val="005110D3"/>
    <w:rsid w:val="00512EB8"/>
    <w:rsid w:val="00520A65"/>
    <w:rsid w:val="00521891"/>
    <w:rsid w:val="005218B8"/>
    <w:rsid w:val="0052212B"/>
    <w:rsid w:val="005221A8"/>
    <w:rsid w:val="005230C7"/>
    <w:rsid w:val="0052367C"/>
    <w:rsid w:val="0052625A"/>
    <w:rsid w:val="005266EA"/>
    <w:rsid w:val="00527072"/>
    <w:rsid w:val="0053001D"/>
    <w:rsid w:val="00533318"/>
    <w:rsid w:val="00533DCC"/>
    <w:rsid w:val="00534B46"/>
    <w:rsid w:val="00534CE8"/>
    <w:rsid w:val="00535018"/>
    <w:rsid w:val="00535180"/>
    <w:rsid w:val="005355DB"/>
    <w:rsid w:val="00535866"/>
    <w:rsid w:val="005358D7"/>
    <w:rsid w:val="00540358"/>
    <w:rsid w:val="00540A05"/>
    <w:rsid w:val="00540D47"/>
    <w:rsid w:val="005428D7"/>
    <w:rsid w:val="00542D43"/>
    <w:rsid w:val="00543E0E"/>
    <w:rsid w:val="00544504"/>
    <w:rsid w:val="005463C3"/>
    <w:rsid w:val="005465A3"/>
    <w:rsid w:val="00547C7C"/>
    <w:rsid w:val="005506D5"/>
    <w:rsid w:val="00550864"/>
    <w:rsid w:val="00550B92"/>
    <w:rsid w:val="00551D6C"/>
    <w:rsid w:val="00552F86"/>
    <w:rsid w:val="00553580"/>
    <w:rsid w:val="005550A8"/>
    <w:rsid w:val="0055571E"/>
    <w:rsid w:val="00556F67"/>
    <w:rsid w:val="00557849"/>
    <w:rsid w:val="00563009"/>
    <w:rsid w:val="005635B7"/>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6280"/>
    <w:rsid w:val="005865FC"/>
    <w:rsid w:val="005869CE"/>
    <w:rsid w:val="00586CAF"/>
    <w:rsid w:val="005873E9"/>
    <w:rsid w:val="00587A90"/>
    <w:rsid w:val="00591180"/>
    <w:rsid w:val="00592E9F"/>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B6AEB"/>
    <w:rsid w:val="005C2D0E"/>
    <w:rsid w:val="005C5A83"/>
    <w:rsid w:val="005C7112"/>
    <w:rsid w:val="005D0561"/>
    <w:rsid w:val="005D0AD9"/>
    <w:rsid w:val="005D1A67"/>
    <w:rsid w:val="005D1C91"/>
    <w:rsid w:val="005D22F6"/>
    <w:rsid w:val="005D6774"/>
    <w:rsid w:val="005D68AA"/>
    <w:rsid w:val="005D6BD1"/>
    <w:rsid w:val="005E060E"/>
    <w:rsid w:val="005E0C30"/>
    <w:rsid w:val="005E1DCB"/>
    <w:rsid w:val="005E2377"/>
    <w:rsid w:val="005E2EE4"/>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3902"/>
    <w:rsid w:val="00605DFE"/>
    <w:rsid w:val="00607094"/>
    <w:rsid w:val="00607256"/>
    <w:rsid w:val="0060790C"/>
    <w:rsid w:val="0060791E"/>
    <w:rsid w:val="00611F08"/>
    <w:rsid w:val="00613BF1"/>
    <w:rsid w:val="006144B1"/>
    <w:rsid w:val="00615A5C"/>
    <w:rsid w:val="006177FF"/>
    <w:rsid w:val="0062077F"/>
    <w:rsid w:val="00621BC7"/>
    <w:rsid w:val="00622033"/>
    <w:rsid w:val="0062232C"/>
    <w:rsid w:val="00630644"/>
    <w:rsid w:val="006335F1"/>
    <w:rsid w:val="006336FD"/>
    <w:rsid w:val="00633B49"/>
    <w:rsid w:val="006345B6"/>
    <w:rsid w:val="006349FD"/>
    <w:rsid w:val="00635616"/>
    <w:rsid w:val="00635712"/>
    <w:rsid w:val="00635984"/>
    <w:rsid w:val="00635F41"/>
    <w:rsid w:val="006368FF"/>
    <w:rsid w:val="006377D4"/>
    <w:rsid w:val="00640135"/>
    <w:rsid w:val="006402FF"/>
    <w:rsid w:val="0064107F"/>
    <w:rsid w:val="00643D8A"/>
    <w:rsid w:val="00645A5C"/>
    <w:rsid w:val="00646797"/>
    <w:rsid w:val="00647AB9"/>
    <w:rsid w:val="00650894"/>
    <w:rsid w:val="0065112B"/>
    <w:rsid w:val="00652091"/>
    <w:rsid w:val="00652229"/>
    <w:rsid w:val="00652793"/>
    <w:rsid w:val="006528DE"/>
    <w:rsid w:val="00657789"/>
    <w:rsid w:val="00660196"/>
    <w:rsid w:val="00660320"/>
    <w:rsid w:val="0066187E"/>
    <w:rsid w:val="00662375"/>
    <w:rsid w:val="006626CA"/>
    <w:rsid w:val="00663487"/>
    <w:rsid w:val="006662DE"/>
    <w:rsid w:val="0066654A"/>
    <w:rsid w:val="00672382"/>
    <w:rsid w:val="0067316A"/>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699A"/>
    <w:rsid w:val="00690842"/>
    <w:rsid w:val="00690B19"/>
    <w:rsid w:val="0069650C"/>
    <w:rsid w:val="006A0A3C"/>
    <w:rsid w:val="006A1ED8"/>
    <w:rsid w:val="006A59E9"/>
    <w:rsid w:val="006A5AB1"/>
    <w:rsid w:val="006A75B8"/>
    <w:rsid w:val="006A79F0"/>
    <w:rsid w:val="006B048F"/>
    <w:rsid w:val="006B1554"/>
    <w:rsid w:val="006B359D"/>
    <w:rsid w:val="006B47EE"/>
    <w:rsid w:val="006B499F"/>
    <w:rsid w:val="006B54C6"/>
    <w:rsid w:val="006B617F"/>
    <w:rsid w:val="006C1FB8"/>
    <w:rsid w:val="006C28CB"/>
    <w:rsid w:val="006C2BB0"/>
    <w:rsid w:val="006C33BE"/>
    <w:rsid w:val="006C4B3D"/>
    <w:rsid w:val="006C587D"/>
    <w:rsid w:val="006C5B53"/>
    <w:rsid w:val="006C757C"/>
    <w:rsid w:val="006C7712"/>
    <w:rsid w:val="006C7E78"/>
    <w:rsid w:val="006D064D"/>
    <w:rsid w:val="006D098F"/>
    <w:rsid w:val="006D20E3"/>
    <w:rsid w:val="006D2218"/>
    <w:rsid w:val="006D33E1"/>
    <w:rsid w:val="006D4996"/>
    <w:rsid w:val="006D535B"/>
    <w:rsid w:val="006D54AB"/>
    <w:rsid w:val="006D58E5"/>
    <w:rsid w:val="006E1084"/>
    <w:rsid w:val="006E10B2"/>
    <w:rsid w:val="006E1FA9"/>
    <w:rsid w:val="006E2D24"/>
    <w:rsid w:val="006E3006"/>
    <w:rsid w:val="006E4F02"/>
    <w:rsid w:val="006E5032"/>
    <w:rsid w:val="006E519F"/>
    <w:rsid w:val="006E5BDA"/>
    <w:rsid w:val="006E7AC9"/>
    <w:rsid w:val="006F0FC7"/>
    <w:rsid w:val="006F1BEC"/>
    <w:rsid w:val="006F2B29"/>
    <w:rsid w:val="006F329F"/>
    <w:rsid w:val="006F39A9"/>
    <w:rsid w:val="006F3D9D"/>
    <w:rsid w:val="006F524E"/>
    <w:rsid w:val="006F5D57"/>
    <w:rsid w:val="006F643F"/>
    <w:rsid w:val="006F670F"/>
    <w:rsid w:val="006F74EC"/>
    <w:rsid w:val="006F77F3"/>
    <w:rsid w:val="0070063C"/>
    <w:rsid w:val="00700939"/>
    <w:rsid w:val="007009EF"/>
    <w:rsid w:val="00700D69"/>
    <w:rsid w:val="00702921"/>
    <w:rsid w:val="00703272"/>
    <w:rsid w:val="0070362C"/>
    <w:rsid w:val="0070471B"/>
    <w:rsid w:val="00705BBE"/>
    <w:rsid w:val="0070733C"/>
    <w:rsid w:val="00707436"/>
    <w:rsid w:val="007102D5"/>
    <w:rsid w:val="00710C5D"/>
    <w:rsid w:val="007128C0"/>
    <w:rsid w:val="0071348C"/>
    <w:rsid w:val="00717273"/>
    <w:rsid w:val="00720BC4"/>
    <w:rsid w:val="00720FD4"/>
    <w:rsid w:val="00721072"/>
    <w:rsid w:val="00722F57"/>
    <w:rsid w:val="0072314B"/>
    <w:rsid w:val="00723C6D"/>
    <w:rsid w:val="00724550"/>
    <w:rsid w:val="007246A0"/>
    <w:rsid w:val="00724737"/>
    <w:rsid w:val="00724AF2"/>
    <w:rsid w:val="00730624"/>
    <w:rsid w:val="0073096C"/>
    <w:rsid w:val="0073100D"/>
    <w:rsid w:val="00731368"/>
    <w:rsid w:val="00731C55"/>
    <w:rsid w:val="00733429"/>
    <w:rsid w:val="00733A46"/>
    <w:rsid w:val="00735E2D"/>
    <w:rsid w:val="00736DDC"/>
    <w:rsid w:val="00736F2C"/>
    <w:rsid w:val="00737A3F"/>
    <w:rsid w:val="007419C8"/>
    <w:rsid w:val="00741D9F"/>
    <w:rsid w:val="00742398"/>
    <w:rsid w:val="007432A9"/>
    <w:rsid w:val="00745C0B"/>
    <w:rsid w:val="00746050"/>
    <w:rsid w:val="00746118"/>
    <w:rsid w:val="00746C7F"/>
    <w:rsid w:val="007507B5"/>
    <w:rsid w:val="0075091D"/>
    <w:rsid w:val="00750EC4"/>
    <w:rsid w:val="00751831"/>
    <w:rsid w:val="0075201B"/>
    <w:rsid w:val="007523F8"/>
    <w:rsid w:val="00753A24"/>
    <w:rsid w:val="0075430D"/>
    <w:rsid w:val="007558B1"/>
    <w:rsid w:val="0075779F"/>
    <w:rsid w:val="0076354B"/>
    <w:rsid w:val="0076414E"/>
    <w:rsid w:val="007658F3"/>
    <w:rsid w:val="007661FA"/>
    <w:rsid w:val="00766EA2"/>
    <w:rsid w:val="00767034"/>
    <w:rsid w:val="007712DB"/>
    <w:rsid w:val="00772188"/>
    <w:rsid w:val="0077222A"/>
    <w:rsid w:val="00773909"/>
    <w:rsid w:val="0077411B"/>
    <w:rsid w:val="0077433B"/>
    <w:rsid w:val="00774E1E"/>
    <w:rsid w:val="0078118A"/>
    <w:rsid w:val="007813D0"/>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2AAD"/>
    <w:rsid w:val="007A4432"/>
    <w:rsid w:val="007A59E9"/>
    <w:rsid w:val="007A784E"/>
    <w:rsid w:val="007A7E31"/>
    <w:rsid w:val="007B02A0"/>
    <w:rsid w:val="007B278C"/>
    <w:rsid w:val="007B2DAD"/>
    <w:rsid w:val="007B3774"/>
    <w:rsid w:val="007B459E"/>
    <w:rsid w:val="007B4939"/>
    <w:rsid w:val="007B499C"/>
    <w:rsid w:val="007B4D4B"/>
    <w:rsid w:val="007B58C6"/>
    <w:rsid w:val="007B5EE2"/>
    <w:rsid w:val="007B76D8"/>
    <w:rsid w:val="007B7708"/>
    <w:rsid w:val="007C0646"/>
    <w:rsid w:val="007C1E5E"/>
    <w:rsid w:val="007C1E9D"/>
    <w:rsid w:val="007C3AE3"/>
    <w:rsid w:val="007C3F73"/>
    <w:rsid w:val="007C459E"/>
    <w:rsid w:val="007C6C51"/>
    <w:rsid w:val="007D0000"/>
    <w:rsid w:val="007D2A02"/>
    <w:rsid w:val="007D5EA2"/>
    <w:rsid w:val="007D6144"/>
    <w:rsid w:val="007D62A4"/>
    <w:rsid w:val="007D6CE5"/>
    <w:rsid w:val="007D77BC"/>
    <w:rsid w:val="007D7F2E"/>
    <w:rsid w:val="007E0917"/>
    <w:rsid w:val="007E15DC"/>
    <w:rsid w:val="007E1736"/>
    <w:rsid w:val="007E25DD"/>
    <w:rsid w:val="007E2887"/>
    <w:rsid w:val="007E3318"/>
    <w:rsid w:val="007E6EA1"/>
    <w:rsid w:val="007F0F63"/>
    <w:rsid w:val="007F2B1E"/>
    <w:rsid w:val="007F420A"/>
    <w:rsid w:val="007F4590"/>
    <w:rsid w:val="007F62B4"/>
    <w:rsid w:val="007F7DF9"/>
    <w:rsid w:val="00800FD6"/>
    <w:rsid w:val="00801517"/>
    <w:rsid w:val="00804053"/>
    <w:rsid w:val="00804966"/>
    <w:rsid w:val="0080510A"/>
    <w:rsid w:val="0080596A"/>
    <w:rsid w:val="00805CBF"/>
    <w:rsid w:val="008079E2"/>
    <w:rsid w:val="00810AC4"/>
    <w:rsid w:val="0081218E"/>
    <w:rsid w:val="0081228B"/>
    <w:rsid w:val="00813492"/>
    <w:rsid w:val="00813643"/>
    <w:rsid w:val="00813A7E"/>
    <w:rsid w:val="00814AEC"/>
    <w:rsid w:val="00814DE2"/>
    <w:rsid w:val="008177EE"/>
    <w:rsid w:val="00817895"/>
    <w:rsid w:val="00817AE8"/>
    <w:rsid w:val="00817DE8"/>
    <w:rsid w:val="008229F5"/>
    <w:rsid w:val="008259DE"/>
    <w:rsid w:val="0082699A"/>
    <w:rsid w:val="00827D15"/>
    <w:rsid w:val="00827F2A"/>
    <w:rsid w:val="00832633"/>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42A3"/>
    <w:rsid w:val="00855FD0"/>
    <w:rsid w:val="00857408"/>
    <w:rsid w:val="008578A9"/>
    <w:rsid w:val="0086072A"/>
    <w:rsid w:val="0086088F"/>
    <w:rsid w:val="008614F1"/>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538C"/>
    <w:rsid w:val="00875CB0"/>
    <w:rsid w:val="008770CC"/>
    <w:rsid w:val="00877800"/>
    <w:rsid w:val="00877C32"/>
    <w:rsid w:val="0088094B"/>
    <w:rsid w:val="00880BF1"/>
    <w:rsid w:val="00880E08"/>
    <w:rsid w:val="00880E72"/>
    <w:rsid w:val="0088176E"/>
    <w:rsid w:val="00881E4D"/>
    <w:rsid w:val="008825EE"/>
    <w:rsid w:val="00882DE4"/>
    <w:rsid w:val="0088313E"/>
    <w:rsid w:val="0088596E"/>
    <w:rsid w:val="00885D26"/>
    <w:rsid w:val="008868FA"/>
    <w:rsid w:val="00886C54"/>
    <w:rsid w:val="00886F34"/>
    <w:rsid w:val="008870ED"/>
    <w:rsid w:val="00887749"/>
    <w:rsid w:val="008877FC"/>
    <w:rsid w:val="00887E5A"/>
    <w:rsid w:val="00891D8A"/>
    <w:rsid w:val="0089796A"/>
    <w:rsid w:val="0089799B"/>
    <w:rsid w:val="008A2375"/>
    <w:rsid w:val="008A3AC0"/>
    <w:rsid w:val="008A54B6"/>
    <w:rsid w:val="008A56FE"/>
    <w:rsid w:val="008A6622"/>
    <w:rsid w:val="008A7DEB"/>
    <w:rsid w:val="008B1B65"/>
    <w:rsid w:val="008B3557"/>
    <w:rsid w:val="008B39E0"/>
    <w:rsid w:val="008B4302"/>
    <w:rsid w:val="008B605A"/>
    <w:rsid w:val="008C093B"/>
    <w:rsid w:val="008C0E76"/>
    <w:rsid w:val="008C2665"/>
    <w:rsid w:val="008C3E8C"/>
    <w:rsid w:val="008C5CD8"/>
    <w:rsid w:val="008C6041"/>
    <w:rsid w:val="008C68D0"/>
    <w:rsid w:val="008C74E3"/>
    <w:rsid w:val="008D0936"/>
    <w:rsid w:val="008D403B"/>
    <w:rsid w:val="008D4707"/>
    <w:rsid w:val="008D76C5"/>
    <w:rsid w:val="008E0A04"/>
    <w:rsid w:val="008E0AFA"/>
    <w:rsid w:val="008E131A"/>
    <w:rsid w:val="008E26B4"/>
    <w:rsid w:val="008E2799"/>
    <w:rsid w:val="008E411B"/>
    <w:rsid w:val="008E4F56"/>
    <w:rsid w:val="008E6E28"/>
    <w:rsid w:val="008E75D3"/>
    <w:rsid w:val="008E7E48"/>
    <w:rsid w:val="008F02E9"/>
    <w:rsid w:val="008F080D"/>
    <w:rsid w:val="008F0CE4"/>
    <w:rsid w:val="008F125E"/>
    <w:rsid w:val="008F1CC5"/>
    <w:rsid w:val="008F2B54"/>
    <w:rsid w:val="008F2CC5"/>
    <w:rsid w:val="008F2F3B"/>
    <w:rsid w:val="008F4C1E"/>
    <w:rsid w:val="008F4D2F"/>
    <w:rsid w:val="008F510A"/>
    <w:rsid w:val="008F55A2"/>
    <w:rsid w:val="00900235"/>
    <w:rsid w:val="00900760"/>
    <w:rsid w:val="00900D3C"/>
    <w:rsid w:val="0090495A"/>
    <w:rsid w:val="00906292"/>
    <w:rsid w:val="0090713D"/>
    <w:rsid w:val="00914B5B"/>
    <w:rsid w:val="00917162"/>
    <w:rsid w:val="009172B9"/>
    <w:rsid w:val="009178AA"/>
    <w:rsid w:val="00922F0D"/>
    <w:rsid w:val="00923001"/>
    <w:rsid w:val="0092358D"/>
    <w:rsid w:val="009238BF"/>
    <w:rsid w:val="009251CC"/>
    <w:rsid w:val="009253A9"/>
    <w:rsid w:val="0092714E"/>
    <w:rsid w:val="00927661"/>
    <w:rsid w:val="00931E24"/>
    <w:rsid w:val="009324F0"/>
    <w:rsid w:val="00932AF8"/>
    <w:rsid w:val="0093478F"/>
    <w:rsid w:val="00936465"/>
    <w:rsid w:val="00936826"/>
    <w:rsid w:val="00940B3D"/>
    <w:rsid w:val="00942002"/>
    <w:rsid w:val="00942359"/>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572EE"/>
    <w:rsid w:val="009577B8"/>
    <w:rsid w:val="00960539"/>
    <w:rsid w:val="009605B1"/>
    <w:rsid w:val="00960CBC"/>
    <w:rsid w:val="009621EE"/>
    <w:rsid w:val="00963A06"/>
    <w:rsid w:val="00964B2B"/>
    <w:rsid w:val="00965192"/>
    <w:rsid w:val="00967631"/>
    <w:rsid w:val="00967DA1"/>
    <w:rsid w:val="00967DD4"/>
    <w:rsid w:val="009700B1"/>
    <w:rsid w:val="00970724"/>
    <w:rsid w:val="00970ECF"/>
    <w:rsid w:val="00971261"/>
    <w:rsid w:val="00971FD4"/>
    <w:rsid w:val="009722CB"/>
    <w:rsid w:val="0097382E"/>
    <w:rsid w:val="009739A0"/>
    <w:rsid w:val="00974EE4"/>
    <w:rsid w:val="00974F84"/>
    <w:rsid w:val="00975D5B"/>
    <w:rsid w:val="00976216"/>
    <w:rsid w:val="009767C7"/>
    <w:rsid w:val="00977D30"/>
    <w:rsid w:val="009809DA"/>
    <w:rsid w:val="00980E69"/>
    <w:rsid w:val="0098334C"/>
    <w:rsid w:val="009839AE"/>
    <w:rsid w:val="00984175"/>
    <w:rsid w:val="00984643"/>
    <w:rsid w:val="0098576C"/>
    <w:rsid w:val="0098579A"/>
    <w:rsid w:val="00986397"/>
    <w:rsid w:val="00991475"/>
    <w:rsid w:val="009918DD"/>
    <w:rsid w:val="0099195A"/>
    <w:rsid w:val="00991BD2"/>
    <w:rsid w:val="00992407"/>
    <w:rsid w:val="00992A11"/>
    <w:rsid w:val="00994681"/>
    <w:rsid w:val="0099486A"/>
    <w:rsid w:val="009968D8"/>
    <w:rsid w:val="009A0B33"/>
    <w:rsid w:val="009A0E26"/>
    <w:rsid w:val="009A16EC"/>
    <w:rsid w:val="009A22C2"/>
    <w:rsid w:val="009A547B"/>
    <w:rsid w:val="009A727D"/>
    <w:rsid w:val="009A743E"/>
    <w:rsid w:val="009A7CF6"/>
    <w:rsid w:val="009B1335"/>
    <w:rsid w:val="009B1B55"/>
    <w:rsid w:val="009B29B7"/>
    <w:rsid w:val="009B3199"/>
    <w:rsid w:val="009B32AC"/>
    <w:rsid w:val="009B3B37"/>
    <w:rsid w:val="009B63F4"/>
    <w:rsid w:val="009B6C6F"/>
    <w:rsid w:val="009B7D1F"/>
    <w:rsid w:val="009C088E"/>
    <w:rsid w:val="009C17DC"/>
    <w:rsid w:val="009C37AB"/>
    <w:rsid w:val="009C3B3D"/>
    <w:rsid w:val="009C4C7A"/>
    <w:rsid w:val="009C4D35"/>
    <w:rsid w:val="009C5E51"/>
    <w:rsid w:val="009C7B68"/>
    <w:rsid w:val="009D1522"/>
    <w:rsid w:val="009D3919"/>
    <w:rsid w:val="009D3E2E"/>
    <w:rsid w:val="009D4201"/>
    <w:rsid w:val="009D4907"/>
    <w:rsid w:val="009D51F0"/>
    <w:rsid w:val="009D51F7"/>
    <w:rsid w:val="009D676A"/>
    <w:rsid w:val="009D7252"/>
    <w:rsid w:val="009E1FF6"/>
    <w:rsid w:val="009E3CAF"/>
    <w:rsid w:val="009E3F48"/>
    <w:rsid w:val="009E53A5"/>
    <w:rsid w:val="009E5B95"/>
    <w:rsid w:val="009E5CCE"/>
    <w:rsid w:val="009E5EB4"/>
    <w:rsid w:val="009F563C"/>
    <w:rsid w:val="009F610E"/>
    <w:rsid w:val="00A00DA9"/>
    <w:rsid w:val="00A00E4B"/>
    <w:rsid w:val="00A00F7E"/>
    <w:rsid w:val="00A044D6"/>
    <w:rsid w:val="00A04ADB"/>
    <w:rsid w:val="00A04F89"/>
    <w:rsid w:val="00A05F11"/>
    <w:rsid w:val="00A115A6"/>
    <w:rsid w:val="00A11E0F"/>
    <w:rsid w:val="00A12378"/>
    <w:rsid w:val="00A13401"/>
    <w:rsid w:val="00A13794"/>
    <w:rsid w:val="00A141E9"/>
    <w:rsid w:val="00A15D78"/>
    <w:rsid w:val="00A15EBE"/>
    <w:rsid w:val="00A1705A"/>
    <w:rsid w:val="00A17F5B"/>
    <w:rsid w:val="00A20196"/>
    <w:rsid w:val="00A216E5"/>
    <w:rsid w:val="00A24752"/>
    <w:rsid w:val="00A24BA8"/>
    <w:rsid w:val="00A26744"/>
    <w:rsid w:val="00A26CB6"/>
    <w:rsid w:val="00A30A00"/>
    <w:rsid w:val="00A32F82"/>
    <w:rsid w:val="00A32F8B"/>
    <w:rsid w:val="00A3431E"/>
    <w:rsid w:val="00A34F9F"/>
    <w:rsid w:val="00A36481"/>
    <w:rsid w:val="00A36675"/>
    <w:rsid w:val="00A36A1B"/>
    <w:rsid w:val="00A3756F"/>
    <w:rsid w:val="00A41CC3"/>
    <w:rsid w:val="00A41DBE"/>
    <w:rsid w:val="00A42D6F"/>
    <w:rsid w:val="00A43870"/>
    <w:rsid w:val="00A44642"/>
    <w:rsid w:val="00A4474B"/>
    <w:rsid w:val="00A4540D"/>
    <w:rsid w:val="00A45717"/>
    <w:rsid w:val="00A45A62"/>
    <w:rsid w:val="00A462DC"/>
    <w:rsid w:val="00A4657C"/>
    <w:rsid w:val="00A46C7E"/>
    <w:rsid w:val="00A51CE8"/>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67C"/>
    <w:rsid w:val="00A67A92"/>
    <w:rsid w:val="00A7008F"/>
    <w:rsid w:val="00A70DC6"/>
    <w:rsid w:val="00A74FDC"/>
    <w:rsid w:val="00A77192"/>
    <w:rsid w:val="00A8075D"/>
    <w:rsid w:val="00A8089F"/>
    <w:rsid w:val="00A842D5"/>
    <w:rsid w:val="00A85F60"/>
    <w:rsid w:val="00A87870"/>
    <w:rsid w:val="00A87F87"/>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B85"/>
    <w:rsid w:val="00AA24E8"/>
    <w:rsid w:val="00AA3290"/>
    <w:rsid w:val="00AA46F0"/>
    <w:rsid w:val="00AA4CA2"/>
    <w:rsid w:val="00AA6481"/>
    <w:rsid w:val="00AA7270"/>
    <w:rsid w:val="00AB0C08"/>
    <w:rsid w:val="00AB12AC"/>
    <w:rsid w:val="00AB1CB6"/>
    <w:rsid w:val="00AB1D9A"/>
    <w:rsid w:val="00AB4A1F"/>
    <w:rsid w:val="00AB5C61"/>
    <w:rsid w:val="00AC131D"/>
    <w:rsid w:val="00AC3540"/>
    <w:rsid w:val="00AC3D15"/>
    <w:rsid w:val="00AC5055"/>
    <w:rsid w:val="00AD0C22"/>
    <w:rsid w:val="00AD1AD7"/>
    <w:rsid w:val="00AD1AE2"/>
    <w:rsid w:val="00AD3290"/>
    <w:rsid w:val="00AD442C"/>
    <w:rsid w:val="00AD44FE"/>
    <w:rsid w:val="00AD5A37"/>
    <w:rsid w:val="00AD5C7E"/>
    <w:rsid w:val="00AD73BF"/>
    <w:rsid w:val="00AE05A4"/>
    <w:rsid w:val="00AE177E"/>
    <w:rsid w:val="00AE244E"/>
    <w:rsid w:val="00AE25FC"/>
    <w:rsid w:val="00AE400C"/>
    <w:rsid w:val="00AE49F1"/>
    <w:rsid w:val="00AE4A1C"/>
    <w:rsid w:val="00AE4B7A"/>
    <w:rsid w:val="00AE5532"/>
    <w:rsid w:val="00AE74D8"/>
    <w:rsid w:val="00AF0B6F"/>
    <w:rsid w:val="00AF1D69"/>
    <w:rsid w:val="00AF30D0"/>
    <w:rsid w:val="00AF3FEC"/>
    <w:rsid w:val="00AF41FA"/>
    <w:rsid w:val="00AF581E"/>
    <w:rsid w:val="00AF71EB"/>
    <w:rsid w:val="00AF7E8E"/>
    <w:rsid w:val="00B00988"/>
    <w:rsid w:val="00B01405"/>
    <w:rsid w:val="00B04955"/>
    <w:rsid w:val="00B052E8"/>
    <w:rsid w:val="00B057DC"/>
    <w:rsid w:val="00B05CCA"/>
    <w:rsid w:val="00B100C9"/>
    <w:rsid w:val="00B10E8A"/>
    <w:rsid w:val="00B11099"/>
    <w:rsid w:val="00B1118A"/>
    <w:rsid w:val="00B14204"/>
    <w:rsid w:val="00B14271"/>
    <w:rsid w:val="00B16270"/>
    <w:rsid w:val="00B21109"/>
    <w:rsid w:val="00B2128C"/>
    <w:rsid w:val="00B224FF"/>
    <w:rsid w:val="00B22578"/>
    <w:rsid w:val="00B23C16"/>
    <w:rsid w:val="00B23C52"/>
    <w:rsid w:val="00B241A3"/>
    <w:rsid w:val="00B241F2"/>
    <w:rsid w:val="00B247C7"/>
    <w:rsid w:val="00B259E1"/>
    <w:rsid w:val="00B2685D"/>
    <w:rsid w:val="00B26D1E"/>
    <w:rsid w:val="00B30351"/>
    <w:rsid w:val="00B32601"/>
    <w:rsid w:val="00B3270B"/>
    <w:rsid w:val="00B33837"/>
    <w:rsid w:val="00B33C2A"/>
    <w:rsid w:val="00B33C35"/>
    <w:rsid w:val="00B34A14"/>
    <w:rsid w:val="00B35967"/>
    <w:rsid w:val="00B363D9"/>
    <w:rsid w:val="00B422EC"/>
    <w:rsid w:val="00B44875"/>
    <w:rsid w:val="00B44C07"/>
    <w:rsid w:val="00B46320"/>
    <w:rsid w:val="00B4657A"/>
    <w:rsid w:val="00B471F4"/>
    <w:rsid w:val="00B47F0A"/>
    <w:rsid w:val="00B50B6B"/>
    <w:rsid w:val="00B54329"/>
    <w:rsid w:val="00B54885"/>
    <w:rsid w:val="00B54BFF"/>
    <w:rsid w:val="00B554C9"/>
    <w:rsid w:val="00B5592E"/>
    <w:rsid w:val="00B56AD9"/>
    <w:rsid w:val="00B56EE3"/>
    <w:rsid w:val="00B57158"/>
    <w:rsid w:val="00B5778D"/>
    <w:rsid w:val="00B614C0"/>
    <w:rsid w:val="00B62B2A"/>
    <w:rsid w:val="00B634AB"/>
    <w:rsid w:val="00B63533"/>
    <w:rsid w:val="00B63624"/>
    <w:rsid w:val="00B6678B"/>
    <w:rsid w:val="00B7037B"/>
    <w:rsid w:val="00B71798"/>
    <w:rsid w:val="00B719F6"/>
    <w:rsid w:val="00B726D4"/>
    <w:rsid w:val="00B72969"/>
    <w:rsid w:val="00B72ED6"/>
    <w:rsid w:val="00B758FD"/>
    <w:rsid w:val="00B76807"/>
    <w:rsid w:val="00B77D24"/>
    <w:rsid w:val="00B81A6C"/>
    <w:rsid w:val="00B8214F"/>
    <w:rsid w:val="00B829CA"/>
    <w:rsid w:val="00B82B43"/>
    <w:rsid w:val="00B82B48"/>
    <w:rsid w:val="00B85133"/>
    <w:rsid w:val="00B8643A"/>
    <w:rsid w:val="00B86A4F"/>
    <w:rsid w:val="00B93035"/>
    <w:rsid w:val="00B93951"/>
    <w:rsid w:val="00B940EB"/>
    <w:rsid w:val="00B9431C"/>
    <w:rsid w:val="00B95798"/>
    <w:rsid w:val="00B958E8"/>
    <w:rsid w:val="00B97637"/>
    <w:rsid w:val="00B97E4A"/>
    <w:rsid w:val="00BA09B2"/>
    <w:rsid w:val="00BA0F35"/>
    <w:rsid w:val="00BA286D"/>
    <w:rsid w:val="00BA465D"/>
    <w:rsid w:val="00BA52C0"/>
    <w:rsid w:val="00BA5B46"/>
    <w:rsid w:val="00BA63D4"/>
    <w:rsid w:val="00BB2D73"/>
    <w:rsid w:val="00BB400D"/>
    <w:rsid w:val="00BB45BA"/>
    <w:rsid w:val="00BB48B2"/>
    <w:rsid w:val="00BB4A3A"/>
    <w:rsid w:val="00BB4D6A"/>
    <w:rsid w:val="00BB5D0B"/>
    <w:rsid w:val="00BB629C"/>
    <w:rsid w:val="00BC0995"/>
    <w:rsid w:val="00BC13C1"/>
    <w:rsid w:val="00BC1761"/>
    <w:rsid w:val="00BC19ED"/>
    <w:rsid w:val="00BC26B9"/>
    <w:rsid w:val="00BC36D4"/>
    <w:rsid w:val="00BC513A"/>
    <w:rsid w:val="00BC5971"/>
    <w:rsid w:val="00BC6C56"/>
    <w:rsid w:val="00BC6DE2"/>
    <w:rsid w:val="00BC6E62"/>
    <w:rsid w:val="00BD013A"/>
    <w:rsid w:val="00BD2510"/>
    <w:rsid w:val="00BD3A53"/>
    <w:rsid w:val="00BD5A19"/>
    <w:rsid w:val="00BD656A"/>
    <w:rsid w:val="00BD6D1B"/>
    <w:rsid w:val="00BE13AB"/>
    <w:rsid w:val="00BE2403"/>
    <w:rsid w:val="00BE2D0A"/>
    <w:rsid w:val="00BE47D4"/>
    <w:rsid w:val="00BE793A"/>
    <w:rsid w:val="00BE7A0B"/>
    <w:rsid w:val="00BF07D6"/>
    <w:rsid w:val="00BF114D"/>
    <w:rsid w:val="00BF2B82"/>
    <w:rsid w:val="00BF2CEB"/>
    <w:rsid w:val="00BF362A"/>
    <w:rsid w:val="00BF432A"/>
    <w:rsid w:val="00BF5D70"/>
    <w:rsid w:val="00BF64A6"/>
    <w:rsid w:val="00BF6796"/>
    <w:rsid w:val="00BF6D99"/>
    <w:rsid w:val="00BF6E82"/>
    <w:rsid w:val="00C060C7"/>
    <w:rsid w:val="00C06DCC"/>
    <w:rsid w:val="00C07F92"/>
    <w:rsid w:val="00C10EA4"/>
    <w:rsid w:val="00C11D25"/>
    <w:rsid w:val="00C13217"/>
    <w:rsid w:val="00C15BEC"/>
    <w:rsid w:val="00C15DB5"/>
    <w:rsid w:val="00C16AF0"/>
    <w:rsid w:val="00C208E2"/>
    <w:rsid w:val="00C20D11"/>
    <w:rsid w:val="00C20D6E"/>
    <w:rsid w:val="00C21756"/>
    <w:rsid w:val="00C21897"/>
    <w:rsid w:val="00C22054"/>
    <w:rsid w:val="00C2288E"/>
    <w:rsid w:val="00C22B54"/>
    <w:rsid w:val="00C24279"/>
    <w:rsid w:val="00C24C17"/>
    <w:rsid w:val="00C27D0F"/>
    <w:rsid w:val="00C31595"/>
    <w:rsid w:val="00C31B25"/>
    <w:rsid w:val="00C3309D"/>
    <w:rsid w:val="00C3411D"/>
    <w:rsid w:val="00C34357"/>
    <w:rsid w:val="00C34829"/>
    <w:rsid w:val="00C363B8"/>
    <w:rsid w:val="00C3758F"/>
    <w:rsid w:val="00C40B88"/>
    <w:rsid w:val="00C437B8"/>
    <w:rsid w:val="00C44489"/>
    <w:rsid w:val="00C44FC2"/>
    <w:rsid w:val="00C452D4"/>
    <w:rsid w:val="00C47D87"/>
    <w:rsid w:val="00C47FCD"/>
    <w:rsid w:val="00C50FA6"/>
    <w:rsid w:val="00C5376E"/>
    <w:rsid w:val="00C554C1"/>
    <w:rsid w:val="00C55AEE"/>
    <w:rsid w:val="00C5701B"/>
    <w:rsid w:val="00C5735F"/>
    <w:rsid w:val="00C6069A"/>
    <w:rsid w:val="00C61BDC"/>
    <w:rsid w:val="00C64D40"/>
    <w:rsid w:val="00C65957"/>
    <w:rsid w:val="00C66218"/>
    <w:rsid w:val="00C677C9"/>
    <w:rsid w:val="00C70DBC"/>
    <w:rsid w:val="00C71E80"/>
    <w:rsid w:val="00C7750A"/>
    <w:rsid w:val="00C77897"/>
    <w:rsid w:val="00C80467"/>
    <w:rsid w:val="00C808A6"/>
    <w:rsid w:val="00C80C01"/>
    <w:rsid w:val="00C82B81"/>
    <w:rsid w:val="00C84AC6"/>
    <w:rsid w:val="00C855DB"/>
    <w:rsid w:val="00C855F3"/>
    <w:rsid w:val="00C86270"/>
    <w:rsid w:val="00C86C49"/>
    <w:rsid w:val="00C90C20"/>
    <w:rsid w:val="00C948CF"/>
    <w:rsid w:val="00C94F6F"/>
    <w:rsid w:val="00C95798"/>
    <w:rsid w:val="00C95A74"/>
    <w:rsid w:val="00C97091"/>
    <w:rsid w:val="00C97260"/>
    <w:rsid w:val="00C97391"/>
    <w:rsid w:val="00CA14A5"/>
    <w:rsid w:val="00CA1A7C"/>
    <w:rsid w:val="00CA1AB8"/>
    <w:rsid w:val="00CA2001"/>
    <w:rsid w:val="00CA2508"/>
    <w:rsid w:val="00CA2B10"/>
    <w:rsid w:val="00CA3F11"/>
    <w:rsid w:val="00CA5256"/>
    <w:rsid w:val="00CA5564"/>
    <w:rsid w:val="00CB078E"/>
    <w:rsid w:val="00CB18E0"/>
    <w:rsid w:val="00CB3782"/>
    <w:rsid w:val="00CB4D20"/>
    <w:rsid w:val="00CB5B6C"/>
    <w:rsid w:val="00CB74E3"/>
    <w:rsid w:val="00CC00ED"/>
    <w:rsid w:val="00CC052E"/>
    <w:rsid w:val="00CC06E5"/>
    <w:rsid w:val="00CC0B14"/>
    <w:rsid w:val="00CC5B9C"/>
    <w:rsid w:val="00CD02DF"/>
    <w:rsid w:val="00CD10A5"/>
    <w:rsid w:val="00CD16BE"/>
    <w:rsid w:val="00CD179F"/>
    <w:rsid w:val="00CD1F32"/>
    <w:rsid w:val="00CD2268"/>
    <w:rsid w:val="00CD24AC"/>
    <w:rsid w:val="00CD4616"/>
    <w:rsid w:val="00CD56AF"/>
    <w:rsid w:val="00CD5AF4"/>
    <w:rsid w:val="00CD5FFA"/>
    <w:rsid w:val="00CD608B"/>
    <w:rsid w:val="00CD61BB"/>
    <w:rsid w:val="00CE33D5"/>
    <w:rsid w:val="00CE4712"/>
    <w:rsid w:val="00CE6073"/>
    <w:rsid w:val="00CE761C"/>
    <w:rsid w:val="00CF4118"/>
    <w:rsid w:val="00CF5D37"/>
    <w:rsid w:val="00CF6353"/>
    <w:rsid w:val="00CF6F33"/>
    <w:rsid w:val="00CF7C7B"/>
    <w:rsid w:val="00D0176E"/>
    <w:rsid w:val="00D02248"/>
    <w:rsid w:val="00D04429"/>
    <w:rsid w:val="00D04B47"/>
    <w:rsid w:val="00D04E37"/>
    <w:rsid w:val="00D063B8"/>
    <w:rsid w:val="00D06825"/>
    <w:rsid w:val="00D07467"/>
    <w:rsid w:val="00D076E6"/>
    <w:rsid w:val="00D10594"/>
    <w:rsid w:val="00D137FE"/>
    <w:rsid w:val="00D148D9"/>
    <w:rsid w:val="00D15CDD"/>
    <w:rsid w:val="00D17185"/>
    <w:rsid w:val="00D17E3B"/>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5790"/>
    <w:rsid w:val="00D41971"/>
    <w:rsid w:val="00D442D5"/>
    <w:rsid w:val="00D45043"/>
    <w:rsid w:val="00D4757A"/>
    <w:rsid w:val="00D51576"/>
    <w:rsid w:val="00D516FB"/>
    <w:rsid w:val="00D519AF"/>
    <w:rsid w:val="00D532A9"/>
    <w:rsid w:val="00D5437A"/>
    <w:rsid w:val="00D5611E"/>
    <w:rsid w:val="00D5653B"/>
    <w:rsid w:val="00D56C30"/>
    <w:rsid w:val="00D56DF7"/>
    <w:rsid w:val="00D5726D"/>
    <w:rsid w:val="00D572AC"/>
    <w:rsid w:val="00D6071F"/>
    <w:rsid w:val="00D60AA4"/>
    <w:rsid w:val="00D61D6E"/>
    <w:rsid w:val="00D62A31"/>
    <w:rsid w:val="00D62EF1"/>
    <w:rsid w:val="00D6309D"/>
    <w:rsid w:val="00D634F9"/>
    <w:rsid w:val="00D6389F"/>
    <w:rsid w:val="00D644CA"/>
    <w:rsid w:val="00D64EA0"/>
    <w:rsid w:val="00D65E91"/>
    <w:rsid w:val="00D66FC2"/>
    <w:rsid w:val="00D7044E"/>
    <w:rsid w:val="00D704A8"/>
    <w:rsid w:val="00D70930"/>
    <w:rsid w:val="00D70CA5"/>
    <w:rsid w:val="00D72AE6"/>
    <w:rsid w:val="00D7308C"/>
    <w:rsid w:val="00D758F4"/>
    <w:rsid w:val="00D76C7E"/>
    <w:rsid w:val="00D771DE"/>
    <w:rsid w:val="00D7776D"/>
    <w:rsid w:val="00D80C6C"/>
    <w:rsid w:val="00D81AEF"/>
    <w:rsid w:val="00D82A42"/>
    <w:rsid w:val="00D834F1"/>
    <w:rsid w:val="00D83609"/>
    <w:rsid w:val="00D83AA6"/>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3FF"/>
    <w:rsid w:val="00D9644B"/>
    <w:rsid w:val="00D97A5B"/>
    <w:rsid w:val="00DA1E18"/>
    <w:rsid w:val="00DA2009"/>
    <w:rsid w:val="00DA296C"/>
    <w:rsid w:val="00DA585A"/>
    <w:rsid w:val="00DA7741"/>
    <w:rsid w:val="00DA7769"/>
    <w:rsid w:val="00DB05B1"/>
    <w:rsid w:val="00DB2823"/>
    <w:rsid w:val="00DB2D74"/>
    <w:rsid w:val="00DB3786"/>
    <w:rsid w:val="00DB3910"/>
    <w:rsid w:val="00DB59E8"/>
    <w:rsid w:val="00DB5A79"/>
    <w:rsid w:val="00DC2465"/>
    <w:rsid w:val="00DC4BCA"/>
    <w:rsid w:val="00DC57ED"/>
    <w:rsid w:val="00DC5CA4"/>
    <w:rsid w:val="00DC5CDA"/>
    <w:rsid w:val="00DC5E2C"/>
    <w:rsid w:val="00DC6B80"/>
    <w:rsid w:val="00DC7497"/>
    <w:rsid w:val="00DC7D48"/>
    <w:rsid w:val="00DD0253"/>
    <w:rsid w:val="00DD145A"/>
    <w:rsid w:val="00DD512E"/>
    <w:rsid w:val="00DD5EC8"/>
    <w:rsid w:val="00DD7B34"/>
    <w:rsid w:val="00DD7BEC"/>
    <w:rsid w:val="00DE06C9"/>
    <w:rsid w:val="00DE083E"/>
    <w:rsid w:val="00DE0C22"/>
    <w:rsid w:val="00DE1177"/>
    <w:rsid w:val="00DE2CEA"/>
    <w:rsid w:val="00DE3CFE"/>
    <w:rsid w:val="00DE567C"/>
    <w:rsid w:val="00DE6154"/>
    <w:rsid w:val="00DE634D"/>
    <w:rsid w:val="00DE6A3C"/>
    <w:rsid w:val="00DE6C0E"/>
    <w:rsid w:val="00DE74F4"/>
    <w:rsid w:val="00DE7BB5"/>
    <w:rsid w:val="00DE7C8B"/>
    <w:rsid w:val="00DE7F97"/>
    <w:rsid w:val="00DF0AAF"/>
    <w:rsid w:val="00DF1010"/>
    <w:rsid w:val="00DF2244"/>
    <w:rsid w:val="00DF334D"/>
    <w:rsid w:val="00DF4E5A"/>
    <w:rsid w:val="00DF53D9"/>
    <w:rsid w:val="00DF5AEA"/>
    <w:rsid w:val="00DF5D49"/>
    <w:rsid w:val="00DF63F6"/>
    <w:rsid w:val="00DF7992"/>
    <w:rsid w:val="00DF7B43"/>
    <w:rsid w:val="00DF7BD0"/>
    <w:rsid w:val="00E003E6"/>
    <w:rsid w:val="00E00C8E"/>
    <w:rsid w:val="00E0219D"/>
    <w:rsid w:val="00E0276A"/>
    <w:rsid w:val="00E0374B"/>
    <w:rsid w:val="00E0632F"/>
    <w:rsid w:val="00E06C36"/>
    <w:rsid w:val="00E071A9"/>
    <w:rsid w:val="00E07D26"/>
    <w:rsid w:val="00E10B28"/>
    <w:rsid w:val="00E10F79"/>
    <w:rsid w:val="00E117FD"/>
    <w:rsid w:val="00E13747"/>
    <w:rsid w:val="00E14758"/>
    <w:rsid w:val="00E21088"/>
    <w:rsid w:val="00E22C48"/>
    <w:rsid w:val="00E23C5E"/>
    <w:rsid w:val="00E23E29"/>
    <w:rsid w:val="00E24632"/>
    <w:rsid w:val="00E25155"/>
    <w:rsid w:val="00E25AEA"/>
    <w:rsid w:val="00E27C2C"/>
    <w:rsid w:val="00E27FCB"/>
    <w:rsid w:val="00E30D26"/>
    <w:rsid w:val="00E30DEF"/>
    <w:rsid w:val="00E30ED2"/>
    <w:rsid w:val="00E31276"/>
    <w:rsid w:val="00E3155D"/>
    <w:rsid w:val="00E31E3B"/>
    <w:rsid w:val="00E32102"/>
    <w:rsid w:val="00E34666"/>
    <w:rsid w:val="00E36A66"/>
    <w:rsid w:val="00E37F70"/>
    <w:rsid w:val="00E41377"/>
    <w:rsid w:val="00E41985"/>
    <w:rsid w:val="00E42B89"/>
    <w:rsid w:val="00E4403D"/>
    <w:rsid w:val="00E446C1"/>
    <w:rsid w:val="00E46BCD"/>
    <w:rsid w:val="00E51CCC"/>
    <w:rsid w:val="00E52079"/>
    <w:rsid w:val="00E545D7"/>
    <w:rsid w:val="00E547FE"/>
    <w:rsid w:val="00E54960"/>
    <w:rsid w:val="00E55927"/>
    <w:rsid w:val="00E561E6"/>
    <w:rsid w:val="00E5669C"/>
    <w:rsid w:val="00E56A58"/>
    <w:rsid w:val="00E60ECA"/>
    <w:rsid w:val="00E613AB"/>
    <w:rsid w:val="00E61A7F"/>
    <w:rsid w:val="00E637B6"/>
    <w:rsid w:val="00E6460A"/>
    <w:rsid w:val="00E663B6"/>
    <w:rsid w:val="00E66BBE"/>
    <w:rsid w:val="00E670B5"/>
    <w:rsid w:val="00E6780D"/>
    <w:rsid w:val="00E67B4F"/>
    <w:rsid w:val="00E716A7"/>
    <w:rsid w:val="00E71DFE"/>
    <w:rsid w:val="00E73083"/>
    <w:rsid w:val="00E756E4"/>
    <w:rsid w:val="00E758B9"/>
    <w:rsid w:val="00E76025"/>
    <w:rsid w:val="00E76B45"/>
    <w:rsid w:val="00E806A5"/>
    <w:rsid w:val="00E81BC1"/>
    <w:rsid w:val="00E82FE5"/>
    <w:rsid w:val="00E832F9"/>
    <w:rsid w:val="00E83724"/>
    <w:rsid w:val="00E84236"/>
    <w:rsid w:val="00E843A4"/>
    <w:rsid w:val="00E8470B"/>
    <w:rsid w:val="00E84C02"/>
    <w:rsid w:val="00E85569"/>
    <w:rsid w:val="00E856AF"/>
    <w:rsid w:val="00E859D9"/>
    <w:rsid w:val="00E86B83"/>
    <w:rsid w:val="00E86D6E"/>
    <w:rsid w:val="00E878FB"/>
    <w:rsid w:val="00E87C64"/>
    <w:rsid w:val="00E90242"/>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2A54"/>
    <w:rsid w:val="00EA539B"/>
    <w:rsid w:val="00EA5A89"/>
    <w:rsid w:val="00EA5BDB"/>
    <w:rsid w:val="00EA63FA"/>
    <w:rsid w:val="00EA7DEB"/>
    <w:rsid w:val="00EB056C"/>
    <w:rsid w:val="00EB0A73"/>
    <w:rsid w:val="00EB0A9C"/>
    <w:rsid w:val="00EB0B55"/>
    <w:rsid w:val="00EB3A98"/>
    <w:rsid w:val="00EB46D9"/>
    <w:rsid w:val="00EB4909"/>
    <w:rsid w:val="00EB6349"/>
    <w:rsid w:val="00EB6EF6"/>
    <w:rsid w:val="00EC0199"/>
    <w:rsid w:val="00EC0E64"/>
    <w:rsid w:val="00EC11AB"/>
    <w:rsid w:val="00EC1263"/>
    <w:rsid w:val="00EC142D"/>
    <w:rsid w:val="00EC1E16"/>
    <w:rsid w:val="00EC2DD1"/>
    <w:rsid w:val="00EC4BA5"/>
    <w:rsid w:val="00EC52DA"/>
    <w:rsid w:val="00EC6F28"/>
    <w:rsid w:val="00ED0024"/>
    <w:rsid w:val="00ED063D"/>
    <w:rsid w:val="00ED0EA0"/>
    <w:rsid w:val="00ED0F85"/>
    <w:rsid w:val="00ED20B4"/>
    <w:rsid w:val="00ED2643"/>
    <w:rsid w:val="00ED2B5C"/>
    <w:rsid w:val="00ED3269"/>
    <w:rsid w:val="00ED3A18"/>
    <w:rsid w:val="00ED3AB7"/>
    <w:rsid w:val="00ED3C57"/>
    <w:rsid w:val="00ED48DA"/>
    <w:rsid w:val="00ED50D6"/>
    <w:rsid w:val="00EE1A8C"/>
    <w:rsid w:val="00EE1C03"/>
    <w:rsid w:val="00EE3FED"/>
    <w:rsid w:val="00EE4643"/>
    <w:rsid w:val="00EE529F"/>
    <w:rsid w:val="00EE65B6"/>
    <w:rsid w:val="00EE7C86"/>
    <w:rsid w:val="00EF1330"/>
    <w:rsid w:val="00EF15FF"/>
    <w:rsid w:val="00EF31D8"/>
    <w:rsid w:val="00EF4D77"/>
    <w:rsid w:val="00EF55E6"/>
    <w:rsid w:val="00EF5707"/>
    <w:rsid w:val="00EF6A33"/>
    <w:rsid w:val="00EF6F1F"/>
    <w:rsid w:val="00EF70EC"/>
    <w:rsid w:val="00EF7111"/>
    <w:rsid w:val="00EF7D1A"/>
    <w:rsid w:val="00F000B5"/>
    <w:rsid w:val="00F007D1"/>
    <w:rsid w:val="00F02759"/>
    <w:rsid w:val="00F03B49"/>
    <w:rsid w:val="00F0448F"/>
    <w:rsid w:val="00F04E9B"/>
    <w:rsid w:val="00F0716C"/>
    <w:rsid w:val="00F105AE"/>
    <w:rsid w:val="00F108A8"/>
    <w:rsid w:val="00F13319"/>
    <w:rsid w:val="00F14353"/>
    <w:rsid w:val="00F1628B"/>
    <w:rsid w:val="00F16EBE"/>
    <w:rsid w:val="00F22CAC"/>
    <w:rsid w:val="00F22E81"/>
    <w:rsid w:val="00F270E9"/>
    <w:rsid w:val="00F273EF"/>
    <w:rsid w:val="00F27440"/>
    <w:rsid w:val="00F275C0"/>
    <w:rsid w:val="00F317B5"/>
    <w:rsid w:val="00F33348"/>
    <w:rsid w:val="00F346B6"/>
    <w:rsid w:val="00F3608D"/>
    <w:rsid w:val="00F36145"/>
    <w:rsid w:val="00F37BDD"/>
    <w:rsid w:val="00F40716"/>
    <w:rsid w:val="00F41503"/>
    <w:rsid w:val="00F417D4"/>
    <w:rsid w:val="00F41DA9"/>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015"/>
    <w:rsid w:val="00F521DE"/>
    <w:rsid w:val="00F54162"/>
    <w:rsid w:val="00F541D4"/>
    <w:rsid w:val="00F553CE"/>
    <w:rsid w:val="00F5565A"/>
    <w:rsid w:val="00F56043"/>
    <w:rsid w:val="00F5664E"/>
    <w:rsid w:val="00F56BD8"/>
    <w:rsid w:val="00F56FA9"/>
    <w:rsid w:val="00F6171A"/>
    <w:rsid w:val="00F62306"/>
    <w:rsid w:val="00F635FC"/>
    <w:rsid w:val="00F63D03"/>
    <w:rsid w:val="00F65A53"/>
    <w:rsid w:val="00F65E2F"/>
    <w:rsid w:val="00F66520"/>
    <w:rsid w:val="00F67385"/>
    <w:rsid w:val="00F67DF1"/>
    <w:rsid w:val="00F7054E"/>
    <w:rsid w:val="00F7137C"/>
    <w:rsid w:val="00F71743"/>
    <w:rsid w:val="00F72A09"/>
    <w:rsid w:val="00F74E67"/>
    <w:rsid w:val="00F7552B"/>
    <w:rsid w:val="00F8138A"/>
    <w:rsid w:val="00F8309B"/>
    <w:rsid w:val="00F831E2"/>
    <w:rsid w:val="00F833C9"/>
    <w:rsid w:val="00F8533A"/>
    <w:rsid w:val="00F90064"/>
    <w:rsid w:val="00F9022A"/>
    <w:rsid w:val="00F90520"/>
    <w:rsid w:val="00F9056D"/>
    <w:rsid w:val="00F94217"/>
    <w:rsid w:val="00F9586C"/>
    <w:rsid w:val="00F96AFD"/>
    <w:rsid w:val="00F96F4C"/>
    <w:rsid w:val="00FA07F4"/>
    <w:rsid w:val="00FA1398"/>
    <w:rsid w:val="00FA14FE"/>
    <w:rsid w:val="00FA1515"/>
    <w:rsid w:val="00FA2E19"/>
    <w:rsid w:val="00FA39FD"/>
    <w:rsid w:val="00FA43C8"/>
    <w:rsid w:val="00FA697F"/>
    <w:rsid w:val="00FB0147"/>
    <w:rsid w:val="00FB0246"/>
    <w:rsid w:val="00FB0F92"/>
    <w:rsid w:val="00FB1368"/>
    <w:rsid w:val="00FB1B41"/>
    <w:rsid w:val="00FB2852"/>
    <w:rsid w:val="00FB2FB3"/>
    <w:rsid w:val="00FB3846"/>
    <w:rsid w:val="00FB4BB1"/>
    <w:rsid w:val="00FB5059"/>
    <w:rsid w:val="00FB5521"/>
    <w:rsid w:val="00FB610D"/>
    <w:rsid w:val="00FB626E"/>
    <w:rsid w:val="00FC4477"/>
    <w:rsid w:val="00FC46FB"/>
    <w:rsid w:val="00FC51FF"/>
    <w:rsid w:val="00FC6630"/>
    <w:rsid w:val="00FC7B66"/>
    <w:rsid w:val="00FD0D94"/>
    <w:rsid w:val="00FD106C"/>
    <w:rsid w:val="00FD2BD3"/>
    <w:rsid w:val="00FD3DEF"/>
    <w:rsid w:val="00FD4CCA"/>
    <w:rsid w:val="00FD58B1"/>
    <w:rsid w:val="00FD6FCB"/>
    <w:rsid w:val="00FD7002"/>
    <w:rsid w:val="00FD7610"/>
    <w:rsid w:val="00FE04BA"/>
    <w:rsid w:val="00FE234B"/>
    <w:rsid w:val="00FE2A9E"/>
    <w:rsid w:val="00FE34B3"/>
    <w:rsid w:val="00FE46B7"/>
    <w:rsid w:val="00FE4CEC"/>
    <w:rsid w:val="00FE6C21"/>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imSun"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eastAsia="SimSun" w:hAnsi="Arial"/>
      <w:sz w:val="13"/>
      <w:szCs w:val="24"/>
      <w:lang w:val="de-DE" w:eastAsia="zh-CN"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eastAsia="SimSun" w:hAnsi="Arial" w:cs="Arial"/>
      <w:b/>
      <w:bCs/>
      <w:kern w:val="32"/>
      <w:sz w:val="36"/>
      <w:szCs w:val="32"/>
      <w:lang w:val="de-DE"/>
    </w:rPr>
  </w:style>
  <w:style w:type="character" w:styleId="Hyperlink">
    <w:name w:val="Hyperlink"/>
    <w:rsid w:val="00336854"/>
    <w:rPr>
      <w:rFonts w:ascii="Segoe UI" w:eastAsia="SimSun"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eastAsia="SimSun"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eastAsia="SimSun"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eastAsia="SimSun" w:hAnsi="Segoe UI"/>
      <w:sz w:val="18"/>
    </w:rPr>
  </w:style>
  <w:style w:type="character" w:customStyle="1" w:styleId="AboutandContactHeadline">
    <w:name w:val="About and Contact Headline"/>
    <w:basedOn w:val="DefaultParagraphFont"/>
    <w:rsid w:val="00336854"/>
    <w:rPr>
      <w:rFonts w:ascii="Segoe UI" w:eastAsia="SimSun"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eastAsia="SimSun"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eastAsia="SimSun"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ise.cheung@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ki.qi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1C6C127B-E718-4786-951F-8CF66E3C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0</TotalTime>
  <Pages>6</Pages>
  <Words>4915</Words>
  <Characters>943</Characters>
  <Application>Microsoft Office Word</Application>
  <DocSecurity>0</DocSecurity>
  <Lines>7</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5847</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11</cp:revision>
  <cp:lastPrinted>2024-07-31T07:57:00Z</cp:lastPrinted>
  <dcterms:created xsi:type="dcterms:W3CDTF">2024-08-16T02:20:00Z</dcterms:created>
  <dcterms:modified xsi:type="dcterms:W3CDTF">2024-08-16T06:19:00Z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0x010100811F2B0E4436D4419B93D2E67DB77F8B</vt:lpwstr>
  </property>
  <property fmtid="{D5CDD505-2E9C-101B-9397-08002B2CF9AE}" pid="3" name="MediaServiceImageTags">
    <vt:lpwstr/>
  </property>
</Properties>
</file>