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E39A" w14:textId="102C5582" w:rsidR="00B422EC" w:rsidRPr="00613DC9" w:rsidRDefault="00CD2916" w:rsidP="00643D8A">
      <w:pPr>
        <w:pStyle w:val="MonthDayYear"/>
        <w:rPr>
          <w:lang w:val="es-ES"/>
        </w:rPr>
      </w:pPr>
      <w:r>
        <w:rPr>
          <w:lang w:val="es-ES"/>
        </w:rPr>
        <w:t>24</w:t>
      </w:r>
      <w:r w:rsidR="00613DC9" w:rsidRPr="00613DC9">
        <w:rPr>
          <w:lang w:val="es-ES"/>
        </w:rPr>
        <w:t xml:space="preserve"> de </w:t>
      </w:r>
      <w:r>
        <w:rPr>
          <w:lang w:val="es-ES"/>
        </w:rPr>
        <w:t>septiembre</w:t>
      </w:r>
      <w:r w:rsidR="00613DC9" w:rsidRPr="00613DC9">
        <w:rPr>
          <w:lang w:val="es-ES"/>
        </w:rPr>
        <w:t xml:space="preserve"> de</w:t>
      </w:r>
      <w:r w:rsidR="00BF6E82" w:rsidRPr="00613DC9">
        <w:rPr>
          <w:lang w:val="es-ES"/>
        </w:rPr>
        <w:t xml:space="preserve"> 20</w:t>
      </w:r>
      <w:r w:rsidR="00F635FC" w:rsidRPr="00613DC9">
        <w:rPr>
          <w:lang w:val="es-ES"/>
        </w:rPr>
        <w:t>2</w:t>
      </w:r>
      <w:r w:rsidR="00C406A9">
        <w:rPr>
          <w:lang w:val="es-ES"/>
        </w:rPr>
        <w:t>4</w:t>
      </w:r>
    </w:p>
    <w:p w14:paraId="54783857" w14:textId="77777777" w:rsidR="00CD2916" w:rsidRDefault="00CD2916" w:rsidP="00365E44">
      <w:pPr>
        <w:rPr>
          <w:rFonts w:cs="Segoe UI"/>
          <w:b/>
          <w:szCs w:val="22"/>
          <w:lang w:val="es-ES"/>
        </w:rPr>
      </w:pPr>
      <w:r>
        <w:rPr>
          <w:rFonts w:cs="Segoe UI"/>
          <w:b/>
          <w:szCs w:val="22"/>
          <w:lang w:val="es-ES"/>
        </w:rPr>
        <w:br/>
      </w:r>
    </w:p>
    <w:p w14:paraId="6706FA18" w14:textId="55BAFD21" w:rsidR="00852511" w:rsidRPr="00CD2916" w:rsidRDefault="00CD2916" w:rsidP="00CD2916">
      <w:pPr>
        <w:jc w:val="left"/>
        <w:rPr>
          <w:sz w:val="28"/>
          <w:szCs w:val="32"/>
          <w:lang w:val="es-ES"/>
        </w:rPr>
      </w:pPr>
      <w:r w:rsidRPr="00CD2916">
        <w:rPr>
          <w:rFonts w:cs="Segoe UI"/>
          <w:b/>
          <w:sz w:val="28"/>
          <w:szCs w:val="28"/>
          <w:lang w:val="es-ES"/>
        </w:rPr>
        <w:t xml:space="preserve">Jorge </w:t>
      </w:r>
      <w:proofErr w:type="spellStart"/>
      <w:r w:rsidRPr="00CD2916">
        <w:rPr>
          <w:rFonts w:cs="Segoe UI"/>
          <w:b/>
          <w:sz w:val="28"/>
          <w:szCs w:val="28"/>
          <w:lang w:val="es-ES"/>
        </w:rPr>
        <w:t>Strapasson</w:t>
      </w:r>
      <w:proofErr w:type="spellEnd"/>
      <w:r w:rsidRPr="00CD2916">
        <w:rPr>
          <w:rFonts w:cs="Segoe UI"/>
          <w:b/>
          <w:sz w:val="28"/>
          <w:szCs w:val="28"/>
          <w:lang w:val="es-ES"/>
        </w:rPr>
        <w:t>: “Hoy la sustentabilidad</w:t>
      </w:r>
      <w:r w:rsidR="0007513B">
        <w:rPr>
          <w:rFonts w:cs="Segoe UI"/>
          <w:b/>
          <w:sz w:val="28"/>
          <w:szCs w:val="28"/>
          <w:lang w:val="es-ES"/>
        </w:rPr>
        <w:t xml:space="preserve"> </w:t>
      </w:r>
      <w:r w:rsidRPr="00CD2916">
        <w:rPr>
          <w:rFonts w:cs="Segoe UI"/>
          <w:b/>
          <w:sz w:val="28"/>
          <w:szCs w:val="28"/>
          <w:lang w:val="es-ES"/>
        </w:rPr>
        <w:t>es una necesidad imperante”</w:t>
      </w:r>
    </w:p>
    <w:p w14:paraId="7763AB96" w14:textId="419337FF" w:rsidR="00CD2916" w:rsidRPr="00CD2916" w:rsidRDefault="00CD2916" w:rsidP="00CD2916">
      <w:pPr>
        <w:jc w:val="left"/>
        <w:rPr>
          <w:rFonts w:cs="Segoe UI"/>
          <w:b/>
          <w:szCs w:val="22"/>
          <w:lang w:val="es-ES"/>
        </w:rPr>
      </w:pPr>
      <w:r w:rsidRPr="00CD2916">
        <w:rPr>
          <w:rFonts w:cs="Segoe UI"/>
          <w:b/>
          <w:szCs w:val="22"/>
          <w:lang w:val="es-ES"/>
        </w:rPr>
        <w:br/>
      </w:r>
      <w:r w:rsidRPr="00CD2916">
        <w:rPr>
          <w:rFonts w:cs="Segoe UI"/>
          <w:i/>
          <w:szCs w:val="22"/>
          <w:lang w:val="es-ES"/>
        </w:rPr>
        <w:t>Así lo afirmó el presidente de Henkel Argentina, en el marco del Día de la Conciencia Ambiental.</w:t>
      </w:r>
    </w:p>
    <w:p w14:paraId="2DDBC8B5" w14:textId="77777777" w:rsidR="00CD2916" w:rsidRPr="00CD2916" w:rsidRDefault="00CD2916" w:rsidP="00CD2916">
      <w:pPr>
        <w:jc w:val="left"/>
        <w:rPr>
          <w:rFonts w:cs="Segoe UI"/>
          <w:szCs w:val="22"/>
          <w:lang w:val="es-ES"/>
        </w:rPr>
      </w:pPr>
    </w:p>
    <w:p w14:paraId="1FB0358E" w14:textId="32F6CFEB" w:rsidR="00CD2916" w:rsidRPr="00CD2916" w:rsidRDefault="00CD2916" w:rsidP="00CD2916">
      <w:pPr>
        <w:jc w:val="left"/>
        <w:rPr>
          <w:rFonts w:cs="Segoe UI"/>
          <w:szCs w:val="22"/>
          <w:lang w:val="es-ES"/>
        </w:rPr>
      </w:pPr>
      <w:r>
        <w:rPr>
          <w:rFonts w:cs="Segoe UI"/>
          <w:szCs w:val="22"/>
          <w:lang w:val="es-ES"/>
        </w:rPr>
        <w:t xml:space="preserve">Buenos Aires, Argentina </w:t>
      </w:r>
      <w:r w:rsidRPr="00CD2916">
        <w:rPr>
          <w:rFonts w:cs="Segoe UI"/>
          <w:szCs w:val="22"/>
          <w:lang w:val="es-ES"/>
        </w:rPr>
        <w:t>–</w:t>
      </w:r>
      <w:r>
        <w:rPr>
          <w:rFonts w:cs="Segoe UI"/>
          <w:szCs w:val="22"/>
          <w:lang w:val="es-ES"/>
        </w:rPr>
        <w:t xml:space="preserve"> </w:t>
      </w:r>
      <w:r w:rsidRPr="00CD2916">
        <w:rPr>
          <w:rFonts w:cs="Segoe UI"/>
          <w:szCs w:val="22"/>
          <w:lang w:val="es-ES"/>
        </w:rPr>
        <w:t>El Día de la Conciencia Ambiental nos invita a pensar el rol que cumplen las empresas en el cuidado del ambiente. En los últimos años, el cambio climático ha puesto en jaque la economía, transformando así la forma de concebir el desarrollo. Las compañías se han visto obligadas a adaptarse, dado que el comercio internacional demanda cada vez más productos que provengan de procesos sustentables.</w:t>
      </w:r>
    </w:p>
    <w:p w14:paraId="4603505E" w14:textId="77777777" w:rsidR="00CD2916" w:rsidRPr="00CD2916" w:rsidRDefault="00CD2916" w:rsidP="00CD2916">
      <w:pPr>
        <w:jc w:val="left"/>
        <w:rPr>
          <w:rFonts w:cs="Segoe UI"/>
          <w:szCs w:val="22"/>
          <w:lang w:val="es-ES"/>
        </w:rPr>
      </w:pPr>
    </w:p>
    <w:p w14:paraId="082F0071" w14:textId="77777777" w:rsidR="00CD2916" w:rsidRPr="00CD2916" w:rsidRDefault="00CD2916" w:rsidP="00CD2916">
      <w:pPr>
        <w:jc w:val="left"/>
        <w:rPr>
          <w:rFonts w:cs="Segoe UI"/>
          <w:szCs w:val="22"/>
          <w:lang w:val="es-ES"/>
        </w:rPr>
      </w:pPr>
      <w:r w:rsidRPr="00CD2916">
        <w:rPr>
          <w:rFonts w:cs="Segoe UI"/>
          <w:szCs w:val="22"/>
          <w:lang w:val="es-ES"/>
        </w:rPr>
        <w:t>De esta manera, la producción se ha ido adaptando a los numerosos estándares de cuidado ambiental que se introdujeron en el comercio internacional, en virtud de los Objetivos de Desarrollo Sostenible que ha establecido la Organización de las Naciones Unidas.</w:t>
      </w:r>
    </w:p>
    <w:p w14:paraId="0E309DCF" w14:textId="77777777" w:rsidR="00CD2916" w:rsidRPr="00CD2916" w:rsidRDefault="00CD2916" w:rsidP="00CD2916">
      <w:pPr>
        <w:jc w:val="left"/>
        <w:rPr>
          <w:rFonts w:cs="Segoe UI"/>
          <w:szCs w:val="22"/>
          <w:lang w:val="es-ES"/>
        </w:rPr>
      </w:pPr>
    </w:p>
    <w:p w14:paraId="7A22CEDC" w14:textId="77777777" w:rsidR="00CD2916" w:rsidRPr="00CD2916" w:rsidRDefault="00CD2916" w:rsidP="00CD2916">
      <w:pPr>
        <w:jc w:val="left"/>
        <w:rPr>
          <w:rFonts w:cs="Segoe UI"/>
          <w:szCs w:val="22"/>
          <w:lang w:val="es-ES"/>
        </w:rPr>
      </w:pPr>
      <w:r w:rsidRPr="00CD2916">
        <w:rPr>
          <w:rFonts w:cs="Segoe UI"/>
          <w:szCs w:val="22"/>
          <w:lang w:val="es-ES"/>
        </w:rPr>
        <w:t xml:space="preserve">En este sentido, </w:t>
      </w:r>
      <w:r w:rsidRPr="00CD2916">
        <w:rPr>
          <w:rFonts w:cs="Segoe UI"/>
          <w:b/>
          <w:szCs w:val="22"/>
          <w:lang w:val="es-ES"/>
        </w:rPr>
        <w:t>Henkel asumió un gran compromiso que se refleja en su Informe de Sustentabilidad 2023</w:t>
      </w:r>
      <w:r w:rsidRPr="00CD2916">
        <w:rPr>
          <w:rFonts w:cs="Segoe UI"/>
          <w:szCs w:val="22"/>
          <w:lang w:val="es-ES"/>
        </w:rPr>
        <w:t>, en donde se destaca que</w:t>
      </w:r>
      <w:r w:rsidRPr="00CD2916">
        <w:rPr>
          <w:rFonts w:cs="Segoe UI"/>
          <w:b/>
          <w:szCs w:val="22"/>
          <w:lang w:val="es-ES"/>
        </w:rPr>
        <w:t xml:space="preserve"> redujo en un 61% las emisiones de CO2 en la producción</w:t>
      </w:r>
      <w:r w:rsidRPr="00CD2916">
        <w:rPr>
          <w:rFonts w:cs="Segoe UI"/>
          <w:szCs w:val="22"/>
          <w:lang w:val="es-ES"/>
        </w:rPr>
        <w:t xml:space="preserve">; además </w:t>
      </w:r>
      <w:r w:rsidRPr="00CD2916">
        <w:rPr>
          <w:rFonts w:cs="Segoe UI"/>
          <w:b/>
          <w:szCs w:val="22"/>
          <w:lang w:val="es-ES"/>
        </w:rPr>
        <w:t>de aumentar el porcentaje de electricidad adquirida a partir de fuentes renovables en un 89%</w:t>
      </w:r>
      <w:r w:rsidRPr="00CD2916">
        <w:rPr>
          <w:rFonts w:cs="Segoe UI"/>
          <w:szCs w:val="22"/>
          <w:lang w:val="es-ES"/>
        </w:rPr>
        <w:t xml:space="preserve">. </w:t>
      </w:r>
    </w:p>
    <w:p w14:paraId="2466C4C3" w14:textId="77777777" w:rsidR="00CD2916" w:rsidRPr="00CD2916" w:rsidRDefault="00CD2916" w:rsidP="00CD2916">
      <w:pPr>
        <w:jc w:val="left"/>
        <w:rPr>
          <w:rFonts w:cs="Segoe UI"/>
          <w:szCs w:val="22"/>
          <w:lang w:val="es-ES"/>
        </w:rPr>
      </w:pPr>
    </w:p>
    <w:p w14:paraId="1597239E" w14:textId="0FD91C25" w:rsidR="00CD2916" w:rsidRPr="00CD2916" w:rsidRDefault="00CD2916" w:rsidP="00CD2916">
      <w:pPr>
        <w:jc w:val="left"/>
        <w:rPr>
          <w:rFonts w:cs="Segoe UI"/>
          <w:iCs/>
          <w:szCs w:val="22"/>
          <w:lang w:val="es-ES"/>
        </w:rPr>
      </w:pPr>
      <w:r w:rsidRPr="00CD2916">
        <w:rPr>
          <w:rFonts w:cs="Segoe UI"/>
          <w:iCs/>
          <w:szCs w:val="22"/>
          <w:lang w:val="es-ES"/>
        </w:rPr>
        <w:t>“</w:t>
      </w:r>
      <w:r w:rsidRPr="00CD2916">
        <w:rPr>
          <w:rFonts w:cs="Segoe UI"/>
          <w:b/>
          <w:iCs/>
          <w:szCs w:val="22"/>
          <w:lang w:val="es-ES"/>
        </w:rPr>
        <w:t xml:space="preserve">Hoy la sustentabilidad </w:t>
      </w:r>
      <w:r w:rsidRPr="00CD2916">
        <w:rPr>
          <w:rFonts w:cs="Segoe UI"/>
          <w:iCs/>
          <w:szCs w:val="22"/>
          <w:lang w:val="es-ES"/>
        </w:rPr>
        <w:t>es una necesidad imperante para las empresas, por eso es un pilar central de nuestra Agenda de Crecimiento con Propósito que apunta a generar valor para nuestros grupos de interés y el personal de la compañía, desarrollando el negocio de forma responsable y consolidando nuestro papel de liderazgo en sustentabilidad”, asegura</w:t>
      </w:r>
      <w:r w:rsidRPr="00CD2916">
        <w:rPr>
          <w:rFonts w:cs="Segoe UI"/>
          <w:b/>
          <w:iCs/>
          <w:szCs w:val="22"/>
          <w:lang w:val="es-ES"/>
        </w:rPr>
        <w:t xml:space="preserve"> Jorge </w:t>
      </w:r>
      <w:proofErr w:type="spellStart"/>
      <w:r w:rsidRPr="00CD2916">
        <w:rPr>
          <w:rFonts w:cs="Segoe UI"/>
          <w:b/>
          <w:iCs/>
          <w:szCs w:val="22"/>
          <w:lang w:val="es-ES"/>
        </w:rPr>
        <w:t>Strapasson</w:t>
      </w:r>
      <w:proofErr w:type="spellEnd"/>
      <w:r w:rsidRPr="00CD2916">
        <w:rPr>
          <w:rFonts w:cs="Segoe UI"/>
          <w:b/>
          <w:iCs/>
          <w:szCs w:val="22"/>
          <w:lang w:val="es-ES"/>
        </w:rPr>
        <w:t>, presidente de Henkel Argentina</w:t>
      </w:r>
      <w:r w:rsidRPr="00CD2916">
        <w:rPr>
          <w:rFonts w:cs="Segoe UI"/>
          <w:iCs/>
          <w:szCs w:val="22"/>
          <w:lang w:val="es-ES"/>
        </w:rPr>
        <w:t xml:space="preserve">. </w:t>
      </w:r>
    </w:p>
    <w:p w14:paraId="623E0F68" w14:textId="77777777" w:rsidR="00CD2916" w:rsidRPr="00CD2916" w:rsidRDefault="00CD2916" w:rsidP="00CD2916">
      <w:pPr>
        <w:jc w:val="left"/>
        <w:rPr>
          <w:rFonts w:cs="Segoe UI"/>
          <w:szCs w:val="22"/>
          <w:lang w:val="es-ES"/>
        </w:rPr>
      </w:pPr>
    </w:p>
    <w:p w14:paraId="01E1ECAA" w14:textId="77777777" w:rsidR="00CD2916" w:rsidRPr="00CD2916" w:rsidRDefault="00CD2916" w:rsidP="00CD2916">
      <w:pPr>
        <w:jc w:val="left"/>
        <w:rPr>
          <w:rFonts w:cs="Segoe UI"/>
          <w:szCs w:val="22"/>
          <w:lang w:val="es-ES"/>
        </w:rPr>
      </w:pPr>
      <w:r w:rsidRPr="00CD2916">
        <w:rPr>
          <w:rFonts w:cs="Segoe UI"/>
          <w:szCs w:val="22"/>
          <w:lang w:val="es-ES"/>
        </w:rPr>
        <w:t xml:space="preserve">Además, con el objetivo de promover una economía circular, la compañía ha aumentado la proporción de plástico reciclado en sus envases de bienes de consumo en todo el mundo, </w:t>
      </w:r>
      <w:r w:rsidRPr="00CD2916">
        <w:rPr>
          <w:rFonts w:cs="Segoe UI"/>
          <w:szCs w:val="22"/>
          <w:lang w:val="es-ES"/>
        </w:rPr>
        <w:lastRenderedPageBreak/>
        <w:t xml:space="preserve">hasta el 19%, y ha duplicado el nivel de resina reciclada hasta un 50% en las botellas de detergentes líquidos en Europa y algunos países de América Latina, como </w:t>
      </w:r>
      <w:proofErr w:type="spellStart"/>
      <w:r w:rsidRPr="00CD2916">
        <w:rPr>
          <w:rFonts w:cs="Segoe UI"/>
          <w:szCs w:val="22"/>
          <w:lang w:val="es-ES"/>
        </w:rPr>
        <w:t>Persil</w:t>
      </w:r>
      <w:proofErr w:type="spellEnd"/>
      <w:r w:rsidRPr="00CD2916">
        <w:rPr>
          <w:rFonts w:cs="Segoe UI"/>
          <w:szCs w:val="22"/>
          <w:lang w:val="es-ES"/>
        </w:rPr>
        <w:t>.</w:t>
      </w:r>
    </w:p>
    <w:p w14:paraId="5340EE1A" w14:textId="77777777" w:rsidR="00CD2916" w:rsidRPr="00CD2916" w:rsidRDefault="00CD2916" w:rsidP="00CD2916">
      <w:pPr>
        <w:jc w:val="left"/>
        <w:rPr>
          <w:rFonts w:cs="Segoe UI"/>
          <w:szCs w:val="22"/>
          <w:lang w:val="es-ES"/>
        </w:rPr>
      </w:pPr>
    </w:p>
    <w:p w14:paraId="7CFB4C10" w14:textId="77777777" w:rsidR="00CD2916" w:rsidRPr="00CD2916" w:rsidRDefault="00CD2916" w:rsidP="00CD2916">
      <w:pPr>
        <w:jc w:val="left"/>
        <w:rPr>
          <w:rFonts w:cs="Segoe UI"/>
          <w:iCs/>
          <w:szCs w:val="22"/>
          <w:lang w:val="es-ES"/>
        </w:rPr>
      </w:pPr>
      <w:r w:rsidRPr="00CD2916">
        <w:rPr>
          <w:rFonts w:cs="Segoe UI"/>
          <w:iCs/>
          <w:szCs w:val="22"/>
          <w:lang w:val="es-ES"/>
        </w:rPr>
        <w:t xml:space="preserve">“En este contexto, las empresas podemos ser un agente de cambio, es por eso </w:t>
      </w:r>
      <w:proofErr w:type="gramStart"/>
      <w:r w:rsidRPr="00CD2916">
        <w:rPr>
          <w:rFonts w:cs="Segoe UI"/>
          <w:iCs/>
          <w:szCs w:val="22"/>
          <w:lang w:val="es-ES"/>
        </w:rPr>
        <w:t>que</w:t>
      </w:r>
      <w:proofErr w:type="gramEnd"/>
      <w:r w:rsidRPr="00CD2916">
        <w:rPr>
          <w:rFonts w:cs="Segoe UI"/>
          <w:iCs/>
          <w:szCs w:val="22"/>
          <w:lang w:val="es-ES"/>
        </w:rPr>
        <w:t xml:space="preserve"> </w:t>
      </w:r>
      <w:r w:rsidRPr="00CD2916">
        <w:rPr>
          <w:rFonts w:cs="Segoe UI"/>
          <w:b/>
          <w:iCs/>
          <w:szCs w:val="22"/>
          <w:lang w:val="es-ES"/>
        </w:rPr>
        <w:t xml:space="preserve">nuestra estrategia se basa en el modelo de la economía circular con el objetivo de transformar nuestros procesos </w:t>
      </w:r>
      <w:proofErr w:type="spellStart"/>
      <w:r w:rsidRPr="00CD2916">
        <w:rPr>
          <w:rFonts w:cs="Segoe UI"/>
          <w:b/>
          <w:iCs/>
          <w:szCs w:val="22"/>
          <w:lang w:val="es-ES"/>
        </w:rPr>
        <w:t>hacia</w:t>
      </w:r>
      <w:proofErr w:type="spellEnd"/>
      <w:r w:rsidRPr="00CD2916">
        <w:rPr>
          <w:rFonts w:cs="Segoe UI"/>
          <w:b/>
          <w:iCs/>
          <w:szCs w:val="22"/>
          <w:lang w:val="es-ES"/>
        </w:rPr>
        <w:t xml:space="preserve"> unos más amigables con el ambiente</w:t>
      </w:r>
      <w:r w:rsidRPr="00CD2916">
        <w:rPr>
          <w:rFonts w:cs="Segoe UI"/>
          <w:iCs/>
          <w:szCs w:val="22"/>
          <w:lang w:val="es-ES"/>
        </w:rPr>
        <w:t xml:space="preserve">”, agrega </w:t>
      </w:r>
      <w:proofErr w:type="spellStart"/>
      <w:r w:rsidRPr="00CD2916">
        <w:rPr>
          <w:rFonts w:cs="Segoe UI"/>
          <w:iCs/>
          <w:szCs w:val="22"/>
          <w:lang w:val="es-ES"/>
        </w:rPr>
        <w:t>Strapasson</w:t>
      </w:r>
      <w:proofErr w:type="spellEnd"/>
      <w:r w:rsidRPr="00CD2916">
        <w:rPr>
          <w:rFonts w:cs="Segoe UI"/>
          <w:iCs/>
          <w:szCs w:val="22"/>
          <w:lang w:val="es-ES"/>
        </w:rPr>
        <w:t>.</w:t>
      </w:r>
    </w:p>
    <w:p w14:paraId="4FA1F2E1" w14:textId="77777777" w:rsidR="00CD2916" w:rsidRPr="00CD2916" w:rsidRDefault="00CD2916" w:rsidP="00CD2916">
      <w:pPr>
        <w:jc w:val="left"/>
        <w:rPr>
          <w:rFonts w:cs="Segoe UI"/>
          <w:szCs w:val="22"/>
          <w:lang w:val="es-ES"/>
        </w:rPr>
      </w:pPr>
    </w:p>
    <w:p w14:paraId="12EF7F54" w14:textId="17196899" w:rsidR="00CD2916" w:rsidRPr="00CD2916" w:rsidRDefault="00CD2916" w:rsidP="00CD2916">
      <w:pPr>
        <w:jc w:val="left"/>
        <w:rPr>
          <w:rFonts w:cs="Segoe UI"/>
          <w:szCs w:val="22"/>
          <w:lang w:val="es-ES"/>
        </w:rPr>
      </w:pPr>
      <w:r w:rsidRPr="00CD2916">
        <w:rPr>
          <w:rFonts w:cs="Segoe UI"/>
          <w:szCs w:val="22"/>
          <w:lang w:val="es-ES"/>
        </w:rPr>
        <w:t>La adopción de estas prácticas es un desafío que Henkel domina, ya que piensa en el desarrollo sostenible como una inversión estratégica que genera beneficios para el ambiente y las comunidades en las que está presente, al mismo tiempo que maximiza la rentabilidad del negocio.</w:t>
      </w:r>
      <w:r>
        <w:rPr>
          <w:rFonts w:cs="Segoe UI"/>
          <w:szCs w:val="22"/>
          <w:lang w:val="es-ES"/>
        </w:rPr>
        <w:br/>
      </w:r>
    </w:p>
    <w:p w14:paraId="08F467FA" w14:textId="77777777" w:rsidR="00CD2916" w:rsidRPr="00CD2916" w:rsidRDefault="00CD2916" w:rsidP="00CD2916">
      <w:pPr>
        <w:jc w:val="left"/>
        <w:rPr>
          <w:rFonts w:cs="Segoe UI"/>
          <w:szCs w:val="22"/>
          <w:lang w:val="es-ES"/>
        </w:rPr>
      </w:pPr>
      <w:r w:rsidRPr="00CD2916">
        <w:rPr>
          <w:rFonts w:cs="Segoe UI"/>
          <w:szCs w:val="22"/>
          <w:lang w:val="es-ES"/>
        </w:rPr>
        <w:t>Por ello, Henkel comparte su “Reporte de Sustentabilidad” de manera pública en sus sitios web de todo el mundo desde 1990. Esta herramienta es útil para generar confianza en sus clientes y consumidores, pero también funciona internamente como evaluador de su gestión.</w:t>
      </w:r>
    </w:p>
    <w:p w14:paraId="2345869D" w14:textId="77777777" w:rsidR="00CD2916" w:rsidRPr="00CD2916" w:rsidRDefault="00CD2916" w:rsidP="00CD2916">
      <w:pPr>
        <w:jc w:val="left"/>
        <w:rPr>
          <w:rFonts w:cs="Segoe UI"/>
          <w:szCs w:val="22"/>
          <w:lang w:val="es-ES"/>
        </w:rPr>
      </w:pPr>
    </w:p>
    <w:p w14:paraId="3D49EFA1" w14:textId="77777777" w:rsidR="00CD2916" w:rsidRDefault="00CD2916" w:rsidP="00CD2916">
      <w:pPr>
        <w:jc w:val="left"/>
        <w:rPr>
          <w:rFonts w:cs="Segoe UI"/>
          <w:szCs w:val="22"/>
          <w:lang w:val="es-ES"/>
        </w:rPr>
      </w:pPr>
    </w:p>
    <w:p w14:paraId="01FBEBF0" w14:textId="77777777" w:rsidR="00CD2916" w:rsidRDefault="00CD2916" w:rsidP="00CD2916">
      <w:pPr>
        <w:jc w:val="left"/>
        <w:rPr>
          <w:rFonts w:cs="Segoe UI"/>
          <w:szCs w:val="22"/>
          <w:lang w:val="es-ES"/>
        </w:rPr>
      </w:pPr>
    </w:p>
    <w:p w14:paraId="40D6E9B6" w14:textId="77777777" w:rsidR="00CD2916" w:rsidRPr="00CD2916" w:rsidRDefault="00CD2916" w:rsidP="00CD2916">
      <w:pPr>
        <w:jc w:val="left"/>
        <w:rPr>
          <w:rFonts w:cs="Segoe UI"/>
          <w:szCs w:val="22"/>
          <w:lang w:val="es-ES"/>
        </w:rPr>
      </w:pPr>
    </w:p>
    <w:p w14:paraId="587ACEF9" w14:textId="77777777" w:rsidR="00CD2916" w:rsidRPr="00CD2916" w:rsidRDefault="00CD2916" w:rsidP="00CD2916">
      <w:pPr>
        <w:jc w:val="left"/>
        <w:rPr>
          <w:rFonts w:cs="Segoe UI"/>
          <w:b/>
          <w:sz w:val="18"/>
          <w:szCs w:val="18"/>
          <w:lang w:val="es-ES"/>
        </w:rPr>
      </w:pPr>
      <w:r w:rsidRPr="00CD2916">
        <w:rPr>
          <w:rFonts w:cs="Segoe UI"/>
          <w:b/>
          <w:sz w:val="18"/>
          <w:szCs w:val="18"/>
          <w:lang w:val="es-ES"/>
        </w:rPr>
        <w:t>Acerca de Henkel</w:t>
      </w:r>
    </w:p>
    <w:p w14:paraId="7A631E57" w14:textId="77777777" w:rsidR="00CD2916" w:rsidRPr="0007513B" w:rsidRDefault="00CD2916" w:rsidP="00CD2916">
      <w:pPr>
        <w:jc w:val="left"/>
        <w:rPr>
          <w:rFonts w:cs="Segoe UI"/>
          <w:sz w:val="18"/>
          <w:szCs w:val="18"/>
          <w:u w:val="single"/>
          <w:lang w:val="es-ES"/>
        </w:rPr>
      </w:pPr>
      <w:r w:rsidRPr="00CD2916">
        <w:rPr>
          <w:rFonts w:cs="Segoe UI"/>
          <w:sz w:val="18"/>
          <w:szCs w:val="18"/>
          <w:lang w:val="es-ES"/>
        </w:rPr>
        <w:t xml:space="preserve">Con sus marcas, innovaciones y tecnologías, Henkel ocupa posiciones de liderazgo a nivel mundial en el mercado industrial y de consumo. La unidad de negocio de Adhesive Technologies es líder mundial en el sector de adhesivos, selladores y recubrimientos. Con el negocio </w:t>
      </w:r>
      <w:proofErr w:type="spellStart"/>
      <w:r w:rsidRPr="00CD2916">
        <w:rPr>
          <w:rFonts w:cs="Segoe UI"/>
          <w:sz w:val="18"/>
          <w:szCs w:val="18"/>
          <w:lang w:val="es-ES"/>
        </w:rPr>
        <w:t>Consumer</w:t>
      </w:r>
      <w:proofErr w:type="spellEnd"/>
      <w:r w:rsidRPr="00CD2916">
        <w:rPr>
          <w:rFonts w:cs="Segoe UI"/>
          <w:sz w:val="18"/>
          <w:szCs w:val="18"/>
          <w:lang w:val="es-ES"/>
        </w:rPr>
        <w:t xml:space="preserve"> </w:t>
      </w:r>
      <w:proofErr w:type="spellStart"/>
      <w:r w:rsidRPr="00CD2916">
        <w:rPr>
          <w:rFonts w:cs="Segoe UI"/>
          <w:sz w:val="18"/>
          <w:szCs w:val="18"/>
          <w:lang w:val="es-ES"/>
        </w:rPr>
        <w:t>Brands</w:t>
      </w:r>
      <w:proofErr w:type="spellEnd"/>
      <w:r w:rsidRPr="00CD2916">
        <w:rPr>
          <w:rFonts w:cs="Segoe UI"/>
          <w:sz w:val="18"/>
          <w:szCs w:val="18"/>
          <w:lang w:val="es-ES"/>
        </w:rPr>
        <w:t xml:space="preserve">, la empresa ocupa posiciones de liderazgo, especialmente en detergentes y cuidado del hogar, así como cuidado del cabello, en muchos mercados y categorías de todo el mundo. Las tres marcas más fuertes de la compañía son Loctite, </w:t>
      </w:r>
      <w:proofErr w:type="spellStart"/>
      <w:r w:rsidRPr="00CD2916">
        <w:rPr>
          <w:rFonts w:cs="Segoe UI"/>
          <w:sz w:val="18"/>
          <w:szCs w:val="18"/>
          <w:lang w:val="es-ES"/>
        </w:rPr>
        <w:t>Persil</w:t>
      </w:r>
      <w:proofErr w:type="spellEnd"/>
      <w:r w:rsidRPr="00CD2916">
        <w:rPr>
          <w:rFonts w:cs="Segoe UI"/>
          <w:sz w:val="18"/>
          <w:szCs w:val="18"/>
          <w:lang w:val="es-ES"/>
        </w:rPr>
        <w:t xml:space="preserve"> y Schwarzkopf. En el ejercicio fiscal 2023, Henkel registró unas ventas de cerca de 21.500 millones de euros y un resultado operativo ajustado de unos 2.600 millones de euros. Las acciones preferentes de Henkel cotizan en el índice bursátil alemán DAX. La sostenibilidad tiene una larga tradición en Henkel, y la empresa tiene una clara estrategia de sostenibilidad con objetivos específicos. Henkel se fundó en 1876 y hoy emplea a un equipo diverso de cerca de 48.000 personas en todo el mundo, unidas por una sólida cultura corporativa, valores compartidos y un propósito común: "</w:t>
      </w:r>
      <w:proofErr w:type="spellStart"/>
      <w:r w:rsidRPr="00CD2916">
        <w:rPr>
          <w:rFonts w:cs="Segoe UI"/>
          <w:i/>
          <w:sz w:val="18"/>
          <w:szCs w:val="18"/>
          <w:lang w:val="es-ES"/>
        </w:rPr>
        <w:t>Pioneers</w:t>
      </w:r>
      <w:proofErr w:type="spellEnd"/>
      <w:r w:rsidRPr="00CD2916">
        <w:rPr>
          <w:rFonts w:cs="Segoe UI"/>
          <w:i/>
          <w:sz w:val="18"/>
          <w:szCs w:val="18"/>
          <w:lang w:val="es-ES"/>
        </w:rPr>
        <w:t xml:space="preserve"> at </w:t>
      </w:r>
      <w:proofErr w:type="spellStart"/>
      <w:r w:rsidRPr="00CD2916">
        <w:rPr>
          <w:rFonts w:cs="Segoe UI"/>
          <w:i/>
          <w:sz w:val="18"/>
          <w:szCs w:val="18"/>
          <w:lang w:val="es-ES"/>
        </w:rPr>
        <w:t>heart</w:t>
      </w:r>
      <w:proofErr w:type="spellEnd"/>
      <w:r w:rsidRPr="00CD2916">
        <w:rPr>
          <w:rFonts w:cs="Segoe UI"/>
          <w:i/>
          <w:sz w:val="18"/>
          <w:szCs w:val="18"/>
          <w:lang w:val="es-ES"/>
        </w:rPr>
        <w:t xml:space="preserve"> </w:t>
      </w:r>
      <w:proofErr w:type="spellStart"/>
      <w:r w:rsidRPr="00CD2916">
        <w:rPr>
          <w:rFonts w:cs="Segoe UI"/>
          <w:i/>
          <w:sz w:val="18"/>
          <w:szCs w:val="18"/>
          <w:lang w:val="es-ES"/>
        </w:rPr>
        <w:t>for</w:t>
      </w:r>
      <w:proofErr w:type="spellEnd"/>
      <w:r w:rsidRPr="00CD2916">
        <w:rPr>
          <w:rFonts w:cs="Segoe UI"/>
          <w:i/>
          <w:sz w:val="18"/>
          <w:szCs w:val="18"/>
          <w:lang w:val="es-ES"/>
        </w:rPr>
        <w:t xml:space="preserve"> </w:t>
      </w:r>
      <w:proofErr w:type="spellStart"/>
      <w:r w:rsidRPr="00CD2916">
        <w:rPr>
          <w:rFonts w:cs="Segoe UI"/>
          <w:i/>
          <w:sz w:val="18"/>
          <w:szCs w:val="18"/>
          <w:lang w:val="es-ES"/>
        </w:rPr>
        <w:t>the</w:t>
      </w:r>
      <w:proofErr w:type="spellEnd"/>
      <w:r w:rsidRPr="00CD2916">
        <w:rPr>
          <w:rFonts w:cs="Segoe UI"/>
          <w:i/>
          <w:sz w:val="18"/>
          <w:szCs w:val="18"/>
          <w:lang w:val="es-ES"/>
        </w:rPr>
        <w:t xml:space="preserve"> </w:t>
      </w:r>
      <w:proofErr w:type="spellStart"/>
      <w:r w:rsidRPr="00CD2916">
        <w:rPr>
          <w:rFonts w:cs="Segoe UI"/>
          <w:i/>
          <w:sz w:val="18"/>
          <w:szCs w:val="18"/>
          <w:lang w:val="es-ES"/>
        </w:rPr>
        <w:t>good</w:t>
      </w:r>
      <w:proofErr w:type="spellEnd"/>
      <w:r w:rsidRPr="00CD2916">
        <w:rPr>
          <w:rFonts w:cs="Segoe UI"/>
          <w:i/>
          <w:sz w:val="18"/>
          <w:szCs w:val="18"/>
          <w:lang w:val="es-ES"/>
        </w:rPr>
        <w:t xml:space="preserve"> </w:t>
      </w:r>
      <w:proofErr w:type="spellStart"/>
      <w:r w:rsidRPr="00CD2916">
        <w:rPr>
          <w:rFonts w:cs="Segoe UI"/>
          <w:i/>
          <w:sz w:val="18"/>
          <w:szCs w:val="18"/>
          <w:lang w:val="es-ES"/>
        </w:rPr>
        <w:t>of</w:t>
      </w:r>
      <w:proofErr w:type="spellEnd"/>
      <w:r w:rsidRPr="00CD2916">
        <w:rPr>
          <w:rFonts w:cs="Segoe UI"/>
          <w:i/>
          <w:sz w:val="18"/>
          <w:szCs w:val="18"/>
          <w:lang w:val="es-ES"/>
        </w:rPr>
        <w:t xml:space="preserve"> </w:t>
      </w:r>
      <w:proofErr w:type="spellStart"/>
      <w:r w:rsidRPr="00CD2916">
        <w:rPr>
          <w:rFonts w:cs="Segoe UI"/>
          <w:i/>
          <w:sz w:val="18"/>
          <w:szCs w:val="18"/>
          <w:lang w:val="es-ES"/>
        </w:rPr>
        <w:t>generations</w:t>
      </w:r>
      <w:proofErr w:type="spellEnd"/>
      <w:r w:rsidRPr="00CD2916">
        <w:rPr>
          <w:rFonts w:cs="Segoe UI"/>
          <w:sz w:val="18"/>
          <w:szCs w:val="18"/>
          <w:lang w:val="es-ES"/>
        </w:rPr>
        <w:t xml:space="preserve">". </w:t>
      </w:r>
      <w:r w:rsidRPr="0007513B">
        <w:rPr>
          <w:rFonts w:cs="Segoe UI"/>
          <w:sz w:val="18"/>
          <w:szCs w:val="18"/>
          <w:lang w:val="es-ES"/>
        </w:rPr>
        <w:t>Más información en</w:t>
      </w:r>
      <w:hyperlink r:id="rId12" w:history="1">
        <w:r w:rsidRPr="0007513B">
          <w:rPr>
            <w:rStyle w:val="Hipervnculo"/>
            <w:rFonts w:cs="Segoe UI"/>
            <w:lang w:val="es-ES"/>
          </w:rPr>
          <w:t xml:space="preserve"> </w:t>
        </w:r>
      </w:hyperlink>
      <w:hyperlink r:id="rId13" w:history="1">
        <w:r w:rsidRPr="0007513B">
          <w:rPr>
            <w:rStyle w:val="Hipervnculo"/>
            <w:rFonts w:cs="Segoe UI"/>
            <w:lang w:val="es-ES"/>
          </w:rPr>
          <w:t>www.henkel.com</w:t>
        </w:r>
      </w:hyperlink>
    </w:p>
    <w:p w14:paraId="478FE16C" w14:textId="77777777" w:rsidR="00CD2916" w:rsidRPr="0007513B" w:rsidRDefault="00CD2916" w:rsidP="00CD2916">
      <w:pPr>
        <w:jc w:val="left"/>
        <w:rPr>
          <w:rFonts w:cs="Segoe UI"/>
          <w:sz w:val="18"/>
          <w:szCs w:val="18"/>
          <w:lang w:val="es-ES"/>
        </w:rPr>
      </w:pPr>
      <w:r w:rsidRPr="0007513B">
        <w:rPr>
          <w:rFonts w:cs="Segoe UI"/>
          <w:sz w:val="18"/>
          <w:szCs w:val="18"/>
          <w:lang w:val="es-ES"/>
        </w:rPr>
        <w:t xml:space="preserve"> </w:t>
      </w:r>
    </w:p>
    <w:p w14:paraId="75C7C2C6" w14:textId="77777777" w:rsidR="00CD2916" w:rsidRPr="0007513B" w:rsidRDefault="00CD2916" w:rsidP="00CD2916">
      <w:pPr>
        <w:jc w:val="left"/>
        <w:rPr>
          <w:rFonts w:cs="Segoe UI"/>
          <w:sz w:val="18"/>
          <w:szCs w:val="18"/>
          <w:lang w:val="es-ES"/>
        </w:rPr>
      </w:pPr>
      <w:r w:rsidRPr="0007513B">
        <w:rPr>
          <w:rFonts w:cs="Segoe UI"/>
          <w:b/>
          <w:sz w:val="18"/>
          <w:szCs w:val="18"/>
          <w:lang w:val="es-ES"/>
        </w:rPr>
        <w:t>Acerca de Henkel en Argentina</w:t>
      </w:r>
    </w:p>
    <w:p w14:paraId="56B38197" w14:textId="77777777" w:rsidR="00CD2916" w:rsidRDefault="00CD2916" w:rsidP="00CD2916">
      <w:pPr>
        <w:jc w:val="left"/>
        <w:rPr>
          <w:rFonts w:cs="Segoe UI"/>
          <w:sz w:val="18"/>
          <w:szCs w:val="18"/>
          <w:lang w:val="es-ES"/>
        </w:rPr>
      </w:pPr>
      <w:r w:rsidRPr="00CD2916">
        <w:rPr>
          <w:rFonts w:cs="Segoe UI"/>
          <w:sz w:val="18"/>
          <w:szCs w:val="18"/>
          <w:lang w:val="es-ES"/>
        </w:rPr>
        <w:t xml:space="preserve">Henkel tiene más de 54 años de presencia en Argentina. Respaldados por su reconocida calidad a nivel mundial, se comercializan exitosamente productos en los sectores de Adhesive Technologies (sector industrial) y </w:t>
      </w:r>
      <w:proofErr w:type="spellStart"/>
      <w:r w:rsidRPr="00CD2916">
        <w:rPr>
          <w:rFonts w:cs="Segoe UI"/>
          <w:sz w:val="18"/>
          <w:szCs w:val="18"/>
          <w:lang w:val="es-ES"/>
        </w:rPr>
        <w:t>Consumer</w:t>
      </w:r>
      <w:proofErr w:type="spellEnd"/>
      <w:r w:rsidRPr="00CD2916">
        <w:rPr>
          <w:rFonts w:cs="Segoe UI"/>
          <w:sz w:val="18"/>
          <w:szCs w:val="18"/>
          <w:lang w:val="es-ES"/>
        </w:rPr>
        <w:t xml:space="preserve"> </w:t>
      </w:r>
      <w:proofErr w:type="spellStart"/>
      <w:r w:rsidRPr="00CD2916">
        <w:rPr>
          <w:rFonts w:cs="Segoe UI"/>
          <w:sz w:val="18"/>
          <w:szCs w:val="18"/>
          <w:lang w:val="es-ES"/>
        </w:rPr>
        <w:t>Brands</w:t>
      </w:r>
      <w:proofErr w:type="spellEnd"/>
      <w:r w:rsidRPr="00CD2916">
        <w:rPr>
          <w:rFonts w:cs="Segoe UI"/>
          <w:sz w:val="18"/>
          <w:szCs w:val="18"/>
          <w:lang w:val="es-ES"/>
        </w:rPr>
        <w:t xml:space="preserve"> (sector profesional). Hablando de las ventas, en 2023 fueron de más de 96 millones de euros, lo que </w:t>
      </w:r>
    </w:p>
    <w:p w14:paraId="13BB94AF" w14:textId="77777777" w:rsidR="00CD2916" w:rsidRDefault="00CD2916" w:rsidP="00CD2916">
      <w:pPr>
        <w:jc w:val="left"/>
        <w:rPr>
          <w:rFonts w:cs="Segoe UI"/>
          <w:sz w:val="18"/>
          <w:szCs w:val="18"/>
          <w:lang w:val="es-ES"/>
        </w:rPr>
      </w:pPr>
    </w:p>
    <w:p w14:paraId="269E4961" w14:textId="77777777" w:rsidR="00CD2916" w:rsidRDefault="00CD2916" w:rsidP="00CD2916">
      <w:pPr>
        <w:jc w:val="left"/>
        <w:rPr>
          <w:rFonts w:cs="Segoe UI"/>
          <w:sz w:val="18"/>
          <w:szCs w:val="18"/>
          <w:lang w:val="es-ES"/>
        </w:rPr>
      </w:pPr>
    </w:p>
    <w:p w14:paraId="0B881E45" w14:textId="1E43B5B3" w:rsidR="00CD2916" w:rsidRPr="00CD2916" w:rsidRDefault="00CD2916" w:rsidP="00CD2916">
      <w:pPr>
        <w:jc w:val="left"/>
        <w:rPr>
          <w:rFonts w:cs="Segoe UI"/>
          <w:sz w:val="18"/>
          <w:szCs w:val="18"/>
          <w:u w:val="single"/>
          <w:lang w:val="es-ES"/>
        </w:rPr>
      </w:pPr>
      <w:r w:rsidRPr="00CD2916">
        <w:rPr>
          <w:rFonts w:cs="Segoe UI"/>
          <w:sz w:val="18"/>
          <w:szCs w:val="18"/>
          <w:lang w:val="es-ES"/>
        </w:rPr>
        <w:t>representa más de 30,141 millones de pesos argentinos y cuenta con cerca de 120 colaboradores, distribuidos entre su oficina corporativa en San Isidro, una planta en Chivilcoy y una Academia en la Capital Federal. Para más información, visite</w:t>
      </w:r>
      <w:hyperlink r:id="rId14" w:history="1">
        <w:r w:rsidRPr="00CD2916">
          <w:rPr>
            <w:rStyle w:val="Hipervnculo"/>
            <w:rFonts w:cs="Segoe UI"/>
            <w:lang w:val="es-ES"/>
          </w:rPr>
          <w:t xml:space="preserve"> </w:t>
        </w:r>
      </w:hyperlink>
      <w:hyperlink r:id="rId15" w:history="1">
        <w:r w:rsidRPr="00CD2916">
          <w:rPr>
            <w:rStyle w:val="Hipervnculo"/>
            <w:rFonts w:cs="Segoe UI"/>
            <w:lang w:val="es-ES"/>
          </w:rPr>
          <w:t>www.henkel.com.ar</w:t>
        </w:r>
      </w:hyperlink>
    </w:p>
    <w:p w14:paraId="11B55725" w14:textId="4A28FD27" w:rsidR="0055571E" w:rsidRPr="009E4663" w:rsidRDefault="0055571E" w:rsidP="00643D8A">
      <w:pPr>
        <w:rPr>
          <w:rFonts w:cs="Segoe UI"/>
          <w:szCs w:val="22"/>
          <w:lang w:val="es-ES"/>
        </w:rPr>
      </w:pPr>
    </w:p>
    <w:tbl>
      <w:tblPr>
        <w:tblW w:w="8455" w:type="dxa"/>
        <w:tblCellMar>
          <w:left w:w="0" w:type="dxa"/>
          <w:right w:w="0" w:type="dxa"/>
        </w:tblCellMar>
        <w:tblLook w:val="04A0" w:firstRow="1" w:lastRow="0" w:firstColumn="1" w:lastColumn="0" w:noHBand="0" w:noVBand="1"/>
      </w:tblPr>
      <w:tblGrid>
        <w:gridCol w:w="3955"/>
        <w:gridCol w:w="4500"/>
      </w:tblGrid>
      <w:tr w:rsidR="009E4663" w:rsidRPr="00394D48" w14:paraId="456B2FAE" w14:textId="77777777" w:rsidTr="00F575C7">
        <w:trPr>
          <w:trHeight w:val="1191"/>
        </w:trPr>
        <w:tc>
          <w:tcPr>
            <w:tcW w:w="3955" w:type="dxa"/>
            <w:tcMar>
              <w:top w:w="0" w:type="dxa"/>
              <w:left w:w="108" w:type="dxa"/>
              <w:bottom w:w="0" w:type="dxa"/>
              <w:right w:w="108" w:type="dxa"/>
            </w:tcMar>
          </w:tcPr>
          <w:p w14:paraId="6898E531" w14:textId="3E872BC7" w:rsidR="009E4663" w:rsidRPr="00B96EF7" w:rsidRDefault="00CD2916" w:rsidP="00F575C7">
            <w:pPr>
              <w:ind w:right="204" w:hanging="105"/>
              <w:rPr>
                <w:rFonts w:cs="Segoe UI"/>
                <w:b/>
                <w:bCs/>
                <w:sz w:val="18"/>
                <w:szCs w:val="18"/>
                <w:lang w:val="pt-BR"/>
              </w:rPr>
            </w:pPr>
            <w:proofErr w:type="gramStart"/>
            <w:r>
              <w:rPr>
                <w:rFonts w:cs="Segoe UI"/>
                <w:b/>
                <w:bCs/>
                <w:sz w:val="18"/>
                <w:szCs w:val="18"/>
                <w:lang w:val="pt-BR"/>
              </w:rPr>
              <w:t>A</w:t>
            </w:r>
            <w:r w:rsidR="009E4663" w:rsidRPr="00B96EF7">
              <w:rPr>
                <w:rFonts w:cs="Segoe UI"/>
                <w:b/>
                <w:bCs/>
                <w:sz w:val="18"/>
                <w:szCs w:val="18"/>
                <w:lang w:val="pt-BR"/>
              </w:rPr>
              <w:t>gencia</w:t>
            </w:r>
            <w:proofErr w:type="gramEnd"/>
            <w:r w:rsidR="009E4663" w:rsidRPr="00B96EF7">
              <w:rPr>
                <w:rFonts w:cs="Segoe UI"/>
                <w:b/>
                <w:bCs/>
                <w:sz w:val="18"/>
                <w:szCs w:val="18"/>
                <w:lang w:val="pt-BR"/>
              </w:rPr>
              <w:t xml:space="preserve"> de RP</w:t>
            </w:r>
          </w:p>
          <w:p w14:paraId="4C9D6590" w14:textId="77777777" w:rsidR="009E4663" w:rsidRDefault="009E4663" w:rsidP="00F575C7">
            <w:pPr>
              <w:ind w:right="204" w:hanging="105"/>
              <w:rPr>
                <w:rFonts w:cs="Segoe UI"/>
                <w:b/>
                <w:bCs/>
                <w:sz w:val="18"/>
                <w:szCs w:val="18"/>
                <w:lang w:val="pt-BR"/>
              </w:rPr>
            </w:pPr>
            <w:r w:rsidRPr="00B96EF7">
              <w:rPr>
                <w:rFonts w:cs="Segoe UI"/>
                <w:b/>
                <w:bCs/>
                <w:sz w:val="18"/>
                <w:szCs w:val="18"/>
                <w:lang w:val="pt-BR"/>
              </w:rPr>
              <w:t>POINTER</w:t>
            </w:r>
          </w:p>
          <w:p w14:paraId="4D4E1A35" w14:textId="77777777" w:rsidR="009E4663" w:rsidRPr="00B96EF7" w:rsidRDefault="009E4663" w:rsidP="00F575C7">
            <w:pPr>
              <w:ind w:right="204" w:hanging="105"/>
              <w:rPr>
                <w:rFonts w:cs="Segoe UI"/>
                <w:b/>
                <w:bCs/>
                <w:sz w:val="18"/>
                <w:szCs w:val="18"/>
                <w:lang w:val="pt-BR"/>
              </w:rPr>
            </w:pPr>
          </w:p>
          <w:p w14:paraId="48503560" w14:textId="77777777" w:rsidR="009E4663" w:rsidRPr="00B96EF7" w:rsidRDefault="009E4663" w:rsidP="00F575C7">
            <w:pPr>
              <w:ind w:right="202" w:hanging="105"/>
              <w:rPr>
                <w:rFonts w:cs="Segoe UI"/>
                <w:sz w:val="18"/>
                <w:szCs w:val="18"/>
                <w:lang w:val="pt-BR" w:eastAsia="es-419"/>
              </w:rPr>
            </w:pPr>
            <w:r w:rsidRPr="00B96EF7">
              <w:rPr>
                <w:rFonts w:cs="Segoe UI"/>
                <w:sz w:val="18"/>
                <w:szCs w:val="18"/>
                <w:lang w:val="pt-BR"/>
              </w:rPr>
              <w:t>Contacto: N</w:t>
            </w:r>
            <w:r>
              <w:rPr>
                <w:rFonts w:cs="Segoe UI"/>
                <w:sz w:val="18"/>
                <w:szCs w:val="18"/>
                <w:lang w:val="pt-BR"/>
              </w:rPr>
              <w:t>adia Amad</w:t>
            </w:r>
          </w:p>
          <w:p w14:paraId="481C80B6" w14:textId="77777777" w:rsidR="009E4663" w:rsidRPr="00B96EF7" w:rsidRDefault="009E4663" w:rsidP="00F575C7">
            <w:pPr>
              <w:ind w:right="202" w:hanging="105"/>
              <w:rPr>
                <w:rStyle w:val="Hipervnculo"/>
                <w:lang w:val="pt-BR"/>
              </w:rPr>
            </w:pPr>
            <w:r>
              <w:rPr>
                <w:rFonts w:cs="Segoe UI"/>
                <w:sz w:val="18"/>
                <w:szCs w:val="18"/>
                <w:lang w:val="pt-BR"/>
              </w:rPr>
              <w:t xml:space="preserve">E-mail: </w:t>
            </w:r>
            <w:hyperlink r:id="rId16" w:history="1">
              <w:r w:rsidRPr="00BE4C48">
                <w:rPr>
                  <w:rStyle w:val="Hipervnculo"/>
                  <w:rFonts w:cs="Segoe UI"/>
                  <w:lang w:val="pt-BR"/>
                </w:rPr>
                <w:t>nadia@pointerdh.com.ar</w:t>
              </w:r>
            </w:hyperlink>
            <w:r>
              <w:rPr>
                <w:rFonts w:cs="Segoe UI"/>
                <w:sz w:val="18"/>
                <w:szCs w:val="18"/>
                <w:lang w:val="pt-BR"/>
              </w:rPr>
              <w:t xml:space="preserve"> </w:t>
            </w:r>
          </w:p>
          <w:p w14:paraId="0882A1FC" w14:textId="77777777" w:rsidR="009E4663" w:rsidRDefault="009E4663" w:rsidP="00F575C7">
            <w:pPr>
              <w:ind w:right="202" w:hanging="105"/>
              <w:rPr>
                <w:rStyle w:val="Hipervnculo"/>
                <w:rFonts w:cs="Segoe UI"/>
                <w:lang w:val="pt-BR"/>
              </w:rPr>
            </w:pPr>
          </w:p>
          <w:p w14:paraId="168CE830" w14:textId="77777777" w:rsidR="009E4663" w:rsidRPr="009F5AF3" w:rsidRDefault="009E4663" w:rsidP="00F575C7">
            <w:pPr>
              <w:ind w:right="202" w:hanging="105"/>
              <w:rPr>
                <w:lang w:val="pt-BR"/>
              </w:rPr>
            </w:pPr>
            <w:r>
              <w:rPr>
                <w:rFonts w:cs="Segoe UI"/>
                <w:sz w:val="18"/>
                <w:szCs w:val="18"/>
                <w:lang w:val="pt-BR"/>
              </w:rPr>
              <w:t>Contacto: Daniela Gigante</w:t>
            </w:r>
          </w:p>
          <w:p w14:paraId="36B43049" w14:textId="77777777" w:rsidR="009E4663" w:rsidRDefault="009E4663" w:rsidP="00F575C7">
            <w:pPr>
              <w:ind w:right="202" w:hanging="105"/>
              <w:rPr>
                <w:rFonts w:cs="Segoe UI"/>
                <w:sz w:val="18"/>
                <w:szCs w:val="18"/>
                <w:lang w:val="pt-BR"/>
              </w:rPr>
            </w:pPr>
            <w:r>
              <w:rPr>
                <w:rFonts w:cs="Segoe UI"/>
                <w:sz w:val="18"/>
                <w:szCs w:val="18"/>
                <w:lang w:val="pt-BR"/>
              </w:rPr>
              <w:t>E-mail:</w:t>
            </w:r>
            <w:r w:rsidRPr="00B96EF7">
              <w:rPr>
                <w:lang w:val="pt-BR"/>
              </w:rPr>
              <w:t xml:space="preserve"> </w:t>
            </w:r>
            <w:hyperlink r:id="rId17" w:history="1">
              <w:r w:rsidRPr="00BE4C48">
                <w:rPr>
                  <w:rStyle w:val="Hipervnculo"/>
                  <w:rFonts w:cs="Segoe UI"/>
                  <w:lang w:val="pt-BR"/>
                </w:rPr>
                <w:t>daniela.gigante@pointerdh.com.ar</w:t>
              </w:r>
            </w:hyperlink>
            <w:r>
              <w:rPr>
                <w:rFonts w:cs="Segoe UI"/>
                <w:sz w:val="18"/>
                <w:szCs w:val="18"/>
                <w:lang w:val="pt-BR"/>
              </w:rPr>
              <w:t xml:space="preserve"> </w:t>
            </w:r>
          </w:p>
        </w:tc>
        <w:tc>
          <w:tcPr>
            <w:tcW w:w="4500" w:type="dxa"/>
            <w:tcMar>
              <w:top w:w="0" w:type="dxa"/>
              <w:left w:w="108" w:type="dxa"/>
              <w:bottom w:w="0" w:type="dxa"/>
              <w:right w:w="108" w:type="dxa"/>
            </w:tcMar>
          </w:tcPr>
          <w:p w14:paraId="39AD38DC" w14:textId="77777777" w:rsidR="009E4663" w:rsidRPr="009F5AF3" w:rsidRDefault="009E4663" w:rsidP="00F575C7">
            <w:pPr>
              <w:ind w:right="202" w:hanging="105"/>
              <w:rPr>
                <w:rFonts w:cs="Segoe UI"/>
                <w:sz w:val="18"/>
                <w:szCs w:val="18"/>
                <w:lang w:val="pt-BR"/>
              </w:rPr>
            </w:pPr>
            <w:r w:rsidRPr="00173BB0">
              <w:rPr>
                <w:rFonts w:cs="Segoe UI"/>
                <w:color w:val="0070C0"/>
                <w:sz w:val="18"/>
                <w:szCs w:val="18"/>
                <w:u w:val="single"/>
                <w:lang w:val="pt-BR"/>
              </w:rPr>
              <w:t xml:space="preserve"> </w:t>
            </w:r>
          </w:p>
        </w:tc>
      </w:tr>
    </w:tbl>
    <w:p w14:paraId="3C11054C" w14:textId="77777777" w:rsidR="009E4663" w:rsidRPr="00F61CE8" w:rsidRDefault="009E4663" w:rsidP="009E4663">
      <w:pPr>
        <w:rPr>
          <w:rFonts w:eastAsia="Quattrocento Sans" w:cs="Segoe UI"/>
          <w:szCs w:val="22"/>
          <w:lang w:val="pt-BR"/>
        </w:rPr>
      </w:pPr>
    </w:p>
    <w:p w14:paraId="05A9DDE0" w14:textId="46022BE4" w:rsidR="002B3DC4" w:rsidRPr="009E4663" w:rsidRDefault="002B3DC4" w:rsidP="009E4663">
      <w:pPr>
        <w:rPr>
          <w:rStyle w:val="AboutandContactHeadline"/>
          <w:b w:val="0"/>
          <w:bCs w:val="0"/>
          <w:lang w:val="pt-BR"/>
        </w:rPr>
      </w:pPr>
    </w:p>
    <w:sectPr w:rsidR="002B3DC4" w:rsidRPr="009E4663" w:rsidSect="00EA4939">
      <w:headerReference w:type="even" r:id="rId18"/>
      <w:headerReference w:type="default" r:id="rId19"/>
      <w:footerReference w:type="default" r:id="rId20"/>
      <w:headerReference w:type="first" r:id="rId21"/>
      <w:footerReference w:type="first" r:id="rId22"/>
      <w:pgSz w:w="11907" w:h="16840" w:code="9"/>
      <w:pgMar w:top="1944" w:right="1411" w:bottom="1987" w:left="1411" w:header="1253" w:footer="9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BB8A1" w14:textId="77777777" w:rsidR="00DC0989" w:rsidRDefault="00DC0989">
      <w:r>
        <w:separator/>
      </w:r>
    </w:p>
  </w:endnote>
  <w:endnote w:type="continuationSeparator" w:id="0">
    <w:p w14:paraId="3254EF66" w14:textId="77777777" w:rsidR="00DC0989" w:rsidRDefault="00DC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10C9" w14:textId="306D0E07" w:rsidR="00CF6F33" w:rsidRPr="00112A28" w:rsidRDefault="00796EB4" w:rsidP="00112A28">
    <w:pPr>
      <w:pStyle w:val="Piedepgina"/>
      <w:tabs>
        <w:tab w:val="clear" w:pos="7083"/>
        <w:tab w:val="clear" w:pos="8640"/>
        <w:tab w:val="right" w:pos="9071"/>
      </w:tabs>
      <w:jc w:val="both"/>
    </w:pPr>
    <w:r>
      <w:drawing>
        <wp:inline distT="0" distB="0" distL="0" distR="0" wp14:anchorId="62C0011A" wp14:editId="0C71C908">
          <wp:extent cx="5768975" cy="457835"/>
          <wp:effectExtent l="0" t="0" r="3175" b="0"/>
          <wp:docPr id="1363938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93823" name="Imagen 136393823"/>
                  <pic:cNvPicPr/>
                </pic:nvPicPr>
                <pic:blipFill>
                  <a:blip r:embed="rId1">
                    <a:extLst>
                      <a:ext uri="{28A0092B-C50C-407E-A947-70E740481C1C}">
                        <a14:useLocalDpi xmlns:a14="http://schemas.microsoft.com/office/drawing/2010/main" val="0"/>
                      </a:ext>
                    </a:extLst>
                  </a:blip>
                  <a:stretch>
                    <a:fillRect/>
                  </a:stretch>
                </pic:blipFill>
                <pic:spPr>
                  <a:xfrm>
                    <a:off x="0" y="0"/>
                    <a:ext cx="5768975" cy="457835"/>
                  </a:xfrm>
                  <a:prstGeom prst="rect">
                    <a:avLst/>
                  </a:prstGeom>
                </pic:spPr>
              </pic:pic>
            </a:graphicData>
          </a:graphic>
        </wp:inline>
      </w:drawing>
    </w:r>
    <w:r w:rsidR="00112A28">
      <w:tab/>
    </w:r>
    <w:r w:rsidR="00112A28" w:rsidRPr="00BF6E82">
      <w:t xml:space="preserve">Page </w:t>
    </w:r>
    <w:r w:rsidR="00112A28" w:rsidRPr="00BF6E82">
      <w:fldChar w:fldCharType="begin"/>
    </w:r>
    <w:r w:rsidR="00112A28" w:rsidRPr="00BF6E82">
      <w:instrText xml:space="preserve"> PAGE  \* Arabic  \* MERGEFORMAT </w:instrText>
    </w:r>
    <w:r w:rsidR="00112A28" w:rsidRPr="00BF6E82">
      <w:fldChar w:fldCharType="separate"/>
    </w:r>
    <w:r w:rsidR="00112A28">
      <w:t>2</w:t>
    </w:r>
    <w:r w:rsidR="00112A28" w:rsidRPr="00BF6E82">
      <w:fldChar w:fldCharType="end"/>
    </w:r>
    <w:r w:rsidR="00112A28" w:rsidRPr="00BF6E82">
      <w:t>/</w:t>
    </w:r>
    <w:fldSimple w:instr="NUMPAGES  \* Arabic  \* MERGEFORMAT">
      <w:r w:rsidR="00112A28">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058E" w14:textId="156B61A4" w:rsidR="00CF6F33" w:rsidRPr="00992A11" w:rsidRDefault="00183267" w:rsidP="00992A11">
    <w:pPr>
      <w:pStyle w:val="Piedepgina"/>
    </w:pPr>
    <w:r>
      <w:drawing>
        <wp:inline distT="0" distB="0" distL="0" distR="0" wp14:anchorId="538D8F4B" wp14:editId="03A9692D">
          <wp:extent cx="5768975" cy="457835"/>
          <wp:effectExtent l="0" t="0" r="3175" b="0"/>
          <wp:docPr id="6564022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675473" name="Imagen 1842675473"/>
                  <pic:cNvPicPr/>
                </pic:nvPicPr>
                <pic:blipFill>
                  <a:blip r:embed="rId1">
                    <a:extLst>
                      <a:ext uri="{28A0092B-C50C-407E-A947-70E740481C1C}">
                        <a14:useLocalDpi xmlns:a14="http://schemas.microsoft.com/office/drawing/2010/main" val="0"/>
                      </a:ext>
                    </a:extLst>
                  </a:blip>
                  <a:stretch>
                    <a:fillRect/>
                  </a:stretch>
                </pic:blipFill>
                <pic:spPr>
                  <a:xfrm>
                    <a:off x="0" y="0"/>
                    <a:ext cx="5768975" cy="457835"/>
                  </a:xfrm>
                  <a:prstGeom prst="rect">
                    <a:avLst/>
                  </a:prstGeom>
                </pic:spPr>
              </pic:pic>
            </a:graphicData>
          </a:graphic>
        </wp:inline>
      </w:drawing>
    </w:r>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5949C" w14:textId="77777777" w:rsidR="00DC0989" w:rsidRDefault="00DC0989">
      <w:r>
        <w:separator/>
      </w:r>
    </w:p>
  </w:footnote>
  <w:footnote w:type="continuationSeparator" w:id="0">
    <w:p w14:paraId="0E85E60E" w14:textId="77777777" w:rsidR="00DC0989" w:rsidRDefault="00DC0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CE39" w14:textId="77777777" w:rsidR="00112A28" w:rsidRDefault="00112A28" w:rsidP="00112A28">
    <w:pPr>
      <w:pStyle w:val="Encabezad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B6968" w14:textId="3651BABA" w:rsidR="00394D48" w:rsidRDefault="00394D48">
    <w:pPr>
      <w:pStyle w:val="Encabezado"/>
    </w:pPr>
    <w:r w:rsidRPr="00EB46D9">
      <w:rPr>
        <w:noProof/>
      </w:rPr>
      <w:drawing>
        <wp:anchor distT="0" distB="0" distL="114300" distR="114300" simplePos="0" relativeHeight="251660800" behindDoc="0" locked="1" layoutInCell="1" allowOverlap="1" wp14:anchorId="2A78052E" wp14:editId="1E7B4BB0">
          <wp:simplePos x="0" y="0"/>
          <wp:positionH relativeFrom="margin">
            <wp:posOffset>4751070</wp:posOffset>
          </wp:positionH>
          <wp:positionV relativeFrom="margin">
            <wp:posOffset>-1415415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3B0EB5" w:rsidRPr="003B0EB5">
      <w:t xml:space="preserve"> </w:t>
    </w:r>
    <w:proofErr w:type="spellStart"/>
    <w:r w:rsidR="003B0EB5">
      <w:t>Comunicado</w:t>
    </w:r>
    <w:proofErr w:type="spellEnd"/>
    <w:r w:rsidR="003B0EB5">
      <w:t xml:space="preserve"> de Prensa</w:t>
    </w:r>
    <w:r w:rsidR="00CD2916">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6010" w14:textId="2F3DEDD2" w:rsidR="00CF6F33" w:rsidRPr="00EB46D9" w:rsidRDefault="0059722C" w:rsidP="009E4663">
    <w:pPr>
      <w:pStyle w:val="Encabezado"/>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950146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3413E35">
            <v:group id="Group 16" style="position:absolute;margin-left:14.2pt;margin-top:297.7pt;width:14.15pt;height:297.65pt;z-index:251656704;mso-position-horizontal-relative:page;mso-position-vertical-relative:page" coordsize="283,5953" coordorigin=",5954" o:spid="_x0000_s1026" w14:anchorId="4D9AAC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w10:wrap anchorx="page" anchory="page"/>
            </v:group>
          </w:pict>
        </mc:Fallback>
      </mc:AlternateContent>
    </w:r>
    <w:proofErr w:type="spellStart"/>
    <w:r w:rsidR="009E4663">
      <w:t>C</w:t>
    </w:r>
    <w:r w:rsidR="00613DC9">
      <w:t>omunicado</w:t>
    </w:r>
    <w:proofErr w:type="spellEnd"/>
    <w:r w:rsidR="00613DC9">
      <w:t xml:space="preserve"> de Prensa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5"/>
  </w:num>
  <w:num w:numId="4" w16cid:durableId="1658344630">
    <w:abstractNumId w:val="3"/>
  </w:num>
  <w:num w:numId="5" w16cid:durableId="2132553883">
    <w:abstractNumId w:val="2"/>
  </w:num>
  <w:num w:numId="6" w16cid:durableId="545726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41261"/>
    <w:rsid w:val="00051E86"/>
    <w:rsid w:val="000575F9"/>
    <w:rsid w:val="000618FC"/>
    <w:rsid w:val="0006344D"/>
    <w:rsid w:val="00067071"/>
    <w:rsid w:val="00070A13"/>
    <w:rsid w:val="000722E8"/>
    <w:rsid w:val="0007513B"/>
    <w:rsid w:val="00080D10"/>
    <w:rsid w:val="0008357F"/>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731CE"/>
    <w:rsid w:val="00183267"/>
    <w:rsid w:val="001B7C20"/>
    <w:rsid w:val="001C0B32"/>
    <w:rsid w:val="001C4BE1"/>
    <w:rsid w:val="001D7ADF"/>
    <w:rsid w:val="001E0F71"/>
    <w:rsid w:val="001E6D05"/>
    <w:rsid w:val="001E7C28"/>
    <w:rsid w:val="001F1BDF"/>
    <w:rsid w:val="001F7110"/>
    <w:rsid w:val="001F7E96"/>
    <w:rsid w:val="00202284"/>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B3DC4"/>
    <w:rsid w:val="002B6749"/>
    <w:rsid w:val="002C1344"/>
    <w:rsid w:val="002C252E"/>
    <w:rsid w:val="002C6773"/>
    <w:rsid w:val="002D2A3D"/>
    <w:rsid w:val="002E0B17"/>
    <w:rsid w:val="002E4FFB"/>
    <w:rsid w:val="002E7DED"/>
    <w:rsid w:val="002F7E11"/>
    <w:rsid w:val="00304087"/>
    <w:rsid w:val="00310ACD"/>
    <w:rsid w:val="0031379F"/>
    <w:rsid w:val="00320A26"/>
    <w:rsid w:val="00321077"/>
    <w:rsid w:val="00321344"/>
    <w:rsid w:val="0033451C"/>
    <w:rsid w:val="00336854"/>
    <w:rsid w:val="0034015C"/>
    <w:rsid w:val="003442F4"/>
    <w:rsid w:val="00353705"/>
    <w:rsid w:val="003562E8"/>
    <w:rsid w:val="0036357D"/>
    <w:rsid w:val="003649BC"/>
    <w:rsid w:val="00365E44"/>
    <w:rsid w:val="00367AA1"/>
    <w:rsid w:val="00372E36"/>
    <w:rsid w:val="00376EE9"/>
    <w:rsid w:val="00377CBB"/>
    <w:rsid w:val="00385185"/>
    <w:rsid w:val="003877B6"/>
    <w:rsid w:val="00393887"/>
    <w:rsid w:val="00394C6B"/>
    <w:rsid w:val="00394D48"/>
    <w:rsid w:val="003A4E62"/>
    <w:rsid w:val="003B0EB5"/>
    <w:rsid w:val="003B1069"/>
    <w:rsid w:val="003B390A"/>
    <w:rsid w:val="003C15DE"/>
    <w:rsid w:val="003C4EB2"/>
    <w:rsid w:val="003F1AF3"/>
    <w:rsid w:val="003F4D8D"/>
    <w:rsid w:val="004313E7"/>
    <w:rsid w:val="0044763B"/>
    <w:rsid w:val="00451F34"/>
    <w:rsid w:val="004629B3"/>
    <w:rsid w:val="0046376E"/>
    <w:rsid w:val="0046690F"/>
    <w:rsid w:val="00472FEC"/>
    <w:rsid w:val="00490A03"/>
    <w:rsid w:val="00493327"/>
    <w:rsid w:val="00494DBE"/>
    <w:rsid w:val="00495CE6"/>
    <w:rsid w:val="004A323C"/>
    <w:rsid w:val="004B54E8"/>
    <w:rsid w:val="004C4FEB"/>
    <w:rsid w:val="004C6B79"/>
    <w:rsid w:val="004D059B"/>
    <w:rsid w:val="004D4CB6"/>
    <w:rsid w:val="004E0870"/>
    <w:rsid w:val="004E3341"/>
    <w:rsid w:val="004F10C1"/>
    <w:rsid w:val="00502E62"/>
    <w:rsid w:val="00504452"/>
    <w:rsid w:val="00506B8A"/>
    <w:rsid w:val="0052212B"/>
    <w:rsid w:val="00531B98"/>
    <w:rsid w:val="00534B46"/>
    <w:rsid w:val="005370CC"/>
    <w:rsid w:val="00540358"/>
    <w:rsid w:val="00540D47"/>
    <w:rsid w:val="00550864"/>
    <w:rsid w:val="0055571E"/>
    <w:rsid w:val="00556F67"/>
    <w:rsid w:val="00565428"/>
    <w:rsid w:val="005833F0"/>
    <w:rsid w:val="00586CAF"/>
    <w:rsid w:val="005873E9"/>
    <w:rsid w:val="00591180"/>
    <w:rsid w:val="0059722C"/>
    <w:rsid w:val="00597D07"/>
    <w:rsid w:val="005A3846"/>
    <w:rsid w:val="005B1F0C"/>
    <w:rsid w:val="005B6A58"/>
    <w:rsid w:val="005C7112"/>
    <w:rsid w:val="005D0561"/>
    <w:rsid w:val="005D0AD9"/>
    <w:rsid w:val="005D22F6"/>
    <w:rsid w:val="005E0C30"/>
    <w:rsid w:val="005E69D9"/>
    <w:rsid w:val="005F27F4"/>
    <w:rsid w:val="005F3239"/>
    <w:rsid w:val="005F6567"/>
    <w:rsid w:val="00607256"/>
    <w:rsid w:val="00613DC9"/>
    <w:rsid w:val="006144B1"/>
    <w:rsid w:val="006335F1"/>
    <w:rsid w:val="006345B6"/>
    <w:rsid w:val="00635712"/>
    <w:rsid w:val="00643D8A"/>
    <w:rsid w:val="006513EB"/>
    <w:rsid w:val="00652229"/>
    <w:rsid w:val="00652793"/>
    <w:rsid w:val="006626CA"/>
    <w:rsid w:val="00663487"/>
    <w:rsid w:val="00672382"/>
    <w:rsid w:val="00682643"/>
    <w:rsid w:val="00682EB9"/>
    <w:rsid w:val="0068441A"/>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277A9"/>
    <w:rsid w:val="0073096C"/>
    <w:rsid w:val="00736175"/>
    <w:rsid w:val="00742398"/>
    <w:rsid w:val="007507B5"/>
    <w:rsid w:val="0075091D"/>
    <w:rsid w:val="00753A24"/>
    <w:rsid w:val="00772188"/>
    <w:rsid w:val="007813D0"/>
    <w:rsid w:val="00785993"/>
    <w:rsid w:val="007866E2"/>
    <w:rsid w:val="00786BA3"/>
    <w:rsid w:val="0079202F"/>
    <w:rsid w:val="00795AF2"/>
    <w:rsid w:val="00796EB4"/>
    <w:rsid w:val="007A2AAD"/>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D6B29"/>
    <w:rsid w:val="008D76C5"/>
    <w:rsid w:val="008E0AFA"/>
    <w:rsid w:val="008E75D3"/>
    <w:rsid w:val="008F125E"/>
    <w:rsid w:val="008F4D2F"/>
    <w:rsid w:val="00906292"/>
    <w:rsid w:val="009076AF"/>
    <w:rsid w:val="00917162"/>
    <w:rsid w:val="009251CC"/>
    <w:rsid w:val="0092714E"/>
    <w:rsid w:val="00942002"/>
    <w:rsid w:val="00947885"/>
    <w:rsid w:val="00952168"/>
    <w:rsid w:val="009527FE"/>
    <w:rsid w:val="009739A0"/>
    <w:rsid w:val="00974F84"/>
    <w:rsid w:val="009767C7"/>
    <w:rsid w:val="009827BF"/>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4663"/>
    <w:rsid w:val="009E5EB4"/>
    <w:rsid w:val="00A044D6"/>
    <w:rsid w:val="00A04ADB"/>
    <w:rsid w:val="00A11CAA"/>
    <w:rsid w:val="00A11E0F"/>
    <w:rsid w:val="00A23264"/>
    <w:rsid w:val="00A26CB6"/>
    <w:rsid w:val="00A32F82"/>
    <w:rsid w:val="00A32F8B"/>
    <w:rsid w:val="00A3756F"/>
    <w:rsid w:val="00A42D6F"/>
    <w:rsid w:val="00A45A62"/>
    <w:rsid w:val="00A54AC5"/>
    <w:rsid w:val="00A55DC3"/>
    <w:rsid w:val="00A56D41"/>
    <w:rsid w:val="00A61353"/>
    <w:rsid w:val="00A66DB1"/>
    <w:rsid w:val="00A67A92"/>
    <w:rsid w:val="00A87870"/>
    <w:rsid w:val="00A91A70"/>
    <w:rsid w:val="00AA1B85"/>
    <w:rsid w:val="00AB1CB6"/>
    <w:rsid w:val="00AB1D9A"/>
    <w:rsid w:val="00AD44FE"/>
    <w:rsid w:val="00AE49F1"/>
    <w:rsid w:val="00B05CCA"/>
    <w:rsid w:val="00B14271"/>
    <w:rsid w:val="00B14C02"/>
    <w:rsid w:val="00B16270"/>
    <w:rsid w:val="00B2685D"/>
    <w:rsid w:val="00B30351"/>
    <w:rsid w:val="00B33C2A"/>
    <w:rsid w:val="00B422EC"/>
    <w:rsid w:val="00B726D4"/>
    <w:rsid w:val="00B8214F"/>
    <w:rsid w:val="00B86A4F"/>
    <w:rsid w:val="00B93035"/>
    <w:rsid w:val="00B9337E"/>
    <w:rsid w:val="00B958E8"/>
    <w:rsid w:val="00B97E4A"/>
    <w:rsid w:val="00BA09B2"/>
    <w:rsid w:val="00BA5B46"/>
    <w:rsid w:val="00BB5D0B"/>
    <w:rsid w:val="00BC0995"/>
    <w:rsid w:val="00BE793A"/>
    <w:rsid w:val="00BF2B82"/>
    <w:rsid w:val="00BF432A"/>
    <w:rsid w:val="00BF6E82"/>
    <w:rsid w:val="00C060C7"/>
    <w:rsid w:val="00C24C17"/>
    <w:rsid w:val="00C3758F"/>
    <w:rsid w:val="00C406A9"/>
    <w:rsid w:val="00C40B88"/>
    <w:rsid w:val="00C42C93"/>
    <w:rsid w:val="00C46A5B"/>
    <w:rsid w:val="00C47D87"/>
    <w:rsid w:val="00C5376E"/>
    <w:rsid w:val="00C808A6"/>
    <w:rsid w:val="00C97091"/>
    <w:rsid w:val="00C97260"/>
    <w:rsid w:val="00C977DC"/>
    <w:rsid w:val="00CA2001"/>
    <w:rsid w:val="00CB5B6C"/>
    <w:rsid w:val="00CC052E"/>
    <w:rsid w:val="00CD16BE"/>
    <w:rsid w:val="00CD24C4"/>
    <w:rsid w:val="00CD2916"/>
    <w:rsid w:val="00CD4616"/>
    <w:rsid w:val="00CD47AC"/>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A1E18"/>
    <w:rsid w:val="00DA2009"/>
    <w:rsid w:val="00DB05B1"/>
    <w:rsid w:val="00DB5A79"/>
    <w:rsid w:val="00DC0989"/>
    <w:rsid w:val="00DC2465"/>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758B9"/>
    <w:rsid w:val="00E85569"/>
    <w:rsid w:val="00E856AF"/>
    <w:rsid w:val="00E86B83"/>
    <w:rsid w:val="00E87C64"/>
    <w:rsid w:val="00E93A01"/>
    <w:rsid w:val="00E93FF8"/>
    <w:rsid w:val="00E962F0"/>
    <w:rsid w:val="00E96EAF"/>
    <w:rsid w:val="00EA1752"/>
    <w:rsid w:val="00EA4939"/>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203E"/>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D0A38"/>
    <w:rsid w:val="00FD2BD3"/>
    <w:rsid w:val="00FD4CCA"/>
    <w:rsid w:val="00FE2A9E"/>
    <w:rsid w:val="0B4E0D5F"/>
    <w:rsid w:val="5F44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Ttulo1">
    <w:name w:val="heading 1"/>
    <w:basedOn w:val="Normal"/>
    <w:next w:val="Normal"/>
    <w:link w:val="Ttulo1Car"/>
    <w:uiPriority w:val="99"/>
    <w:qFormat/>
    <w:rsid w:val="00097261"/>
    <w:pPr>
      <w:keepNext/>
      <w:spacing w:line="420" w:lineRule="atLeast"/>
      <w:outlineLvl w:val="0"/>
    </w:pPr>
    <w:rPr>
      <w:rFonts w:cs="Arial"/>
      <w:b/>
      <w:bCs/>
      <w:kern w:val="32"/>
      <w:sz w:val="36"/>
      <w:szCs w:val="32"/>
    </w:rPr>
  </w:style>
  <w:style w:type="paragraph" w:styleId="Ttulo2">
    <w:name w:val="heading 2"/>
    <w:basedOn w:val="Normal"/>
    <w:next w:val="Normal"/>
    <w:qFormat/>
    <w:rsid w:val="003F46B0"/>
    <w:pPr>
      <w:keepNext/>
      <w:outlineLvl w:val="1"/>
    </w:pPr>
    <w:rPr>
      <w:rFonts w:cs="Arial"/>
      <w:bCs/>
      <w:iCs/>
      <w:color w:val="E1000F"/>
      <w:szCs w:val="28"/>
    </w:rPr>
  </w:style>
  <w:style w:type="paragraph" w:styleId="Ttulo3">
    <w:name w:val="heading 3"/>
    <w:basedOn w:val="Ttulo2"/>
    <w:next w:val="Normal"/>
    <w:qFormat/>
    <w:rsid w:val="006F1596"/>
    <w:pPr>
      <w:outlineLvl w:val="2"/>
    </w:pPr>
    <w:rPr>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edepgina">
    <w:name w:val="footer"/>
    <w:basedOn w:val="Normal"/>
    <w:link w:val="Piedepgina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aconcuadrcula">
    <w:name w:val="Table Grid"/>
    <w:basedOn w:val="Tabla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Ttulo1Car">
    <w:name w:val="Título 1 Car"/>
    <w:link w:val="Ttulo1"/>
    <w:uiPriority w:val="99"/>
    <w:locked/>
    <w:rsid w:val="00B422EC"/>
    <w:rPr>
      <w:rFonts w:ascii="Arial" w:hAnsi="Arial" w:cs="Arial"/>
      <w:b/>
      <w:bCs/>
      <w:kern w:val="32"/>
      <w:sz w:val="36"/>
      <w:szCs w:val="32"/>
      <w:lang w:val="de-DE"/>
    </w:rPr>
  </w:style>
  <w:style w:type="character" w:styleId="Hipervnculo">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odeglobo">
    <w:name w:val="Balloon Text"/>
    <w:basedOn w:val="Normal"/>
    <w:link w:val="TextodegloboCar"/>
    <w:rsid w:val="00336854"/>
    <w:pPr>
      <w:spacing w:line="240" w:lineRule="auto"/>
    </w:pPr>
    <w:rPr>
      <w:sz w:val="18"/>
      <w:szCs w:val="18"/>
    </w:rPr>
  </w:style>
  <w:style w:type="character" w:customStyle="1" w:styleId="TextodegloboCar">
    <w:name w:val="Texto de globo Car"/>
    <w:link w:val="Textodeglob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edepginaCar">
    <w:name w:val="Pie de página Car"/>
    <w:link w:val="Piedepgina"/>
    <w:uiPriority w:val="99"/>
    <w:rsid w:val="00992A11"/>
    <w:rPr>
      <w:rFonts w:ascii="Segoe UI" w:hAnsi="Segoe UI"/>
      <w:bCs/>
      <w:noProof/>
      <w:sz w:val="12"/>
      <w:szCs w:val="24"/>
      <w:lang w:val="de-DE"/>
    </w:rPr>
  </w:style>
  <w:style w:type="character" w:styleId="Mencinsinresolver">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Fuentedeprrafopredeter"/>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Fuentedeprrafopredeter"/>
    <w:rsid w:val="00336854"/>
    <w:rPr>
      <w:rFonts w:ascii="Segoe UI" w:hAnsi="Segoe UI"/>
      <w:sz w:val="18"/>
    </w:rPr>
  </w:style>
  <w:style w:type="character" w:customStyle="1" w:styleId="AboutandContactHeadline">
    <w:name w:val="About and Contact Headline"/>
    <w:basedOn w:val="Fuentedeprrafopredeter"/>
    <w:rsid w:val="00336854"/>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97566660">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13094234">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8435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enkelgroup-my.sharepoint.com/personal/delfina_freidzon_henkel_com/Documents/Documents/Templates%20y%20manuales/www.henke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henkelgroup-my.sharepoint.com/personal/delfina_freidzon_henkel_com/Documents/Documents/Templates%20y%20manuales/www.henkel.com" TargetMode="External"/><Relationship Id="rId17" Type="http://schemas.openxmlformats.org/officeDocument/2006/relationships/hyperlink" Target="mailto:daniela.gigante@pointerdh.com.ar" TargetMode="External"/><Relationship Id="rId2" Type="http://schemas.openxmlformats.org/officeDocument/2006/relationships/customXml" Target="../customXml/item2.xml"/><Relationship Id="rId16" Type="http://schemas.openxmlformats.org/officeDocument/2006/relationships/hyperlink" Target="mailto:nadia@pointerdh.com.a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henkel.com.a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ar/"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2" ma:contentTypeDescription="Create a new document." ma:contentTypeScope="" ma:versionID="f2db7ac7c7b01594fb0b5dddb168fe63">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3b0ba459bc2e53ad93a41e55d48e0e6e"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AD5876-7745-4D4C-9FAD-9D2AE6D3B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5</TotalTime>
  <Pages>3</Pages>
  <Words>797</Words>
  <Characters>4386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Pressemitteilung</vt:lpstr>
    </vt:vector>
  </TitlesOfParts>
  <Company>Henkel AG &amp; Co. KGaA</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Nadia Amad</cp:lastModifiedBy>
  <cp:revision>3</cp:revision>
  <cp:lastPrinted>2016-11-16T01:11:00Z</cp:lastPrinted>
  <dcterms:created xsi:type="dcterms:W3CDTF">2024-09-24T15:06:00Z</dcterms:created>
  <dcterms:modified xsi:type="dcterms:W3CDTF">2024-09-30T20:03:00Z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y fmtid="{D5CDD505-2E9C-101B-9397-08002B2CF9AE}" pid="3" name="MediaServiceImageTags">
    <vt:lpwstr/>
  </property>
</Properties>
</file>