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E01792" w14:textId="77777777" w:rsidR="00FC0F79" w:rsidRDefault="00FC0F79">
      <w:pPr>
        <w:rPr>
          <w:rFonts w:ascii="Arial" w:eastAsia="Arial" w:hAnsi="Arial" w:cs="Arial"/>
          <w:i/>
        </w:rPr>
      </w:pPr>
    </w:p>
    <w:p w14:paraId="6DE01793" w14:textId="77777777" w:rsidR="00FC0F79" w:rsidRDefault="008A7F55">
      <w:pPr>
        <w:jc w:val="center"/>
        <w:rPr>
          <w:rFonts w:ascii="Arial" w:eastAsia="Arial" w:hAnsi="Arial" w:cs="Arial"/>
          <w:b/>
          <w:sz w:val="32"/>
          <w:szCs w:val="32"/>
        </w:rPr>
      </w:pPr>
      <w:r>
        <w:rPr>
          <w:rFonts w:ascii="Arial" w:eastAsia="Arial" w:hAnsi="Arial" w:cs="Arial"/>
          <w:b/>
          <w:sz w:val="32"/>
          <w:szCs w:val="32"/>
        </w:rPr>
        <w:t>Henkel lanza una nueva edición del Premio Martha Schwarzkopf para reconocer a destacadas mujeres en la ciencia</w:t>
      </w:r>
    </w:p>
    <w:p w14:paraId="6DE01794" w14:textId="77777777" w:rsidR="00FC0F79" w:rsidRDefault="008A7F55">
      <w:pPr>
        <w:numPr>
          <w:ilvl w:val="0"/>
          <w:numId w:val="1"/>
        </w:numPr>
        <w:pBdr>
          <w:top w:val="nil"/>
          <w:left w:val="nil"/>
          <w:bottom w:val="nil"/>
          <w:right w:val="nil"/>
          <w:between w:val="nil"/>
        </w:pBdr>
        <w:spacing w:after="0"/>
        <w:ind w:left="360"/>
        <w:jc w:val="center"/>
        <w:rPr>
          <w:rFonts w:ascii="Arial" w:eastAsia="Arial" w:hAnsi="Arial" w:cs="Arial"/>
          <w:i/>
          <w:color w:val="000000"/>
        </w:rPr>
      </w:pPr>
      <w:r>
        <w:rPr>
          <w:rFonts w:ascii="Arial" w:eastAsia="Arial" w:hAnsi="Arial" w:cs="Arial"/>
          <w:i/>
          <w:color w:val="000000"/>
        </w:rPr>
        <w:t>El premio principal entrega 10.000 euros, y el Premio Talento Emergente 5.000 euros.</w:t>
      </w:r>
    </w:p>
    <w:p w14:paraId="6DE01795" w14:textId="77777777" w:rsidR="00FC0F79" w:rsidRDefault="008A7F55">
      <w:pPr>
        <w:numPr>
          <w:ilvl w:val="0"/>
          <w:numId w:val="1"/>
        </w:numPr>
        <w:pBdr>
          <w:top w:val="nil"/>
          <w:left w:val="nil"/>
          <w:bottom w:val="nil"/>
          <w:right w:val="nil"/>
          <w:between w:val="nil"/>
        </w:pBdr>
        <w:spacing w:after="0"/>
        <w:ind w:left="360"/>
        <w:jc w:val="center"/>
        <w:rPr>
          <w:rFonts w:ascii="Arial" w:eastAsia="Arial" w:hAnsi="Arial" w:cs="Arial"/>
          <w:i/>
          <w:color w:val="000000"/>
        </w:rPr>
      </w:pPr>
      <w:r>
        <w:rPr>
          <w:rFonts w:ascii="Arial" w:eastAsia="Arial" w:hAnsi="Arial" w:cs="Arial"/>
          <w:i/>
          <w:color w:val="000000"/>
        </w:rPr>
        <w:t>Las ganadoras también recibirán mentoría de científicas de Henkel y participarán en una conferencia internacional en Alemania.</w:t>
      </w:r>
    </w:p>
    <w:p w14:paraId="6DE01796" w14:textId="77777777" w:rsidR="00FC0F79" w:rsidRDefault="00FC0F79">
      <w:pPr>
        <w:jc w:val="both"/>
        <w:rPr>
          <w:rFonts w:ascii="Arial" w:eastAsia="Arial" w:hAnsi="Arial" w:cs="Arial"/>
          <w:i/>
        </w:rPr>
      </w:pPr>
    </w:p>
    <w:p w14:paraId="6DE01797" w14:textId="77777777" w:rsidR="00FC0F79" w:rsidRDefault="008A7F55">
      <w:pPr>
        <w:jc w:val="both"/>
        <w:rPr>
          <w:rFonts w:ascii="Arial" w:eastAsia="Arial" w:hAnsi="Arial" w:cs="Arial"/>
          <w:sz w:val="20"/>
          <w:szCs w:val="20"/>
        </w:rPr>
      </w:pPr>
      <w:r>
        <w:rPr>
          <w:rFonts w:ascii="Arial" w:eastAsia="Arial" w:hAnsi="Arial" w:cs="Arial"/>
          <w:b/>
        </w:rPr>
        <w:t>Bogotá</w:t>
      </w:r>
      <w:r>
        <w:rPr>
          <w:rFonts w:ascii="Arial" w:eastAsia="Arial" w:hAnsi="Arial" w:cs="Arial"/>
          <w:b/>
          <w:sz w:val="20"/>
          <w:szCs w:val="20"/>
        </w:rPr>
        <w:t>, marzo del 2025.-</w:t>
      </w:r>
      <w:r>
        <w:rPr>
          <w:rFonts w:ascii="Arial" w:eastAsia="Arial" w:hAnsi="Arial" w:cs="Arial"/>
          <w:sz w:val="20"/>
          <w:szCs w:val="20"/>
        </w:rPr>
        <w:t xml:space="preserve"> </w:t>
      </w:r>
      <w:r>
        <w:rPr>
          <w:rFonts w:ascii="Arial" w:eastAsia="Arial" w:hAnsi="Arial" w:cs="Arial"/>
          <w:b/>
          <w:sz w:val="20"/>
          <w:szCs w:val="20"/>
        </w:rPr>
        <w:t>Henkel</w:t>
      </w:r>
      <w:r>
        <w:rPr>
          <w:rFonts w:ascii="Arial" w:eastAsia="Arial" w:hAnsi="Arial" w:cs="Arial"/>
          <w:sz w:val="20"/>
          <w:szCs w:val="20"/>
        </w:rPr>
        <w:t xml:space="preserve"> presenta la cuarta edición del </w:t>
      </w:r>
      <w:r>
        <w:rPr>
          <w:rFonts w:ascii="Arial" w:eastAsia="Arial" w:hAnsi="Arial" w:cs="Arial"/>
          <w:b/>
          <w:sz w:val="20"/>
          <w:szCs w:val="20"/>
        </w:rPr>
        <w:t>Premio Martha Schwarzkopf para Mujeres en la Ciencia</w:t>
      </w:r>
      <w:r>
        <w:rPr>
          <w:rFonts w:ascii="Arial" w:eastAsia="Arial" w:hAnsi="Arial" w:cs="Arial"/>
          <w:sz w:val="20"/>
          <w:szCs w:val="20"/>
        </w:rPr>
        <w:t>, una iniciativa que busca apoyar y empoderar a mujeres en el ámbito científico. Además del premio principal, que reconoce contribuciones sobresalientes y de largo plazo en la ciencia capilar, se otorgará el Premio Talento Emergente para incentivar y visibilizar el trabajo de jóvenes investigadoras. La fase de postulación inicia el 8 de marzo, en conmemoración del Día Internacional de la Mujer.</w:t>
      </w:r>
    </w:p>
    <w:p w14:paraId="6DE01798" w14:textId="77D7A8C6" w:rsidR="00FC0F79" w:rsidRPr="00D259EC" w:rsidRDefault="008A7F55">
      <w:pPr>
        <w:jc w:val="both"/>
        <w:rPr>
          <w:rFonts w:ascii="Arial" w:eastAsia="Arial" w:hAnsi="Arial" w:cs="Arial"/>
          <w:i/>
          <w:sz w:val="20"/>
          <w:szCs w:val="20"/>
        </w:rPr>
      </w:pPr>
      <w:r w:rsidRPr="00DE75E7">
        <w:rPr>
          <w:rFonts w:ascii="Arial" w:eastAsia="Arial" w:hAnsi="Arial" w:cs="Arial"/>
          <w:i/>
          <w:sz w:val="20"/>
          <w:szCs w:val="20"/>
        </w:rPr>
        <w:t xml:space="preserve">“En Henkel, nos comprometemos activamente a fomentar la igualdad en todas las disciplinas, promoviendo un entorno donde el talento femenino pueda desarrollarse y generar un impacto significativo. Actualmente, el </w:t>
      </w:r>
      <w:r w:rsidR="00135B83" w:rsidRPr="00DE75E7">
        <w:rPr>
          <w:rFonts w:ascii="Arial" w:eastAsia="Arial" w:hAnsi="Arial" w:cs="Arial"/>
          <w:i/>
          <w:sz w:val="20"/>
          <w:szCs w:val="20"/>
        </w:rPr>
        <w:t>65</w:t>
      </w:r>
      <w:r w:rsidRPr="00DE75E7">
        <w:rPr>
          <w:rFonts w:ascii="Arial" w:eastAsia="Arial" w:hAnsi="Arial" w:cs="Arial"/>
          <w:i/>
          <w:sz w:val="20"/>
          <w:szCs w:val="20"/>
        </w:rPr>
        <w:t>% de nuestro equipo de liderazgo en Colombia son mujeres, y estamos trabajando para seguir creciendo esa cifra</w:t>
      </w:r>
      <w:r w:rsidR="00771E03" w:rsidRPr="00DE75E7">
        <w:rPr>
          <w:rFonts w:ascii="Arial" w:eastAsia="Arial" w:hAnsi="Arial" w:cs="Arial"/>
          <w:i/>
          <w:sz w:val="20"/>
          <w:szCs w:val="20"/>
        </w:rPr>
        <w:t>.</w:t>
      </w:r>
      <w:r w:rsidR="006C3B99" w:rsidRPr="00DE75E7">
        <w:rPr>
          <w:rFonts w:ascii="Arial" w:eastAsia="Arial" w:hAnsi="Arial" w:cs="Arial"/>
          <w:i/>
          <w:sz w:val="20"/>
          <w:szCs w:val="20"/>
        </w:rPr>
        <w:t xml:space="preserve"> Esperamos que muchas científicas en Colombia puedan postularse a esta iniciativa y aprovechar este impulso a la innovación y la ciencia que ofrece nuestra compañía.</w:t>
      </w:r>
      <w:r w:rsidRPr="00DE75E7">
        <w:rPr>
          <w:rFonts w:ascii="Arial" w:eastAsia="Arial" w:hAnsi="Arial" w:cs="Arial"/>
          <w:i/>
          <w:sz w:val="20"/>
          <w:szCs w:val="20"/>
        </w:rPr>
        <w:t>”</w:t>
      </w:r>
      <w:r w:rsidRPr="00DE75E7">
        <w:rPr>
          <w:rFonts w:ascii="Arial" w:eastAsia="Arial" w:hAnsi="Arial" w:cs="Arial"/>
          <w:sz w:val="20"/>
          <w:szCs w:val="20"/>
        </w:rPr>
        <w:t xml:space="preserve">, aseveró </w:t>
      </w:r>
      <w:r w:rsidR="00581A0E" w:rsidRPr="00DE75E7">
        <w:rPr>
          <w:rFonts w:ascii="Arial" w:eastAsia="Arial" w:hAnsi="Arial" w:cs="Arial"/>
          <w:b/>
          <w:sz w:val="20"/>
          <w:szCs w:val="20"/>
        </w:rPr>
        <w:t xml:space="preserve">Fausto Buenfil, </w:t>
      </w:r>
      <w:r w:rsidR="00AB294E" w:rsidRPr="00DE75E7">
        <w:rPr>
          <w:rFonts w:ascii="Arial" w:eastAsia="Arial" w:hAnsi="Arial" w:cs="Arial"/>
          <w:b/>
          <w:sz w:val="20"/>
          <w:szCs w:val="20"/>
        </w:rPr>
        <w:t>p</w:t>
      </w:r>
      <w:r w:rsidR="00581A0E" w:rsidRPr="00DE75E7">
        <w:rPr>
          <w:rFonts w:ascii="Arial" w:eastAsia="Arial" w:hAnsi="Arial" w:cs="Arial"/>
          <w:b/>
          <w:sz w:val="20"/>
          <w:szCs w:val="20"/>
        </w:rPr>
        <w:t>residente</w:t>
      </w:r>
      <w:r w:rsidRPr="00DE75E7">
        <w:rPr>
          <w:rFonts w:ascii="Arial" w:eastAsia="Arial" w:hAnsi="Arial" w:cs="Arial"/>
          <w:sz w:val="20"/>
          <w:szCs w:val="20"/>
        </w:rPr>
        <w:t xml:space="preserve"> de </w:t>
      </w:r>
      <w:r w:rsidRPr="00DE75E7">
        <w:rPr>
          <w:rFonts w:ascii="Arial" w:eastAsia="Arial" w:hAnsi="Arial" w:cs="Arial"/>
          <w:b/>
          <w:sz w:val="20"/>
          <w:szCs w:val="20"/>
        </w:rPr>
        <w:t>Henkel</w:t>
      </w:r>
      <w:r w:rsidR="00581A0E" w:rsidRPr="00DE75E7">
        <w:rPr>
          <w:rFonts w:ascii="Arial" w:eastAsia="Arial" w:hAnsi="Arial" w:cs="Arial"/>
          <w:b/>
          <w:sz w:val="20"/>
          <w:szCs w:val="20"/>
        </w:rPr>
        <w:t xml:space="preserve"> Colombiana</w:t>
      </w:r>
      <w:r w:rsidRPr="00DE75E7">
        <w:rPr>
          <w:rFonts w:ascii="Arial" w:eastAsia="Arial" w:hAnsi="Arial" w:cs="Arial"/>
          <w:sz w:val="20"/>
          <w:szCs w:val="20"/>
        </w:rPr>
        <w:t>.</w:t>
      </w:r>
    </w:p>
    <w:p w14:paraId="6DE01799" w14:textId="77777777" w:rsidR="00FC0F79" w:rsidRDefault="008A7F55">
      <w:pPr>
        <w:jc w:val="both"/>
        <w:rPr>
          <w:rFonts w:ascii="Arial" w:eastAsia="Arial" w:hAnsi="Arial" w:cs="Arial"/>
          <w:b/>
          <w:sz w:val="20"/>
          <w:szCs w:val="20"/>
        </w:rPr>
      </w:pPr>
      <w:r>
        <w:rPr>
          <w:rFonts w:ascii="Arial" w:eastAsia="Arial" w:hAnsi="Arial" w:cs="Arial"/>
          <w:b/>
          <w:sz w:val="20"/>
          <w:szCs w:val="20"/>
        </w:rPr>
        <w:t>¿Quiénes pueden postular?</w:t>
      </w:r>
    </w:p>
    <w:p w14:paraId="6DE0179A" w14:textId="77777777" w:rsidR="00FC0F79" w:rsidRDefault="008A7F55">
      <w:pPr>
        <w:jc w:val="both"/>
        <w:rPr>
          <w:rFonts w:ascii="Arial" w:eastAsia="Arial" w:hAnsi="Arial" w:cs="Arial"/>
          <w:sz w:val="20"/>
          <w:szCs w:val="20"/>
        </w:rPr>
      </w:pPr>
      <w:r>
        <w:rPr>
          <w:rFonts w:ascii="Arial" w:eastAsia="Arial" w:hAnsi="Arial" w:cs="Arial"/>
          <w:sz w:val="20"/>
          <w:szCs w:val="20"/>
        </w:rPr>
        <w:t>El premio está dirigido a investigadoras de los campos de ciencias naturales, ciencias de materiales, cosmética, biotecnología, ingeniería mecánica, informática y medicina, cuyas investigaciones se enfoquen en el estudio del cabello, fibras o áreas relacionadas. Entre las temáticas de interés se incluyen:</w:t>
      </w:r>
    </w:p>
    <w:p w14:paraId="6DE0179B" w14:textId="77777777" w:rsidR="00FC0F79" w:rsidRDefault="008A7F55">
      <w:pPr>
        <w:numPr>
          <w:ilvl w:val="0"/>
          <w:numId w:val="2"/>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Investigaciones físicas sobre el comportamiento mecánico de las fibras.</w:t>
      </w:r>
    </w:p>
    <w:p w14:paraId="6DE0179C" w14:textId="77777777" w:rsidR="00FC0F79" w:rsidRDefault="008A7F55">
      <w:pPr>
        <w:numPr>
          <w:ilvl w:val="0"/>
          <w:numId w:val="2"/>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Simulación computacional de efectos estructurales y de sustancias activas.</w:t>
      </w:r>
    </w:p>
    <w:p w14:paraId="6DE0179D" w14:textId="77777777" w:rsidR="00FC0F79" w:rsidRDefault="008A7F55">
      <w:pPr>
        <w:numPr>
          <w:ilvl w:val="0"/>
          <w:numId w:val="2"/>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Modelos científicos para el análisis de superficies y estructuras de fibras.</w:t>
      </w:r>
    </w:p>
    <w:p w14:paraId="6DE0179E" w14:textId="77777777" w:rsidR="00FC0F79" w:rsidRDefault="008A7F55">
      <w:pPr>
        <w:numPr>
          <w:ilvl w:val="0"/>
          <w:numId w:val="2"/>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Investigación biotecnológica aplicada a proteínas y fibras.</w:t>
      </w:r>
    </w:p>
    <w:p w14:paraId="6DE0179F" w14:textId="77777777" w:rsidR="00FC0F79" w:rsidRDefault="008A7F55">
      <w:pPr>
        <w:jc w:val="both"/>
        <w:rPr>
          <w:rFonts w:ascii="Arial" w:eastAsia="Arial" w:hAnsi="Arial" w:cs="Arial"/>
          <w:sz w:val="20"/>
          <w:szCs w:val="20"/>
        </w:rPr>
      </w:pPr>
      <w:r>
        <w:rPr>
          <w:rFonts w:ascii="Arial" w:eastAsia="Arial" w:hAnsi="Arial" w:cs="Arial"/>
          <w:sz w:val="20"/>
          <w:szCs w:val="20"/>
        </w:rPr>
        <w:t>El premio principal tiene una dotación de 10.000 euros, mientras que el Premio Talento Emergente está dotado con 5.000 euros.</w:t>
      </w:r>
    </w:p>
    <w:p w14:paraId="6DE017A0" w14:textId="77777777" w:rsidR="00FC0F79" w:rsidRDefault="008A7F55">
      <w:pPr>
        <w:jc w:val="both"/>
        <w:rPr>
          <w:rFonts w:ascii="Arial" w:eastAsia="Arial" w:hAnsi="Arial" w:cs="Arial"/>
          <w:b/>
          <w:sz w:val="20"/>
          <w:szCs w:val="20"/>
        </w:rPr>
      </w:pPr>
      <w:r>
        <w:rPr>
          <w:rFonts w:ascii="Arial" w:eastAsia="Arial" w:hAnsi="Arial" w:cs="Arial"/>
          <w:b/>
          <w:sz w:val="20"/>
          <w:szCs w:val="20"/>
        </w:rPr>
        <w:t>¿Cómo postular?</w:t>
      </w:r>
    </w:p>
    <w:p w14:paraId="6DE017A1" w14:textId="77777777" w:rsidR="00FC0F79" w:rsidRDefault="008A7F55">
      <w:pPr>
        <w:jc w:val="both"/>
        <w:rPr>
          <w:rFonts w:ascii="Arial" w:eastAsia="Arial" w:hAnsi="Arial" w:cs="Arial"/>
          <w:sz w:val="20"/>
          <w:szCs w:val="20"/>
        </w:rPr>
      </w:pPr>
      <w:r>
        <w:rPr>
          <w:rFonts w:ascii="Arial" w:eastAsia="Arial" w:hAnsi="Arial" w:cs="Arial"/>
          <w:sz w:val="20"/>
          <w:szCs w:val="20"/>
        </w:rPr>
        <w:t>Las científicas interesadas pueden enviar su postulación en inglés al correo RnD.Award@henkel.com hasta el 1 de junio de 2025.</w:t>
      </w:r>
    </w:p>
    <w:p w14:paraId="6DE017A2" w14:textId="77777777" w:rsidR="00FC0F79" w:rsidRDefault="008A7F55">
      <w:pPr>
        <w:jc w:val="both"/>
        <w:rPr>
          <w:rFonts w:ascii="Arial" w:eastAsia="Arial" w:hAnsi="Arial" w:cs="Arial"/>
          <w:sz w:val="20"/>
          <w:szCs w:val="20"/>
        </w:rPr>
      </w:pPr>
      <w:r>
        <w:rPr>
          <w:rFonts w:ascii="Arial" w:eastAsia="Arial" w:hAnsi="Arial" w:cs="Arial"/>
          <w:sz w:val="20"/>
          <w:szCs w:val="20"/>
        </w:rPr>
        <w:t>Documentos requeridos:</w:t>
      </w:r>
    </w:p>
    <w:p w14:paraId="6DE017A3" w14:textId="77777777" w:rsidR="00FC0F79" w:rsidRDefault="008A7F55">
      <w:pPr>
        <w:numPr>
          <w:ilvl w:val="0"/>
          <w:numId w:val="3"/>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Carta de motivación, explicando las razones personales para postular.</w:t>
      </w:r>
    </w:p>
    <w:p w14:paraId="6DE017A4" w14:textId="77777777" w:rsidR="00FC0F79" w:rsidRDefault="008A7F55">
      <w:pPr>
        <w:numPr>
          <w:ilvl w:val="0"/>
          <w:numId w:val="3"/>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Currículum vitae, con énfasis en el campo de investigación y áreas de interés.</w:t>
      </w:r>
    </w:p>
    <w:p w14:paraId="6DE017A5" w14:textId="77777777" w:rsidR="00FC0F79" w:rsidRDefault="008A7F55">
      <w:pPr>
        <w:numPr>
          <w:ilvl w:val="0"/>
          <w:numId w:val="3"/>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Lista de publicaciones más relevantes.</w:t>
      </w:r>
    </w:p>
    <w:p w14:paraId="6DE017A6" w14:textId="77777777" w:rsidR="00FC0F79" w:rsidRDefault="008A7F55">
      <w:pPr>
        <w:numPr>
          <w:ilvl w:val="0"/>
          <w:numId w:val="3"/>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lastRenderedPageBreak/>
        <w:t>Resumen de investigaciones previas, incluyendo estudios sobre cabello, cuero cabelludo, fibras textiles, modelos computacionales para el análisis de estructuras capilares, síntesis de colorantes y procesos biológicos en la raíz capilar.</w:t>
      </w:r>
    </w:p>
    <w:p w14:paraId="6DE017A7" w14:textId="77777777" w:rsidR="00FC0F79" w:rsidRDefault="008A7F55">
      <w:pPr>
        <w:numPr>
          <w:ilvl w:val="0"/>
          <w:numId w:val="3"/>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Fotografía (opcional).</w:t>
      </w:r>
    </w:p>
    <w:p w14:paraId="6DE017A8" w14:textId="77777777" w:rsidR="00FC0F79" w:rsidRDefault="008A7F55">
      <w:pPr>
        <w:jc w:val="both"/>
        <w:rPr>
          <w:rFonts w:ascii="Arial" w:eastAsia="Arial" w:hAnsi="Arial" w:cs="Arial"/>
          <w:b/>
          <w:sz w:val="20"/>
          <w:szCs w:val="20"/>
        </w:rPr>
      </w:pPr>
      <w:r>
        <w:rPr>
          <w:rFonts w:ascii="Arial" w:eastAsia="Arial" w:hAnsi="Arial" w:cs="Arial"/>
          <w:b/>
          <w:sz w:val="20"/>
          <w:szCs w:val="20"/>
        </w:rPr>
        <w:t>Criterios de evaluación</w:t>
      </w:r>
    </w:p>
    <w:p w14:paraId="6DE017A9" w14:textId="77777777" w:rsidR="00FC0F79" w:rsidRDefault="008A7F55">
      <w:pPr>
        <w:jc w:val="both"/>
        <w:rPr>
          <w:rFonts w:ascii="Arial" w:eastAsia="Arial" w:hAnsi="Arial" w:cs="Arial"/>
          <w:sz w:val="20"/>
          <w:szCs w:val="20"/>
        </w:rPr>
      </w:pPr>
      <w:r>
        <w:rPr>
          <w:rFonts w:ascii="Arial" w:eastAsia="Arial" w:hAnsi="Arial" w:cs="Arial"/>
          <w:sz w:val="20"/>
          <w:szCs w:val="20"/>
        </w:rPr>
        <w:t>Un jurado de científicas del departamento de I+D de Henkel Consumer Brands evaluará las postulaciones en base a los siguientes aspectos:</w:t>
      </w:r>
    </w:p>
    <w:p w14:paraId="6DE017AA" w14:textId="77777777" w:rsidR="00FC0F79" w:rsidRDefault="008A7F55">
      <w:pPr>
        <w:numPr>
          <w:ilvl w:val="0"/>
          <w:numId w:val="4"/>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Relevancia del trabajo en la investigación capilar.</w:t>
      </w:r>
    </w:p>
    <w:p w14:paraId="6DE017AB" w14:textId="77777777" w:rsidR="00FC0F79" w:rsidRDefault="008A7F55">
      <w:pPr>
        <w:numPr>
          <w:ilvl w:val="0"/>
          <w:numId w:val="4"/>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Impacto en consumidores y en el medioambiente.</w:t>
      </w:r>
    </w:p>
    <w:p w14:paraId="6DE017AC" w14:textId="77777777" w:rsidR="00FC0F79" w:rsidRDefault="008A7F55">
      <w:pPr>
        <w:numPr>
          <w:ilvl w:val="0"/>
          <w:numId w:val="4"/>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Innovación, viabilidad y aplicación en la industria cosmética capilar.</w:t>
      </w:r>
    </w:p>
    <w:p w14:paraId="6DE017AD" w14:textId="77777777" w:rsidR="00FC0F79" w:rsidRDefault="008A7F55">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Originalidad y contribución científica.</w:t>
      </w:r>
    </w:p>
    <w:p w14:paraId="6DE017AE" w14:textId="77777777" w:rsidR="00FC0F79" w:rsidRDefault="008A7F55">
      <w:pPr>
        <w:jc w:val="both"/>
        <w:rPr>
          <w:rFonts w:ascii="Arial" w:eastAsia="Arial" w:hAnsi="Arial" w:cs="Arial"/>
          <w:sz w:val="20"/>
          <w:szCs w:val="20"/>
        </w:rPr>
      </w:pPr>
      <w:r>
        <w:rPr>
          <w:rFonts w:ascii="Arial" w:eastAsia="Arial" w:hAnsi="Arial" w:cs="Arial"/>
          <w:sz w:val="20"/>
          <w:szCs w:val="20"/>
        </w:rPr>
        <w:t>Las ganadoras recibirán, además del premio económico, la oportunidad de participar en un programa de mentoría con científicas de Henkel y serán invitadas a la ceremonia de premiación, que se realizará en Alemania a principios de 2026, en el marco de una conferencia científica del Martha Schwarzkopf Network.</w:t>
      </w:r>
    </w:p>
    <w:p w14:paraId="6DE017AF" w14:textId="77777777" w:rsidR="00FC0F79" w:rsidRDefault="008A7F55">
      <w:pPr>
        <w:jc w:val="both"/>
        <w:rPr>
          <w:rFonts w:ascii="Arial" w:eastAsia="Arial" w:hAnsi="Arial" w:cs="Arial"/>
          <w:b/>
          <w:sz w:val="20"/>
          <w:szCs w:val="20"/>
        </w:rPr>
      </w:pPr>
      <w:r>
        <w:rPr>
          <w:rFonts w:ascii="Arial" w:eastAsia="Arial" w:hAnsi="Arial" w:cs="Arial"/>
          <w:b/>
          <w:sz w:val="20"/>
          <w:szCs w:val="20"/>
        </w:rPr>
        <w:t>Un premio con historia</w:t>
      </w:r>
    </w:p>
    <w:p w14:paraId="6DE017B0" w14:textId="77777777" w:rsidR="00FC0F79" w:rsidRDefault="008A7F55">
      <w:pPr>
        <w:jc w:val="both"/>
        <w:rPr>
          <w:rFonts w:ascii="Arial" w:eastAsia="Arial" w:hAnsi="Arial" w:cs="Arial"/>
          <w:sz w:val="20"/>
          <w:szCs w:val="20"/>
        </w:rPr>
      </w:pPr>
      <w:r>
        <w:rPr>
          <w:rFonts w:ascii="Arial" w:eastAsia="Arial" w:hAnsi="Arial" w:cs="Arial"/>
          <w:sz w:val="20"/>
          <w:szCs w:val="20"/>
        </w:rPr>
        <w:t>Cabe resaltar que el premio rinde homenaje a Martha Schwarzkopf, una de las primeras mujeres en Alemania en liderar una empresa y fundar el Instituto de Investigación Capilar. Actualmente, Schwarzkopf es la marca más importante de la categoría de cuidado capilar de Henkel Consumer Brands. Todas las innovaciones de la marca se basan en el legado del Schwarzkopf Hair Research Institute, que hoy cuenta con laboratorios de investigación y desarrollo, salones de prueba capilar y academias de peluquería en todo el mundo.</w:t>
      </w:r>
    </w:p>
    <w:p w14:paraId="6DE017B1" w14:textId="77777777" w:rsidR="00FC0F79" w:rsidRDefault="008A7F55">
      <w:pPr>
        <w:jc w:val="both"/>
        <w:rPr>
          <w:rFonts w:ascii="Arial" w:eastAsia="Arial" w:hAnsi="Arial" w:cs="Arial"/>
          <w:sz w:val="20"/>
          <w:szCs w:val="20"/>
        </w:rPr>
      </w:pPr>
      <w:r>
        <w:rPr>
          <w:rFonts w:ascii="Arial" w:eastAsia="Arial" w:hAnsi="Arial" w:cs="Arial"/>
          <w:sz w:val="20"/>
          <w:szCs w:val="20"/>
        </w:rPr>
        <w:t>En línea con este legado, Henkel celebra el crecimiento continuo de su red de investigadoras capilares, donde las postulantes y ganadoras de ediciones anteriores ya desempeñan un papel clave en el intercambio científico y la colaboración. A través del premio principal y el Premio Talento Emergente, la compañía busca reconocer a científicas consolidadas, brindando una oportunidad a jóvenes investigadoras para integrarse a esta comunidad en expansión y contribuir al avance de la ciencia capilar.</w:t>
      </w:r>
    </w:p>
    <w:p w14:paraId="6DE017B2" w14:textId="77777777" w:rsidR="00FC0F79" w:rsidRDefault="008A7F55">
      <w:pPr>
        <w:jc w:val="both"/>
        <w:rPr>
          <w:rFonts w:ascii="Arial" w:eastAsia="Arial" w:hAnsi="Arial" w:cs="Arial"/>
          <w:sz w:val="20"/>
          <w:szCs w:val="20"/>
        </w:rPr>
      </w:pPr>
      <w:r>
        <w:rPr>
          <w:rFonts w:ascii="Arial" w:eastAsia="Arial" w:hAnsi="Arial" w:cs="Arial"/>
          <w:sz w:val="20"/>
          <w:szCs w:val="20"/>
        </w:rPr>
        <w:t>A través de esta iniciativa, la compañía reafirma su compromiso con la promoción y el reconocimiento del talento femenino en la investigación capilar y áreas afines a nivel global.</w:t>
      </w:r>
    </w:p>
    <w:p w14:paraId="6DE017B3" w14:textId="77777777" w:rsidR="00FC0F79" w:rsidRDefault="00FC0F79">
      <w:pPr>
        <w:jc w:val="both"/>
        <w:rPr>
          <w:rFonts w:ascii="Arial" w:eastAsia="Arial" w:hAnsi="Arial" w:cs="Arial"/>
        </w:rPr>
      </w:pPr>
    </w:p>
    <w:p w14:paraId="6DE017B4" w14:textId="77777777" w:rsidR="00FC0F79" w:rsidRDefault="008A7F55">
      <w:pPr>
        <w:spacing w:after="0"/>
        <w:jc w:val="both"/>
        <w:rPr>
          <w:rFonts w:ascii="Arial" w:eastAsia="Arial" w:hAnsi="Arial" w:cs="Arial"/>
          <w:b/>
          <w:sz w:val="16"/>
          <w:szCs w:val="16"/>
        </w:rPr>
      </w:pPr>
      <w:r>
        <w:rPr>
          <w:rFonts w:ascii="Arial" w:eastAsia="Arial" w:hAnsi="Arial" w:cs="Arial"/>
          <w:b/>
          <w:sz w:val="16"/>
          <w:szCs w:val="16"/>
        </w:rPr>
        <w:t>Sobre Henkel</w:t>
      </w:r>
    </w:p>
    <w:p w14:paraId="6DE017B5" w14:textId="77777777" w:rsidR="00FC0F79" w:rsidRDefault="008A7F55">
      <w:pPr>
        <w:spacing w:after="0"/>
        <w:jc w:val="both"/>
        <w:rPr>
          <w:rFonts w:ascii="Arial" w:eastAsia="Arial" w:hAnsi="Arial" w:cs="Arial"/>
          <w:sz w:val="16"/>
          <w:szCs w:val="16"/>
        </w:rPr>
      </w:pPr>
      <w:r>
        <w:rPr>
          <w:rFonts w:ascii="Arial" w:eastAsia="Arial" w:hAnsi="Arial" w:cs="Arial"/>
          <w:sz w:val="16"/>
          <w:szCs w:val="16"/>
        </w:rPr>
        <w:t xml:space="preserve">Henkel es una compañía global con 148 años de historia. Con sus marcas, innovaciones y tecnologías, ocupa posiciones de liderazgo mundial en dos unidades de negocio: Marcas de consumo (cuidado del cabello y lavandería) y Tecnologías adhesivas (adhesivos, selladores y recubrimientos funcionales). Las tres marcas más fuertes de Henkel son Loctite, Persil y Schwarzkopf. En 2023 Henkel alcanzó ventas por €21,5 billones de euros (equivalentes a $91.7 billones de pesos) con un importante crecimiento orgánico de 4,2%. Las acciones preferentes de Henkel cotizan en el índice bursátil alemán DAX. La sostenibilidad, innovación y diversidad están profundamente ancladas a la estrategia de la compañía. Henkel se fundó en 1876 y hoy emplea a un equipo diverso de más de 48.000 personas en todo el mundo, unidas por una sólida cultura corporativa, valores compartidos y un propósito común: "Pioneers at heart for the good of generations" Más información en www.henkel.com  </w:t>
      </w:r>
    </w:p>
    <w:p w14:paraId="6DE017B6" w14:textId="77777777" w:rsidR="00FC0F79" w:rsidRDefault="008A7F55">
      <w:pPr>
        <w:jc w:val="both"/>
        <w:rPr>
          <w:rFonts w:ascii="Arial" w:eastAsia="Arial" w:hAnsi="Arial" w:cs="Arial"/>
          <w:b/>
          <w:sz w:val="16"/>
          <w:szCs w:val="16"/>
        </w:rPr>
      </w:pPr>
      <w:r>
        <w:rPr>
          <w:rFonts w:ascii="Arial" w:eastAsia="Arial" w:hAnsi="Arial" w:cs="Arial"/>
          <w:b/>
          <w:sz w:val="16"/>
          <w:szCs w:val="16"/>
        </w:rPr>
        <w:t xml:space="preserve"> </w:t>
      </w:r>
    </w:p>
    <w:p w14:paraId="6DE017B7" w14:textId="77777777" w:rsidR="00FC0F79" w:rsidRDefault="008A7F55">
      <w:pPr>
        <w:spacing w:after="0"/>
        <w:jc w:val="both"/>
        <w:rPr>
          <w:rFonts w:ascii="Arial" w:eastAsia="Arial" w:hAnsi="Arial" w:cs="Arial"/>
          <w:b/>
          <w:sz w:val="16"/>
          <w:szCs w:val="16"/>
        </w:rPr>
      </w:pPr>
      <w:r>
        <w:rPr>
          <w:rFonts w:ascii="Arial" w:eastAsia="Arial" w:hAnsi="Arial" w:cs="Arial"/>
          <w:b/>
          <w:sz w:val="16"/>
          <w:szCs w:val="16"/>
        </w:rPr>
        <w:t>Henkel en Colombia</w:t>
      </w:r>
    </w:p>
    <w:p w14:paraId="6DE017B8" w14:textId="77777777" w:rsidR="00FC0F79" w:rsidRDefault="008A7F55">
      <w:pPr>
        <w:spacing w:after="0"/>
        <w:jc w:val="both"/>
        <w:rPr>
          <w:rFonts w:ascii="Arial" w:eastAsia="Arial" w:hAnsi="Arial" w:cs="Arial"/>
          <w:sz w:val="16"/>
          <w:szCs w:val="16"/>
        </w:rPr>
      </w:pPr>
      <w:r>
        <w:rPr>
          <w:rFonts w:ascii="Arial" w:eastAsia="Arial" w:hAnsi="Arial" w:cs="Arial"/>
          <w:sz w:val="16"/>
          <w:szCs w:val="16"/>
        </w:rPr>
        <w:t xml:space="preserve">En Colombia, Henkel cuenta con una trayectoria de más de 60 años, una planta de producción en Bogotá; y tres Centros de Distribución (Funza, Tenjo y Yumbo). En 2024, el país se convirtió en el tercero con mayores ventas de la región, después de México y Brasil, ratificando su posición estratégica para el desarrollo y crecimiento del mercado en Latinoamérica. En 2023 las ventas fueron de más de €103 millones de euros, consolidando en el mercado marcas como Schwarzkopf, Igora, Konzil, Persil, Tec Italy, Authentic Beauty Concept, Palette, Balance, Sista, Loctite, Ceresit entre otras. La planta de Montevideo (Bogotá), fundada en 1956, se ha consolidado como el Hub de producción de coloración </w:t>
      </w:r>
      <w:r>
        <w:rPr>
          <w:rFonts w:ascii="Arial" w:eastAsia="Arial" w:hAnsi="Arial" w:cs="Arial"/>
          <w:sz w:val="16"/>
          <w:szCs w:val="16"/>
        </w:rPr>
        <w:lastRenderedPageBreak/>
        <w:t>en América Latina, desde donde se exporta más del 50% de la producción de esta planta a Europa, Estados Unidos, Argentina, Brasil, México, entre otros.</w:t>
      </w:r>
    </w:p>
    <w:sectPr w:rsidR="00FC0F79">
      <w:headerReference w:type="default" r:id="rId8"/>
      <w:footerReference w:type="default" r:id="rId9"/>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017C9" w14:textId="77777777" w:rsidR="008A7F55" w:rsidRDefault="008A7F55">
      <w:pPr>
        <w:spacing w:after="0" w:line="240" w:lineRule="auto"/>
      </w:pPr>
      <w:r>
        <w:separator/>
      </w:r>
    </w:p>
  </w:endnote>
  <w:endnote w:type="continuationSeparator" w:id="0">
    <w:p w14:paraId="6DE017CB" w14:textId="77777777" w:rsidR="008A7F55" w:rsidRDefault="008A7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A38C873-084C-8546-94E3-193A0170BDD6}"/>
  </w:font>
  <w:font w:name="Courier New">
    <w:panose1 w:val="02070309020205020404"/>
    <w:charset w:val="00"/>
    <w:family w:val="modern"/>
    <w:pitch w:val="fixed"/>
    <w:sig w:usb0="E0002EFF" w:usb1="C0007843" w:usb2="00000009" w:usb3="00000000" w:csb0="000001FF" w:csb1="00000000"/>
    <w:embedRegular r:id="rId2" w:fontKey="{76245F32-469E-9C43-BDAE-A59D780545AD}"/>
  </w:font>
  <w:font w:name="Calibri">
    <w:panose1 w:val="020F0502020204030204"/>
    <w:charset w:val="00"/>
    <w:family w:val="swiss"/>
    <w:pitch w:val="variable"/>
    <w:sig w:usb0="E4002EFF" w:usb1="C200247B" w:usb2="00000009" w:usb3="00000000" w:csb0="000001FF" w:csb1="00000000"/>
    <w:embedRegular r:id="rId3" w:fontKey="{444517BB-6896-BD43-B7A2-5F97FA6C6733}"/>
    <w:embedBold r:id="rId4" w:fontKey="{BEC2E329-B90E-7647-AE18-CBEF0D0E6B71}"/>
  </w:font>
  <w:font w:name="Times New Roman">
    <w:panose1 w:val="02020603050405020304"/>
    <w:charset w:val="00"/>
    <w:family w:val="roman"/>
    <w:pitch w:val="variable"/>
    <w:sig w:usb0="E0002EFF" w:usb1="C000785B" w:usb2="00000009" w:usb3="00000000" w:csb0="000001FF" w:csb1="00000000"/>
    <w:embedRegular r:id="rId5" w:fontKey="{50F4FFC9-550E-AF4E-8C48-2E69C995E146}"/>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embedRegular r:id="rId6" w:fontKey="{2347D267-8763-2646-ABE8-E1A30E3CF0A5}"/>
    <w:embedBold r:id="rId7" w:fontKey="{6666368B-A6A9-C84A-ADC7-DE8F7732D565}"/>
    <w:embedItalic r:id="rId8" w:fontKey="{857E40B4-C407-404E-AD8B-3FA937900691}"/>
  </w:font>
  <w:font w:name="Calibri Light">
    <w:panose1 w:val="020F0302020204030204"/>
    <w:charset w:val="00"/>
    <w:family w:val="swiss"/>
    <w:pitch w:val="variable"/>
    <w:sig w:usb0="E4002EFF" w:usb1="C200247B" w:usb2="00000009" w:usb3="00000000" w:csb0="000001FF" w:csb1="00000000"/>
    <w:embedRegular r:id="rId9" w:fontKey="{C372041A-76B3-8145-8CF6-3A6540B60C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017BF" w14:textId="77777777" w:rsidR="00FC0F79" w:rsidRDefault="00FC0F79">
    <w:pPr>
      <w:widowControl w:val="0"/>
      <w:pBdr>
        <w:top w:val="nil"/>
        <w:left w:val="nil"/>
        <w:bottom w:val="nil"/>
        <w:right w:val="nil"/>
        <w:between w:val="nil"/>
      </w:pBdr>
      <w:spacing w:after="0" w:line="276" w:lineRule="auto"/>
      <w:rPr>
        <w:color w:val="000000"/>
      </w:rPr>
    </w:pPr>
  </w:p>
  <w:tbl>
    <w:tblPr>
      <w:tblStyle w:val="a0"/>
      <w:tblW w:w="8490" w:type="dxa"/>
      <w:tblInd w:w="0" w:type="dxa"/>
      <w:tblLayout w:type="fixed"/>
      <w:tblLook w:val="0600" w:firstRow="0" w:lastRow="0" w:firstColumn="0" w:lastColumn="0" w:noHBand="1" w:noVBand="1"/>
    </w:tblPr>
    <w:tblGrid>
      <w:gridCol w:w="2830"/>
      <w:gridCol w:w="2830"/>
      <w:gridCol w:w="2830"/>
    </w:tblGrid>
    <w:tr w:rsidR="00FC0F79" w14:paraId="6DE017C3" w14:textId="77777777">
      <w:trPr>
        <w:trHeight w:val="300"/>
      </w:trPr>
      <w:tc>
        <w:tcPr>
          <w:tcW w:w="2830" w:type="dxa"/>
        </w:tcPr>
        <w:p w14:paraId="6DE017C0" w14:textId="77777777" w:rsidR="00FC0F79" w:rsidRDefault="00FC0F79">
          <w:pPr>
            <w:pBdr>
              <w:top w:val="nil"/>
              <w:left w:val="nil"/>
              <w:bottom w:val="nil"/>
              <w:right w:val="nil"/>
              <w:between w:val="nil"/>
            </w:pBdr>
            <w:tabs>
              <w:tab w:val="center" w:pos="4680"/>
              <w:tab w:val="right" w:pos="9360"/>
            </w:tabs>
            <w:spacing w:after="0" w:line="240" w:lineRule="auto"/>
            <w:ind w:left="-115"/>
            <w:rPr>
              <w:color w:val="000000"/>
            </w:rPr>
          </w:pPr>
        </w:p>
      </w:tc>
      <w:tc>
        <w:tcPr>
          <w:tcW w:w="2830" w:type="dxa"/>
        </w:tcPr>
        <w:p w14:paraId="6DE017C1" w14:textId="77777777" w:rsidR="00FC0F79" w:rsidRDefault="00FC0F79">
          <w:pPr>
            <w:pBdr>
              <w:top w:val="nil"/>
              <w:left w:val="nil"/>
              <w:bottom w:val="nil"/>
              <w:right w:val="nil"/>
              <w:between w:val="nil"/>
            </w:pBdr>
            <w:tabs>
              <w:tab w:val="center" w:pos="4680"/>
              <w:tab w:val="right" w:pos="9360"/>
            </w:tabs>
            <w:spacing w:after="0" w:line="240" w:lineRule="auto"/>
            <w:jc w:val="center"/>
            <w:rPr>
              <w:color w:val="000000"/>
            </w:rPr>
          </w:pPr>
        </w:p>
      </w:tc>
      <w:tc>
        <w:tcPr>
          <w:tcW w:w="2830" w:type="dxa"/>
        </w:tcPr>
        <w:p w14:paraId="6DE017C2" w14:textId="77777777" w:rsidR="00FC0F79" w:rsidRDefault="00FC0F79">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6DE017C4" w14:textId="77777777" w:rsidR="00FC0F79" w:rsidRDefault="00FC0F7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E017C5" w14:textId="77777777" w:rsidR="008A7F55" w:rsidRDefault="008A7F55">
      <w:pPr>
        <w:spacing w:after="0" w:line="240" w:lineRule="auto"/>
      </w:pPr>
      <w:r>
        <w:separator/>
      </w:r>
    </w:p>
  </w:footnote>
  <w:footnote w:type="continuationSeparator" w:id="0">
    <w:p w14:paraId="6DE017C7" w14:textId="77777777" w:rsidR="008A7F55" w:rsidRDefault="008A7F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017B9" w14:textId="77777777" w:rsidR="00FC0F79" w:rsidRDefault="00FC0F79">
    <w:pPr>
      <w:widowControl w:val="0"/>
      <w:pBdr>
        <w:top w:val="nil"/>
        <w:left w:val="nil"/>
        <w:bottom w:val="nil"/>
        <w:right w:val="nil"/>
        <w:between w:val="nil"/>
      </w:pBdr>
      <w:spacing w:after="0" w:line="276" w:lineRule="auto"/>
      <w:rPr>
        <w:rFonts w:ascii="Arial" w:eastAsia="Arial" w:hAnsi="Arial" w:cs="Arial"/>
        <w:sz w:val="16"/>
        <w:szCs w:val="16"/>
      </w:rPr>
    </w:pPr>
  </w:p>
  <w:tbl>
    <w:tblPr>
      <w:tblStyle w:val="a"/>
      <w:tblW w:w="8490" w:type="dxa"/>
      <w:tblInd w:w="0" w:type="dxa"/>
      <w:tblLayout w:type="fixed"/>
      <w:tblLook w:val="0600" w:firstRow="0" w:lastRow="0" w:firstColumn="0" w:lastColumn="0" w:noHBand="1" w:noVBand="1"/>
    </w:tblPr>
    <w:tblGrid>
      <w:gridCol w:w="2830"/>
      <w:gridCol w:w="2830"/>
      <w:gridCol w:w="2830"/>
    </w:tblGrid>
    <w:tr w:rsidR="00FC0F79" w14:paraId="6DE017BD" w14:textId="77777777">
      <w:trPr>
        <w:trHeight w:val="300"/>
      </w:trPr>
      <w:tc>
        <w:tcPr>
          <w:tcW w:w="2830" w:type="dxa"/>
        </w:tcPr>
        <w:p w14:paraId="6DE017BA" w14:textId="77777777" w:rsidR="00FC0F79" w:rsidRDefault="00FC0F79">
          <w:pPr>
            <w:pBdr>
              <w:top w:val="nil"/>
              <w:left w:val="nil"/>
              <w:bottom w:val="nil"/>
              <w:right w:val="nil"/>
              <w:between w:val="nil"/>
            </w:pBdr>
            <w:tabs>
              <w:tab w:val="center" w:pos="4680"/>
              <w:tab w:val="right" w:pos="9360"/>
            </w:tabs>
            <w:spacing w:after="0" w:line="240" w:lineRule="auto"/>
            <w:ind w:left="-115"/>
            <w:rPr>
              <w:color w:val="000000"/>
            </w:rPr>
          </w:pPr>
        </w:p>
      </w:tc>
      <w:tc>
        <w:tcPr>
          <w:tcW w:w="2830" w:type="dxa"/>
        </w:tcPr>
        <w:p w14:paraId="6DE017BB" w14:textId="77777777" w:rsidR="00FC0F79" w:rsidRDefault="00FC0F79">
          <w:pPr>
            <w:pBdr>
              <w:top w:val="nil"/>
              <w:left w:val="nil"/>
              <w:bottom w:val="nil"/>
              <w:right w:val="nil"/>
              <w:between w:val="nil"/>
            </w:pBdr>
            <w:tabs>
              <w:tab w:val="center" w:pos="4680"/>
              <w:tab w:val="right" w:pos="9360"/>
            </w:tabs>
            <w:spacing w:after="0" w:line="240" w:lineRule="auto"/>
            <w:jc w:val="center"/>
            <w:rPr>
              <w:color w:val="000000"/>
            </w:rPr>
          </w:pPr>
        </w:p>
      </w:tc>
      <w:tc>
        <w:tcPr>
          <w:tcW w:w="2830" w:type="dxa"/>
        </w:tcPr>
        <w:p w14:paraId="6DE017BC" w14:textId="77777777" w:rsidR="00FC0F79" w:rsidRDefault="008A7F55">
          <w:pPr>
            <w:pBdr>
              <w:top w:val="nil"/>
              <w:left w:val="nil"/>
              <w:bottom w:val="nil"/>
              <w:right w:val="nil"/>
              <w:between w:val="nil"/>
            </w:pBdr>
            <w:tabs>
              <w:tab w:val="center" w:pos="4680"/>
              <w:tab w:val="right" w:pos="9360"/>
            </w:tabs>
            <w:spacing w:after="0" w:line="240" w:lineRule="auto"/>
            <w:ind w:right="-115"/>
            <w:jc w:val="right"/>
            <w:rPr>
              <w:color w:val="000000"/>
            </w:rPr>
          </w:pPr>
          <w:r>
            <w:rPr>
              <w:noProof/>
              <w:color w:val="000000"/>
            </w:rPr>
            <w:drawing>
              <wp:inline distT="0" distB="0" distL="0" distR="0" wp14:anchorId="6DE017C5" wp14:editId="6DE017C6">
                <wp:extent cx="1042502" cy="590550"/>
                <wp:effectExtent l="0" t="0" r="0" b="0"/>
                <wp:docPr id="17043384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42502" cy="590550"/>
                        </a:xfrm>
                        <a:prstGeom prst="rect">
                          <a:avLst/>
                        </a:prstGeom>
                        <a:ln/>
                      </pic:spPr>
                    </pic:pic>
                  </a:graphicData>
                </a:graphic>
              </wp:inline>
            </w:drawing>
          </w:r>
        </w:p>
      </w:tc>
    </w:tr>
  </w:tbl>
  <w:p w14:paraId="6DE017BE" w14:textId="77777777" w:rsidR="00FC0F79" w:rsidRDefault="00FC0F7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4A1A4C"/>
    <w:multiLevelType w:val="multilevel"/>
    <w:tmpl w:val="03A429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A3A1E8C"/>
    <w:multiLevelType w:val="multilevel"/>
    <w:tmpl w:val="40E4F9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6EF08D0"/>
    <w:multiLevelType w:val="multilevel"/>
    <w:tmpl w:val="A02EA7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8F47E37"/>
    <w:multiLevelType w:val="multilevel"/>
    <w:tmpl w:val="9E1063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86175157">
    <w:abstractNumId w:val="3"/>
  </w:num>
  <w:num w:numId="2" w16cid:durableId="1735469590">
    <w:abstractNumId w:val="1"/>
  </w:num>
  <w:num w:numId="3" w16cid:durableId="51275976">
    <w:abstractNumId w:val="0"/>
  </w:num>
  <w:num w:numId="4" w16cid:durableId="4512854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F79"/>
    <w:rsid w:val="00135B83"/>
    <w:rsid w:val="003D22DF"/>
    <w:rsid w:val="00581A0E"/>
    <w:rsid w:val="006C3B99"/>
    <w:rsid w:val="00771E03"/>
    <w:rsid w:val="008A7F55"/>
    <w:rsid w:val="00962CE1"/>
    <w:rsid w:val="00AB294E"/>
    <w:rsid w:val="00AC54DC"/>
    <w:rsid w:val="00B97209"/>
    <w:rsid w:val="00D259EC"/>
    <w:rsid w:val="00DE75E7"/>
    <w:rsid w:val="00FC0F79"/>
    <w:rsid w:val="00FD356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01792"/>
  <w15:docId w15:val="{EB19FE03-423A-465D-A347-E4EC3ACBE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A36FB"/>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sid w:val="00282D0F"/>
    <w:rPr>
      <w:color w:val="0563C1" w:themeColor="hyperlink"/>
      <w:u w:val="single"/>
    </w:rPr>
  </w:style>
  <w:style w:type="character" w:styleId="UnresolvedMention">
    <w:name w:val="Unresolved Mention"/>
    <w:basedOn w:val="DefaultParagraphFont"/>
    <w:uiPriority w:val="99"/>
    <w:semiHidden/>
    <w:unhideWhenUsed/>
    <w:rsid w:val="00282D0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NZGy0JtgwENZJpUpNzTywsxO0A==">CgMxLjA4AHIhMS1JbWRJaXk3UkUyNDNYRXVBeXNEeHhlN0l6a2pWU2Fx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970</Words>
  <Characters>5531</Characters>
  <Application>Microsoft Office Word</Application>
  <DocSecurity>0</DocSecurity>
  <Lines>46</Lines>
  <Paragraphs>12</Paragraphs>
  <ScaleCrop>false</ScaleCrop>
  <Company/>
  <LinksUpToDate>false</LinksUpToDate>
  <CharactersWithSpaces>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Romina Rodríguez Aliaga</dc:creator>
  <cp:lastModifiedBy>IMB</cp:lastModifiedBy>
  <cp:revision>12</cp:revision>
  <dcterms:created xsi:type="dcterms:W3CDTF">2025-02-28T15:47:00Z</dcterms:created>
  <dcterms:modified xsi:type="dcterms:W3CDTF">2025-03-31T10:29:00Z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0x0101009CE6099AD48D0E44AFF57334D0D6869B</vt:lpwstr>
  </property>
  <property fmtid="{D5CDD505-2E9C-101B-9397-08002B2CF9AE}" pid="3" name="MediaServiceImageTags">
    <vt:lpwstr/>
  </property>
</Properties>
</file>