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C4F" w14:textId="678CBFBF" w:rsidR="00B422EC" w:rsidRPr="00673119" w:rsidRDefault="0B9964EC" w:rsidP="4C31A228">
      <w:pPr>
        <w:pStyle w:val="MonthDayYear"/>
        <w:tabs>
          <w:tab w:val="left" w:pos="2469"/>
          <w:tab w:val="right" w:pos="9086"/>
        </w:tabs>
        <w:rPr>
          <w:lang w:val="pl-PL"/>
        </w:rPr>
      </w:pPr>
      <w:r w:rsidRPr="1481C9FA">
        <w:rPr>
          <w:lang w:val="pl-PL"/>
        </w:rPr>
        <w:t>8 maja</w:t>
      </w:r>
      <w:r w:rsidR="1C2E905C" w:rsidRPr="1481C9FA">
        <w:rPr>
          <w:lang w:val="pl-PL"/>
        </w:rPr>
        <w:t xml:space="preserve"> </w:t>
      </w:r>
      <w:r w:rsidR="0AD9E675" w:rsidRPr="1481C9FA">
        <w:rPr>
          <w:lang w:val="pl-PL"/>
        </w:rPr>
        <w:t>20</w:t>
      </w:r>
      <w:r w:rsidR="7B04B394" w:rsidRPr="1481C9FA">
        <w:rPr>
          <w:lang w:val="pl-PL"/>
        </w:rPr>
        <w:t>2</w:t>
      </w:r>
      <w:r w:rsidR="21A6E3DC" w:rsidRPr="1481C9FA">
        <w:rPr>
          <w:lang w:val="pl-PL"/>
        </w:rPr>
        <w:t>5</w:t>
      </w:r>
      <w:r w:rsidR="6377148D" w:rsidRPr="1481C9FA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3BE264EE" w14:textId="5E9D041B" w:rsidR="0107F9B8" w:rsidRDefault="56CCC460" w:rsidP="7D5A668B">
      <w:pPr>
        <w:rPr>
          <w:rStyle w:val="Headline"/>
          <w:b w:val="0"/>
          <w:bCs w:val="0"/>
          <w:sz w:val="22"/>
          <w:szCs w:val="22"/>
          <w:lang w:val="pl-PL"/>
        </w:rPr>
      </w:pPr>
      <w:r w:rsidRPr="1481C9FA">
        <w:rPr>
          <w:rStyle w:val="Headline"/>
          <w:b w:val="0"/>
          <w:bCs w:val="0"/>
          <w:sz w:val="22"/>
          <w:szCs w:val="22"/>
          <w:lang w:val="pl-PL"/>
        </w:rPr>
        <w:t>Firma odnotowuje d</w:t>
      </w:r>
      <w:r w:rsidR="0D88F564" w:rsidRPr="1481C9FA">
        <w:rPr>
          <w:rStyle w:val="Headline"/>
          <w:b w:val="0"/>
          <w:bCs w:val="0"/>
          <w:sz w:val="22"/>
          <w:szCs w:val="22"/>
          <w:lang w:val="pl-PL"/>
        </w:rPr>
        <w:t>alszy postęp w realizacji strategicznego planu rozwoju</w:t>
      </w:r>
    </w:p>
    <w:p w14:paraId="4C40951A" w14:textId="77777777" w:rsidR="00FE1833" w:rsidRDefault="00FE1833" w:rsidP="7D5A668B">
      <w:pPr>
        <w:rPr>
          <w:rStyle w:val="Headline"/>
          <w:sz w:val="22"/>
          <w:szCs w:val="22"/>
          <w:lang w:val="pl-PL"/>
        </w:rPr>
      </w:pPr>
      <w:bookmarkStart w:id="0" w:name="_Hlk138170390"/>
      <w:bookmarkEnd w:id="0"/>
    </w:p>
    <w:p w14:paraId="254511CD" w14:textId="1BEA585E" w:rsidR="38D8318A" w:rsidRDefault="446838AA" w:rsidP="7D5A668B">
      <w:pPr>
        <w:rPr>
          <w:rStyle w:val="Headline"/>
          <w:lang w:val="pl-PL"/>
        </w:rPr>
      </w:pPr>
      <w:r w:rsidRPr="1481C9FA">
        <w:rPr>
          <w:rStyle w:val="Headline"/>
          <w:lang w:val="pl-PL"/>
        </w:rPr>
        <w:t xml:space="preserve">Henkel </w:t>
      </w:r>
      <w:r w:rsidR="4B572453" w:rsidRPr="1481C9FA">
        <w:rPr>
          <w:rStyle w:val="Headline"/>
          <w:lang w:val="pl-PL"/>
        </w:rPr>
        <w:t xml:space="preserve">publikuje </w:t>
      </w:r>
      <w:r w:rsidRPr="1481C9FA">
        <w:rPr>
          <w:rStyle w:val="Headline"/>
          <w:lang w:val="pl-PL"/>
        </w:rPr>
        <w:t xml:space="preserve">wyniki sprzedaży </w:t>
      </w:r>
      <w:r w:rsidR="7A8D7EBE" w:rsidRPr="1481C9FA">
        <w:rPr>
          <w:rStyle w:val="Headline"/>
          <w:lang w:val="pl-PL"/>
        </w:rPr>
        <w:t xml:space="preserve">za pierwszy kwartał 2025 r. </w:t>
      </w:r>
      <w:r w:rsidRPr="1481C9FA">
        <w:rPr>
          <w:rStyle w:val="Headline"/>
          <w:lang w:val="pl-PL"/>
        </w:rPr>
        <w:t>zgodne z oczekiwaniami przy utrzymującej się silnej rentowności</w:t>
      </w:r>
    </w:p>
    <w:p w14:paraId="409BDC32" w14:textId="37F44B3F" w:rsidR="00101401" w:rsidRPr="009F3ABA" w:rsidRDefault="00101401" w:rsidP="00AC10A7">
      <w:pPr>
        <w:rPr>
          <w:rStyle w:val="Headline"/>
          <w:rFonts w:cs="Segoe UI"/>
          <w:sz w:val="22"/>
          <w:szCs w:val="22"/>
          <w:lang w:val="pl-PL"/>
        </w:rPr>
      </w:pPr>
    </w:p>
    <w:p w14:paraId="4FCC5E58" w14:textId="35AB405A" w:rsidR="00AC4183" w:rsidRDefault="446838AA" w:rsidP="1481C9FA">
      <w:pPr>
        <w:pStyle w:val="Akapitzlist"/>
        <w:numPr>
          <w:ilvl w:val="0"/>
          <w:numId w:val="2"/>
        </w:numPr>
        <w:rPr>
          <w:rFonts w:ascii="Segoe UI" w:eastAsia="Segoe UI" w:hAnsi="Segoe UI" w:cs="Segoe UI"/>
          <w:b/>
          <w:bCs/>
          <w:lang w:val="pl"/>
        </w:rPr>
      </w:pPr>
      <w:r w:rsidRPr="1481C9FA">
        <w:rPr>
          <w:rFonts w:ascii="Segoe UI" w:eastAsia="Segoe UI" w:hAnsi="Segoe UI" w:cs="Segoe UI"/>
          <w:b/>
          <w:bCs/>
          <w:lang w:val="pl"/>
        </w:rPr>
        <w:t xml:space="preserve">Przychody ze sprzedaży Grupy: około 5,2 mld euro; </w:t>
      </w:r>
      <w:r w:rsidR="009E2D0F">
        <w:rPr>
          <w:rFonts w:ascii="Segoe UI" w:eastAsia="Segoe UI" w:hAnsi="Segoe UI" w:cs="Segoe UI"/>
          <w:b/>
          <w:bCs/>
          <w:lang w:val="pl"/>
        </w:rPr>
        <w:t>wzrost organiczny:</w:t>
      </w:r>
      <w:r w:rsidRPr="1481C9FA">
        <w:rPr>
          <w:rFonts w:ascii="Segoe UI" w:eastAsia="Segoe UI" w:hAnsi="Segoe UI" w:cs="Segoe UI"/>
          <w:b/>
          <w:bCs/>
          <w:lang w:val="pl"/>
        </w:rPr>
        <w:t xml:space="preserve"> -1,0 procent</w:t>
      </w:r>
    </w:p>
    <w:p w14:paraId="1E0AE882" w14:textId="1E7C5A85" w:rsidR="00AC4183" w:rsidRDefault="0A1FC079" w:rsidP="1481C9FA">
      <w:pPr>
        <w:pStyle w:val="Akapitzlist"/>
        <w:numPr>
          <w:ilvl w:val="0"/>
          <w:numId w:val="2"/>
        </w:numPr>
        <w:spacing w:before="240" w:after="240"/>
        <w:rPr>
          <w:rFonts w:ascii="Segoe UI" w:eastAsia="Segoe UI" w:hAnsi="Segoe UI" w:cs="Segoe UI"/>
          <w:b/>
          <w:bCs/>
          <w:lang w:val="pl"/>
        </w:rPr>
      </w:pPr>
      <w:r w:rsidRPr="1481C9FA">
        <w:rPr>
          <w:rFonts w:ascii="Segoe UI" w:eastAsia="Segoe UI" w:hAnsi="Segoe UI" w:cs="Segoe UI"/>
          <w:b/>
          <w:bCs/>
          <w:lang w:val="pl"/>
        </w:rPr>
        <w:t>Sekto</w:t>
      </w:r>
      <w:r w:rsidR="142C3333" w:rsidRPr="1481C9FA">
        <w:rPr>
          <w:rFonts w:ascii="Segoe UI" w:eastAsia="Segoe UI" w:hAnsi="Segoe UI" w:cs="Segoe UI"/>
          <w:b/>
          <w:bCs/>
          <w:lang w:val="pl"/>
        </w:rPr>
        <w:t xml:space="preserve">r </w:t>
      </w:r>
      <w:proofErr w:type="spellStart"/>
      <w:r w:rsidR="446838AA" w:rsidRPr="1481C9FA">
        <w:rPr>
          <w:rFonts w:ascii="Segoe UI" w:eastAsia="Segoe UI" w:hAnsi="Segoe UI" w:cs="Segoe UI"/>
          <w:b/>
          <w:bCs/>
          <w:lang w:val="pl"/>
        </w:rPr>
        <w:t>Adhesive</w:t>
      </w:r>
      <w:proofErr w:type="spellEnd"/>
      <w:r w:rsidR="446838AA" w:rsidRPr="1481C9FA">
        <w:rPr>
          <w:rFonts w:ascii="Segoe UI" w:eastAsia="Segoe UI" w:hAnsi="Segoe UI" w:cs="Segoe UI"/>
          <w:b/>
          <w:bCs/>
          <w:lang w:val="pl"/>
        </w:rPr>
        <w:t xml:space="preserve"> Technologies: wzrost sprzedaży</w:t>
      </w:r>
      <w:r w:rsidR="009E2D0F">
        <w:rPr>
          <w:rFonts w:ascii="Segoe UI" w:eastAsia="Segoe UI" w:hAnsi="Segoe UI" w:cs="Segoe UI"/>
          <w:b/>
          <w:bCs/>
          <w:lang w:val="pl"/>
        </w:rPr>
        <w:t xml:space="preserve"> w ujęciu organicznym</w:t>
      </w:r>
      <w:r w:rsidR="446838AA" w:rsidRPr="1481C9FA">
        <w:rPr>
          <w:rFonts w:ascii="Segoe UI" w:eastAsia="Segoe UI" w:hAnsi="Segoe UI" w:cs="Segoe UI"/>
          <w:b/>
          <w:bCs/>
          <w:lang w:val="pl"/>
        </w:rPr>
        <w:t xml:space="preserve"> o 1,1</w:t>
      </w:r>
      <w:r w:rsidR="009E2D0F">
        <w:rPr>
          <w:rFonts w:ascii="Segoe UI" w:eastAsia="Segoe UI" w:hAnsi="Segoe UI" w:cs="Segoe UI"/>
          <w:b/>
          <w:bCs/>
          <w:lang w:val="pl"/>
        </w:rPr>
        <w:t xml:space="preserve">%, </w:t>
      </w:r>
      <w:r w:rsidR="446838AA" w:rsidRPr="1481C9FA">
        <w:rPr>
          <w:rFonts w:ascii="Segoe UI" w:eastAsia="Segoe UI" w:hAnsi="Segoe UI" w:cs="Segoe UI"/>
          <w:b/>
          <w:bCs/>
          <w:lang w:val="pl"/>
        </w:rPr>
        <w:t>z dodatnią dynamiką wolumenów pomimo trudnego otoczenia</w:t>
      </w:r>
    </w:p>
    <w:p w14:paraId="71DD9E67" w14:textId="349586AD" w:rsidR="00AC4183" w:rsidRDefault="4057FF5E" w:rsidP="1481C9FA">
      <w:pPr>
        <w:pStyle w:val="Akapitzlist"/>
        <w:numPr>
          <w:ilvl w:val="0"/>
          <w:numId w:val="2"/>
        </w:numPr>
        <w:spacing w:before="240" w:after="240"/>
        <w:rPr>
          <w:rFonts w:ascii="Segoe UI" w:eastAsia="Segoe UI" w:hAnsi="Segoe UI" w:cs="Segoe UI"/>
          <w:b/>
          <w:bCs/>
          <w:lang w:val="pl"/>
        </w:rPr>
      </w:pPr>
      <w:r w:rsidRPr="1481C9FA">
        <w:rPr>
          <w:rFonts w:ascii="Segoe UI" w:eastAsia="Segoe UI" w:hAnsi="Segoe UI" w:cs="Segoe UI"/>
          <w:b/>
          <w:bCs/>
          <w:lang w:val="pl"/>
        </w:rPr>
        <w:t>Sekto</w:t>
      </w:r>
      <w:r w:rsidR="774982D6" w:rsidRPr="1481C9FA">
        <w:rPr>
          <w:rFonts w:ascii="Segoe UI" w:eastAsia="Segoe UI" w:hAnsi="Segoe UI" w:cs="Segoe UI"/>
          <w:b/>
          <w:bCs/>
          <w:lang w:val="pl"/>
        </w:rPr>
        <w:t xml:space="preserve">r </w:t>
      </w:r>
      <w:r w:rsidR="446838AA" w:rsidRPr="1481C9FA">
        <w:rPr>
          <w:rFonts w:ascii="Segoe UI" w:eastAsia="Segoe UI" w:hAnsi="Segoe UI" w:cs="Segoe UI"/>
          <w:b/>
          <w:bCs/>
          <w:lang w:val="pl"/>
        </w:rPr>
        <w:t xml:space="preserve">Consumer </w:t>
      </w:r>
      <w:proofErr w:type="spellStart"/>
      <w:r w:rsidR="446838AA" w:rsidRPr="1481C9FA">
        <w:rPr>
          <w:rFonts w:ascii="Segoe UI" w:eastAsia="Segoe UI" w:hAnsi="Segoe UI" w:cs="Segoe UI"/>
          <w:b/>
          <w:bCs/>
          <w:lang w:val="pl"/>
        </w:rPr>
        <w:t>Brands</w:t>
      </w:r>
      <w:proofErr w:type="spellEnd"/>
      <w:r w:rsidR="446838AA" w:rsidRPr="1481C9FA">
        <w:rPr>
          <w:rFonts w:ascii="Segoe UI" w:eastAsia="Segoe UI" w:hAnsi="Segoe UI" w:cs="Segoe UI"/>
          <w:b/>
          <w:bCs/>
          <w:lang w:val="pl"/>
        </w:rPr>
        <w:t>: dynamika sprzedaży w ujęciu organicznym na poziomie -3,5</w:t>
      </w:r>
      <w:r w:rsidR="009E2D0F">
        <w:rPr>
          <w:rFonts w:ascii="Segoe UI" w:eastAsia="Segoe UI" w:hAnsi="Segoe UI" w:cs="Segoe UI"/>
          <w:b/>
          <w:bCs/>
          <w:lang w:val="pl"/>
        </w:rPr>
        <w:t>%</w:t>
      </w:r>
      <w:r w:rsidR="446838AA" w:rsidRPr="1481C9FA">
        <w:rPr>
          <w:rFonts w:ascii="Segoe UI" w:eastAsia="Segoe UI" w:hAnsi="Segoe UI" w:cs="Segoe UI"/>
          <w:b/>
          <w:bCs/>
          <w:lang w:val="pl"/>
        </w:rPr>
        <w:t>; wielkości sprzedaży pod wpływem osłabionego popytu konsumenckiego i wyzwań w łańcuchu dostaw</w:t>
      </w:r>
    </w:p>
    <w:p w14:paraId="3C4048BB" w14:textId="675C591C" w:rsidR="00AC4183" w:rsidRDefault="446838AA" w:rsidP="1481C9FA">
      <w:pPr>
        <w:pStyle w:val="Akapitzlist"/>
        <w:numPr>
          <w:ilvl w:val="0"/>
          <w:numId w:val="2"/>
        </w:numPr>
        <w:spacing w:before="240" w:after="240"/>
        <w:rPr>
          <w:rFonts w:ascii="Segoe UI" w:eastAsia="Segoe UI" w:hAnsi="Segoe UI" w:cs="Segoe UI"/>
          <w:b/>
          <w:bCs/>
          <w:lang w:val="pl"/>
        </w:rPr>
      </w:pPr>
      <w:r w:rsidRPr="1481C9FA">
        <w:rPr>
          <w:rFonts w:ascii="Segoe UI" w:eastAsia="Segoe UI" w:hAnsi="Segoe UI" w:cs="Segoe UI"/>
          <w:b/>
          <w:bCs/>
          <w:lang w:val="pl"/>
        </w:rPr>
        <w:t xml:space="preserve">Finalizacja sprzedaży działalności </w:t>
      </w:r>
      <w:r w:rsidR="6EF73E63" w:rsidRPr="1481C9FA">
        <w:rPr>
          <w:rFonts w:ascii="Segoe UI" w:eastAsia="Segoe UI" w:hAnsi="Segoe UI" w:cs="Segoe UI"/>
          <w:b/>
          <w:bCs/>
          <w:lang w:val="pl"/>
        </w:rPr>
        <w:t xml:space="preserve">obszaru </w:t>
      </w:r>
      <w:proofErr w:type="spellStart"/>
      <w:r w:rsidRPr="1481C9FA">
        <w:rPr>
          <w:rFonts w:ascii="Segoe UI" w:eastAsia="Segoe UI" w:hAnsi="Segoe UI" w:cs="Segoe UI"/>
          <w:b/>
          <w:bCs/>
          <w:lang w:val="pl"/>
        </w:rPr>
        <w:t>Retailer</w:t>
      </w:r>
      <w:proofErr w:type="spellEnd"/>
      <w:r w:rsidRPr="1481C9FA">
        <w:rPr>
          <w:rFonts w:ascii="Segoe UI" w:eastAsia="Segoe UI" w:hAnsi="Segoe UI" w:cs="Segoe UI"/>
          <w:b/>
          <w:bCs/>
          <w:lang w:val="pl"/>
        </w:rPr>
        <w:t xml:space="preserve"> </w:t>
      </w:r>
      <w:proofErr w:type="spellStart"/>
      <w:r w:rsidRPr="1481C9FA">
        <w:rPr>
          <w:rFonts w:ascii="Segoe UI" w:eastAsia="Segoe UI" w:hAnsi="Segoe UI" w:cs="Segoe UI"/>
          <w:b/>
          <w:bCs/>
          <w:lang w:val="pl"/>
        </w:rPr>
        <w:t>Brands</w:t>
      </w:r>
      <w:proofErr w:type="spellEnd"/>
      <w:r w:rsidRPr="1481C9FA">
        <w:rPr>
          <w:rFonts w:ascii="Segoe UI" w:eastAsia="Segoe UI" w:hAnsi="Segoe UI" w:cs="Segoe UI"/>
          <w:b/>
          <w:bCs/>
          <w:lang w:val="pl"/>
        </w:rPr>
        <w:t xml:space="preserve"> w Ameryce Północnej – zakończenie programu optymalizacji portfolio w sektorze Consumer </w:t>
      </w:r>
      <w:proofErr w:type="spellStart"/>
      <w:r w:rsidRPr="1481C9FA">
        <w:rPr>
          <w:rFonts w:ascii="Segoe UI" w:eastAsia="Segoe UI" w:hAnsi="Segoe UI" w:cs="Segoe UI"/>
          <w:b/>
          <w:bCs/>
          <w:lang w:val="pl"/>
        </w:rPr>
        <w:t>Brands</w:t>
      </w:r>
      <w:proofErr w:type="spellEnd"/>
    </w:p>
    <w:p w14:paraId="34D9DC62" w14:textId="0BEC3487" w:rsidR="00AC4183" w:rsidRDefault="446838AA" w:rsidP="1481C9FA">
      <w:pPr>
        <w:pStyle w:val="Akapitzlist"/>
        <w:numPr>
          <w:ilvl w:val="0"/>
          <w:numId w:val="2"/>
        </w:numPr>
        <w:spacing w:before="240" w:after="240"/>
        <w:rPr>
          <w:rFonts w:ascii="Segoe UI" w:eastAsia="Segoe UI" w:hAnsi="Segoe UI" w:cs="Segoe UI"/>
          <w:b/>
          <w:bCs/>
          <w:lang w:val="pl"/>
        </w:rPr>
      </w:pPr>
      <w:r w:rsidRPr="1481C9FA">
        <w:rPr>
          <w:rFonts w:ascii="Segoe UI" w:eastAsia="Segoe UI" w:hAnsi="Segoe UI" w:cs="Segoe UI"/>
          <w:b/>
          <w:bCs/>
          <w:lang w:val="pl"/>
        </w:rPr>
        <w:t xml:space="preserve">Prognoza na rok obrotowy 2025 </w:t>
      </w:r>
      <w:r w:rsidR="009E2D0F">
        <w:rPr>
          <w:rFonts w:ascii="Segoe UI" w:eastAsia="Segoe UI" w:hAnsi="Segoe UI" w:cs="Segoe UI"/>
          <w:b/>
          <w:bCs/>
          <w:lang w:val="pl"/>
        </w:rPr>
        <w:t xml:space="preserve">pozostaje </w:t>
      </w:r>
      <w:r w:rsidRPr="1481C9FA">
        <w:rPr>
          <w:rFonts w:ascii="Segoe UI" w:eastAsia="Segoe UI" w:hAnsi="Segoe UI" w:cs="Segoe UI"/>
          <w:b/>
          <w:bCs/>
          <w:lang w:val="pl"/>
        </w:rPr>
        <w:t xml:space="preserve">bez zmian mimo </w:t>
      </w:r>
      <w:r w:rsidR="009E2D0F">
        <w:rPr>
          <w:rFonts w:ascii="Segoe UI" w:eastAsia="Segoe UI" w:hAnsi="Segoe UI" w:cs="Segoe UI"/>
          <w:b/>
          <w:bCs/>
          <w:lang w:val="pl"/>
        </w:rPr>
        <w:t>wzrastającej zmienności rynkowej:</w:t>
      </w:r>
    </w:p>
    <w:p w14:paraId="5A296112" w14:textId="19833573" w:rsidR="00AC4183" w:rsidRDefault="446838AA" w:rsidP="1481C9FA">
      <w:pPr>
        <w:pStyle w:val="Akapitzlist"/>
        <w:numPr>
          <w:ilvl w:val="1"/>
          <w:numId w:val="2"/>
        </w:numPr>
        <w:spacing w:before="240" w:after="240"/>
        <w:rPr>
          <w:rFonts w:ascii="Segoe UI" w:eastAsia="Segoe UI" w:hAnsi="Segoe UI" w:cs="Segoe UI"/>
          <w:b/>
          <w:bCs/>
          <w:lang w:val="pl"/>
        </w:rPr>
      </w:pPr>
      <w:r w:rsidRPr="1481C9FA">
        <w:rPr>
          <w:rFonts w:ascii="Segoe UI" w:eastAsia="Segoe UI" w:hAnsi="Segoe UI" w:cs="Segoe UI"/>
          <w:b/>
          <w:bCs/>
          <w:lang w:val="pl"/>
        </w:rPr>
        <w:t xml:space="preserve">Wzrost </w:t>
      </w:r>
      <w:r w:rsidR="009E2D0F">
        <w:rPr>
          <w:rFonts w:ascii="Segoe UI" w:eastAsia="Segoe UI" w:hAnsi="Segoe UI" w:cs="Segoe UI"/>
          <w:b/>
          <w:bCs/>
          <w:lang w:val="pl"/>
        </w:rPr>
        <w:t>przychodów</w:t>
      </w:r>
      <w:r w:rsidRPr="1481C9FA">
        <w:rPr>
          <w:rFonts w:ascii="Segoe UI" w:eastAsia="Segoe UI" w:hAnsi="Segoe UI" w:cs="Segoe UI"/>
          <w:b/>
          <w:bCs/>
          <w:lang w:val="pl"/>
        </w:rPr>
        <w:t xml:space="preserve"> w ujęciu organicznym: 1,5 do 3,5 procent</w:t>
      </w:r>
    </w:p>
    <w:p w14:paraId="3081B804" w14:textId="378B34EB" w:rsidR="00AC4183" w:rsidRDefault="446838AA" w:rsidP="1481C9FA">
      <w:pPr>
        <w:pStyle w:val="Akapitzlist"/>
        <w:numPr>
          <w:ilvl w:val="1"/>
          <w:numId w:val="2"/>
        </w:numPr>
        <w:spacing w:before="240" w:after="240"/>
        <w:rPr>
          <w:rFonts w:ascii="Segoe UI" w:eastAsia="Segoe UI" w:hAnsi="Segoe UI" w:cs="Segoe UI"/>
          <w:b/>
          <w:bCs/>
          <w:lang w:val="pl"/>
        </w:rPr>
      </w:pPr>
      <w:r w:rsidRPr="1481C9FA">
        <w:rPr>
          <w:rFonts w:ascii="Segoe UI" w:eastAsia="Segoe UI" w:hAnsi="Segoe UI" w:cs="Segoe UI"/>
          <w:b/>
          <w:bCs/>
          <w:lang w:val="pl"/>
        </w:rPr>
        <w:t>Skorygowana rentowność sprzedaży: 14,0 do 15,5 procent</w:t>
      </w:r>
    </w:p>
    <w:p w14:paraId="674F1481" w14:textId="60EB52EC" w:rsidR="00AC4183" w:rsidRDefault="446838AA" w:rsidP="1481C9FA">
      <w:pPr>
        <w:pStyle w:val="Akapitzlist"/>
        <w:numPr>
          <w:ilvl w:val="1"/>
          <w:numId w:val="2"/>
        </w:numPr>
        <w:rPr>
          <w:rFonts w:ascii="Segoe UI" w:eastAsia="Segoe UI" w:hAnsi="Segoe UI" w:cs="Segoe UI"/>
          <w:b/>
          <w:bCs/>
          <w:lang w:val="pl"/>
        </w:rPr>
      </w:pPr>
      <w:r w:rsidRPr="1481C9FA">
        <w:rPr>
          <w:rFonts w:ascii="Segoe UI" w:eastAsia="Segoe UI" w:hAnsi="Segoe UI" w:cs="Segoe UI"/>
          <w:b/>
          <w:bCs/>
          <w:lang w:val="pl"/>
        </w:rPr>
        <w:t>Skorygowany zysk na akcję uprzywilejowaną (EPS): wzrost w przedziale od niskiego do wysokiego jednocyfrowego procentu (przy niezmienionych kursach walut)</w:t>
      </w:r>
    </w:p>
    <w:p w14:paraId="5A64BE1C" w14:textId="316E17A5" w:rsidR="7D5A668B" w:rsidRPr="00B0385D" w:rsidRDefault="5ECCD384" w:rsidP="1481C9FA">
      <w:pPr>
        <w:rPr>
          <w:rFonts w:cs="Segoe UI"/>
          <w:lang w:val="pl"/>
        </w:rPr>
      </w:pPr>
      <w:r w:rsidRPr="1481C9FA">
        <w:rPr>
          <w:rFonts w:cs="Segoe UI"/>
          <w:lang w:val="pl"/>
        </w:rPr>
        <w:t xml:space="preserve">Henkel odnotował skonsolidowane przychody ze sprzedaży na poziomie około 5,2 mld euro w pierwszym kwartale 2025 roku, w porównaniu do około 5,3 mld euro w analogicznym </w:t>
      </w:r>
      <w:r w:rsidR="57885653" w:rsidRPr="1481C9FA">
        <w:rPr>
          <w:rFonts w:cs="Segoe UI"/>
          <w:lang w:val="pl"/>
        </w:rPr>
        <w:t xml:space="preserve">okresie w </w:t>
      </w:r>
      <w:r w:rsidRPr="1481C9FA">
        <w:rPr>
          <w:rFonts w:cs="Segoe UI"/>
          <w:lang w:val="pl"/>
        </w:rPr>
        <w:t>ubiegł</w:t>
      </w:r>
      <w:r w:rsidR="517D2719" w:rsidRPr="1481C9FA">
        <w:rPr>
          <w:rFonts w:cs="Segoe UI"/>
          <w:lang w:val="pl"/>
        </w:rPr>
        <w:t>ym</w:t>
      </w:r>
      <w:r w:rsidRPr="1481C9FA">
        <w:rPr>
          <w:rFonts w:cs="Segoe UI"/>
          <w:lang w:val="pl"/>
        </w:rPr>
        <w:t xml:space="preserve"> roku. Sprzedaż w ujęciu organicznym spadła o 1 procent w stosunku do analogicznego kwartału ubiegłego roku</w:t>
      </w:r>
      <w:r w:rsidR="009E2D0F">
        <w:rPr>
          <w:rFonts w:cs="Segoe UI"/>
          <w:lang w:val="pl"/>
        </w:rPr>
        <w:t xml:space="preserve">, </w:t>
      </w:r>
      <w:r w:rsidRPr="1481C9FA">
        <w:rPr>
          <w:rFonts w:cs="Segoe UI"/>
          <w:lang w:val="pl"/>
        </w:rPr>
        <w:t xml:space="preserve">głównie </w:t>
      </w:r>
      <w:r w:rsidR="009E2D0F">
        <w:rPr>
          <w:rFonts w:cs="Segoe UI"/>
          <w:lang w:val="pl"/>
        </w:rPr>
        <w:t>w wyniku</w:t>
      </w:r>
      <w:r w:rsidRPr="1481C9FA">
        <w:rPr>
          <w:rFonts w:cs="Segoe UI"/>
          <w:lang w:val="pl"/>
        </w:rPr>
        <w:t xml:space="preserve"> trudne</w:t>
      </w:r>
      <w:r w:rsidR="009E2D0F">
        <w:rPr>
          <w:rFonts w:cs="Segoe UI"/>
          <w:lang w:val="pl"/>
        </w:rPr>
        <w:t>j sytuacji</w:t>
      </w:r>
      <w:r w:rsidRPr="1481C9FA">
        <w:rPr>
          <w:rFonts w:cs="Segoe UI"/>
          <w:lang w:val="pl"/>
        </w:rPr>
        <w:t xml:space="preserve"> geopolityczne</w:t>
      </w:r>
      <w:r w:rsidR="009E2D0F">
        <w:rPr>
          <w:rFonts w:cs="Segoe UI"/>
          <w:lang w:val="pl"/>
        </w:rPr>
        <w:t>j</w:t>
      </w:r>
      <w:r w:rsidRPr="1481C9FA">
        <w:rPr>
          <w:rFonts w:cs="Segoe UI"/>
          <w:lang w:val="pl"/>
        </w:rPr>
        <w:t xml:space="preserve"> i makroekonomiczne</w:t>
      </w:r>
      <w:r w:rsidR="009E2D0F">
        <w:rPr>
          <w:rFonts w:cs="Segoe UI"/>
          <w:lang w:val="pl"/>
        </w:rPr>
        <w:t>j</w:t>
      </w:r>
      <w:r w:rsidRPr="1481C9FA">
        <w:rPr>
          <w:rFonts w:cs="Segoe UI"/>
          <w:lang w:val="pl"/>
        </w:rPr>
        <w:t xml:space="preserve">. </w:t>
      </w:r>
      <w:r w:rsidR="00397BB2">
        <w:rPr>
          <w:rFonts w:cs="Segoe UI"/>
          <w:lang w:val="pl"/>
        </w:rPr>
        <w:t>Sytuacja ta wpłynęła z</w:t>
      </w:r>
      <w:r w:rsidRPr="1481C9FA">
        <w:rPr>
          <w:rFonts w:cs="Segoe UI"/>
          <w:lang w:val="pl"/>
        </w:rPr>
        <w:t xml:space="preserve">arówno na popyt, jak i nastroje konsumentów – szczególnie w Ameryce Północnej. Niemniej jednak sprzedaż w sektorze </w:t>
      </w:r>
      <w:proofErr w:type="spellStart"/>
      <w:r w:rsidRPr="1481C9FA">
        <w:rPr>
          <w:rFonts w:cs="Segoe UI"/>
          <w:lang w:val="pl"/>
        </w:rPr>
        <w:t>Adhesive</w:t>
      </w:r>
      <w:proofErr w:type="spellEnd"/>
      <w:r w:rsidRPr="1481C9FA">
        <w:rPr>
          <w:rFonts w:cs="Segoe UI"/>
          <w:lang w:val="pl"/>
        </w:rPr>
        <w:t xml:space="preserve"> Technologies wzrosła w ujęciu organicznym, przy zrównoważonej strukturze cen i wolumenów. Zgodnie z oczekiwaniami, sprzedaż w sektorze Consumer </w:t>
      </w:r>
      <w:proofErr w:type="spellStart"/>
      <w:r w:rsidRPr="1481C9FA">
        <w:rPr>
          <w:rFonts w:cs="Segoe UI"/>
          <w:lang w:val="pl"/>
        </w:rPr>
        <w:t>Brands</w:t>
      </w:r>
      <w:proofErr w:type="spellEnd"/>
      <w:r w:rsidRPr="1481C9FA">
        <w:rPr>
          <w:rFonts w:cs="Segoe UI"/>
          <w:lang w:val="pl"/>
        </w:rPr>
        <w:t xml:space="preserve"> była niższa niż w roku poprzednim, także z powodu wysokiej bazy porównawczej i wyzwań w łańcuchu dostaw. </w:t>
      </w:r>
    </w:p>
    <w:p w14:paraId="0062A977" w14:textId="4A1D3AB4" w:rsidR="1481C9FA" w:rsidRDefault="1481C9FA" w:rsidP="1481C9FA">
      <w:pPr>
        <w:rPr>
          <w:rFonts w:cs="Segoe UI"/>
          <w:lang w:val="pl"/>
        </w:rPr>
      </w:pPr>
    </w:p>
    <w:p w14:paraId="77210ED8" w14:textId="28C8FCD7" w:rsidR="13E06C38" w:rsidRPr="00B0385D" w:rsidRDefault="007C0085" w:rsidP="1481C9FA">
      <w:pPr>
        <w:rPr>
          <w:rFonts w:cs="Segoe UI"/>
          <w:lang w:val="pl"/>
        </w:rPr>
      </w:pPr>
      <w:r w:rsidRPr="1481C9FA">
        <w:rPr>
          <w:rFonts w:cs="Segoe UI"/>
          <w:i/>
          <w:iCs/>
          <w:lang w:val="pl"/>
        </w:rPr>
        <w:t xml:space="preserve">- </w:t>
      </w:r>
      <w:r w:rsidR="1C8FD530" w:rsidRPr="1481C9FA">
        <w:rPr>
          <w:rFonts w:cs="Segoe UI"/>
          <w:i/>
          <w:iCs/>
          <w:lang w:val="pl"/>
        </w:rPr>
        <w:t xml:space="preserve">Jak zapowiadaliśmy już w marcu przy okazji publikacji wyników rocznych za 2024 rok, początek nowego roku obrotowego był raczej stonowany pod względem sprzedaży. Jednocześnie nadal osiągamy silne marże brutto i marże EBIT, a także konsekwentnie i skutecznie realizujemy nasz strategiczny plan rozwoju. Zakończyliśmy zbywanie działalności </w:t>
      </w:r>
      <w:r w:rsidR="787C2DE5" w:rsidRPr="1481C9FA">
        <w:rPr>
          <w:rFonts w:cs="Segoe UI"/>
          <w:i/>
          <w:iCs/>
          <w:lang w:val="pl"/>
        </w:rPr>
        <w:t xml:space="preserve">obszaru </w:t>
      </w:r>
      <w:proofErr w:type="spellStart"/>
      <w:r w:rsidR="1C8FD530" w:rsidRPr="1481C9FA">
        <w:rPr>
          <w:rFonts w:cs="Segoe UI"/>
          <w:i/>
          <w:iCs/>
          <w:lang w:val="pl"/>
        </w:rPr>
        <w:t>Retailer</w:t>
      </w:r>
      <w:proofErr w:type="spellEnd"/>
      <w:r w:rsidR="1C8FD530" w:rsidRPr="1481C9FA">
        <w:rPr>
          <w:rFonts w:cs="Segoe UI"/>
          <w:i/>
          <w:iCs/>
          <w:lang w:val="pl"/>
        </w:rPr>
        <w:t xml:space="preserve"> </w:t>
      </w:r>
      <w:proofErr w:type="spellStart"/>
      <w:r w:rsidR="1C8FD530" w:rsidRPr="1481C9FA">
        <w:rPr>
          <w:rFonts w:cs="Segoe UI"/>
          <w:i/>
          <w:iCs/>
          <w:lang w:val="pl"/>
        </w:rPr>
        <w:t>Brands</w:t>
      </w:r>
      <w:proofErr w:type="spellEnd"/>
      <w:r w:rsidR="1C8FD530" w:rsidRPr="1481C9FA">
        <w:rPr>
          <w:rFonts w:cs="Segoe UI"/>
          <w:i/>
          <w:iCs/>
          <w:lang w:val="pl"/>
        </w:rPr>
        <w:t xml:space="preserve"> w Ameryce Północnej wcześniej niż przewidywano, zamykając tym samym program optymalizacji portfolio w naszym sektorze biznesowym Consumer </w:t>
      </w:r>
      <w:proofErr w:type="spellStart"/>
      <w:r w:rsidR="1C8FD530" w:rsidRPr="1481C9FA">
        <w:rPr>
          <w:rFonts w:cs="Segoe UI"/>
          <w:i/>
          <w:iCs/>
          <w:lang w:val="pl"/>
        </w:rPr>
        <w:t>Brands</w:t>
      </w:r>
      <w:proofErr w:type="spellEnd"/>
      <w:r w:rsidR="1C8FD530" w:rsidRPr="1481C9FA">
        <w:rPr>
          <w:rFonts w:cs="Segoe UI"/>
          <w:i/>
          <w:iCs/>
          <w:lang w:val="pl"/>
        </w:rPr>
        <w:t xml:space="preserve">, ogłoszony na początku 2022 roku. Oznacza to, że możemy teraz skupić całą uwagę na rozwijaniu naszej działalności w obszarze </w:t>
      </w:r>
      <w:r w:rsidR="00397BB2">
        <w:rPr>
          <w:rFonts w:cs="Segoe UI"/>
          <w:i/>
          <w:iCs/>
          <w:lang w:val="pl"/>
        </w:rPr>
        <w:t>produktów konsumenckich</w:t>
      </w:r>
      <w:r w:rsidR="1C8FD530" w:rsidRPr="1481C9FA">
        <w:rPr>
          <w:rFonts w:cs="Segoe UI"/>
          <w:i/>
          <w:iCs/>
          <w:lang w:val="pl"/>
        </w:rPr>
        <w:t xml:space="preserve"> poprzez innowacje oparte na technologiach oferujących istotną wartość dodaną dla konsumentów </w:t>
      </w:r>
      <w:r w:rsidR="1C8FD530" w:rsidRPr="1481C9FA">
        <w:rPr>
          <w:rFonts w:cs="Segoe UI"/>
          <w:lang w:val="pl"/>
        </w:rPr>
        <w:t xml:space="preserve">– powiedział </w:t>
      </w:r>
      <w:proofErr w:type="spellStart"/>
      <w:r w:rsidR="1C8FD530" w:rsidRPr="1481C9FA">
        <w:rPr>
          <w:rFonts w:cs="Segoe UI"/>
          <w:lang w:val="pl"/>
        </w:rPr>
        <w:t>Carsten</w:t>
      </w:r>
      <w:proofErr w:type="spellEnd"/>
      <w:r w:rsidR="1C8FD530" w:rsidRPr="1481C9FA">
        <w:rPr>
          <w:rFonts w:cs="Segoe UI"/>
          <w:lang w:val="pl"/>
        </w:rPr>
        <w:t xml:space="preserve"> </w:t>
      </w:r>
      <w:proofErr w:type="spellStart"/>
      <w:r w:rsidR="1C8FD530" w:rsidRPr="1481C9FA">
        <w:rPr>
          <w:rFonts w:cs="Segoe UI"/>
          <w:lang w:val="pl"/>
        </w:rPr>
        <w:t>Knobel</w:t>
      </w:r>
      <w:proofErr w:type="spellEnd"/>
      <w:r w:rsidR="1C8FD530" w:rsidRPr="1481C9FA">
        <w:rPr>
          <w:rFonts w:cs="Segoe UI"/>
          <w:lang w:val="pl"/>
        </w:rPr>
        <w:t>, prezes zarządu Henkel.</w:t>
      </w:r>
    </w:p>
    <w:p w14:paraId="4402BD92" w14:textId="0CE532EF" w:rsidR="13E06C38" w:rsidRPr="00B0385D" w:rsidRDefault="1C8FD530" w:rsidP="1481C9FA">
      <w:pPr>
        <w:rPr>
          <w:rFonts w:cs="Segoe UI"/>
          <w:i/>
          <w:iCs/>
          <w:lang w:val="pl"/>
        </w:rPr>
      </w:pPr>
      <w:r w:rsidRPr="1481C9FA">
        <w:rPr>
          <w:rFonts w:cs="Segoe UI"/>
          <w:i/>
          <w:iCs/>
          <w:lang w:val="pl"/>
        </w:rPr>
        <w:t xml:space="preserve"> </w:t>
      </w:r>
    </w:p>
    <w:p w14:paraId="386E9816" w14:textId="7B2A14BD" w:rsidR="13E06C38" w:rsidRPr="00B0385D" w:rsidRDefault="1C8FD530" w:rsidP="1481C9FA">
      <w:pPr>
        <w:rPr>
          <w:rFonts w:cs="Segoe UI"/>
          <w:lang w:val="pl"/>
        </w:rPr>
      </w:pPr>
      <w:r w:rsidRPr="1481C9FA">
        <w:rPr>
          <w:rFonts w:cs="Segoe UI"/>
          <w:i/>
          <w:iCs/>
          <w:lang w:val="pl"/>
        </w:rPr>
        <w:t>- Od początku roku znacząco wzrosła zmienność i niepewność na światowych rynkach. Cele wyznaczone na obecny rok obrotowy pozostają niezmienione i nadal oczekujemy dalszego wzrostu organicznego sprzedaży oraz stopniowej poprawy zysków w 2025 roku. W dalszym ciągu spodziewamy się silniejszej drugiej połowy roku, do czego przyczynią się również nasze innowacje, które wprowadzimy na rynek przy wsparciu kontynuowanych inwestycji w nasze marki. Jednocześnie oczekujemy utrzymania silnych marż brutto i marż EBIT. Wyniki osiągnięte w pierwszych trzech miesiącach bieżącego roku obrotowego pokazują, że zmierzamy we właściwym kierunku. To dowód na to, że mamy jasną i konsekwentnie wdrażaną strategię oraz realizujemy nasze zobowiązania.</w:t>
      </w:r>
    </w:p>
    <w:p w14:paraId="204F7091" w14:textId="43DD28C1" w:rsidR="13E06C38" w:rsidRPr="00A36941" w:rsidRDefault="13E06C38" w:rsidP="1481C9FA">
      <w:pPr>
        <w:rPr>
          <w:rFonts w:cs="Segoe UI"/>
          <w:lang w:val="pl"/>
        </w:rPr>
      </w:pPr>
    </w:p>
    <w:p w14:paraId="2F15DC0F" w14:textId="1285A396" w:rsidR="1C8FD530" w:rsidRDefault="1C8FD530" w:rsidP="1481C9FA">
      <w:pPr>
        <w:rPr>
          <w:rFonts w:cs="Segoe UI"/>
          <w:lang w:val="pl"/>
        </w:rPr>
      </w:pPr>
      <w:r w:rsidRPr="1481C9FA">
        <w:rPr>
          <w:rFonts w:cs="Segoe UI"/>
          <w:lang w:val="pl"/>
        </w:rPr>
        <w:t xml:space="preserve">Dodatnia dynamika sprzedaży w ujęciu organicznym w sektorze biznesowym </w:t>
      </w:r>
      <w:proofErr w:type="spellStart"/>
      <w:r w:rsidRPr="1481C9FA">
        <w:rPr>
          <w:rFonts w:cs="Segoe UI"/>
          <w:b/>
          <w:bCs/>
          <w:lang w:val="pl"/>
        </w:rPr>
        <w:t>Adhesive</w:t>
      </w:r>
      <w:proofErr w:type="spellEnd"/>
      <w:r w:rsidRPr="1481C9FA">
        <w:rPr>
          <w:rFonts w:cs="Segoe UI"/>
          <w:b/>
          <w:bCs/>
          <w:lang w:val="pl"/>
        </w:rPr>
        <w:t xml:space="preserve"> Technologies </w:t>
      </w:r>
      <w:r w:rsidRPr="1481C9FA">
        <w:rPr>
          <w:rFonts w:cs="Segoe UI"/>
          <w:lang w:val="pl"/>
        </w:rPr>
        <w:t xml:space="preserve">w pierwszym kwartale była napędzana głównie przez silny wzrost w obszarze biznesowym </w:t>
      </w:r>
      <w:proofErr w:type="spellStart"/>
      <w:r w:rsidRPr="1481C9FA">
        <w:rPr>
          <w:rFonts w:cs="Segoe UI"/>
          <w:lang w:val="pl"/>
        </w:rPr>
        <w:t>Mobility</w:t>
      </w:r>
      <w:proofErr w:type="spellEnd"/>
      <w:r w:rsidRPr="1481C9FA">
        <w:rPr>
          <w:rFonts w:cs="Segoe UI"/>
          <w:lang w:val="pl"/>
        </w:rPr>
        <w:t xml:space="preserve"> &amp; Electronics (produkty dla branży mobilności i elektroniki). Spadek sprzedaży w ujęciu organicznym w sektorze biznesowym </w:t>
      </w:r>
      <w:r w:rsidRPr="1481C9FA">
        <w:rPr>
          <w:rFonts w:cs="Segoe UI"/>
          <w:b/>
          <w:bCs/>
          <w:lang w:val="pl"/>
        </w:rPr>
        <w:t xml:space="preserve">Consumer </w:t>
      </w:r>
      <w:proofErr w:type="spellStart"/>
      <w:r w:rsidRPr="1481C9FA">
        <w:rPr>
          <w:rFonts w:cs="Segoe UI"/>
          <w:b/>
          <w:bCs/>
          <w:lang w:val="pl"/>
        </w:rPr>
        <w:t>Brands</w:t>
      </w:r>
      <w:proofErr w:type="spellEnd"/>
      <w:r w:rsidRPr="1481C9FA">
        <w:rPr>
          <w:rFonts w:cs="Segoe UI"/>
          <w:lang w:val="pl"/>
        </w:rPr>
        <w:t xml:space="preserve"> wynikał w szczególności z osłabionych nastrojów konsumenckich, zmniejszania stanów magazynowych przez klientów oraz wyzwań w łańcuchu dostaw.</w:t>
      </w:r>
    </w:p>
    <w:p w14:paraId="669B945F" w14:textId="165F0628" w:rsidR="1481C9FA" w:rsidRDefault="1481C9FA" w:rsidP="1481C9FA">
      <w:pPr>
        <w:rPr>
          <w:rFonts w:cs="Segoe UI"/>
          <w:lang w:val="pl"/>
        </w:rPr>
      </w:pPr>
    </w:p>
    <w:p w14:paraId="17C3835C" w14:textId="0BE5ADC0" w:rsidR="102947FD" w:rsidRDefault="102947FD" w:rsidP="1481C9FA">
      <w:pPr>
        <w:rPr>
          <w:rFonts w:cs="Segoe UI"/>
          <w:b/>
          <w:bCs/>
          <w:lang w:val="pl"/>
        </w:rPr>
      </w:pPr>
      <w:r w:rsidRPr="1481C9FA">
        <w:rPr>
          <w:rFonts w:cs="Segoe UI"/>
          <w:b/>
          <w:bCs/>
          <w:lang w:val="pl"/>
        </w:rPr>
        <w:t>Wyniki sprzedaży Grupy</w:t>
      </w:r>
    </w:p>
    <w:p w14:paraId="53304C29" w14:textId="534F9850" w:rsidR="13E06C38" w:rsidRPr="00A36941" w:rsidRDefault="102947FD" w:rsidP="1481C9FA">
      <w:pPr>
        <w:rPr>
          <w:lang w:val="pl-PL"/>
        </w:rPr>
      </w:pPr>
      <w:r w:rsidRPr="1481C9FA">
        <w:rPr>
          <w:rFonts w:cs="Segoe UI"/>
          <w:b/>
          <w:bCs/>
          <w:lang w:val="pl"/>
        </w:rPr>
        <w:t>Przychody ze sprzedaży Grupy w pierwszym kwartale 2025 roku</w:t>
      </w:r>
      <w:r w:rsidRPr="1481C9FA">
        <w:rPr>
          <w:rFonts w:cs="Segoe UI"/>
          <w:lang w:val="pl"/>
        </w:rPr>
        <w:t xml:space="preserve"> wyniosły 5</w:t>
      </w:r>
      <w:r w:rsidR="189CBADC" w:rsidRPr="1481C9FA">
        <w:rPr>
          <w:rFonts w:cs="Segoe UI"/>
          <w:lang w:val="pl"/>
        </w:rPr>
        <w:t>,</w:t>
      </w:r>
      <w:r w:rsidRPr="1481C9FA">
        <w:rPr>
          <w:rFonts w:cs="Segoe UI"/>
          <w:lang w:val="pl"/>
        </w:rPr>
        <w:t xml:space="preserve">2 mln euro, co oznacza </w:t>
      </w:r>
      <w:r w:rsidRPr="1481C9FA">
        <w:rPr>
          <w:rFonts w:cs="Segoe UI"/>
          <w:b/>
          <w:bCs/>
          <w:lang w:val="pl"/>
        </w:rPr>
        <w:t>spadek w ujęciu nominalnym</w:t>
      </w:r>
      <w:r w:rsidRPr="1481C9FA">
        <w:rPr>
          <w:rFonts w:cs="Segoe UI"/>
          <w:lang w:val="pl"/>
        </w:rPr>
        <w:t xml:space="preserve"> o 1,4 procent w porównaniu z analogicznym kwartałem roku poprzedniego (5</w:t>
      </w:r>
      <w:r w:rsidR="327CC0CF" w:rsidRPr="1481C9FA">
        <w:rPr>
          <w:rFonts w:cs="Segoe UI"/>
          <w:lang w:val="pl"/>
        </w:rPr>
        <w:t>,</w:t>
      </w:r>
      <w:r w:rsidRPr="1481C9FA">
        <w:rPr>
          <w:rFonts w:cs="Segoe UI"/>
          <w:lang w:val="pl"/>
        </w:rPr>
        <w:t xml:space="preserve">3 mln euro). </w:t>
      </w:r>
      <w:r w:rsidRPr="1481C9FA">
        <w:rPr>
          <w:rFonts w:cs="Segoe UI"/>
          <w:b/>
          <w:bCs/>
          <w:lang w:val="pl"/>
        </w:rPr>
        <w:t>W ujęciu organicznym</w:t>
      </w:r>
      <w:r w:rsidRPr="1481C9FA">
        <w:rPr>
          <w:rFonts w:cs="Segoe UI"/>
          <w:lang w:val="pl"/>
        </w:rPr>
        <w:t xml:space="preserve"> (tj. po korekcie o wpływ różnic kursowych oraz transakcji przejęć/zbycia aktywów) sprzedaż zmniejszyła się o 1,0 procent. Taki wynik był oczekiwany i odzwierciedla obecne trudne geopolityczne i makroekonomiczne otoczenie, które wpływa zarówno na popyt przemysłowy, jak i nastroje konsumentów – szczególnie w Ameryce Północnej. Choć dynamikę sprzedaży na poziomie Grupy w ujęciu organicznym wspierał dodatni komponent cenowy, wielkości sprzedaży były niższe niż w roku poprzednim. Transakcje przejęć i zbycia aktywów przyczyniły się do wzrostu sprzedaży o 1,1 </w:t>
      </w:r>
      <w:r w:rsidRPr="1481C9FA">
        <w:rPr>
          <w:rFonts w:cs="Segoe UI"/>
          <w:lang w:val="pl"/>
        </w:rPr>
        <w:lastRenderedPageBreak/>
        <w:t>procent. Z kolei różnice kursowe miały negatywny wpływ na wyniki sprzedaży wynoszący -1,4 procent.</w:t>
      </w:r>
    </w:p>
    <w:p w14:paraId="05E5C9A0" w14:textId="2A2E2FEE" w:rsidR="13E06C38" w:rsidRPr="009E2D0F" w:rsidRDefault="102947FD" w:rsidP="1481C9FA">
      <w:pPr>
        <w:rPr>
          <w:lang w:val="pl-PL"/>
        </w:rPr>
      </w:pPr>
      <w:r w:rsidRPr="1481C9FA">
        <w:rPr>
          <w:rFonts w:cs="Segoe UI"/>
          <w:lang w:val="pl"/>
        </w:rPr>
        <w:t xml:space="preserve"> </w:t>
      </w:r>
    </w:p>
    <w:p w14:paraId="05920779" w14:textId="17F9E358" w:rsidR="13E06C38" w:rsidRPr="00A36941" w:rsidRDefault="102947FD" w:rsidP="1481C9FA">
      <w:pPr>
        <w:rPr>
          <w:rFonts w:cs="Segoe UI"/>
          <w:lang w:val="pl"/>
        </w:rPr>
      </w:pPr>
      <w:r w:rsidRPr="1481C9FA">
        <w:rPr>
          <w:rFonts w:cs="Segoe UI"/>
          <w:lang w:val="pl"/>
        </w:rPr>
        <w:t xml:space="preserve">Wzrost sprzedaży w ujęciu organicznym w regionie </w:t>
      </w:r>
      <w:r w:rsidRPr="1481C9FA">
        <w:rPr>
          <w:rFonts w:cs="Segoe UI"/>
          <w:b/>
          <w:bCs/>
          <w:lang w:val="pl"/>
        </w:rPr>
        <w:t xml:space="preserve">Europy </w:t>
      </w:r>
      <w:r w:rsidRPr="1481C9FA">
        <w:rPr>
          <w:rFonts w:cs="Segoe UI"/>
          <w:lang w:val="pl"/>
        </w:rPr>
        <w:t xml:space="preserve">wyniósł w pierwszym kwartale -2,0 procent. </w:t>
      </w:r>
      <w:r w:rsidRPr="1481C9FA">
        <w:rPr>
          <w:rFonts w:cs="Segoe UI"/>
          <w:b/>
          <w:bCs/>
          <w:lang w:val="pl"/>
        </w:rPr>
        <w:t>W regionie IMEA</w:t>
      </w:r>
      <w:r w:rsidRPr="1481C9FA">
        <w:rPr>
          <w:rFonts w:cs="Segoe UI"/>
          <w:lang w:val="pl"/>
        </w:rPr>
        <w:t xml:space="preserve"> (Indie, Bliski Wschód i Afryka) sprzedaż wzrosła w ujęciu organicznym o 4,6 procent. </w:t>
      </w:r>
      <w:r w:rsidRPr="1481C9FA">
        <w:rPr>
          <w:rFonts w:cs="Segoe UI"/>
          <w:b/>
          <w:bCs/>
          <w:lang w:val="pl"/>
        </w:rPr>
        <w:t>W Ameryce Północnej</w:t>
      </w:r>
      <w:r w:rsidRPr="1481C9FA">
        <w:rPr>
          <w:rFonts w:cs="Segoe UI"/>
          <w:lang w:val="pl"/>
        </w:rPr>
        <w:t xml:space="preserve"> dynamika sprzedaży w ujęciu organicznym była ujemna i wyniosła -5,6 procent. </w:t>
      </w:r>
      <w:r w:rsidRPr="1481C9FA">
        <w:rPr>
          <w:rFonts w:cs="Segoe UI"/>
          <w:b/>
          <w:bCs/>
          <w:lang w:val="pl"/>
        </w:rPr>
        <w:t>W Ameryce Łacińskiej</w:t>
      </w:r>
      <w:r w:rsidRPr="1481C9FA">
        <w:rPr>
          <w:rFonts w:cs="Segoe UI"/>
          <w:lang w:val="pl"/>
        </w:rPr>
        <w:t xml:space="preserve"> wzrost sprzedaży w ujęciu organicznym był o 1,5 procent wyższy niż w analogicznym kwartale roku poprzedniego. </w:t>
      </w:r>
      <w:r w:rsidRPr="1481C9FA">
        <w:rPr>
          <w:rFonts w:cs="Segoe UI"/>
          <w:b/>
          <w:bCs/>
          <w:lang w:val="pl"/>
        </w:rPr>
        <w:t>Region Azji i Pacyfiku</w:t>
      </w:r>
      <w:r w:rsidRPr="1481C9FA">
        <w:rPr>
          <w:rFonts w:cs="Segoe UI"/>
          <w:lang w:val="pl"/>
        </w:rPr>
        <w:t xml:space="preserve"> osiągnął wzrost sprzedaży w ujęciu organicznym na poziomie 3,6 procent. </w:t>
      </w:r>
    </w:p>
    <w:p w14:paraId="2965630F" w14:textId="4C8DF428" w:rsidR="13E06C38" w:rsidRPr="00A36941" w:rsidRDefault="13E06C38" w:rsidP="1481C9FA">
      <w:pPr>
        <w:rPr>
          <w:rFonts w:cs="Segoe UI"/>
          <w:lang w:val="pl"/>
        </w:rPr>
      </w:pPr>
    </w:p>
    <w:p w14:paraId="5DF5D1AE" w14:textId="226FED01" w:rsidR="3BC4F25A" w:rsidRDefault="086BC535" w:rsidP="7D5A668B">
      <w:pPr>
        <w:rPr>
          <w:rFonts w:cs="Segoe UI"/>
          <w:b/>
          <w:bCs/>
          <w:lang w:val="pl"/>
        </w:rPr>
      </w:pPr>
      <w:r w:rsidRPr="1481C9FA">
        <w:rPr>
          <w:rFonts w:cs="Segoe UI"/>
          <w:b/>
          <w:bCs/>
          <w:lang w:val="pl"/>
        </w:rPr>
        <w:t xml:space="preserve">Wyniki sprzedaży sektora biznesowego </w:t>
      </w:r>
      <w:proofErr w:type="spellStart"/>
      <w:r w:rsidRPr="1481C9FA">
        <w:rPr>
          <w:rFonts w:cs="Segoe UI"/>
          <w:b/>
          <w:bCs/>
          <w:lang w:val="pl"/>
        </w:rPr>
        <w:t>Adhesive</w:t>
      </w:r>
      <w:proofErr w:type="spellEnd"/>
      <w:r w:rsidRPr="1481C9FA">
        <w:rPr>
          <w:rFonts w:cs="Segoe UI"/>
          <w:b/>
          <w:bCs/>
          <w:lang w:val="pl"/>
        </w:rPr>
        <w:t xml:space="preserve"> Technologies</w:t>
      </w:r>
    </w:p>
    <w:p w14:paraId="684FE892" w14:textId="101B5E6A" w:rsidR="13E06C38" w:rsidRPr="00A36941" w:rsidRDefault="086BC535" w:rsidP="1481C9FA">
      <w:pPr>
        <w:rPr>
          <w:rFonts w:cs="Segoe UI"/>
          <w:lang w:val="pl"/>
        </w:rPr>
      </w:pPr>
      <w:r w:rsidRPr="1481C9FA">
        <w:rPr>
          <w:rFonts w:cs="Segoe UI"/>
          <w:lang w:val="pl"/>
        </w:rPr>
        <w:t xml:space="preserve">Sektor biznesowy </w:t>
      </w:r>
      <w:proofErr w:type="spellStart"/>
      <w:r w:rsidRPr="1481C9FA">
        <w:rPr>
          <w:rFonts w:cs="Segoe UI"/>
          <w:lang w:val="pl"/>
        </w:rPr>
        <w:t>Adhesive</w:t>
      </w:r>
      <w:proofErr w:type="spellEnd"/>
      <w:r w:rsidRPr="1481C9FA">
        <w:rPr>
          <w:rFonts w:cs="Segoe UI"/>
          <w:lang w:val="pl"/>
        </w:rPr>
        <w:t xml:space="preserve"> Technologies wypracował </w:t>
      </w:r>
      <w:r w:rsidRPr="1481C9FA">
        <w:rPr>
          <w:rFonts w:cs="Segoe UI"/>
          <w:b/>
          <w:bCs/>
          <w:lang w:val="pl"/>
        </w:rPr>
        <w:t>w pierwszym kwartale 2025 roku</w:t>
      </w:r>
      <w:r w:rsidR="00B1351A">
        <w:rPr>
          <w:rFonts w:cs="Segoe UI"/>
          <w:lang w:val="pl"/>
        </w:rPr>
        <w:t xml:space="preserve"> </w:t>
      </w:r>
      <w:r w:rsidRPr="1481C9FA">
        <w:rPr>
          <w:rFonts w:cs="Segoe UI"/>
          <w:b/>
          <w:bCs/>
          <w:lang w:val="pl"/>
        </w:rPr>
        <w:t>przychody ze sprzedaży</w:t>
      </w:r>
      <w:r w:rsidRPr="1481C9FA">
        <w:rPr>
          <w:rFonts w:cs="Segoe UI"/>
          <w:lang w:val="pl"/>
        </w:rPr>
        <w:t xml:space="preserve"> w wysokości 2</w:t>
      </w:r>
      <w:r w:rsidR="68528F27" w:rsidRPr="1481C9FA">
        <w:rPr>
          <w:rFonts w:cs="Segoe UI"/>
          <w:lang w:val="pl"/>
        </w:rPr>
        <w:t>,</w:t>
      </w:r>
      <w:r w:rsidRPr="1481C9FA">
        <w:rPr>
          <w:rFonts w:cs="Segoe UI"/>
          <w:lang w:val="pl"/>
        </w:rPr>
        <w:t xml:space="preserve">7 mln euro, co oznacza wzrost </w:t>
      </w:r>
      <w:r w:rsidRPr="1481C9FA">
        <w:rPr>
          <w:rFonts w:cs="Segoe UI"/>
          <w:b/>
          <w:bCs/>
          <w:lang w:val="pl"/>
        </w:rPr>
        <w:t>w ujęciu nominalnym</w:t>
      </w:r>
      <w:r w:rsidRPr="1481C9FA">
        <w:rPr>
          <w:rFonts w:cs="Segoe UI"/>
          <w:lang w:val="pl"/>
        </w:rPr>
        <w:t xml:space="preserve"> o 1,4 procent w porównaniu z analogicznym kwartałem roku poprzedniego (2</w:t>
      </w:r>
      <w:r w:rsidR="2F99C0B9" w:rsidRPr="1481C9FA">
        <w:rPr>
          <w:rFonts w:cs="Segoe UI"/>
          <w:lang w:val="pl"/>
        </w:rPr>
        <w:t>,68</w:t>
      </w:r>
      <w:r w:rsidRPr="1481C9FA">
        <w:rPr>
          <w:rFonts w:cs="Segoe UI"/>
          <w:lang w:val="pl"/>
        </w:rPr>
        <w:t xml:space="preserve"> mln euro). </w:t>
      </w:r>
      <w:r w:rsidRPr="1481C9FA">
        <w:rPr>
          <w:rFonts w:cs="Segoe UI"/>
          <w:b/>
          <w:bCs/>
          <w:lang w:val="pl"/>
        </w:rPr>
        <w:t>W ujęciu organicznym</w:t>
      </w:r>
      <w:r w:rsidRPr="1481C9FA">
        <w:rPr>
          <w:rFonts w:cs="Segoe UI"/>
          <w:lang w:val="pl"/>
        </w:rPr>
        <w:t xml:space="preserve"> (tj. po korekcie o wpływ różnic kursowych oraz transakcji przejęć/zbycia aktywów) sprzedaż zwiększyła się o 1,1 procent w porównaniu z pierwszym kwartałem 2024 roku. Zarówno ceny, jak i wielkości sprzedaży wykazały dodatnią dynamikę. Różnice kursowe obniżyły sprzedaż o 1,0 procent. Transakcje przejęć/zbycia aktywów miały pozytywny wpływ na poziomie 1,3 procent.</w:t>
      </w:r>
    </w:p>
    <w:p w14:paraId="2B64782B" w14:textId="39D756E8" w:rsidR="13E06C38" w:rsidRPr="00A36941" w:rsidRDefault="086BC535" w:rsidP="1481C9FA">
      <w:pPr>
        <w:rPr>
          <w:rFonts w:cs="Segoe UI"/>
          <w:lang w:val="pl"/>
        </w:rPr>
      </w:pPr>
      <w:r w:rsidRPr="1481C9FA">
        <w:rPr>
          <w:rFonts w:cs="Segoe UI"/>
          <w:lang w:val="pl"/>
        </w:rPr>
        <w:t xml:space="preserve"> </w:t>
      </w:r>
    </w:p>
    <w:p w14:paraId="2F2EAE0A" w14:textId="16501FED" w:rsidR="13E06C38" w:rsidRPr="00A36941" w:rsidRDefault="086BC535" w:rsidP="1481C9FA">
      <w:pPr>
        <w:rPr>
          <w:rFonts w:cs="Segoe UI"/>
          <w:lang w:val="pl"/>
        </w:rPr>
      </w:pPr>
      <w:r w:rsidRPr="1481C9FA">
        <w:rPr>
          <w:rFonts w:cs="Segoe UI"/>
          <w:lang w:val="pl"/>
        </w:rPr>
        <w:t xml:space="preserve">Dodatnia dynamika sprzedaży w ujęciu organicznym sektora biznesowego </w:t>
      </w:r>
      <w:proofErr w:type="spellStart"/>
      <w:r w:rsidRPr="1481C9FA">
        <w:rPr>
          <w:rFonts w:cs="Segoe UI"/>
          <w:lang w:val="pl"/>
        </w:rPr>
        <w:t>Adhesive</w:t>
      </w:r>
      <w:proofErr w:type="spellEnd"/>
      <w:r w:rsidRPr="1481C9FA">
        <w:rPr>
          <w:rFonts w:cs="Segoe UI"/>
          <w:lang w:val="pl"/>
        </w:rPr>
        <w:t xml:space="preserve"> Technologies w pierwszym kwartale była napędzana głównie przez obszar biznesowy </w:t>
      </w:r>
      <w:proofErr w:type="spellStart"/>
      <w:r w:rsidRPr="1481C9FA">
        <w:rPr>
          <w:rFonts w:cs="Segoe UI"/>
          <w:b/>
          <w:bCs/>
          <w:lang w:val="pl"/>
        </w:rPr>
        <w:t>Mobility</w:t>
      </w:r>
      <w:proofErr w:type="spellEnd"/>
      <w:r w:rsidRPr="1481C9FA">
        <w:rPr>
          <w:rFonts w:cs="Segoe UI"/>
          <w:b/>
          <w:bCs/>
          <w:lang w:val="pl"/>
        </w:rPr>
        <w:t xml:space="preserve"> &amp; Electronics</w:t>
      </w:r>
      <w:r w:rsidRPr="1481C9FA">
        <w:rPr>
          <w:rFonts w:cs="Segoe UI"/>
          <w:lang w:val="pl"/>
        </w:rPr>
        <w:t xml:space="preserve"> (produkty dla branży mobilności i elektroniki), który osiągnął silny organiczny wzrost sprzedaży na poziomie 3,1 procent. Wzrost ten był napędzany przez segmenty Electronics (elektronika) i </w:t>
      </w:r>
      <w:proofErr w:type="spellStart"/>
      <w:r w:rsidRPr="1481C9FA">
        <w:rPr>
          <w:rFonts w:cs="Segoe UI"/>
          <w:lang w:val="pl"/>
        </w:rPr>
        <w:t>Industrials</w:t>
      </w:r>
      <w:proofErr w:type="spellEnd"/>
      <w:r w:rsidRPr="1481C9FA">
        <w:rPr>
          <w:rFonts w:cs="Segoe UI"/>
          <w:lang w:val="pl"/>
        </w:rPr>
        <w:t xml:space="preserve"> (przemysł), podczas gdy segment Automotive (motoryzacja) odnotował spadek z powodu trudnego otoczenia rynkowego. W obszarze biznesowym </w:t>
      </w:r>
      <w:proofErr w:type="spellStart"/>
      <w:r w:rsidRPr="1481C9FA">
        <w:rPr>
          <w:rFonts w:cs="Segoe UI"/>
          <w:b/>
          <w:bCs/>
          <w:lang w:val="pl"/>
        </w:rPr>
        <w:t>Packaging</w:t>
      </w:r>
      <w:proofErr w:type="spellEnd"/>
      <w:r w:rsidRPr="1481C9FA">
        <w:rPr>
          <w:rFonts w:cs="Segoe UI"/>
          <w:b/>
          <w:bCs/>
          <w:lang w:val="pl"/>
        </w:rPr>
        <w:t xml:space="preserve"> &amp; Consumer </w:t>
      </w:r>
      <w:proofErr w:type="spellStart"/>
      <w:r w:rsidRPr="1481C9FA">
        <w:rPr>
          <w:rFonts w:cs="Segoe UI"/>
          <w:b/>
          <w:bCs/>
          <w:lang w:val="pl"/>
        </w:rPr>
        <w:t>Goods</w:t>
      </w:r>
      <w:proofErr w:type="spellEnd"/>
      <w:r w:rsidRPr="1481C9FA">
        <w:rPr>
          <w:rFonts w:cs="Segoe UI"/>
          <w:lang w:val="pl"/>
        </w:rPr>
        <w:t xml:space="preserve"> (produkty dla branży opakowań i towarów konsumpcyjnych) dynamika sprzedaży w ujęciu organicznym była na poziomie -0,4 procent, czyli ogólnie nieznacznie ujemna. Segment </w:t>
      </w:r>
      <w:proofErr w:type="spellStart"/>
      <w:r w:rsidRPr="1481C9FA">
        <w:rPr>
          <w:rFonts w:cs="Segoe UI"/>
          <w:lang w:val="pl"/>
        </w:rPr>
        <w:t>Packaging</w:t>
      </w:r>
      <w:proofErr w:type="spellEnd"/>
      <w:r w:rsidRPr="1481C9FA">
        <w:rPr>
          <w:rFonts w:cs="Segoe UI"/>
          <w:lang w:val="pl"/>
        </w:rPr>
        <w:t xml:space="preserve"> (opakowania) wykazał stabilną dynamikę, wspieraną przez dalsze ożywienie popytu. Segment Consumer </w:t>
      </w:r>
      <w:proofErr w:type="spellStart"/>
      <w:r w:rsidRPr="1481C9FA">
        <w:rPr>
          <w:rFonts w:cs="Segoe UI"/>
          <w:lang w:val="pl"/>
        </w:rPr>
        <w:t>Goods</w:t>
      </w:r>
      <w:proofErr w:type="spellEnd"/>
      <w:r w:rsidRPr="1481C9FA">
        <w:rPr>
          <w:rFonts w:cs="Segoe UI"/>
          <w:lang w:val="pl"/>
        </w:rPr>
        <w:t xml:space="preserve"> (towary konsumpcyjne) odnotował niewielki spadek w porównaniu z analogicznym kwartałem roku poprzedniego. Organiczny wzrost sprzedaży w obszarze biznesowym </w:t>
      </w:r>
      <w:proofErr w:type="spellStart"/>
      <w:r w:rsidRPr="1481C9FA">
        <w:rPr>
          <w:rFonts w:cs="Segoe UI"/>
          <w:b/>
          <w:bCs/>
          <w:lang w:val="pl"/>
        </w:rPr>
        <w:t>Craftsmen</w:t>
      </w:r>
      <w:proofErr w:type="spellEnd"/>
      <w:r w:rsidRPr="1481C9FA">
        <w:rPr>
          <w:rFonts w:cs="Segoe UI"/>
          <w:b/>
          <w:bCs/>
          <w:lang w:val="pl"/>
        </w:rPr>
        <w:t xml:space="preserve">, Construction &amp; Professional </w:t>
      </w:r>
      <w:r w:rsidRPr="1481C9FA">
        <w:rPr>
          <w:rFonts w:cs="Segoe UI"/>
          <w:lang w:val="pl"/>
        </w:rPr>
        <w:t xml:space="preserve">(produkty dla branży rzemieślniczej, budowlanej i klientów profesjonalnych) wzrósł o 0,4 procent w stosunku do analogicznego kwartału poprzedniego roku. Wzrost był napędzany w szczególności przez segmenty </w:t>
      </w:r>
      <w:proofErr w:type="spellStart"/>
      <w:r w:rsidRPr="1481C9FA">
        <w:rPr>
          <w:rFonts w:cs="Segoe UI"/>
          <w:lang w:val="pl"/>
        </w:rPr>
        <w:t>Consumers</w:t>
      </w:r>
      <w:proofErr w:type="spellEnd"/>
      <w:r w:rsidRPr="1481C9FA">
        <w:rPr>
          <w:rFonts w:cs="Segoe UI"/>
          <w:lang w:val="pl"/>
        </w:rPr>
        <w:t xml:space="preserve"> &amp; </w:t>
      </w:r>
      <w:proofErr w:type="spellStart"/>
      <w:r w:rsidRPr="1481C9FA">
        <w:rPr>
          <w:rFonts w:cs="Segoe UI"/>
          <w:lang w:val="pl"/>
        </w:rPr>
        <w:t>Craftsmen</w:t>
      </w:r>
      <w:proofErr w:type="spellEnd"/>
      <w:r w:rsidRPr="1481C9FA">
        <w:rPr>
          <w:rFonts w:cs="Segoe UI"/>
          <w:lang w:val="pl"/>
        </w:rPr>
        <w:t xml:space="preserve"> oraz Construction, które oba wygenerowały dobry wzrost.</w:t>
      </w:r>
    </w:p>
    <w:p w14:paraId="3F74FC6E" w14:textId="583321BB" w:rsidR="13E06C38" w:rsidRPr="00A36941" w:rsidRDefault="086BC535" w:rsidP="1481C9FA">
      <w:pPr>
        <w:rPr>
          <w:rFonts w:cs="Segoe UI"/>
          <w:lang w:val="pl"/>
        </w:rPr>
      </w:pPr>
      <w:r w:rsidRPr="1481C9FA">
        <w:rPr>
          <w:rFonts w:cs="Segoe UI"/>
          <w:lang w:val="pl"/>
        </w:rPr>
        <w:t xml:space="preserve"> </w:t>
      </w:r>
    </w:p>
    <w:p w14:paraId="792908A6" w14:textId="1E6E5A7D" w:rsidR="13E06C38" w:rsidRPr="00A36941" w:rsidRDefault="086BC535" w:rsidP="1481C9FA">
      <w:pPr>
        <w:rPr>
          <w:lang w:val="pl-PL"/>
        </w:rPr>
      </w:pPr>
      <w:r w:rsidRPr="1481C9FA">
        <w:rPr>
          <w:rFonts w:cs="Segoe UI"/>
          <w:lang w:val="pl"/>
        </w:rPr>
        <w:lastRenderedPageBreak/>
        <w:t xml:space="preserve">Z perspektywy regionalnej, wyniki sektora biznesowego </w:t>
      </w:r>
      <w:proofErr w:type="spellStart"/>
      <w:r w:rsidRPr="1481C9FA">
        <w:rPr>
          <w:rFonts w:cs="Segoe UI"/>
          <w:lang w:val="pl"/>
        </w:rPr>
        <w:t>Adhesive</w:t>
      </w:r>
      <w:proofErr w:type="spellEnd"/>
      <w:r w:rsidRPr="1481C9FA">
        <w:rPr>
          <w:rFonts w:cs="Segoe UI"/>
          <w:lang w:val="pl"/>
        </w:rPr>
        <w:t xml:space="preserve"> Technologies były ogólnie zróżnicowane. </w:t>
      </w:r>
      <w:r w:rsidRPr="1481C9FA">
        <w:rPr>
          <w:rFonts w:cs="Segoe UI"/>
          <w:b/>
          <w:bCs/>
          <w:lang w:val="pl"/>
        </w:rPr>
        <w:t>W Europie</w:t>
      </w:r>
      <w:r w:rsidRPr="1481C9FA">
        <w:rPr>
          <w:rFonts w:cs="Segoe UI"/>
          <w:lang w:val="pl"/>
        </w:rPr>
        <w:t xml:space="preserve"> sprzedaż w ujęciu organicznym była niższa niż w analogicznym kwartale roku poprzedniego, głównie za sprawą obszaru biznesowego </w:t>
      </w:r>
      <w:proofErr w:type="spellStart"/>
      <w:r w:rsidRPr="1481C9FA">
        <w:rPr>
          <w:rFonts w:cs="Segoe UI"/>
          <w:lang w:val="pl"/>
        </w:rPr>
        <w:t>Craftsmen</w:t>
      </w:r>
      <w:proofErr w:type="spellEnd"/>
      <w:r w:rsidRPr="1481C9FA">
        <w:rPr>
          <w:rFonts w:cs="Segoe UI"/>
          <w:lang w:val="pl"/>
        </w:rPr>
        <w:t xml:space="preserve">, Construction &amp; Professional (produkty dla branży rzemieślniczej, budowlanej i klientów profesjonalnych). W generalnie trudnym otoczeniu rynkowym, </w:t>
      </w:r>
      <w:r w:rsidRPr="1481C9FA">
        <w:rPr>
          <w:rFonts w:cs="Segoe UI"/>
          <w:b/>
          <w:bCs/>
          <w:lang w:val="pl"/>
        </w:rPr>
        <w:t>region Ameryki Północnej</w:t>
      </w:r>
      <w:r w:rsidRPr="1481C9FA">
        <w:rPr>
          <w:rFonts w:cs="Segoe UI"/>
          <w:lang w:val="pl"/>
        </w:rPr>
        <w:t xml:space="preserve"> odnotował w pierwszym kwartale spadek sprzedaży, przede wszystkim ze względu na rozwój sytuacji w obszarach biznesowych </w:t>
      </w:r>
      <w:proofErr w:type="spellStart"/>
      <w:r w:rsidRPr="1481C9FA">
        <w:rPr>
          <w:rFonts w:cs="Segoe UI"/>
          <w:lang w:val="pl"/>
        </w:rPr>
        <w:t>Mobility</w:t>
      </w:r>
      <w:proofErr w:type="spellEnd"/>
      <w:r w:rsidRPr="1481C9FA">
        <w:rPr>
          <w:rFonts w:cs="Segoe UI"/>
          <w:lang w:val="pl"/>
        </w:rPr>
        <w:t xml:space="preserve"> &amp; Electronics oraz </w:t>
      </w:r>
      <w:proofErr w:type="spellStart"/>
      <w:r w:rsidRPr="1481C9FA">
        <w:rPr>
          <w:rFonts w:cs="Segoe UI"/>
          <w:lang w:val="pl"/>
        </w:rPr>
        <w:t>Packaging</w:t>
      </w:r>
      <w:proofErr w:type="spellEnd"/>
      <w:r w:rsidRPr="1481C9FA">
        <w:rPr>
          <w:rFonts w:cs="Segoe UI"/>
          <w:lang w:val="pl"/>
        </w:rPr>
        <w:t xml:space="preserve"> &amp; Consumer </w:t>
      </w:r>
      <w:proofErr w:type="spellStart"/>
      <w:r w:rsidRPr="1481C9FA">
        <w:rPr>
          <w:rFonts w:cs="Segoe UI"/>
          <w:lang w:val="pl"/>
        </w:rPr>
        <w:t>Goods</w:t>
      </w:r>
      <w:proofErr w:type="spellEnd"/>
      <w:r w:rsidRPr="1481C9FA">
        <w:rPr>
          <w:rFonts w:cs="Segoe UI"/>
          <w:lang w:val="pl"/>
        </w:rPr>
        <w:t xml:space="preserve">. </w:t>
      </w:r>
      <w:r w:rsidRPr="1481C9FA">
        <w:rPr>
          <w:rFonts w:cs="Segoe UI"/>
          <w:b/>
          <w:bCs/>
          <w:lang w:val="pl"/>
        </w:rPr>
        <w:t>Region IMEA</w:t>
      </w:r>
      <w:r w:rsidRPr="1481C9FA">
        <w:rPr>
          <w:rFonts w:cs="Segoe UI"/>
          <w:lang w:val="pl"/>
        </w:rPr>
        <w:t xml:space="preserve"> (Indie, Bliski Wschód i Afryka) wykazał bardzo silny organiczny wzrost sprzedaży, napędzany w szczególności przez dwucyfrowy organiczny wzrost sprzedaży w obszarze biznesowym </w:t>
      </w:r>
      <w:proofErr w:type="spellStart"/>
      <w:r w:rsidRPr="1481C9FA">
        <w:rPr>
          <w:rFonts w:cs="Segoe UI"/>
          <w:lang w:val="pl"/>
        </w:rPr>
        <w:t>Craftsmen</w:t>
      </w:r>
      <w:proofErr w:type="spellEnd"/>
      <w:r w:rsidRPr="1481C9FA">
        <w:rPr>
          <w:rFonts w:cs="Segoe UI"/>
          <w:lang w:val="pl"/>
        </w:rPr>
        <w:t xml:space="preserve">, Construction &amp; Professional. </w:t>
      </w:r>
      <w:r w:rsidRPr="1481C9FA">
        <w:rPr>
          <w:rFonts w:cs="Segoe UI"/>
          <w:b/>
          <w:bCs/>
          <w:lang w:val="pl"/>
        </w:rPr>
        <w:t>Region Ameryki Łacińskiej</w:t>
      </w:r>
      <w:r w:rsidRPr="1481C9FA">
        <w:rPr>
          <w:rFonts w:cs="Segoe UI"/>
          <w:lang w:val="pl"/>
        </w:rPr>
        <w:t xml:space="preserve"> również odnotował bardzo silny wzrost, który był napędzany głównie przez dwucyfrowy wzrost sprzedaży w obszarze biznesowym </w:t>
      </w:r>
      <w:proofErr w:type="spellStart"/>
      <w:r w:rsidRPr="1481C9FA">
        <w:rPr>
          <w:rFonts w:cs="Segoe UI"/>
          <w:lang w:val="pl"/>
        </w:rPr>
        <w:t>Mobility</w:t>
      </w:r>
      <w:proofErr w:type="spellEnd"/>
      <w:r w:rsidRPr="1481C9FA">
        <w:rPr>
          <w:rFonts w:cs="Segoe UI"/>
          <w:lang w:val="pl"/>
        </w:rPr>
        <w:t xml:space="preserve"> &amp; Electronics. Obszary </w:t>
      </w:r>
      <w:proofErr w:type="spellStart"/>
      <w:r w:rsidRPr="1481C9FA">
        <w:rPr>
          <w:rFonts w:cs="Segoe UI"/>
          <w:lang w:val="pl"/>
        </w:rPr>
        <w:t>Packaging</w:t>
      </w:r>
      <w:proofErr w:type="spellEnd"/>
      <w:r w:rsidRPr="1481C9FA">
        <w:rPr>
          <w:rFonts w:cs="Segoe UI"/>
          <w:lang w:val="pl"/>
        </w:rPr>
        <w:t xml:space="preserve"> &amp; Consumer </w:t>
      </w:r>
      <w:proofErr w:type="spellStart"/>
      <w:r w:rsidRPr="1481C9FA">
        <w:rPr>
          <w:rFonts w:cs="Segoe UI"/>
          <w:lang w:val="pl"/>
        </w:rPr>
        <w:t>Goods</w:t>
      </w:r>
      <w:proofErr w:type="spellEnd"/>
      <w:r w:rsidRPr="1481C9FA">
        <w:rPr>
          <w:rFonts w:cs="Segoe UI"/>
          <w:lang w:val="pl"/>
        </w:rPr>
        <w:t xml:space="preserve"> oraz </w:t>
      </w:r>
      <w:proofErr w:type="spellStart"/>
      <w:r w:rsidRPr="1481C9FA">
        <w:rPr>
          <w:rFonts w:cs="Segoe UI"/>
          <w:lang w:val="pl"/>
        </w:rPr>
        <w:t>Craftsmen</w:t>
      </w:r>
      <w:proofErr w:type="spellEnd"/>
      <w:r w:rsidRPr="1481C9FA">
        <w:rPr>
          <w:rFonts w:cs="Segoe UI"/>
          <w:lang w:val="pl"/>
        </w:rPr>
        <w:t xml:space="preserve">, Construction &amp; Professional również przyczyniły się do tego rozwoju, oba wykazując bardzo silny wzrost. </w:t>
      </w:r>
      <w:r w:rsidRPr="1481C9FA">
        <w:rPr>
          <w:rFonts w:cs="Segoe UI"/>
          <w:b/>
          <w:bCs/>
          <w:lang w:val="pl"/>
        </w:rPr>
        <w:t>Region Azji i Pacyfiku</w:t>
      </w:r>
      <w:r w:rsidRPr="1481C9FA">
        <w:rPr>
          <w:rFonts w:cs="Segoe UI"/>
          <w:lang w:val="pl"/>
        </w:rPr>
        <w:t xml:space="preserve"> odnotował znaczący wzrost, głównie dzięki dwucyfrowemu wzrostowi sprzedaży w segmencie Electronics w Chinach.</w:t>
      </w:r>
    </w:p>
    <w:p w14:paraId="6B65137C" w14:textId="5913DAB8" w:rsidR="13E06C38" w:rsidRPr="00A36941" w:rsidRDefault="13E06C38" w:rsidP="1481C9FA">
      <w:pPr>
        <w:rPr>
          <w:lang w:val="pl-PL"/>
        </w:rPr>
      </w:pPr>
      <w:r w:rsidRPr="1481C9FA">
        <w:rPr>
          <w:rFonts w:cs="Segoe UI"/>
          <w:lang w:val="pl"/>
        </w:rPr>
        <w:t xml:space="preserve"> </w:t>
      </w:r>
    </w:p>
    <w:p w14:paraId="14202A1A" w14:textId="55C95C13" w:rsidR="00AC6AB3" w:rsidRPr="00A36941" w:rsidRDefault="1084FDD4" w:rsidP="7D5A668B">
      <w:pPr>
        <w:rPr>
          <w:rFonts w:cs="Segoe UI"/>
          <w:b/>
          <w:bCs/>
          <w:lang w:val="pl"/>
        </w:rPr>
      </w:pPr>
      <w:r w:rsidRPr="1481C9FA">
        <w:rPr>
          <w:rFonts w:cs="Segoe UI"/>
          <w:b/>
          <w:bCs/>
          <w:lang w:val="pl"/>
        </w:rPr>
        <w:t xml:space="preserve">Wyniki sprzedaży sektora biznesowego Consumer </w:t>
      </w:r>
      <w:proofErr w:type="spellStart"/>
      <w:r w:rsidRPr="1481C9FA">
        <w:rPr>
          <w:rFonts w:cs="Segoe UI"/>
          <w:b/>
          <w:bCs/>
          <w:lang w:val="pl"/>
        </w:rPr>
        <w:t>Brands</w:t>
      </w:r>
      <w:proofErr w:type="spellEnd"/>
    </w:p>
    <w:p w14:paraId="5B5C887C" w14:textId="2BDB8C75" w:rsidR="13E06C38" w:rsidRPr="00A36941" w:rsidRDefault="76A7FD6C" w:rsidP="1481C9FA">
      <w:pPr>
        <w:rPr>
          <w:rFonts w:cs="Segoe UI"/>
          <w:lang w:val="pl"/>
        </w:rPr>
      </w:pPr>
      <w:r w:rsidRPr="1481C9FA">
        <w:rPr>
          <w:rFonts w:cs="Segoe UI"/>
          <w:lang w:val="pl"/>
        </w:rPr>
        <w:t xml:space="preserve">W sektorze biznesowym Consumer </w:t>
      </w:r>
      <w:proofErr w:type="spellStart"/>
      <w:r w:rsidRPr="1481C9FA">
        <w:rPr>
          <w:rFonts w:cs="Segoe UI"/>
          <w:lang w:val="pl"/>
        </w:rPr>
        <w:t>Brands</w:t>
      </w:r>
      <w:proofErr w:type="spellEnd"/>
      <w:r w:rsidRPr="1481C9FA">
        <w:rPr>
          <w:rFonts w:cs="Segoe UI"/>
          <w:lang w:val="pl"/>
        </w:rPr>
        <w:t xml:space="preserve">, </w:t>
      </w:r>
      <w:r w:rsidRPr="00397BB2">
        <w:rPr>
          <w:rFonts w:cs="Segoe UI"/>
          <w:b/>
          <w:bCs/>
          <w:lang w:val="pl"/>
        </w:rPr>
        <w:t>p</w:t>
      </w:r>
      <w:r w:rsidRPr="1481C9FA">
        <w:rPr>
          <w:rFonts w:cs="Segoe UI"/>
          <w:b/>
          <w:bCs/>
          <w:lang w:val="pl"/>
        </w:rPr>
        <w:t>rzychody ze sprzedaży w pierwszym kwartale 2025</w:t>
      </w:r>
      <w:r w:rsidRPr="1481C9FA">
        <w:rPr>
          <w:rFonts w:cs="Segoe UI"/>
          <w:lang w:val="pl"/>
        </w:rPr>
        <w:t xml:space="preserve"> roku wyniosły 2</w:t>
      </w:r>
      <w:r w:rsidR="54C63111" w:rsidRPr="1481C9FA">
        <w:rPr>
          <w:rFonts w:cs="Segoe UI"/>
          <w:lang w:val="pl"/>
        </w:rPr>
        <w:t>,</w:t>
      </w:r>
      <w:r w:rsidRPr="1481C9FA">
        <w:rPr>
          <w:rFonts w:cs="Segoe UI"/>
          <w:lang w:val="pl"/>
        </w:rPr>
        <w:t xml:space="preserve">48 mln euro, co oznacza spadek </w:t>
      </w:r>
      <w:r w:rsidRPr="1481C9FA">
        <w:rPr>
          <w:rFonts w:cs="Segoe UI"/>
          <w:b/>
          <w:bCs/>
          <w:lang w:val="pl"/>
        </w:rPr>
        <w:t>w ujęciu nominalnym</w:t>
      </w:r>
      <w:r w:rsidRPr="1481C9FA">
        <w:rPr>
          <w:rFonts w:cs="Segoe UI"/>
          <w:lang w:val="pl"/>
        </w:rPr>
        <w:t xml:space="preserve"> o 4,6 procent w porównaniu z analogicznym kwartałem roku poprzedniego. </w:t>
      </w:r>
      <w:r w:rsidRPr="1481C9FA">
        <w:rPr>
          <w:rFonts w:cs="Segoe UI"/>
          <w:b/>
          <w:bCs/>
          <w:lang w:val="pl"/>
        </w:rPr>
        <w:t>W ujęciu organicznym</w:t>
      </w:r>
      <w:r w:rsidRPr="1481C9FA">
        <w:rPr>
          <w:rFonts w:cs="Segoe UI"/>
          <w:lang w:val="pl"/>
        </w:rPr>
        <w:t xml:space="preserve"> (tj. po korekcie o wpływ różnic kursowych oraz transakcji przejęć/zbycia aktywów) sprzedaż zmniejszyła się o 3,5 procent. Sektor biznesowy odnotował dobrą dynamikę cenową w porównaniu z pierwszym kwartałem 2024 roku, podczas gdy wielkości sprzedaży spadły zgodnie z oczekiwaniami, głównie z powodu osłabionych nastrojów konsumenckich i zmniejszania stanów magazynowych przez klientów detalicznych – zwłaszcza w Ameryce Północnej – co zostało dodatkowo spotęgowane przez wyzwania w łańcuchu dostaw. Różnice kursowe miały negatywny wpływ na sprzedaż w wysokości -2,0 procent, podczas gdy transakcje przejęć/zbycia aktywów miały pozytywny wpływ na sprzedaż w wysokości 0,8 procent.</w:t>
      </w:r>
    </w:p>
    <w:p w14:paraId="6C0F9033" w14:textId="246B1188" w:rsidR="13E06C38" w:rsidRPr="009E2D0F" w:rsidRDefault="76A7FD6C" w:rsidP="1481C9FA">
      <w:pPr>
        <w:rPr>
          <w:lang w:val="pl-PL"/>
        </w:rPr>
      </w:pPr>
      <w:r w:rsidRPr="1481C9FA">
        <w:rPr>
          <w:rFonts w:cs="Segoe UI"/>
          <w:lang w:val="pl"/>
        </w:rPr>
        <w:t xml:space="preserve"> </w:t>
      </w:r>
    </w:p>
    <w:p w14:paraId="32B16AB5" w14:textId="3B292DDD" w:rsidR="13E06C38" w:rsidRPr="009E2D0F" w:rsidRDefault="76A7FD6C" w:rsidP="1481C9FA">
      <w:pPr>
        <w:rPr>
          <w:lang w:val="pl-PL"/>
        </w:rPr>
      </w:pPr>
      <w:r w:rsidRPr="1481C9FA">
        <w:rPr>
          <w:rFonts w:cs="Segoe UI"/>
          <w:lang w:val="pl"/>
        </w:rPr>
        <w:t xml:space="preserve">W pierwszym kwartale obszar biznesowy </w:t>
      </w:r>
      <w:proofErr w:type="spellStart"/>
      <w:r w:rsidRPr="1481C9FA">
        <w:rPr>
          <w:rFonts w:cs="Segoe UI"/>
          <w:b/>
          <w:bCs/>
          <w:lang w:val="pl"/>
        </w:rPr>
        <w:t>Laundry</w:t>
      </w:r>
      <w:proofErr w:type="spellEnd"/>
      <w:r w:rsidRPr="1481C9FA">
        <w:rPr>
          <w:rFonts w:cs="Segoe UI"/>
          <w:b/>
          <w:bCs/>
          <w:lang w:val="pl"/>
        </w:rPr>
        <w:t xml:space="preserve"> &amp; Home </w:t>
      </w:r>
      <w:proofErr w:type="spellStart"/>
      <w:r w:rsidRPr="1481C9FA">
        <w:rPr>
          <w:rFonts w:cs="Segoe UI"/>
          <w:b/>
          <w:bCs/>
          <w:lang w:val="pl"/>
        </w:rPr>
        <w:t>Care</w:t>
      </w:r>
      <w:proofErr w:type="spellEnd"/>
      <w:r w:rsidRPr="1481C9FA">
        <w:rPr>
          <w:rFonts w:cs="Segoe UI"/>
          <w:lang w:val="pl"/>
        </w:rPr>
        <w:t xml:space="preserve"> (środki piorące i środki czystości) odnotował ujemną dynamikę sprzedaży w ujęciu organicznym na poziomie -4,1 procent. Segment </w:t>
      </w:r>
      <w:proofErr w:type="spellStart"/>
      <w:r w:rsidRPr="1481C9FA">
        <w:rPr>
          <w:rFonts w:cs="Segoe UI"/>
          <w:lang w:val="pl"/>
        </w:rPr>
        <w:t>Laundry</w:t>
      </w:r>
      <w:proofErr w:type="spellEnd"/>
      <w:r w:rsidRPr="1481C9FA">
        <w:rPr>
          <w:rFonts w:cs="Segoe UI"/>
          <w:lang w:val="pl"/>
        </w:rPr>
        <w:t xml:space="preserve"> </w:t>
      </w:r>
      <w:proofErr w:type="spellStart"/>
      <w:r w:rsidRPr="1481C9FA">
        <w:rPr>
          <w:rFonts w:cs="Segoe UI"/>
          <w:lang w:val="pl"/>
        </w:rPr>
        <w:t>Care</w:t>
      </w:r>
      <w:proofErr w:type="spellEnd"/>
      <w:r w:rsidRPr="1481C9FA">
        <w:rPr>
          <w:rFonts w:cs="Segoe UI"/>
          <w:lang w:val="pl"/>
        </w:rPr>
        <w:t xml:space="preserve"> (środki piorące) odnotował ujemną dynamikę spowodowaną głównie spadkiem w kategorii </w:t>
      </w:r>
      <w:proofErr w:type="spellStart"/>
      <w:r w:rsidRPr="1481C9FA">
        <w:rPr>
          <w:rFonts w:cs="Segoe UI"/>
          <w:lang w:val="pl"/>
        </w:rPr>
        <w:t>Fabric</w:t>
      </w:r>
      <w:proofErr w:type="spellEnd"/>
      <w:r w:rsidRPr="1481C9FA">
        <w:rPr>
          <w:rFonts w:cs="Segoe UI"/>
          <w:lang w:val="pl"/>
        </w:rPr>
        <w:t xml:space="preserve"> </w:t>
      </w:r>
      <w:proofErr w:type="spellStart"/>
      <w:r w:rsidRPr="1481C9FA">
        <w:rPr>
          <w:rFonts w:cs="Segoe UI"/>
          <w:lang w:val="pl"/>
        </w:rPr>
        <w:t>Cleaning</w:t>
      </w:r>
      <w:proofErr w:type="spellEnd"/>
      <w:r w:rsidRPr="1481C9FA">
        <w:rPr>
          <w:rFonts w:cs="Segoe UI"/>
          <w:lang w:val="pl"/>
        </w:rPr>
        <w:t xml:space="preserve"> (środki do prania tkanin), podczas gdy kategoria </w:t>
      </w:r>
      <w:proofErr w:type="spellStart"/>
      <w:r w:rsidRPr="1481C9FA">
        <w:rPr>
          <w:rFonts w:cs="Segoe UI"/>
          <w:lang w:val="pl"/>
        </w:rPr>
        <w:t>Fabric</w:t>
      </w:r>
      <w:proofErr w:type="spellEnd"/>
      <w:r w:rsidRPr="1481C9FA">
        <w:rPr>
          <w:rFonts w:cs="Segoe UI"/>
          <w:lang w:val="pl"/>
        </w:rPr>
        <w:t xml:space="preserve"> </w:t>
      </w:r>
      <w:proofErr w:type="spellStart"/>
      <w:r w:rsidRPr="1481C9FA">
        <w:rPr>
          <w:rFonts w:cs="Segoe UI"/>
          <w:lang w:val="pl"/>
        </w:rPr>
        <w:t>Care</w:t>
      </w:r>
      <w:proofErr w:type="spellEnd"/>
      <w:r w:rsidRPr="1481C9FA">
        <w:rPr>
          <w:rFonts w:cs="Segoe UI"/>
          <w:lang w:val="pl"/>
        </w:rPr>
        <w:t xml:space="preserve"> (środki do pielęgnacji tkanin) wykazała bardzo silny wzrost. Obszar biznesowy Home </w:t>
      </w:r>
      <w:proofErr w:type="spellStart"/>
      <w:r w:rsidRPr="1481C9FA">
        <w:rPr>
          <w:rFonts w:cs="Segoe UI"/>
          <w:lang w:val="pl"/>
        </w:rPr>
        <w:t>Care</w:t>
      </w:r>
      <w:proofErr w:type="spellEnd"/>
      <w:r w:rsidRPr="1481C9FA">
        <w:rPr>
          <w:rFonts w:cs="Segoe UI"/>
          <w:lang w:val="pl"/>
        </w:rPr>
        <w:t xml:space="preserve"> (środki czystości) wygenerował natomiast dobry organiczny wzrost sprzedaży, napędzany głównie przez znaczący wzrost sprzedaży w kategorii </w:t>
      </w:r>
      <w:proofErr w:type="spellStart"/>
      <w:r w:rsidRPr="1481C9FA">
        <w:rPr>
          <w:rFonts w:cs="Segoe UI"/>
          <w:lang w:val="pl"/>
        </w:rPr>
        <w:t>Dishwashing</w:t>
      </w:r>
      <w:proofErr w:type="spellEnd"/>
      <w:r w:rsidRPr="1481C9FA">
        <w:rPr>
          <w:rFonts w:cs="Segoe UI"/>
          <w:lang w:val="pl"/>
        </w:rPr>
        <w:t xml:space="preserve"> (środki do zmywania naczyń).</w:t>
      </w:r>
    </w:p>
    <w:p w14:paraId="1F01EEEE" w14:textId="5A988EB9" w:rsidR="13E06C38" w:rsidRPr="009E2D0F" w:rsidRDefault="76A7FD6C" w:rsidP="1481C9FA">
      <w:pPr>
        <w:rPr>
          <w:lang w:val="pl-PL"/>
        </w:rPr>
      </w:pPr>
      <w:r w:rsidRPr="1481C9FA">
        <w:rPr>
          <w:rFonts w:cs="Segoe UI"/>
          <w:lang w:val="pl"/>
        </w:rPr>
        <w:t xml:space="preserve"> </w:t>
      </w:r>
    </w:p>
    <w:p w14:paraId="4C28B6BD" w14:textId="410CF6A5" w:rsidR="13E06C38" w:rsidRPr="009E2D0F" w:rsidRDefault="76A7FD6C" w:rsidP="1481C9FA">
      <w:pPr>
        <w:rPr>
          <w:lang w:val="pl-PL"/>
        </w:rPr>
      </w:pPr>
      <w:r w:rsidRPr="1481C9FA">
        <w:rPr>
          <w:rFonts w:cs="Segoe UI"/>
          <w:lang w:val="pl"/>
        </w:rPr>
        <w:lastRenderedPageBreak/>
        <w:t xml:space="preserve">W obszarze biznesowym </w:t>
      </w:r>
      <w:proofErr w:type="spellStart"/>
      <w:r w:rsidRPr="1481C9FA">
        <w:rPr>
          <w:rFonts w:cs="Segoe UI"/>
          <w:b/>
          <w:bCs/>
          <w:lang w:val="pl"/>
        </w:rPr>
        <w:t>Hair</w:t>
      </w:r>
      <w:proofErr w:type="spellEnd"/>
      <w:r w:rsidRPr="1481C9FA">
        <w:rPr>
          <w:rFonts w:cs="Segoe UI"/>
          <w:b/>
          <w:bCs/>
          <w:lang w:val="pl"/>
        </w:rPr>
        <w:t xml:space="preserve"> </w:t>
      </w:r>
      <w:r w:rsidRPr="1481C9FA">
        <w:rPr>
          <w:rFonts w:cs="Segoe UI"/>
          <w:lang w:val="pl"/>
        </w:rPr>
        <w:t xml:space="preserve">(kosmetyki do pielęgnacji włosów) odnotowano spadek sprzedaży w ujęciu organicznym o 1,6 procent. Segment Consumer (produkty konsumenckie) wykazał dodatni wzrost, który był napędzany w szczególności przez kategorie </w:t>
      </w:r>
      <w:proofErr w:type="spellStart"/>
      <w:r w:rsidRPr="1481C9FA">
        <w:rPr>
          <w:rFonts w:cs="Segoe UI"/>
          <w:lang w:val="pl"/>
        </w:rPr>
        <w:t>Hair</w:t>
      </w:r>
      <w:proofErr w:type="spellEnd"/>
      <w:r w:rsidRPr="1481C9FA">
        <w:rPr>
          <w:rFonts w:cs="Segoe UI"/>
          <w:lang w:val="pl"/>
        </w:rPr>
        <w:t xml:space="preserve"> </w:t>
      </w:r>
      <w:proofErr w:type="spellStart"/>
      <w:r w:rsidRPr="1481C9FA">
        <w:rPr>
          <w:rFonts w:cs="Segoe UI"/>
          <w:lang w:val="pl"/>
        </w:rPr>
        <w:t>Colorants</w:t>
      </w:r>
      <w:proofErr w:type="spellEnd"/>
      <w:r w:rsidRPr="1481C9FA">
        <w:rPr>
          <w:rFonts w:cs="Segoe UI"/>
          <w:lang w:val="pl"/>
        </w:rPr>
        <w:t xml:space="preserve"> (produkty do koloryzacji włosów) i </w:t>
      </w:r>
      <w:proofErr w:type="spellStart"/>
      <w:r w:rsidRPr="1481C9FA">
        <w:rPr>
          <w:rFonts w:cs="Segoe UI"/>
          <w:lang w:val="pl"/>
        </w:rPr>
        <w:t>Hair</w:t>
      </w:r>
      <w:proofErr w:type="spellEnd"/>
      <w:r w:rsidRPr="1481C9FA">
        <w:rPr>
          <w:rFonts w:cs="Segoe UI"/>
          <w:lang w:val="pl"/>
        </w:rPr>
        <w:t xml:space="preserve"> Styling (produkty do stylizacji włosów). Ogólnie rozwój segmentu Professional (produkty profesjonalne) był poniżej poziomu z roku poprzedniego, co wynikało głównie ze spadku sprzedaży w następstwie trudnego otoczenia konsumenckiego w regionie Ameryki Północnej.</w:t>
      </w:r>
    </w:p>
    <w:p w14:paraId="350F0C8B" w14:textId="4EE99712" w:rsidR="13E06C38" w:rsidRPr="009E2D0F" w:rsidRDefault="76A7FD6C" w:rsidP="1481C9FA">
      <w:pPr>
        <w:rPr>
          <w:lang w:val="pl-PL"/>
        </w:rPr>
      </w:pPr>
      <w:r w:rsidRPr="1481C9FA">
        <w:rPr>
          <w:rFonts w:cs="Segoe UI"/>
          <w:lang w:val="pl"/>
        </w:rPr>
        <w:t xml:space="preserve"> </w:t>
      </w:r>
    </w:p>
    <w:p w14:paraId="4AFB8B0A" w14:textId="392431C8" w:rsidR="13E06C38" w:rsidRPr="009E2D0F" w:rsidRDefault="76A7FD6C" w:rsidP="1481C9FA">
      <w:pPr>
        <w:rPr>
          <w:lang w:val="pl-PL"/>
        </w:rPr>
      </w:pPr>
      <w:r w:rsidRPr="1481C9FA">
        <w:rPr>
          <w:rFonts w:cs="Segoe UI"/>
          <w:b/>
          <w:bCs/>
          <w:lang w:val="pl"/>
        </w:rPr>
        <w:t xml:space="preserve">Obszar </w:t>
      </w:r>
      <w:proofErr w:type="spellStart"/>
      <w:r w:rsidRPr="1481C9FA">
        <w:rPr>
          <w:rFonts w:cs="Segoe UI"/>
          <w:b/>
          <w:bCs/>
          <w:lang w:val="pl"/>
        </w:rPr>
        <w:t>Other</w:t>
      </w:r>
      <w:proofErr w:type="spellEnd"/>
      <w:r w:rsidRPr="1481C9FA">
        <w:rPr>
          <w:rFonts w:cs="Segoe UI"/>
          <w:b/>
          <w:bCs/>
          <w:lang w:val="pl"/>
        </w:rPr>
        <w:t xml:space="preserve"> Consumer </w:t>
      </w:r>
      <w:proofErr w:type="spellStart"/>
      <w:r w:rsidRPr="1481C9FA">
        <w:rPr>
          <w:rFonts w:cs="Segoe UI"/>
          <w:b/>
          <w:bCs/>
          <w:lang w:val="pl"/>
        </w:rPr>
        <w:t>Businesse</w:t>
      </w:r>
      <w:r w:rsidRPr="006E08CE">
        <w:rPr>
          <w:rFonts w:cs="Segoe UI"/>
          <w:b/>
          <w:bCs/>
          <w:lang w:val="pl"/>
        </w:rPr>
        <w:t>s</w:t>
      </w:r>
      <w:proofErr w:type="spellEnd"/>
      <w:r w:rsidRPr="1481C9FA">
        <w:rPr>
          <w:rFonts w:cs="Segoe UI"/>
          <w:lang w:val="pl"/>
        </w:rPr>
        <w:t xml:space="preserve"> (pozostałe obszary biznesowe Consumer </w:t>
      </w:r>
      <w:proofErr w:type="spellStart"/>
      <w:r w:rsidRPr="1481C9FA">
        <w:rPr>
          <w:rFonts w:cs="Segoe UI"/>
          <w:lang w:val="pl"/>
        </w:rPr>
        <w:t>Brands</w:t>
      </w:r>
      <w:proofErr w:type="spellEnd"/>
      <w:r w:rsidRPr="1481C9FA">
        <w:rPr>
          <w:rFonts w:cs="Segoe UI"/>
          <w:lang w:val="pl"/>
        </w:rPr>
        <w:t xml:space="preserve">) odnotował spadek sprzedaży w ujęciu organicznym o 6,8 procent, przede wszystkim w wyniku negatywnych wyników w segmencie Body </w:t>
      </w:r>
      <w:proofErr w:type="spellStart"/>
      <w:r w:rsidRPr="1481C9FA">
        <w:rPr>
          <w:rFonts w:cs="Segoe UI"/>
          <w:lang w:val="pl"/>
        </w:rPr>
        <w:t>Care</w:t>
      </w:r>
      <w:proofErr w:type="spellEnd"/>
      <w:r w:rsidRPr="1481C9FA">
        <w:rPr>
          <w:rFonts w:cs="Segoe UI"/>
          <w:lang w:val="pl"/>
        </w:rPr>
        <w:t xml:space="preserve"> (kosmetyki do pielęgnacji ciała) w regionach Ameryki Północnej i Europy.</w:t>
      </w:r>
    </w:p>
    <w:p w14:paraId="776A7AD5" w14:textId="57FFC1A2" w:rsidR="13E06C38" w:rsidRPr="009E2D0F" w:rsidRDefault="76A7FD6C" w:rsidP="1481C9FA">
      <w:pPr>
        <w:rPr>
          <w:lang w:val="pl-PL"/>
        </w:rPr>
      </w:pPr>
      <w:r w:rsidRPr="1481C9FA">
        <w:rPr>
          <w:rFonts w:cs="Segoe UI"/>
          <w:lang w:val="pl"/>
        </w:rPr>
        <w:t xml:space="preserve"> </w:t>
      </w:r>
    </w:p>
    <w:p w14:paraId="6141A617" w14:textId="2039C7A2" w:rsidR="13E06C38" w:rsidRPr="00A36941" w:rsidRDefault="76A7FD6C" w:rsidP="1481C9FA">
      <w:pPr>
        <w:rPr>
          <w:lang w:val="pl-PL"/>
        </w:rPr>
      </w:pPr>
      <w:r w:rsidRPr="1481C9FA">
        <w:rPr>
          <w:rFonts w:cs="Segoe UI"/>
          <w:lang w:val="pl"/>
        </w:rPr>
        <w:t xml:space="preserve">Z perspektywy regionalnej, dynamika sprzedaży we wszystkich regionach – z wyjątkiem IMEA – była niższa niż w roku poprzednim. </w:t>
      </w:r>
      <w:r w:rsidRPr="1481C9FA">
        <w:rPr>
          <w:rFonts w:cs="Segoe UI"/>
          <w:b/>
          <w:bCs/>
          <w:lang w:val="pl"/>
        </w:rPr>
        <w:t>Region IMEA</w:t>
      </w:r>
      <w:r w:rsidRPr="1481C9FA">
        <w:rPr>
          <w:rFonts w:cs="Segoe UI"/>
          <w:lang w:val="pl"/>
        </w:rPr>
        <w:t xml:space="preserve"> (Indie, Bliski Wschód i Afryka) odnotował ogólnie dobry organiczny wzrost sprzedaży, napędzany przez znaczący organiczny wzrost sprzedaży w obszarze biznesowym </w:t>
      </w:r>
      <w:proofErr w:type="spellStart"/>
      <w:r w:rsidRPr="1481C9FA">
        <w:rPr>
          <w:rFonts w:cs="Segoe UI"/>
          <w:lang w:val="pl"/>
        </w:rPr>
        <w:t>Hair</w:t>
      </w:r>
      <w:proofErr w:type="spellEnd"/>
      <w:r w:rsidRPr="1481C9FA">
        <w:rPr>
          <w:rFonts w:cs="Segoe UI"/>
          <w:lang w:val="pl"/>
        </w:rPr>
        <w:t xml:space="preserve"> i dobrą dynamikę w obszarze biznesowym </w:t>
      </w:r>
      <w:proofErr w:type="spellStart"/>
      <w:r w:rsidRPr="1481C9FA">
        <w:rPr>
          <w:rFonts w:cs="Segoe UI"/>
          <w:lang w:val="pl"/>
        </w:rPr>
        <w:t>Laundry</w:t>
      </w:r>
      <w:proofErr w:type="spellEnd"/>
      <w:r w:rsidRPr="1481C9FA">
        <w:rPr>
          <w:rFonts w:cs="Segoe UI"/>
          <w:lang w:val="pl"/>
        </w:rPr>
        <w:t xml:space="preserve"> &amp; Home </w:t>
      </w:r>
      <w:proofErr w:type="spellStart"/>
      <w:r w:rsidRPr="1481C9FA">
        <w:rPr>
          <w:rFonts w:cs="Segoe UI"/>
          <w:lang w:val="pl"/>
        </w:rPr>
        <w:t>Care</w:t>
      </w:r>
      <w:proofErr w:type="spellEnd"/>
      <w:r w:rsidRPr="1481C9FA">
        <w:rPr>
          <w:rFonts w:cs="Segoe UI"/>
          <w:lang w:val="pl"/>
        </w:rPr>
        <w:t xml:space="preserve">. </w:t>
      </w:r>
      <w:r w:rsidRPr="1481C9FA">
        <w:rPr>
          <w:rFonts w:cs="Segoe UI"/>
          <w:b/>
          <w:bCs/>
          <w:lang w:val="pl"/>
        </w:rPr>
        <w:t>W Europie</w:t>
      </w:r>
      <w:r w:rsidRPr="1481C9FA">
        <w:rPr>
          <w:rFonts w:cs="Segoe UI"/>
          <w:lang w:val="pl"/>
        </w:rPr>
        <w:t xml:space="preserve"> z kolei wystąpił spadek spowodowany sytuacją w obszarze biznesowym </w:t>
      </w:r>
      <w:proofErr w:type="spellStart"/>
      <w:r w:rsidRPr="1481C9FA">
        <w:rPr>
          <w:rFonts w:cs="Segoe UI"/>
          <w:lang w:val="pl"/>
        </w:rPr>
        <w:t>Laundry</w:t>
      </w:r>
      <w:proofErr w:type="spellEnd"/>
      <w:r w:rsidRPr="1481C9FA">
        <w:rPr>
          <w:rFonts w:cs="Segoe UI"/>
          <w:lang w:val="pl"/>
        </w:rPr>
        <w:t xml:space="preserve"> &amp; Home </w:t>
      </w:r>
      <w:proofErr w:type="spellStart"/>
      <w:r w:rsidRPr="1481C9FA">
        <w:rPr>
          <w:rFonts w:cs="Segoe UI"/>
          <w:lang w:val="pl"/>
        </w:rPr>
        <w:t>Care</w:t>
      </w:r>
      <w:proofErr w:type="spellEnd"/>
      <w:r w:rsidRPr="1481C9FA">
        <w:rPr>
          <w:rFonts w:cs="Segoe UI"/>
          <w:lang w:val="pl"/>
        </w:rPr>
        <w:t xml:space="preserve">, podczas gdy obszar biznesowy </w:t>
      </w:r>
      <w:proofErr w:type="spellStart"/>
      <w:r w:rsidRPr="1481C9FA">
        <w:rPr>
          <w:rFonts w:cs="Segoe UI"/>
          <w:lang w:val="pl"/>
        </w:rPr>
        <w:t>Hair</w:t>
      </w:r>
      <w:proofErr w:type="spellEnd"/>
      <w:r w:rsidRPr="1481C9FA">
        <w:rPr>
          <w:rFonts w:cs="Segoe UI"/>
          <w:lang w:val="pl"/>
        </w:rPr>
        <w:t xml:space="preserve"> wykazał dobry wzrost. Wzrost sprzedaży </w:t>
      </w:r>
      <w:r w:rsidRPr="1481C9FA">
        <w:rPr>
          <w:rFonts w:cs="Segoe UI"/>
          <w:b/>
          <w:bCs/>
          <w:lang w:val="pl"/>
        </w:rPr>
        <w:t xml:space="preserve">w regionach Ameryki Północnej </w:t>
      </w:r>
      <w:r w:rsidR="50129630" w:rsidRPr="1481C9FA">
        <w:rPr>
          <w:rFonts w:cs="Segoe UI"/>
          <w:b/>
          <w:bCs/>
          <w:lang w:val="pl"/>
        </w:rPr>
        <w:t>oraz</w:t>
      </w:r>
      <w:r w:rsidRPr="1481C9FA">
        <w:rPr>
          <w:rFonts w:cs="Segoe UI"/>
          <w:b/>
          <w:bCs/>
          <w:lang w:val="pl"/>
        </w:rPr>
        <w:t xml:space="preserve"> Azji</w:t>
      </w:r>
      <w:r w:rsidR="712C8449" w:rsidRPr="1481C9FA">
        <w:rPr>
          <w:rFonts w:cs="Segoe UI"/>
          <w:b/>
          <w:bCs/>
          <w:lang w:val="pl"/>
        </w:rPr>
        <w:t xml:space="preserve"> i </w:t>
      </w:r>
      <w:r w:rsidRPr="1481C9FA">
        <w:rPr>
          <w:rFonts w:cs="Segoe UI"/>
          <w:b/>
          <w:bCs/>
          <w:lang w:val="pl"/>
        </w:rPr>
        <w:t>Pacyfiku</w:t>
      </w:r>
      <w:r w:rsidRPr="1481C9FA">
        <w:rPr>
          <w:rFonts w:cs="Segoe UI"/>
          <w:lang w:val="pl"/>
        </w:rPr>
        <w:t xml:space="preserve"> był niższy niż w roku poprzednim we wszystkich obszarach biznesowych. Wyniki </w:t>
      </w:r>
      <w:r w:rsidRPr="1481C9FA">
        <w:rPr>
          <w:rFonts w:cs="Segoe UI"/>
          <w:b/>
          <w:bCs/>
          <w:lang w:val="pl"/>
        </w:rPr>
        <w:t>regionu Ameryki Łacińskiej</w:t>
      </w:r>
      <w:r w:rsidRPr="1481C9FA">
        <w:rPr>
          <w:rFonts w:cs="Segoe UI"/>
          <w:lang w:val="pl"/>
        </w:rPr>
        <w:t xml:space="preserve"> jako całości były niższe niż w analogicznym okresie poprzedniego roku z powodu sytuacji w obszarze biznesowym </w:t>
      </w:r>
      <w:proofErr w:type="spellStart"/>
      <w:r w:rsidRPr="1481C9FA">
        <w:rPr>
          <w:rFonts w:cs="Segoe UI"/>
          <w:lang w:val="pl"/>
        </w:rPr>
        <w:t>Laundry</w:t>
      </w:r>
      <w:proofErr w:type="spellEnd"/>
      <w:r w:rsidRPr="1481C9FA">
        <w:rPr>
          <w:rFonts w:cs="Segoe UI"/>
          <w:lang w:val="pl"/>
        </w:rPr>
        <w:t xml:space="preserve"> &amp; Home </w:t>
      </w:r>
      <w:proofErr w:type="spellStart"/>
      <w:r w:rsidRPr="1481C9FA">
        <w:rPr>
          <w:rFonts w:cs="Segoe UI"/>
          <w:lang w:val="pl"/>
        </w:rPr>
        <w:t>Care</w:t>
      </w:r>
      <w:proofErr w:type="spellEnd"/>
      <w:r w:rsidRPr="1481C9FA">
        <w:rPr>
          <w:rFonts w:cs="Segoe UI"/>
          <w:lang w:val="pl"/>
        </w:rPr>
        <w:t xml:space="preserve">. Obszar biznesowy </w:t>
      </w:r>
      <w:proofErr w:type="spellStart"/>
      <w:r w:rsidRPr="1481C9FA">
        <w:rPr>
          <w:rFonts w:cs="Segoe UI"/>
          <w:lang w:val="pl"/>
        </w:rPr>
        <w:t>Hair</w:t>
      </w:r>
      <w:proofErr w:type="spellEnd"/>
      <w:r w:rsidRPr="1481C9FA">
        <w:rPr>
          <w:rFonts w:cs="Segoe UI"/>
          <w:lang w:val="pl"/>
        </w:rPr>
        <w:t xml:space="preserve"> odnotował natomiast bardzo silną organiczną dynamikę sprzedaży.</w:t>
      </w:r>
    </w:p>
    <w:p w14:paraId="38B7E652" w14:textId="28BC8BF6" w:rsidR="13E06C38" w:rsidRPr="00A36941" w:rsidRDefault="13E06C38" w:rsidP="1481C9FA">
      <w:pPr>
        <w:rPr>
          <w:rFonts w:cs="Segoe UI"/>
          <w:lang w:val="pl"/>
        </w:rPr>
      </w:pPr>
    </w:p>
    <w:p w14:paraId="489B6C9A" w14:textId="30410892" w:rsidR="13E06C38" w:rsidRPr="00A36941" w:rsidRDefault="76A7FD6C" w:rsidP="1481C9FA">
      <w:pPr>
        <w:rPr>
          <w:rFonts w:cs="Segoe UI"/>
          <w:b/>
          <w:bCs/>
          <w:lang w:val="pl"/>
        </w:rPr>
      </w:pPr>
      <w:r w:rsidRPr="1481C9FA">
        <w:rPr>
          <w:rFonts w:cs="Segoe UI"/>
          <w:b/>
          <w:bCs/>
          <w:lang w:val="pl"/>
        </w:rPr>
        <w:t>Sytuacja majątkowa i finansowa Grupy</w:t>
      </w:r>
    </w:p>
    <w:p w14:paraId="36B92AA2" w14:textId="21781BFC" w:rsidR="13E06C38" w:rsidRPr="009E2D0F" w:rsidRDefault="76A7FD6C" w:rsidP="1481C9FA">
      <w:pPr>
        <w:rPr>
          <w:lang w:val="pl-PL"/>
        </w:rPr>
      </w:pPr>
      <w:r w:rsidRPr="1481C9FA">
        <w:rPr>
          <w:rFonts w:cs="Segoe UI"/>
          <w:lang w:val="pl"/>
        </w:rPr>
        <w:t>W porównaniu ze stanem z 31 grudnia 2024 roku, w analizowanym okresie nie wystąpiły istotne zmiany w aktywach netto i sytuacji finansowej Grupy.</w:t>
      </w:r>
    </w:p>
    <w:p w14:paraId="034553BD" w14:textId="657599E9" w:rsidR="13E06C38" w:rsidRPr="009E2D0F" w:rsidRDefault="76A7FD6C" w:rsidP="1481C9FA">
      <w:pPr>
        <w:rPr>
          <w:lang w:val="pl-PL"/>
        </w:rPr>
      </w:pPr>
      <w:r w:rsidRPr="1481C9FA">
        <w:rPr>
          <w:rFonts w:cs="Segoe UI"/>
          <w:lang w:val="pl"/>
        </w:rPr>
        <w:t xml:space="preserve"> </w:t>
      </w:r>
    </w:p>
    <w:p w14:paraId="1D71AECA" w14:textId="2BE4C2D7" w:rsidR="13E06C38" w:rsidRPr="00A36941" w:rsidRDefault="76A7FD6C" w:rsidP="1481C9FA">
      <w:pPr>
        <w:rPr>
          <w:rFonts w:cs="Segoe UI"/>
          <w:b/>
          <w:bCs/>
          <w:lang w:val="pl"/>
        </w:rPr>
      </w:pPr>
      <w:r w:rsidRPr="1481C9FA">
        <w:rPr>
          <w:rFonts w:cs="Segoe UI"/>
          <w:b/>
          <w:bCs/>
          <w:lang w:val="pl"/>
        </w:rPr>
        <w:t>Prognoza dla Grupy Henkel</w:t>
      </w:r>
    </w:p>
    <w:p w14:paraId="65D5B6CD" w14:textId="0F49B6CA" w:rsidR="13E06C38" w:rsidRPr="009E2D0F" w:rsidRDefault="76A7FD6C" w:rsidP="1481C9FA">
      <w:pPr>
        <w:rPr>
          <w:lang w:val="pl-PL"/>
        </w:rPr>
      </w:pPr>
      <w:r w:rsidRPr="1481C9FA">
        <w:rPr>
          <w:rFonts w:cs="Segoe UI"/>
          <w:lang w:val="pl"/>
        </w:rPr>
        <w:t xml:space="preserve">Na bieżący rok Henkel w dalszym ciągu oczekuje </w:t>
      </w:r>
      <w:r w:rsidRPr="1481C9FA">
        <w:rPr>
          <w:rFonts w:cs="Segoe UI"/>
          <w:b/>
          <w:bCs/>
          <w:lang w:val="pl"/>
        </w:rPr>
        <w:t>wzrostu sprzedaży w ujęciu organicznym</w:t>
      </w:r>
      <w:r w:rsidRPr="1481C9FA">
        <w:rPr>
          <w:rFonts w:cs="Segoe UI"/>
          <w:lang w:val="pl"/>
        </w:rPr>
        <w:t xml:space="preserve"> w przedziale od 1,5 do 3,5 procent. Dla sektora biznesowego </w:t>
      </w:r>
      <w:proofErr w:type="spellStart"/>
      <w:r w:rsidRPr="1481C9FA">
        <w:rPr>
          <w:rFonts w:cs="Segoe UI"/>
          <w:lang w:val="pl"/>
        </w:rPr>
        <w:t>Adhesive</w:t>
      </w:r>
      <w:proofErr w:type="spellEnd"/>
      <w:r w:rsidRPr="1481C9FA">
        <w:rPr>
          <w:rFonts w:cs="Segoe UI"/>
          <w:lang w:val="pl"/>
        </w:rPr>
        <w:t xml:space="preserve"> Technologies prognozowany jest organiczny wzrost sprzedaży w przedziale od 2,0 do 4,0 procent. Dla sektora Consumer </w:t>
      </w:r>
      <w:proofErr w:type="spellStart"/>
      <w:r w:rsidRPr="1481C9FA">
        <w:rPr>
          <w:rFonts w:cs="Segoe UI"/>
          <w:lang w:val="pl"/>
        </w:rPr>
        <w:t>Brands</w:t>
      </w:r>
      <w:proofErr w:type="spellEnd"/>
      <w:r w:rsidRPr="1481C9FA">
        <w:rPr>
          <w:rFonts w:cs="Segoe UI"/>
          <w:lang w:val="pl"/>
        </w:rPr>
        <w:t xml:space="preserve"> przewidujemy wzrost sprzedaży w ujęciu organicznym od 1,0 do 3,0 procent.</w:t>
      </w:r>
    </w:p>
    <w:p w14:paraId="7D2B44EE" w14:textId="1372C960" w:rsidR="13E06C38" w:rsidRPr="009E2D0F" w:rsidRDefault="76A7FD6C" w:rsidP="1481C9FA">
      <w:pPr>
        <w:rPr>
          <w:lang w:val="pl-PL"/>
        </w:rPr>
      </w:pPr>
      <w:r w:rsidRPr="1481C9FA">
        <w:rPr>
          <w:rFonts w:cs="Segoe UI"/>
          <w:lang w:val="pl"/>
        </w:rPr>
        <w:t xml:space="preserve"> </w:t>
      </w:r>
    </w:p>
    <w:p w14:paraId="1C3CE901" w14:textId="6708944A" w:rsidR="13E06C38" w:rsidRPr="009E2D0F" w:rsidRDefault="76A7FD6C" w:rsidP="1481C9FA">
      <w:pPr>
        <w:rPr>
          <w:lang w:val="pl-PL"/>
        </w:rPr>
      </w:pPr>
      <w:r w:rsidRPr="1481C9FA">
        <w:rPr>
          <w:rFonts w:cs="Segoe UI"/>
          <w:b/>
          <w:bCs/>
          <w:lang w:val="pl"/>
        </w:rPr>
        <w:t>Skorygowana rentowność sprzedaży (skorygowana marża EBIT)</w:t>
      </w:r>
      <w:r w:rsidRPr="1481C9FA">
        <w:rPr>
          <w:rFonts w:cs="Segoe UI"/>
          <w:lang w:val="pl"/>
        </w:rPr>
        <w:t xml:space="preserve"> wciąż oczekiwana jest w przedziale od 14,0 do 15,5 procent. Skorygowana rentowność sprzedaży dla sektora </w:t>
      </w:r>
      <w:proofErr w:type="spellStart"/>
      <w:r w:rsidRPr="1481C9FA">
        <w:rPr>
          <w:rFonts w:cs="Segoe UI"/>
          <w:lang w:val="pl"/>
        </w:rPr>
        <w:t>Adhesive</w:t>
      </w:r>
      <w:proofErr w:type="spellEnd"/>
      <w:r w:rsidRPr="1481C9FA">
        <w:rPr>
          <w:rFonts w:cs="Segoe UI"/>
          <w:lang w:val="pl"/>
        </w:rPr>
        <w:t xml:space="preserve"> </w:t>
      </w:r>
      <w:r w:rsidRPr="1481C9FA">
        <w:rPr>
          <w:rFonts w:cs="Segoe UI"/>
          <w:lang w:val="pl"/>
        </w:rPr>
        <w:lastRenderedPageBreak/>
        <w:t xml:space="preserve">Technologies przewidywana jest w przedziale od 16,0 do 17,5 procent, a dla sektora Consumer </w:t>
      </w:r>
      <w:proofErr w:type="spellStart"/>
      <w:r w:rsidRPr="1481C9FA">
        <w:rPr>
          <w:rFonts w:cs="Segoe UI"/>
          <w:lang w:val="pl"/>
        </w:rPr>
        <w:t>Brands</w:t>
      </w:r>
      <w:proofErr w:type="spellEnd"/>
      <w:r w:rsidRPr="1481C9FA">
        <w:rPr>
          <w:rFonts w:cs="Segoe UI"/>
          <w:lang w:val="pl"/>
        </w:rPr>
        <w:t xml:space="preserve"> – od 13,5 do 15,0 procent.</w:t>
      </w:r>
    </w:p>
    <w:p w14:paraId="224E56E9" w14:textId="70D14E12" w:rsidR="13E06C38" w:rsidRPr="009E2D0F" w:rsidRDefault="76A7FD6C" w:rsidP="1481C9FA">
      <w:pPr>
        <w:rPr>
          <w:lang w:val="pl-PL"/>
        </w:rPr>
      </w:pPr>
      <w:r w:rsidRPr="1481C9FA">
        <w:rPr>
          <w:rFonts w:cs="Segoe UI"/>
          <w:lang w:val="pl"/>
        </w:rPr>
        <w:t xml:space="preserve"> </w:t>
      </w:r>
    </w:p>
    <w:p w14:paraId="25AB485A" w14:textId="42BF2F15" w:rsidR="13E06C38" w:rsidRPr="009E2D0F" w:rsidRDefault="76A7FD6C" w:rsidP="1481C9FA">
      <w:pPr>
        <w:rPr>
          <w:lang w:val="pl-PL"/>
        </w:rPr>
      </w:pPr>
      <w:r w:rsidRPr="1481C9FA">
        <w:rPr>
          <w:rFonts w:cs="Segoe UI"/>
          <w:lang w:val="pl"/>
        </w:rPr>
        <w:t xml:space="preserve">Nadal oczekuje się, że </w:t>
      </w:r>
      <w:r w:rsidRPr="1481C9FA">
        <w:rPr>
          <w:rFonts w:cs="Segoe UI"/>
          <w:b/>
          <w:bCs/>
          <w:lang w:val="pl"/>
        </w:rPr>
        <w:t>skorygowany zysk na akcję uprzywilejowaną (EPS)</w:t>
      </w:r>
      <w:r w:rsidRPr="1481C9FA">
        <w:rPr>
          <w:rFonts w:cs="Segoe UI"/>
          <w:lang w:val="pl"/>
        </w:rPr>
        <w:t xml:space="preserve"> przy niezmienionych kursach walut wzrośnie w przedziale od niskiego do wysokiego jednocyfrowego procentu.</w:t>
      </w:r>
    </w:p>
    <w:p w14:paraId="702CF8D9" w14:textId="0E2E2A82" w:rsidR="13E06C38" w:rsidRPr="009E2D0F" w:rsidRDefault="76A7FD6C" w:rsidP="1481C9FA">
      <w:pPr>
        <w:rPr>
          <w:lang w:val="pl-PL"/>
        </w:rPr>
      </w:pPr>
      <w:r w:rsidRPr="1481C9FA">
        <w:rPr>
          <w:rFonts w:cs="Segoe UI"/>
          <w:lang w:val="pl"/>
        </w:rPr>
        <w:t xml:space="preserve"> </w:t>
      </w:r>
    </w:p>
    <w:p w14:paraId="137DA02A" w14:textId="264B814E" w:rsidR="13E06C38" w:rsidRPr="009E2D0F" w:rsidRDefault="76A7FD6C" w:rsidP="1481C9FA">
      <w:pPr>
        <w:rPr>
          <w:lang w:val="pl-PL"/>
        </w:rPr>
      </w:pPr>
      <w:r w:rsidRPr="1481C9FA">
        <w:rPr>
          <w:rFonts w:cs="Segoe UI"/>
          <w:lang w:val="pl"/>
        </w:rPr>
        <w:t>Ponadto, podtrzymujemy następujące oczekiwania na rok 2025:</w:t>
      </w:r>
    </w:p>
    <w:p w14:paraId="5C834E97" w14:textId="28C22BF5" w:rsidR="13E06C38" w:rsidRPr="00A36941" w:rsidRDefault="76A7FD6C" w:rsidP="1481C9FA">
      <w:pPr>
        <w:pStyle w:val="Akapitzlist"/>
        <w:numPr>
          <w:ilvl w:val="0"/>
          <w:numId w:val="1"/>
        </w:numPr>
        <w:rPr>
          <w:rFonts w:ascii="Segoe UI" w:eastAsia="Segoe UI" w:hAnsi="Segoe UI" w:cs="Segoe UI"/>
          <w:lang w:val="pl"/>
        </w:rPr>
      </w:pPr>
      <w:r w:rsidRPr="1481C9FA">
        <w:rPr>
          <w:rFonts w:ascii="Segoe UI" w:eastAsia="Segoe UI" w:hAnsi="Segoe UI" w:cs="Segoe UI"/>
          <w:lang w:val="pl"/>
        </w:rPr>
        <w:t>Transakcje przejęć/zbycia aktywów: negatywny wpływ na poziomie niskiego jednocyfrowego procentu na wzrost sprzedaży w ujęciu nominalnym</w:t>
      </w:r>
    </w:p>
    <w:p w14:paraId="49C33C5C" w14:textId="4ECE8B4C" w:rsidR="13E06C38" w:rsidRPr="00A36941" w:rsidRDefault="76A7FD6C" w:rsidP="1481C9FA">
      <w:pPr>
        <w:pStyle w:val="Akapitzlist"/>
        <w:numPr>
          <w:ilvl w:val="0"/>
          <w:numId w:val="1"/>
        </w:numPr>
        <w:rPr>
          <w:rFonts w:ascii="Segoe UI" w:eastAsia="Segoe UI" w:hAnsi="Segoe UI" w:cs="Segoe UI"/>
          <w:lang w:val="pl"/>
        </w:rPr>
      </w:pPr>
      <w:r w:rsidRPr="1481C9FA">
        <w:rPr>
          <w:rFonts w:ascii="Segoe UI" w:eastAsia="Segoe UI" w:hAnsi="Segoe UI" w:cs="Segoe UI"/>
          <w:lang w:val="pl"/>
        </w:rPr>
        <w:t>Przeliczenie sprzedaży w walutach obcych: neutralny do negatywnego wpływ w przedziale niskiego jednocyfrowego procentu</w:t>
      </w:r>
    </w:p>
    <w:p w14:paraId="4EB60C01" w14:textId="5BD73E45" w:rsidR="13E06C38" w:rsidRPr="00A36941" w:rsidRDefault="76A7FD6C" w:rsidP="1481C9FA">
      <w:pPr>
        <w:pStyle w:val="Akapitzlist"/>
        <w:numPr>
          <w:ilvl w:val="0"/>
          <w:numId w:val="1"/>
        </w:numPr>
        <w:rPr>
          <w:rFonts w:ascii="Segoe UI" w:eastAsia="Segoe UI" w:hAnsi="Segoe UI" w:cs="Segoe UI"/>
          <w:lang w:val="pl"/>
        </w:rPr>
      </w:pPr>
      <w:r w:rsidRPr="1481C9FA">
        <w:rPr>
          <w:rFonts w:ascii="Segoe UI" w:eastAsia="Segoe UI" w:hAnsi="Segoe UI" w:cs="Segoe UI"/>
          <w:lang w:val="pl"/>
        </w:rPr>
        <w:t>Ceny materiałów bezpośrednich: wzrost w niskim do średniego jednocyfrowego procentu w porównaniu do średniej z poprzedniego roku</w:t>
      </w:r>
    </w:p>
    <w:p w14:paraId="57D46ACF" w14:textId="6C063D84" w:rsidR="13E06C38" w:rsidRPr="00A36941" w:rsidRDefault="76A7FD6C" w:rsidP="1481C9FA">
      <w:pPr>
        <w:pStyle w:val="Akapitzlist"/>
        <w:numPr>
          <w:ilvl w:val="0"/>
          <w:numId w:val="1"/>
        </w:numPr>
        <w:rPr>
          <w:rFonts w:ascii="Segoe UI" w:eastAsia="Segoe UI" w:hAnsi="Segoe UI" w:cs="Segoe UI"/>
          <w:lang w:val="pl"/>
        </w:rPr>
      </w:pPr>
      <w:r w:rsidRPr="1481C9FA">
        <w:rPr>
          <w:rFonts w:ascii="Segoe UI" w:eastAsia="Segoe UI" w:hAnsi="Segoe UI" w:cs="Segoe UI"/>
          <w:lang w:val="pl"/>
        </w:rPr>
        <w:t>Koszty restrukturyzacji od 200 do 250 mln euro</w:t>
      </w:r>
    </w:p>
    <w:p w14:paraId="0592BF94" w14:textId="262228B9" w:rsidR="13E06C38" w:rsidRPr="00A36941" w:rsidRDefault="76A7FD6C" w:rsidP="1481C9FA">
      <w:pPr>
        <w:pStyle w:val="Akapitzlist"/>
        <w:numPr>
          <w:ilvl w:val="0"/>
          <w:numId w:val="1"/>
        </w:numPr>
        <w:rPr>
          <w:rFonts w:ascii="Segoe UI" w:eastAsia="Segoe UI" w:hAnsi="Segoe UI" w:cs="Segoe UI"/>
          <w:lang w:val="pl"/>
        </w:rPr>
      </w:pPr>
      <w:r w:rsidRPr="1481C9FA">
        <w:rPr>
          <w:rFonts w:ascii="Segoe UI" w:eastAsia="Segoe UI" w:hAnsi="Segoe UI" w:cs="Segoe UI"/>
          <w:lang w:val="pl"/>
        </w:rPr>
        <w:t>Wydatki inwestycyjne na rzeczowe aktywa trwałe i wartości niematerialne w przedziale od 650 do 750 mln euro</w:t>
      </w:r>
    </w:p>
    <w:p w14:paraId="40B60882" w14:textId="7FC09A50" w:rsidR="13E06C38" w:rsidRPr="00A36941" w:rsidRDefault="13E06C38" w:rsidP="1481C9FA">
      <w:pPr>
        <w:rPr>
          <w:lang w:val="pl-PL"/>
        </w:rPr>
      </w:pPr>
      <w:r w:rsidRPr="1481C9FA">
        <w:rPr>
          <w:rFonts w:cs="Segoe UI"/>
          <w:lang w:val="pl"/>
        </w:rPr>
        <w:t xml:space="preserve"> </w:t>
      </w:r>
    </w:p>
    <w:p w14:paraId="3F4A5D51" w14:textId="42F9AB61" w:rsidR="7C05DB7B" w:rsidRPr="00A36941" w:rsidRDefault="7C05DB7B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Niniejszy dokument zawiera stwierdzenia dotyczące przyszłego rozwoju działalności, wyników finansowych i innych zdarzeń mających znaczenie dla Henkel, które mogą stanowić stwierdzenia dotyczące przyszłości. Stwierdzenia odnoszące się do przyszłości charakteryzują się użyciem słów takich, jak „oczekiwać”, „zamierzać”, „planować”, „przewidywać”, „uważać”, „szacować" i podobnych wyrażeń. Stwierdzenia te sformułowane są na podstawie aktualnych założeń i szacunków zarządu Henkel AG &amp; Co. </w:t>
      </w:r>
      <w:proofErr w:type="spellStart"/>
      <w:r w:rsidRPr="7D5A668B">
        <w:rPr>
          <w:rFonts w:cs="Segoe UI"/>
          <w:lang w:val="pl"/>
        </w:rPr>
        <w:t>KGaA</w:t>
      </w:r>
      <w:proofErr w:type="spellEnd"/>
      <w:r w:rsidRPr="7D5A668B">
        <w:rPr>
          <w:rFonts w:cs="Segoe UI"/>
          <w:lang w:val="pl"/>
        </w:rPr>
        <w:t xml:space="preserve">. Stwierdzeń dotyczących przyszłości nie należy jednak traktować jako gwarancji, że określone założenia czy oczekiwania okażą się trafne. Faktyczne przyszłe wyniki spółki Henkel AG &amp; Co. </w:t>
      </w:r>
      <w:proofErr w:type="spellStart"/>
      <w:r w:rsidRPr="7D5A668B">
        <w:rPr>
          <w:rFonts w:cs="Segoe UI"/>
          <w:lang w:val="pl"/>
        </w:rPr>
        <w:t>KGaA</w:t>
      </w:r>
      <w:proofErr w:type="spellEnd"/>
      <w:r w:rsidRPr="7D5A668B">
        <w:rPr>
          <w:rFonts w:cs="Segoe UI"/>
          <w:lang w:val="pl"/>
        </w:rPr>
        <w:t xml:space="preserve"> i jej podmiotów powiązanych uzależnione są od szeregu czynników ryzyka i niepewności, w związku z czym mogą one istotnie odbiegać (in plus lub in minus) od wyników wskazanych w stwierdzeniach dotyczących przyszłości. Na wiele z tych czynników, np. przyszłą sytuację gospodarczą czy działania konkurencji i innych uczestników rynku, Henkel nie ma wpływu, a ich dokładne przewidzenie nie jest możliwe. Henkel nie zamierza ani nie podejmuje się aktualizować stwierdzeń dotyczących przyszłości.</w:t>
      </w:r>
    </w:p>
    <w:p w14:paraId="04270826" w14:textId="12AFA063" w:rsidR="7C05DB7B" w:rsidRPr="00A36941" w:rsidRDefault="7C05DB7B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6A587D4B" w14:textId="4BE88668" w:rsidR="7C05DB7B" w:rsidRPr="00A36941" w:rsidRDefault="7C05DB7B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Niniejszy dokument zawiera dodatkowe wskaźniki finansowe, które nie zostały zdefiniowane wyraźnie w obowiązujących zasadach sprawozdawczości finansowej i które stanowią lub mogą stanowić alternatywne mierniki wyników. Takie dodatkowe wskaźniki finansowe nie powinny być analizowane w oderwaniu od wskaźników prezentujących aktywa netto, sytuację finansową lub wyniki działalności Henkel, które zostały przedstawione zgodnie z obowiązującymi </w:t>
      </w:r>
      <w:r w:rsidRPr="7D5A668B">
        <w:rPr>
          <w:rFonts w:cs="Segoe UI"/>
          <w:lang w:val="pl"/>
        </w:rPr>
        <w:lastRenderedPageBreak/>
        <w:t>zasadami sprawozdawczości finansowej w skonsolidowanym sprawozdaniu finansowym spółki, ani traktowane jako alternatywa dla tych wskaźników. Podobnie nazwane Alternatywne Pomiary Wyników podawane lub opisywane przez inne spółki mogą być obliczane w inny sposób.</w:t>
      </w:r>
    </w:p>
    <w:p w14:paraId="029DE615" w14:textId="59D272BD" w:rsidR="7C05DB7B" w:rsidRPr="00A36941" w:rsidRDefault="7C05DB7B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5CBADECD" w14:textId="68AE90A1" w:rsidR="7C05DB7B" w:rsidRPr="00A36941" w:rsidRDefault="7C05DB7B" w:rsidP="7D5A668B">
      <w:pPr>
        <w:rPr>
          <w:lang w:val="pl-PL"/>
        </w:rPr>
      </w:pPr>
      <w:r w:rsidRPr="7D5A668B">
        <w:rPr>
          <w:rFonts w:cs="Segoe UI"/>
          <w:lang w:val="pl"/>
        </w:rPr>
        <w:t>Niniejszy dokument ma charakter wyłącznie informacyjny i nie stanowi porady inwestycyjnej ani oferty sprzedaży lub zaproszenia do składania ofert nabycia jakichkolwiek papierów wartościowych.</w:t>
      </w:r>
    </w:p>
    <w:p w14:paraId="5B102E2F" w14:textId="63C0C134" w:rsidR="4C31A228" w:rsidRDefault="4C31A228" w:rsidP="4C31A228">
      <w:pPr>
        <w:rPr>
          <w:rFonts w:cs="Segoe UI"/>
          <w:i/>
          <w:iCs/>
          <w:lang w:val="pl"/>
        </w:rPr>
      </w:pPr>
    </w:p>
    <w:p w14:paraId="4BAEBAB0" w14:textId="418FCE0F" w:rsidR="4C31A228" w:rsidRDefault="4C31A228" w:rsidP="4C31A228">
      <w:pPr>
        <w:rPr>
          <w:rFonts w:cs="Segoe UI"/>
          <w:lang w:val="pl"/>
        </w:rPr>
      </w:pPr>
    </w:p>
    <w:p w14:paraId="550A439C" w14:textId="264182C4" w:rsidR="00222D99" w:rsidRPr="0031688F" w:rsidRDefault="001948C3" w:rsidP="00E72E7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***</w:t>
      </w:r>
    </w:p>
    <w:p w14:paraId="1262BC09" w14:textId="77777777" w:rsidR="00E72E7D" w:rsidRPr="0031688F" w:rsidRDefault="00E72E7D" w:rsidP="00E72E7D">
      <w:pPr>
        <w:rPr>
          <w:rStyle w:val="AboutandContactBody"/>
          <w:rFonts w:cs="Segoe UI"/>
          <w:lang w:val="pl-PL"/>
        </w:rPr>
      </w:pPr>
    </w:p>
    <w:p w14:paraId="6152EAF1" w14:textId="77777777" w:rsidR="0011587F" w:rsidRPr="00305A0E" w:rsidRDefault="0011587F" w:rsidP="0011587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450C0647" w14:textId="7282FC86" w:rsidR="0011587F" w:rsidRDefault="0011587F" w:rsidP="0011587F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środków piorących i czystości</w:t>
      </w:r>
      <w:r w:rsidR="00D82CDE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oraz </w:t>
      </w:r>
      <w:r w:rsidR="00D82CDE"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produktów do pielęgnacji włosów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. Trzy najsilniejsze marki to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Loctite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, Persil i Schwarzkopf. W </w:t>
      </w:r>
      <w:r w:rsidR="00D82CDE"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202</w:t>
      </w:r>
      <w:r w:rsidR="00D82CDE">
        <w:rPr>
          <w:rFonts w:eastAsia="Segoe UI" w:cs="Segoe UI"/>
          <w:color w:val="000000" w:themeColor="text1"/>
          <w:sz w:val="18"/>
          <w:szCs w:val="18"/>
          <w:lang w:val="pl-PL"/>
        </w:rPr>
        <w:t>4</w:t>
      </w:r>
      <w:r w:rsidR="00D82CDE"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roku Henkel odnotował przychody ze sprzedaży na poziomie 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</w:t>
      </w:r>
      <w:r w:rsidR="00D82CDE">
        <w:rPr>
          <w:rFonts w:eastAsia="Segoe UI" w:cs="Segoe UI"/>
          <w:color w:val="000000" w:themeColor="text1"/>
          <w:sz w:val="18"/>
          <w:szCs w:val="18"/>
          <w:lang w:val="pl-PL"/>
        </w:rPr>
        <w:t>2,1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mld euro. Akcje uprzywilejowane spółki wchodzą w skład niemieckiego indeksu giełdowego DAX. Firma posiada jasną strategię zrównoważonego rozwoju z konkretnymi celami, a idea ta ma w Henklu długą tradycję. Firma założona w 1876 zatrudnia dziś </w:t>
      </w:r>
      <w:r w:rsidR="00D82CDE">
        <w:rPr>
          <w:rFonts w:eastAsia="Segoe UI" w:cs="Segoe UI"/>
          <w:color w:val="000000" w:themeColor="text1"/>
          <w:sz w:val="18"/>
          <w:szCs w:val="18"/>
          <w:lang w:val="pl-PL"/>
        </w:rPr>
        <w:t>47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tysięcy pracowników na całym świecie, tworzących zaangażowany i zróżnicowany zespół o silnej kulturze korporacyjnej, wspólnym systemie wartości i motcie: „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  Więcej informacji na </w:t>
      </w:r>
      <w:r w:rsidRPr="115B9FC8">
        <w:rPr>
          <w:rStyle w:val="Hipercze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ipercze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66E0F15C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1" w:history="1">
        <w:r w:rsidR="002E1EEF"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1B9E80E2" w:rsidR="00A44946" w:rsidRPr="00673119" w:rsidRDefault="0A789B3D" w:rsidP="4C31A228">
      <w:pPr>
        <w:rPr>
          <w:sz w:val="18"/>
          <w:szCs w:val="18"/>
          <w:lang w:val="pl-PL"/>
        </w:rPr>
      </w:pPr>
      <w:bookmarkStart w:id="1" w:name="_Hlk118882618"/>
      <w:r w:rsidRPr="4C31A228">
        <w:rPr>
          <w:sz w:val="18"/>
          <w:szCs w:val="18"/>
          <w:lang w:val="pl-PL"/>
        </w:rPr>
        <w:t>Dorota Strosznajder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23108B95" w:rsidRPr="4C31A228">
        <w:rPr>
          <w:sz w:val="18"/>
          <w:szCs w:val="18"/>
          <w:lang w:val="pl-PL"/>
        </w:rPr>
        <w:t>Marta Wasilak</w:t>
      </w:r>
      <w:r w:rsidR="616EDED9" w:rsidRPr="4C31A228">
        <w:rPr>
          <w:sz w:val="18"/>
          <w:szCs w:val="18"/>
          <w:lang w:val="pl-PL"/>
        </w:rPr>
        <w:t xml:space="preserve"> </w:t>
      </w:r>
    </w:p>
    <w:p w14:paraId="0BDB8261" w14:textId="23E656A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  <w:lang w:val="pl-PL"/>
        </w:rPr>
        <w:t>Henkel Polska Sp. z o.o.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777D5985" w:rsidRPr="4C31A228">
        <w:rPr>
          <w:sz w:val="18"/>
          <w:szCs w:val="18"/>
        </w:rPr>
        <w:t>Burson Poland</w:t>
      </w:r>
    </w:p>
    <w:p w14:paraId="7F2589BE" w14:textId="7007594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</w:rPr>
        <w:t>tel.: (022) 565 66 65</w:t>
      </w:r>
      <w:r w:rsidR="00A44946">
        <w:tab/>
      </w:r>
      <w:r w:rsidR="00A44946">
        <w:tab/>
      </w:r>
      <w:r w:rsidR="00A44946">
        <w:tab/>
      </w:r>
      <w:r w:rsidRPr="4C31A228">
        <w:rPr>
          <w:sz w:val="18"/>
          <w:szCs w:val="18"/>
        </w:rPr>
        <w:t>tel.: +48</w:t>
      </w:r>
      <w:r w:rsidR="67F117BF" w:rsidRPr="4C31A228">
        <w:rPr>
          <w:sz w:val="18"/>
          <w:szCs w:val="18"/>
        </w:rPr>
        <w:t xml:space="preserve"> 605 120 388</w:t>
      </w:r>
    </w:p>
    <w:p w14:paraId="5E223B4D" w14:textId="68553C51" w:rsidR="00A44946" w:rsidRPr="001E51B6" w:rsidRDefault="0A789B3D" w:rsidP="4C31A228">
      <w:pPr>
        <w:rPr>
          <w:rStyle w:val="Hipercze"/>
        </w:rPr>
      </w:pPr>
      <w:hyperlink r:id="rId12" w:history="1">
        <w:r w:rsidRPr="001E51B6">
          <w:rPr>
            <w:rStyle w:val="Hipercze"/>
          </w:rPr>
          <w:t>dorota.strosznajder@henkel.com</w:t>
        </w:r>
      </w:hyperlink>
      <w:r w:rsidRPr="4C31A228">
        <w:rPr>
          <w:sz w:val="18"/>
          <w:szCs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1"/>
      <w:r w:rsidR="002F5028">
        <w:rPr>
          <w:rStyle w:val="Hipercze"/>
        </w:rPr>
        <w:fldChar w:fldCharType="begin"/>
      </w:r>
      <w:r w:rsidR="002F5028">
        <w:rPr>
          <w:rStyle w:val="Hipercze"/>
        </w:rPr>
        <w:instrText>HYPERLINK "mailto:</w:instrText>
      </w:r>
      <w:r w:rsidR="002F5028" w:rsidRPr="002F5028">
        <w:rPr>
          <w:rStyle w:val="Hipercze"/>
        </w:rPr>
        <w:instrText>kmencina@solskipr.pl</w:instrText>
      </w:r>
      <w:r w:rsidR="002F5028">
        <w:rPr>
          <w:rStyle w:val="Hipercze"/>
        </w:rPr>
        <w:instrText>"</w:instrText>
      </w:r>
      <w:r w:rsidR="002F5028">
        <w:rPr>
          <w:rStyle w:val="Hipercze"/>
        </w:rPr>
      </w:r>
      <w:r w:rsidR="002F5028">
        <w:rPr>
          <w:rStyle w:val="Hipercze"/>
        </w:rPr>
        <w:fldChar w:fldCharType="separate"/>
      </w:r>
      <w:hyperlink r:id="rId13">
        <w:r w:rsidR="121740EF" w:rsidRPr="4C31A228">
          <w:rPr>
            <w:rStyle w:val="Hipercze"/>
          </w:rPr>
          <w:t>marta.wasilak@bursonglobal.com</w:t>
        </w:r>
      </w:hyperlink>
      <w:r w:rsidR="002F5028">
        <w:rPr>
          <w:rStyle w:val="Hipercze"/>
        </w:rPr>
        <w:fldChar w:fldCharType="end"/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A5A5C">
        <w:rPr>
          <w:rStyle w:val="AboutandContactBody"/>
        </w:rPr>
        <w:t xml:space="preserve">Henkel AG &amp; Co. </w:t>
      </w:r>
      <w:proofErr w:type="spellStart"/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  <w:proofErr w:type="spellEnd"/>
    </w:p>
    <w:sectPr w:rsidR="00112A28" w:rsidRPr="00673119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568D6" w14:textId="77777777" w:rsidR="00F77CC4" w:rsidRDefault="00F77CC4">
      <w:r>
        <w:separator/>
      </w:r>
    </w:p>
  </w:endnote>
  <w:endnote w:type="continuationSeparator" w:id="0">
    <w:p w14:paraId="2499947D" w14:textId="77777777" w:rsidR="00F77CC4" w:rsidRDefault="00F77CC4">
      <w:r>
        <w:continuationSeparator/>
      </w:r>
    </w:p>
  </w:endnote>
  <w:endnote w:type="continuationNotice" w:id="1">
    <w:p w14:paraId="2F560BA2" w14:textId="77777777" w:rsidR="00F77CC4" w:rsidRDefault="00F77C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378F" w14:textId="77777777" w:rsidR="00CF6F33" w:rsidRPr="00992A11" w:rsidRDefault="0059722C" w:rsidP="00992A11">
    <w:pPr>
      <w:pStyle w:val="Stopka"/>
    </w:pPr>
    <w:bookmarkStart w:id="2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A4E29" w14:textId="77777777" w:rsidR="00F77CC4" w:rsidRDefault="00F77CC4">
      <w:r>
        <w:separator/>
      </w:r>
    </w:p>
  </w:footnote>
  <w:footnote w:type="continuationSeparator" w:id="0">
    <w:p w14:paraId="42F0FE59" w14:textId="77777777" w:rsidR="00F77CC4" w:rsidRDefault="00F77CC4">
      <w:r>
        <w:continuationSeparator/>
      </w:r>
    </w:p>
  </w:footnote>
  <w:footnote w:type="continuationNotice" w:id="1">
    <w:p w14:paraId="535D48B1" w14:textId="77777777" w:rsidR="00F77CC4" w:rsidRDefault="00F77C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1C6488CE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0549B2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EA2A"/>
    <w:multiLevelType w:val="hybridMultilevel"/>
    <w:tmpl w:val="1C100376"/>
    <w:lvl w:ilvl="0" w:tplc="0D748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49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EB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2F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65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43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69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66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E3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2F4821"/>
    <w:multiLevelType w:val="multilevel"/>
    <w:tmpl w:val="D1E01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6BD0CB7"/>
    <w:multiLevelType w:val="hybridMultilevel"/>
    <w:tmpl w:val="816C95B8"/>
    <w:lvl w:ilvl="0" w:tplc="562AE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AB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AF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84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A2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2A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8B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A8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87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711370">
    <w:abstractNumId w:val="10"/>
  </w:num>
  <w:num w:numId="2" w16cid:durableId="780493874">
    <w:abstractNumId w:val="0"/>
  </w:num>
  <w:num w:numId="3" w16cid:durableId="694697967">
    <w:abstractNumId w:val="2"/>
  </w:num>
  <w:num w:numId="4" w16cid:durableId="1563175876">
    <w:abstractNumId w:val="1"/>
  </w:num>
  <w:num w:numId="5" w16cid:durableId="1141115785">
    <w:abstractNumId w:val="11"/>
  </w:num>
  <w:num w:numId="6" w16cid:durableId="1658344630">
    <w:abstractNumId w:val="6"/>
  </w:num>
  <w:num w:numId="7" w16cid:durableId="2132553883">
    <w:abstractNumId w:val="4"/>
  </w:num>
  <w:num w:numId="8" w16cid:durableId="545726518">
    <w:abstractNumId w:val="8"/>
  </w:num>
  <w:num w:numId="9" w16cid:durableId="541023174">
    <w:abstractNumId w:val="9"/>
  </w:num>
  <w:num w:numId="10" w16cid:durableId="930283955">
    <w:abstractNumId w:val="5"/>
  </w:num>
  <w:num w:numId="11" w16cid:durableId="1350178876">
    <w:abstractNumId w:val="3"/>
  </w:num>
  <w:num w:numId="12" w16cid:durableId="105317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4DA9"/>
    <w:rsid w:val="00015CB4"/>
    <w:rsid w:val="00020C93"/>
    <w:rsid w:val="00021C67"/>
    <w:rsid w:val="000254BA"/>
    <w:rsid w:val="00030150"/>
    <w:rsid w:val="00030557"/>
    <w:rsid w:val="00030F51"/>
    <w:rsid w:val="00031821"/>
    <w:rsid w:val="00033320"/>
    <w:rsid w:val="00035A84"/>
    <w:rsid w:val="00040CC9"/>
    <w:rsid w:val="00043B6B"/>
    <w:rsid w:val="00044D95"/>
    <w:rsid w:val="00046D38"/>
    <w:rsid w:val="00047E9A"/>
    <w:rsid w:val="0005083E"/>
    <w:rsid w:val="0005199E"/>
    <w:rsid w:val="00051E86"/>
    <w:rsid w:val="00054E71"/>
    <w:rsid w:val="00055F54"/>
    <w:rsid w:val="000575F9"/>
    <w:rsid w:val="00057EC2"/>
    <w:rsid w:val="000618FC"/>
    <w:rsid w:val="0006344D"/>
    <w:rsid w:val="000642D9"/>
    <w:rsid w:val="00067071"/>
    <w:rsid w:val="00067CC8"/>
    <w:rsid w:val="000710CB"/>
    <w:rsid w:val="000722E8"/>
    <w:rsid w:val="000747FB"/>
    <w:rsid w:val="00080D10"/>
    <w:rsid w:val="000824F5"/>
    <w:rsid w:val="0008357F"/>
    <w:rsid w:val="00091F39"/>
    <w:rsid w:val="00094547"/>
    <w:rsid w:val="000959E3"/>
    <w:rsid w:val="000A08EB"/>
    <w:rsid w:val="000A374F"/>
    <w:rsid w:val="000A4B25"/>
    <w:rsid w:val="000A5703"/>
    <w:rsid w:val="000A6233"/>
    <w:rsid w:val="000B1E5A"/>
    <w:rsid w:val="000B695A"/>
    <w:rsid w:val="000C210A"/>
    <w:rsid w:val="000C2722"/>
    <w:rsid w:val="000C4766"/>
    <w:rsid w:val="000C56DD"/>
    <w:rsid w:val="000D1672"/>
    <w:rsid w:val="000D45D3"/>
    <w:rsid w:val="000E0C03"/>
    <w:rsid w:val="000E0F43"/>
    <w:rsid w:val="000E2F62"/>
    <w:rsid w:val="000E38ED"/>
    <w:rsid w:val="000E7F24"/>
    <w:rsid w:val="000F03BE"/>
    <w:rsid w:val="000F1757"/>
    <w:rsid w:val="000F225B"/>
    <w:rsid w:val="000F7E19"/>
    <w:rsid w:val="000F7F8A"/>
    <w:rsid w:val="000F7FAF"/>
    <w:rsid w:val="00101401"/>
    <w:rsid w:val="00102014"/>
    <w:rsid w:val="001034CC"/>
    <w:rsid w:val="00104983"/>
    <w:rsid w:val="00105975"/>
    <w:rsid w:val="00111F4D"/>
    <w:rsid w:val="001120FC"/>
    <w:rsid w:val="00112A28"/>
    <w:rsid w:val="00115230"/>
    <w:rsid w:val="0011587F"/>
    <w:rsid w:val="00115B5F"/>
    <w:rsid w:val="00115E0A"/>
    <w:rsid w:val="001162B4"/>
    <w:rsid w:val="00117621"/>
    <w:rsid w:val="00122CBC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B99"/>
    <w:rsid w:val="00134354"/>
    <w:rsid w:val="001443BD"/>
    <w:rsid w:val="00144637"/>
    <w:rsid w:val="00152AE1"/>
    <w:rsid w:val="0015371E"/>
    <w:rsid w:val="001577E9"/>
    <w:rsid w:val="0016138C"/>
    <w:rsid w:val="00165F40"/>
    <w:rsid w:val="0017170F"/>
    <w:rsid w:val="001731CE"/>
    <w:rsid w:val="0017332D"/>
    <w:rsid w:val="001747EE"/>
    <w:rsid w:val="00181F01"/>
    <w:rsid w:val="00185770"/>
    <w:rsid w:val="00185F86"/>
    <w:rsid w:val="00191460"/>
    <w:rsid w:val="001948C3"/>
    <w:rsid w:val="001A09CC"/>
    <w:rsid w:val="001A591E"/>
    <w:rsid w:val="001A5A0D"/>
    <w:rsid w:val="001A61A7"/>
    <w:rsid w:val="001A65B3"/>
    <w:rsid w:val="001B10F9"/>
    <w:rsid w:val="001B7C20"/>
    <w:rsid w:val="001C0B32"/>
    <w:rsid w:val="001C1298"/>
    <w:rsid w:val="001C4BE1"/>
    <w:rsid w:val="001C6627"/>
    <w:rsid w:val="001D7ADF"/>
    <w:rsid w:val="001E0F71"/>
    <w:rsid w:val="001E1926"/>
    <w:rsid w:val="001E51B6"/>
    <w:rsid w:val="001E6D05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12488"/>
    <w:rsid w:val="002131B1"/>
    <w:rsid w:val="002169BB"/>
    <w:rsid w:val="00220628"/>
    <w:rsid w:val="00222D99"/>
    <w:rsid w:val="002248BC"/>
    <w:rsid w:val="002249D5"/>
    <w:rsid w:val="002257E4"/>
    <w:rsid w:val="002304D2"/>
    <w:rsid w:val="00234ABD"/>
    <w:rsid w:val="00236E2A"/>
    <w:rsid w:val="00237F62"/>
    <w:rsid w:val="0024103B"/>
    <w:rsid w:val="00241378"/>
    <w:rsid w:val="00242A1A"/>
    <w:rsid w:val="00243DDF"/>
    <w:rsid w:val="0024586A"/>
    <w:rsid w:val="002463D6"/>
    <w:rsid w:val="00251941"/>
    <w:rsid w:val="00252C04"/>
    <w:rsid w:val="00252CAE"/>
    <w:rsid w:val="0025410B"/>
    <w:rsid w:val="002546CD"/>
    <w:rsid w:val="00256EDB"/>
    <w:rsid w:val="00256F0C"/>
    <w:rsid w:val="00262C05"/>
    <w:rsid w:val="00264146"/>
    <w:rsid w:val="00265586"/>
    <w:rsid w:val="0027056B"/>
    <w:rsid w:val="002743D1"/>
    <w:rsid w:val="00274625"/>
    <w:rsid w:val="00281D14"/>
    <w:rsid w:val="00282C13"/>
    <w:rsid w:val="00287305"/>
    <w:rsid w:val="00290ECE"/>
    <w:rsid w:val="00292774"/>
    <w:rsid w:val="0029796C"/>
    <w:rsid w:val="00297C4B"/>
    <w:rsid w:val="002A0DF7"/>
    <w:rsid w:val="002A197E"/>
    <w:rsid w:val="002A2975"/>
    <w:rsid w:val="002A60E0"/>
    <w:rsid w:val="002A7271"/>
    <w:rsid w:val="002B2A42"/>
    <w:rsid w:val="002B2C54"/>
    <w:rsid w:val="002B547A"/>
    <w:rsid w:val="002B690C"/>
    <w:rsid w:val="002C01C3"/>
    <w:rsid w:val="002C059F"/>
    <w:rsid w:val="002C1344"/>
    <w:rsid w:val="002C252E"/>
    <w:rsid w:val="002C2E32"/>
    <w:rsid w:val="002C3681"/>
    <w:rsid w:val="002C40BB"/>
    <w:rsid w:val="002C6773"/>
    <w:rsid w:val="002D026C"/>
    <w:rsid w:val="002D12ED"/>
    <w:rsid w:val="002D2A3D"/>
    <w:rsid w:val="002D355C"/>
    <w:rsid w:val="002E0B17"/>
    <w:rsid w:val="002E1EEF"/>
    <w:rsid w:val="002E4FFB"/>
    <w:rsid w:val="002E6909"/>
    <w:rsid w:val="002E7DED"/>
    <w:rsid w:val="002F5028"/>
    <w:rsid w:val="002F6C47"/>
    <w:rsid w:val="002F7E11"/>
    <w:rsid w:val="00301E7C"/>
    <w:rsid w:val="00304087"/>
    <w:rsid w:val="00305A0E"/>
    <w:rsid w:val="00307A06"/>
    <w:rsid w:val="00310ACD"/>
    <w:rsid w:val="0031379F"/>
    <w:rsid w:val="0031688F"/>
    <w:rsid w:val="003175D4"/>
    <w:rsid w:val="00320A26"/>
    <w:rsid w:val="00321344"/>
    <w:rsid w:val="00325518"/>
    <w:rsid w:val="00325E5D"/>
    <w:rsid w:val="00326E3D"/>
    <w:rsid w:val="0033451C"/>
    <w:rsid w:val="00334798"/>
    <w:rsid w:val="00336854"/>
    <w:rsid w:val="00336DAC"/>
    <w:rsid w:val="0034015C"/>
    <w:rsid w:val="003442F4"/>
    <w:rsid w:val="00350403"/>
    <w:rsid w:val="003510AB"/>
    <w:rsid w:val="00353705"/>
    <w:rsid w:val="003562E8"/>
    <w:rsid w:val="0036357D"/>
    <w:rsid w:val="0036414A"/>
    <w:rsid w:val="003649BC"/>
    <w:rsid w:val="003650F4"/>
    <w:rsid w:val="00365E44"/>
    <w:rsid w:val="00366DE1"/>
    <w:rsid w:val="00367AA1"/>
    <w:rsid w:val="00372E36"/>
    <w:rsid w:val="00376EE9"/>
    <w:rsid w:val="00377CBB"/>
    <w:rsid w:val="003803E8"/>
    <w:rsid w:val="003839C6"/>
    <w:rsid w:val="00384EB6"/>
    <w:rsid w:val="00385185"/>
    <w:rsid w:val="003877B6"/>
    <w:rsid w:val="00393887"/>
    <w:rsid w:val="00394C6B"/>
    <w:rsid w:val="003954CB"/>
    <w:rsid w:val="003962BE"/>
    <w:rsid w:val="003977DD"/>
    <w:rsid w:val="00397BB2"/>
    <w:rsid w:val="00397F9A"/>
    <w:rsid w:val="003A192D"/>
    <w:rsid w:val="003A4E62"/>
    <w:rsid w:val="003A534B"/>
    <w:rsid w:val="003B1069"/>
    <w:rsid w:val="003B390A"/>
    <w:rsid w:val="003B4563"/>
    <w:rsid w:val="003B55CC"/>
    <w:rsid w:val="003B734D"/>
    <w:rsid w:val="003C15DE"/>
    <w:rsid w:val="003C4EB2"/>
    <w:rsid w:val="003C5573"/>
    <w:rsid w:val="003C7A7F"/>
    <w:rsid w:val="003C7E6C"/>
    <w:rsid w:val="003D1D6F"/>
    <w:rsid w:val="003E1FF2"/>
    <w:rsid w:val="003F0855"/>
    <w:rsid w:val="003F1AF3"/>
    <w:rsid w:val="003F4227"/>
    <w:rsid w:val="003F4D8D"/>
    <w:rsid w:val="003F53C8"/>
    <w:rsid w:val="003F630D"/>
    <w:rsid w:val="00400F3F"/>
    <w:rsid w:val="0040105E"/>
    <w:rsid w:val="0040199E"/>
    <w:rsid w:val="00405C2B"/>
    <w:rsid w:val="00411C0F"/>
    <w:rsid w:val="00414DC2"/>
    <w:rsid w:val="00417133"/>
    <w:rsid w:val="00422AB2"/>
    <w:rsid w:val="004237BB"/>
    <w:rsid w:val="00423BDD"/>
    <w:rsid w:val="004313E7"/>
    <w:rsid w:val="00432531"/>
    <w:rsid w:val="00433826"/>
    <w:rsid w:val="00441224"/>
    <w:rsid w:val="00442FC6"/>
    <w:rsid w:val="004431AF"/>
    <w:rsid w:val="0044763B"/>
    <w:rsid w:val="00451F34"/>
    <w:rsid w:val="00456851"/>
    <w:rsid w:val="00457938"/>
    <w:rsid w:val="004629B3"/>
    <w:rsid w:val="0046376E"/>
    <w:rsid w:val="004637A2"/>
    <w:rsid w:val="0046690F"/>
    <w:rsid w:val="00466991"/>
    <w:rsid w:val="00466E8F"/>
    <w:rsid w:val="00472568"/>
    <w:rsid w:val="00472F02"/>
    <w:rsid w:val="00472FEC"/>
    <w:rsid w:val="00475196"/>
    <w:rsid w:val="00490A03"/>
    <w:rsid w:val="00492BEF"/>
    <w:rsid w:val="00493327"/>
    <w:rsid w:val="00494DBE"/>
    <w:rsid w:val="00495CE6"/>
    <w:rsid w:val="004A323C"/>
    <w:rsid w:val="004B54E8"/>
    <w:rsid w:val="004B6E52"/>
    <w:rsid w:val="004C1FE5"/>
    <w:rsid w:val="004C486F"/>
    <w:rsid w:val="004C4FEB"/>
    <w:rsid w:val="004C6B79"/>
    <w:rsid w:val="004D059B"/>
    <w:rsid w:val="004D4CB6"/>
    <w:rsid w:val="004D6864"/>
    <w:rsid w:val="004E0870"/>
    <w:rsid w:val="004E2A7B"/>
    <w:rsid w:val="004E3341"/>
    <w:rsid w:val="004E4670"/>
    <w:rsid w:val="004E7C08"/>
    <w:rsid w:val="004F10C1"/>
    <w:rsid w:val="004F1C1B"/>
    <w:rsid w:val="004F47BB"/>
    <w:rsid w:val="004F6913"/>
    <w:rsid w:val="00502E62"/>
    <w:rsid w:val="00504452"/>
    <w:rsid w:val="005058C2"/>
    <w:rsid w:val="00506B8A"/>
    <w:rsid w:val="005100D0"/>
    <w:rsid w:val="00511055"/>
    <w:rsid w:val="00517C7E"/>
    <w:rsid w:val="0052212B"/>
    <w:rsid w:val="00522A75"/>
    <w:rsid w:val="0053003B"/>
    <w:rsid w:val="00531B98"/>
    <w:rsid w:val="00532401"/>
    <w:rsid w:val="00534B46"/>
    <w:rsid w:val="00540358"/>
    <w:rsid w:val="0054050F"/>
    <w:rsid w:val="00540D47"/>
    <w:rsid w:val="00546590"/>
    <w:rsid w:val="005503BC"/>
    <w:rsid w:val="00550864"/>
    <w:rsid w:val="00552667"/>
    <w:rsid w:val="00553289"/>
    <w:rsid w:val="005555DA"/>
    <w:rsid w:val="0055571E"/>
    <w:rsid w:val="00556F67"/>
    <w:rsid w:val="00566717"/>
    <w:rsid w:val="005833F0"/>
    <w:rsid w:val="005855C9"/>
    <w:rsid w:val="00586CAF"/>
    <w:rsid w:val="005873E9"/>
    <w:rsid w:val="00587B06"/>
    <w:rsid w:val="00590A54"/>
    <w:rsid w:val="005910C8"/>
    <w:rsid w:val="00591180"/>
    <w:rsid w:val="00594841"/>
    <w:rsid w:val="00596C5C"/>
    <w:rsid w:val="0059722C"/>
    <w:rsid w:val="00597D07"/>
    <w:rsid w:val="005A208B"/>
    <w:rsid w:val="005A3846"/>
    <w:rsid w:val="005A6B70"/>
    <w:rsid w:val="005B1F0C"/>
    <w:rsid w:val="005B6A58"/>
    <w:rsid w:val="005C7112"/>
    <w:rsid w:val="005D0561"/>
    <w:rsid w:val="005D05BA"/>
    <w:rsid w:val="005D0AD9"/>
    <w:rsid w:val="005D164B"/>
    <w:rsid w:val="005D22F6"/>
    <w:rsid w:val="005D6D17"/>
    <w:rsid w:val="005D7D2A"/>
    <w:rsid w:val="005E0C30"/>
    <w:rsid w:val="005E1C59"/>
    <w:rsid w:val="005E2687"/>
    <w:rsid w:val="005E69D9"/>
    <w:rsid w:val="005E7CB2"/>
    <w:rsid w:val="005F27F4"/>
    <w:rsid w:val="005F3239"/>
    <w:rsid w:val="005F6098"/>
    <w:rsid w:val="005F6567"/>
    <w:rsid w:val="005F712B"/>
    <w:rsid w:val="006056A5"/>
    <w:rsid w:val="006064C2"/>
    <w:rsid w:val="00607256"/>
    <w:rsid w:val="00610998"/>
    <w:rsid w:val="006144B1"/>
    <w:rsid w:val="006149B7"/>
    <w:rsid w:val="0063067F"/>
    <w:rsid w:val="006335F1"/>
    <w:rsid w:val="006345B6"/>
    <w:rsid w:val="00635712"/>
    <w:rsid w:val="00635825"/>
    <w:rsid w:val="0063762D"/>
    <w:rsid w:val="00643726"/>
    <w:rsid w:val="00643D8A"/>
    <w:rsid w:val="006513EB"/>
    <w:rsid w:val="00652229"/>
    <w:rsid w:val="00652434"/>
    <w:rsid w:val="00652793"/>
    <w:rsid w:val="006626CA"/>
    <w:rsid w:val="00663487"/>
    <w:rsid w:val="00663A1A"/>
    <w:rsid w:val="00672382"/>
    <w:rsid w:val="00673119"/>
    <w:rsid w:val="0067333E"/>
    <w:rsid w:val="00674604"/>
    <w:rsid w:val="00675822"/>
    <w:rsid w:val="006801FB"/>
    <w:rsid w:val="0068090F"/>
    <w:rsid w:val="00682643"/>
    <w:rsid w:val="00682EB9"/>
    <w:rsid w:val="0068441A"/>
    <w:rsid w:val="00684750"/>
    <w:rsid w:val="00686750"/>
    <w:rsid w:val="00690999"/>
    <w:rsid w:val="00690B19"/>
    <w:rsid w:val="00695F01"/>
    <w:rsid w:val="006A0A3C"/>
    <w:rsid w:val="006A5343"/>
    <w:rsid w:val="006A5A5C"/>
    <w:rsid w:val="006A79F0"/>
    <w:rsid w:val="006B47EE"/>
    <w:rsid w:val="006B499F"/>
    <w:rsid w:val="006C0E4D"/>
    <w:rsid w:val="006C1366"/>
    <w:rsid w:val="006C3256"/>
    <w:rsid w:val="006D1FEC"/>
    <w:rsid w:val="006D4996"/>
    <w:rsid w:val="006D54AB"/>
    <w:rsid w:val="006D5B85"/>
    <w:rsid w:val="006D713E"/>
    <w:rsid w:val="006D735F"/>
    <w:rsid w:val="006E08CE"/>
    <w:rsid w:val="006E2EE6"/>
    <w:rsid w:val="006E3006"/>
    <w:rsid w:val="006E5032"/>
    <w:rsid w:val="006E52D2"/>
    <w:rsid w:val="006E5BDA"/>
    <w:rsid w:val="006F0FA6"/>
    <w:rsid w:val="006F0FC7"/>
    <w:rsid w:val="006F39A9"/>
    <w:rsid w:val="006F62C8"/>
    <w:rsid w:val="006F670F"/>
    <w:rsid w:val="00700ECB"/>
    <w:rsid w:val="00702028"/>
    <w:rsid w:val="00703272"/>
    <w:rsid w:val="00704EAE"/>
    <w:rsid w:val="0070733C"/>
    <w:rsid w:val="00710C5D"/>
    <w:rsid w:val="0071152A"/>
    <w:rsid w:val="00712ED3"/>
    <w:rsid w:val="00713311"/>
    <w:rsid w:val="0071348C"/>
    <w:rsid w:val="00714CFC"/>
    <w:rsid w:val="00717273"/>
    <w:rsid w:val="0071780D"/>
    <w:rsid w:val="00717A1D"/>
    <w:rsid w:val="00717AB8"/>
    <w:rsid w:val="00720FD4"/>
    <w:rsid w:val="00724AF2"/>
    <w:rsid w:val="00725122"/>
    <w:rsid w:val="0073096C"/>
    <w:rsid w:val="0073709E"/>
    <w:rsid w:val="00740683"/>
    <w:rsid w:val="00742398"/>
    <w:rsid w:val="007507B5"/>
    <w:rsid w:val="0075091D"/>
    <w:rsid w:val="00753A24"/>
    <w:rsid w:val="0076348D"/>
    <w:rsid w:val="00767327"/>
    <w:rsid w:val="00772188"/>
    <w:rsid w:val="007813D0"/>
    <w:rsid w:val="007844F9"/>
    <w:rsid w:val="00784636"/>
    <w:rsid w:val="00784DA7"/>
    <w:rsid w:val="00785993"/>
    <w:rsid w:val="007866E2"/>
    <w:rsid w:val="00786BA3"/>
    <w:rsid w:val="0079202F"/>
    <w:rsid w:val="00795AF2"/>
    <w:rsid w:val="007A2AAD"/>
    <w:rsid w:val="007A4432"/>
    <w:rsid w:val="007A5257"/>
    <w:rsid w:val="007A576B"/>
    <w:rsid w:val="007A7140"/>
    <w:rsid w:val="007A784E"/>
    <w:rsid w:val="007A7ABC"/>
    <w:rsid w:val="007A7BB0"/>
    <w:rsid w:val="007B2B86"/>
    <w:rsid w:val="007B499C"/>
    <w:rsid w:val="007B4D4B"/>
    <w:rsid w:val="007B553E"/>
    <w:rsid w:val="007B69F9"/>
    <w:rsid w:val="007C0085"/>
    <w:rsid w:val="007C4963"/>
    <w:rsid w:val="007C6D1A"/>
    <w:rsid w:val="007D065A"/>
    <w:rsid w:val="007D2A02"/>
    <w:rsid w:val="007D2C3F"/>
    <w:rsid w:val="007E6EA1"/>
    <w:rsid w:val="007F0F63"/>
    <w:rsid w:val="007F2B1E"/>
    <w:rsid w:val="007F62B4"/>
    <w:rsid w:val="007F7CC8"/>
    <w:rsid w:val="00801517"/>
    <w:rsid w:val="00807FA4"/>
    <w:rsid w:val="008174D6"/>
    <w:rsid w:val="00817AE8"/>
    <w:rsid w:val="00817DE8"/>
    <w:rsid w:val="00822876"/>
    <w:rsid w:val="008229F5"/>
    <w:rsid w:val="0082307B"/>
    <w:rsid w:val="00824C3B"/>
    <w:rsid w:val="0082699A"/>
    <w:rsid w:val="00832C4C"/>
    <w:rsid w:val="00833CEB"/>
    <w:rsid w:val="00833EA1"/>
    <w:rsid w:val="008359DB"/>
    <w:rsid w:val="008372D2"/>
    <w:rsid w:val="008377BC"/>
    <w:rsid w:val="00842819"/>
    <w:rsid w:val="00842DB3"/>
    <w:rsid w:val="00844C17"/>
    <w:rsid w:val="00847726"/>
    <w:rsid w:val="00852511"/>
    <w:rsid w:val="008614F1"/>
    <w:rsid w:val="00862E57"/>
    <w:rsid w:val="008639B3"/>
    <w:rsid w:val="00863C1A"/>
    <w:rsid w:val="0087142D"/>
    <w:rsid w:val="00871F60"/>
    <w:rsid w:val="00872707"/>
    <w:rsid w:val="00873009"/>
    <w:rsid w:val="00873956"/>
    <w:rsid w:val="00875F88"/>
    <w:rsid w:val="0087685C"/>
    <w:rsid w:val="00876DD3"/>
    <w:rsid w:val="00880E72"/>
    <w:rsid w:val="00880EB2"/>
    <w:rsid w:val="008825EE"/>
    <w:rsid w:val="008855B7"/>
    <w:rsid w:val="0088596E"/>
    <w:rsid w:val="00890B5C"/>
    <w:rsid w:val="00891DFE"/>
    <w:rsid w:val="008960D7"/>
    <w:rsid w:val="00896DBA"/>
    <w:rsid w:val="00896ED7"/>
    <w:rsid w:val="0089796A"/>
    <w:rsid w:val="008A2375"/>
    <w:rsid w:val="008C1114"/>
    <w:rsid w:val="008C17F1"/>
    <w:rsid w:val="008D14B0"/>
    <w:rsid w:val="008D3BA4"/>
    <w:rsid w:val="008D5BDB"/>
    <w:rsid w:val="008D76C5"/>
    <w:rsid w:val="008E0AFA"/>
    <w:rsid w:val="008E4EE9"/>
    <w:rsid w:val="008E75D3"/>
    <w:rsid w:val="008F125E"/>
    <w:rsid w:val="008F4D2F"/>
    <w:rsid w:val="0090551C"/>
    <w:rsid w:val="00906292"/>
    <w:rsid w:val="009076AF"/>
    <w:rsid w:val="009108E1"/>
    <w:rsid w:val="00916F64"/>
    <w:rsid w:val="00917162"/>
    <w:rsid w:val="009251CC"/>
    <w:rsid w:val="0092714E"/>
    <w:rsid w:val="009375E7"/>
    <w:rsid w:val="00940A13"/>
    <w:rsid w:val="00941C5D"/>
    <w:rsid w:val="00942002"/>
    <w:rsid w:val="00945634"/>
    <w:rsid w:val="00947885"/>
    <w:rsid w:val="009513C5"/>
    <w:rsid w:val="00952168"/>
    <w:rsid w:val="009527FE"/>
    <w:rsid w:val="00957346"/>
    <w:rsid w:val="00960AAE"/>
    <w:rsid w:val="00962D7B"/>
    <w:rsid w:val="00967A64"/>
    <w:rsid w:val="009739A0"/>
    <w:rsid w:val="00974695"/>
    <w:rsid w:val="00974F84"/>
    <w:rsid w:val="009767C7"/>
    <w:rsid w:val="00981DE9"/>
    <w:rsid w:val="009827BF"/>
    <w:rsid w:val="0098549A"/>
    <w:rsid w:val="0098579A"/>
    <w:rsid w:val="0099195A"/>
    <w:rsid w:val="00992A11"/>
    <w:rsid w:val="00994681"/>
    <w:rsid w:val="0099486A"/>
    <w:rsid w:val="00997B3A"/>
    <w:rsid w:val="009A0E26"/>
    <w:rsid w:val="009A16EC"/>
    <w:rsid w:val="009B1394"/>
    <w:rsid w:val="009B1D7D"/>
    <w:rsid w:val="009B29B7"/>
    <w:rsid w:val="009B3B37"/>
    <w:rsid w:val="009B7D1F"/>
    <w:rsid w:val="009C088E"/>
    <w:rsid w:val="009C2563"/>
    <w:rsid w:val="009C49D1"/>
    <w:rsid w:val="009C4D35"/>
    <w:rsid w:val="009C567B"/>
    <w:rsid w:val="009D02FE"/>
    <w:rsid w:val="009D1522"/>
    <w:rsid w:val="009D2281"/>
    <w:rsid w:val="009D2EB5"/>
    <w:rsid w:val="009D5983"/>
    <w:rsid w:val="009D7252"/>
    <w:rsid w:val="009E2D0F"/>
    <w:rsid w:val="009E3582"/>
    <w:rsid w:val="009E5EB4"/>
    <w:rsid w:val="009F0683"/>
    <w:rsid w:val="009F3ABA"/>
    <w:rsid w:val="009F55D5"/>
    <w:rsid w:val="00A044D6"/>
    <w:rsid w:val="00A04ADB"/>
    <w:rsid w:val="00A11E0F"/>
    <w:rsid w:val="00A146FE"/>
    <w:rsid w:val="00A23264"/>
    <w:rsid w:val="00A26CB6"/>
    <w:rsid w:val="00A31BB2"/>
    <w:rsid w:val="00A32F82"/>
    <w:rsid w:val="00A32F8B"/>
    <w:rsid w:val="00A35C61"/>
    <w:rsid w:val="00A35DE2"/>
    <w:rsid w:val="00A36941"/>
    <w:rsid w:val="00A3756F"/>
    <w:rsid w:val="00A4054D"/>
    <w:rsid w:val="00A42D6F"/>
    <w:rsid w:val="00A44946"/>
    <w:rsid w:val="00A45A62"/>
    <w:rsid w:val="00A51CAA"/>
    <w:rsid w:val="00A54AC5"/>
    <w:rsid w:val="00A55DC3"/>
    <w:rsid w:val="00A56D41"/>
    <w:rsid w:val="00A60F67"/>
    <w:rsid w:val="00A61353"/>
    <w:rsid w:val="00A64A2B"/>
    <w:rsid w:val="00A65DC3"/>
    <w:rsid w:val="00A66DB1"/>
    <w:rsid w:val="00A67A92"/>
    <w:rsid w:val="00A7006F"/>
    <w:rsid w:val="00A70EC1"/>
    <w:rsid w:val="00A73E4B"/>
    <w:rsid w:val="00A74316"/>
    <w:rsid w:val="00A76985"/>
    <w:rsid w:val="00A80EF9"/>
    <w:rsid w:val="00A87870"/>
    <w:rsid w:val="00A91A70"/>
    <w:rsid w:val="00A95032"/>
    <w:rsid w:val="00AA1B85"/>
    <w:rsid w:val="00AA354B"/>
    <w:rsid w:val="00AA60E1"/>
    <w:rsid w:val="00AA6716"/>
    <w:rsid w:val="00AB1CB6"/>
    <w:rsid w:val="00AB1D9A"/>
    <w:rsid w:val="00AC10A7"/>
    <w:rsid w:val="00AC4183"/>
    <w:rsid w:val="00AC6AB3"/>
    <w:rsid w:val="00AC7055"/>
    <w:rsid w:val="00AD0E55"/>
    <w:rsid w:val="00AD2568"/>
    <w:rsid w:val="00AD44FE"/>
    <w:rsid w:val="00AD46B6"/>
    <w:rsid w:val="00AD5302"/>
    <w:rsid w:val="00AE0B3C"/>
    <w:rsid w:val="00AE49F1"/>
    <w:rsid w:val="00AE640C"/>
    <w:rsid w:val="00AF1F75"/>
    <w:rsid w:val="00AF580B"/>
    <w:rsid w:val="00B00491"/>
    <w:rsid w:val="00B01C85"/>
    <w:rsid w:val="00B0385D"/>
    <w:rsid w:val="00B03F50"/>
    <w:rsid w:val="00B05CCA"/>
    <w:rsid w:val="00B1339C"/>
    <w:rsid w:val="00B1351A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2694E"/>
    <w:rsid w:val="00B30351"/>
    <w:rsid w:val="00B30360"/>
    <w:rsid w:val="00B31DA4"/>
    <w:rsid w:val="00B33C2A"/>
    <w:rsid w:val="00B34F4C"/>
    <w:rsid w:val="00B362FB"/>
    <w:rsid w:val="00B422EC"/>
    <w:rsid w:val="00B47A46"/>
    <w:rsid w:val="00B501FA"/>
    <w:rsid w:val="00B517AF"/>
    <w:rsid w:val="00B5256D"/>
    <w:rsid w:val="00B5679E"/>
    <w:rsid w:val="00B608E4"/>
    <w:rsid w:val="00B648EA"/>
    <w:rsid w:val="00B65F17"/>
    <w:rsid w:val="00B664B2"/>
    <w:rsid w:val="00B70AE9"/>
    <w:rsid w:val="00B726D4"/>
    <w:rsid w:val="00B809F3"/>
    <w:rsid w:val="00B8214F"/>
    <w:rsid w:val="00B869C6"/>
    <w:rsid w:val="00B86A4F"/>
    <w:rsid w:val="00B91BFF"/>
    <w:rsid w:val="00B93035"/>
    <w:rsid w:val="00B9337E"/>
    <w:rsid w:val="00B958E8"/>
    <w:rsid w:val="00B97E4A"/>
    <w:rsid w:val="00B97EC3"/>
    <w:rsid w:val="00BA09B2"/>
    <w:rsid w:val="00BA44D4"/>
    <w:rsid w:val="00BA5B46"/>
    <w:rsid w:val="00BB03EC"/>
    <w:rsid w:val="00BB5D0B"/>
    <w:rsid w:val="00BB7861"/>
    <w:rsid w:val="00BC0995"/>
    <w:rsid w:val="00BC1BDC"/>
    <w:rsid w:val="00BC34D9"/>
    <w:rsid w:val="00BC4F1D"/>
    <w:rsid w:val="00BC5F48"/>
    <w:rsid w:val="00BD02D3"/>
    <w:rsid w:val="00BD2966"/>
    <w:rsid w:val="00BD484D"/>
    <w:rsid w:val="00BD6241"/>
    <w:rsid w:val="00BD7BF3"/>
    <w:rsid w:val="00BE0073"/>
    <w:rsid w:val="00BE793A"/>
    <w:rsid w:val="00BF2B82"/>
    <w:rsid w:val="00BF432A"/>
    <w:rsid w:val="00BF62AF"/>
    <w:rsid w:val="00BF6E82"/>
    <w:rsid w:val="00BF708F"/>
    <w:rsid w:val="00BF751D"/>
    <w:rsid w:val="00C015A3"/>
    <w:rsid w:val="00C056D0"/>
    <w:rsid w:val="00C060C7"/>
    <w:rsid w:val="00C06CD0"/>
    <w:rsid w:val="00C13BE7"/>
    <w:rsid w:val="00C20BD6"/>
    <w:rsid w:val="00C21F24"/>
    <w:rsid w:val="00C228CF"/>
    <w:rsid w:val="00C2347E"/>
    <w:rsid w:val="00C24C17"/>
    <w:rsid w:val="00C24C5E"/>
    <w:rsid w:val="00C32EC2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6562A"/>
    <w:rsid w:val="00C65BCD"/>
    <w:rsid w:val="00C7414B"/>
    <w:rsid w:val="00C77A50"/>
    <w:rsid w:val="00C808A6"/>
    <w:rsid w:val="00C82E7A"/>
    <w:rsid w:val="00C84D92"/>
    <w:rsid w:val="00C906F4"/>
    <w:rsid w:val="00C97091"/>
    <w:rsid w:val="00C97260"/>
    <w:rsid w:val="00CA058D"/>
    <w:rsid w:val="00CA2001"/>
    <w:rsid w:val="00CB1582"/>
    <w:rsid w:val="00CB46C0"/>
    <w:rsid w:val="00CB48E6"/>
    <w:rsid w:val="00CB4FF7"/>
    <w:rsid w:val="00CB57E5"/>
    <w:rsid w:val="00CB5B6C"/>
    <w:rsid w:val="00CC052E"/>
    <w:rsid w:val="00CD16BE"/>
    <w:rsid w:val="00CD1CA8"/>
    <w:rsid w:val="00CD4616"/>
    <w:rsid w:val="00CD47AC"/>
    <w:rsid w:val="00CD56AF"/>
    <w:rsid w:val="00CD6F28"/>
    <w:rsid w:val="00CD7428"/>
    <w:rsid w:val="00CE14C0"/>
    <w:rsid w:val="00CE33D5"/>
    <w:rsid w:val="00CE41A0"/>
    <w:rsid w:val="00CE6A10"/>
    <w:rsid w:val="00CF1324"/>
    <w:rsid w:val="00CF5D37"/>
    <w:rsid w:val="00CF6F33"/>
    <w:rsid w:val="00CF71A9"/>
    <w:rsid w:val="00CF7440"/>
    <w:rsid w:val="00D019E0"/>
    <w:rsid w:val="00D02248"/>
    <w:rsid w:val="00D063B8"/>
    <w:rsid w:val="00D06825"/>
    <w:rsid w:val="00D14883"/>
    <w:rsid w:val="00D15A7B"/>
    <w:rsid w:val="00D16A12"/>
    <w:rsid w:val="00D17E3B"/>
    <w:rsid w:val="00D20A63"/>
    <w:rsid w:val="00D22017"/>
    <w:rsid w:val="00D23C09"/>
    <w:rsid w:val="00D23CED"/>
    <w:rsid w:val="00D24BD2"/>
    <w:rsid w:val="00D2573D"/>
    <w:rsid w:val="00D260A2"/>
    <w:rsid w:val="00D27F96"/>
    <w:rsid w:val="00D30CC6"/>
    <w:rsid w:val="00D3260C"/>
    <w:rsid w:val="00D32ED3"/>
    <w:rsid w:val="00D3416A"/>
    <w:rsid w:val="00D35790"/>
    <w:rsid w:val="00D376B0"/>
    <w:rsid w:val="00D40B25"/>
    <w:rsid w:val="00D41BA1"/>
    <w:rsid w:val="00D429EF"/>
    <w:rsid w:val="00D42A97"/>
    <w:rsid w:val="00D42DCB"/>
    <w:rsid w:val="00D44240"/>
    <w:rsid w:val="00D466B5"/>
    <w:rsid w:val="00D5653B"/>
    <w:rsid w:val="00D577AA"/>
    <w:rsid w:val="00D6295A"/>
    <w:rsid w:val="00D62EF1"/>
    <w:rsid w:val="00D6309D"/>
    <w:rsid w:val="00D644CA"/>
    <w:rsid w:val="00D66FC2"/>
    <w:rsid w:val="00D70B50"/>
    <w:rsid w:val="00D76C7E"/>
    <w:rsid w:val="00D771DE"/>
    <w:rsid w:val="00D7776D"/>
    <w:rsid w:val="00D82CDE"/>
    <w:rsid w:val="00D90BCD"/>
    <w:rsid w:val="00D91699"/>
    <w:rsid w:val="00D9293F"/>
    <w:rsid w:val="00D93598"/>
    <w:rsid w:val="00D95CDF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C2BFA"/>
    <w:rsid w:val="00DD1FEB"/>
    <w:rsid w:val="00DD4EDC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5AEA"/>
    <w:rsid w:val="00DF6104"/>
    <w:rsid w:val="00DF63F6"/>
    <w:rsid w:val="00DF75BB"/>
    <w:rsid w:val="00E12255"/>
    <w:rsid w:val="00E13747"/>
    <w:rsid w:val="00E14579"/>
    <w:rsid w:val="00E16AC9"/>
    <w:rsid w:val="00E25AEA"/>
    <w:rsid w:val="00E30DEF"/>
    <w:rsid w:val="00E30ED2"/>
    <w:rsid w:val="00E31276"/>
    <w:rsid w:val="00E37F17"/>
    <w:rsid w:val="00E37F70"/>
    <w:rsid w:val="00E42743"/>
    <w:rsid w:val="00E438F1"/>
    <w:rsid w:val="00E446C1"/>
    <w:rsid w:val="00E4470E"/>
    <w:rsid w:val="00E51665"/>
    <w:rsid w:val="00E52A54"/>
    <w:rsid w:val="00E54F04"/>
    <w:rsid w:val="00E64CB1"/>
    <w:rsid w:val="00E70866"/>
    <w:rsid w:val="00E72E7D"/>
    <w:rsid w:val="00E758B9"/>
    <w:rsid w:val="00E8247E"/>
    <w:rsid w:val="00E85569"/>
    <w:rsid w:val="00E856AF"/>
    <w:rsid w:val="00E86B83"/>
    <w:rsid w:val="00E87C64"/>
    <w:rsid w:val="00E92D87"/>
    <w:rsid w:val="00E93A01"/>
    <w:rsid w:val="00E93FF8"/>
    <w:rsid w:val="00E962F0"/>
    <w:rsid w:val="00E964C3"/>
    <w:rsid w:val="00E96EAF"/>
    <w:rsid w:val="00EA05D6"/>
    <w:rsid w:val="00EA09C1"/>
    <w:rsid w:val="00EA1752"/>
    <w:rsid w:val="00EA1B9B"/>
    <w:rsid w:val="00EA1D45"/>
    <w:rsid w:val="00EA55FC"/>
    <w:rsid w:val="00EA5A89"/>
    <w:rsid w:val="00EA5BDB"/>
    <w:rsid w:val="00EA7711"/>
    <w:rsid w:val="00EB0DBE"/>
    <w:rsid w:val="00EB1917"/>
    <w:rsid w:val="00EB46D9"/>
    <w:rsid w:val="00EC001D"/>
    <w:rsid w:val="00EC142D"/>
    <w:rsid w:val="00EC1E16"/>
    <w:rsid w:val="00EC27FF"/>
    <w:rsid w:val="00EC76E7"/>
    <w:rsid w:val="00ED0024"/>
    <w:rsid w:val="00ED0F85"/>
    <w:rsid w:val="00ED0FD0"/>
    <w:rsid w:val="00ED15D7"/>
    <w:rsid w:val="00ED2B5C"/>
    <w:rsid w:val="00ED3269"/>
    <w:rsid w:val="00EE12B6"/>
    <w:rsid w:val="00EE1A8C"/>
    <w:rsid w:val="00EE4643"/>
    <w:rsid w:val="00EE6281"/>
    <w:rsid w:val="00EE6629"/>
    <w:rsid w:val="00EF1330"/>
    <w:rsid w:val="00EF15FF"/>
    <w:rsid w:val="00EF4852"/>
    <w:rsid w:val="00EF4B4E"/>
    <w:rsid w:val="00EF5227"/>
    <w:rsid w:val="00EF7111"/>
    <w:rsid w:val="00EF7D1A"/>
    <w:rsid w:val="00F001BD"/>
    <w:rsid w:val="00F0448F"/>
    <w:rsid w:val="00F0716C"/>
    <w:rsid w:val="00F10AD5"/>
    <w:rsid w:val="00F128CD"/>
    <w:rsid w:val="00F207D1"/>
    <w:rsid w:val="00F2400D"/>
    <w:rsid w:val="00F24A12"/>
    <w:rsid w:val="00F270E9"/>
    <w:rsid w:val="00F275C0"/>
    <w:rsid w:val="00F346B6"/>
    <w:rsid w:val="00F3490F"/>
    <w:rsid w:val="00F36145"/>
    <w:rsid w:val="00F37BDD"/>
    <w:rsid w:val="00F37C85"/>
    <w:rsid w:val="00F41503"/>
    <w:rsid w:val="00F43729"/>
    <w:rsid w:val="00F44935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954"/>
    <w:rsid w:val="00F6203E"/>
    <w:rsid w:val="00F635FC"/>
    <w:rsid w:val="00F63D03"/>
    <w:rsid w:val="00F65E2F"/>
    <w:rsid w:val="00F67DF1"/>
    <w:rsid w:val="00F720D6"/>
    <w:rsid w:val="00F7261E"/>
    <w:rsid w:val="00F743ED"/>
    <w:rsid w:val="00F74974"/>
    <w:rsid w:val="00F74CEB"/>
    <w:rsid w:val="00F77CC4"/>
    <w:rsid w:val="00F8309B"/>
    <w:rsid w:val="00F833C9"/>
    <w:rsid w:val="00F86E0F"/>
    <w:rsid w:val="00F90064"/>
    <w:rsid w:val="00F9582F"/>
    <w:rsid w:val="00F96AFD"/>
    <w:rsid w:val="00F96B03"/>
    <w:rsid w:val="00F97D35"/>
    <w:rsid w:val="00FA1398"/>
    <w:rsid w:val="00FA1D7C"/>
    <w:rsid w:val="00FA2E19"/>
    <w:rsid w:val="00FA2EE9"/>
    <w:rsid w:val="00FA62F0"/>
    <w:rsid w:val="00FA697F"/>
    <w:rsid w:val="00FA6E99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1833"/>
    <w:rsid w:val="00FE2A9E"/>
    <w:rsid w:val="00FE3F7B"/>
    <w:rsid w:val="0107F9B8"/>
    <w:rsid w:val="01548119"/>
    <w:rsid w:val="019466D9"/>
    <w:rsid w:val="01E3F93F"/>
    <w:rsid w:val="020EF41B"/>
    <w:rsid w:val="039392D1"/>
    <w:rsid w:val="042D9368"/>
    <w:rsid w:val="04BB5ABF"/>
    <w:rsid w:val="053F22DF"/>
    <w:rsid w:val="068517FD"/>
    <w:rsid w:val="06E92406"/>
    <w:rsid w:val="07273AAF"/>
    <w:rsid w:val="072E6118"/>
    <w:rsid w:val="07A89F4D"/>
    <w:rsid w:val="086BC535"/>
    <w:rsid w:val="0878060A"/>
    <w:rsid w:val="088D7CC2"/>
    <w:rsid w:val="09F4F1D0"/>
    <w:rsid w:val="0A1FC079"/>
    <w:rsid w:val="0A789B3D"/>
    <w:rsid w:val="0AC2E338"/>
    <w:rsid w:val="0ACCF3F0"/>
    <w:rsid w:val="0AD9E675"/>
    <w:rsid w:val="0B8257DA"/>
    <w:rsid w:val="0B9964EC"/>
    <w:rsid w:val="0C928055"/>
    <w:rsid w:val="0D88F564"/>
    <w:rsid w:val="0DB42ADB"/>
    <w:rsid w:val="0E71BB41"/>
    <w:rsid w:val="0E89333A"/>
    <w:rsid w:val="0EF08563"/>
    <w:rsid w:val="0F019AE8"/>
    <w:rsid w:val="0F5A9F37"/>
    <w:rsid w:val="0FA7486A"/>
    <w:rsid w:val="102947FD"/>
    <w:rsid w:val="10361117"/>
    <w:rsid w:val="1084FDD4"/>
    <w:rsid w:val="10FC7B4D"/>
    <w:rsid w:val="1129C073"/>
    <w:rsid w:val="11EA9782"/>
    <w:rsid w:val="121740EF"/>
    <w:rsid w:val="12B6B9FC"/>
    <w:rsid w:val="13E06C38"/>
    <w:rsid w:val="1410B3BD"/>
    <w:rsid w:val="1415B4B2"/>
    <w:rsid w:val="142C3333"/>
    <w:rsid w:val="1481C9FA"/>
    <w:rsid w:val="1501559A"/>
    <w:rsid w:val="160EBB8D"/>
    <w:rsid w:val="162B8799"/>
    <w:rsid w:val="172923FA"/>
    <w:rsid w:val="178D625B"/>
    <w:rsid w:val="17D334ED"/>
    <w:rsid w:val="189CBADC"/>
    <w:rsid w:val="191EB88B"/>
    <w:rsid w:val="19E00FD8"/>
    <w:rsid w:val="19E13607"/>
    <w:rsid w:val="1A6DAC97"/>
    <w:rsid w:val="1C2E905C"/>
    <w:rsid w:val="1C8FD530"/>
    <w:rsid w:val="1CCEE31C"/>
    <w:rsid w:val="1DED26F8"/>
    <w:rsid w:val="1E7DD84B"/>
    <w:rsid w:val="1EB2A56A"/>
    <w:rsid w:val="1EC13B85"/>
    <w:rsid w:val="1FF20659"/>
    <w:rsid w:val="206671B9"/>
    <w:rsid w:val="206F9F88"/>
    <w:rsid w:val="20708319"/>
    <w:rsid w:val="208D8F8B"/>
    <w:rsid w:val="2092CB9E"/>
    <w:rsid w:val="212DCA59"/>
    <w:rsid w:val="21A6E3DC"/>
    <w:rsid w:val="21E3EA95"/>
    <w:rsid w:val="22E0C31D"/>
    <w:rsid w:val="23108B95"/>
    <w:rsid w:val="238B4D02"/>
    <w:rsid w:val="23E52F96"/>
    <w:rsid w:val="248AA3FD"/>
    <w:rsid w:val="25086F92"/>
    <w:rsid w:val="257B562E"/>
    <w:rsid w:val="2766A8E6"/>
    <w:rsid w:val="27D69826"/>
    <w:rsid w:val="2827CAA3"/>
    <w:rsid w:val="283A458F"/>
    <w:rsid w:val="28526A91"/>
    <w:rsid w:val="288ED514"/>
    <w:rsid w:val="298FA6FE"/>
    <w:rsid w:val="29A1DFE8"/>
    <w:rsid w:val="29B733B4"/>
    <w:rsid w:val="2A0E4098"/>
    <w:rsid w:val="2A5E9C8D"/>
    <w:rsid w:val="2A61851B"/>
    <w:rsid w:val="2B10605B"/>
    <w:rsid w:val="2B2F4426"/>
    <w:rsid w:val="2E39445B"/>
    <w:rsid w:val="2F3EDD3F"/>
    <w:rsid w:val="2F99C0B9"/>
    <w:rsid w:val="30880BB8"/>
    <w:rsid w:val="32132E28"/>
    <w:rsid w:val="327CC0CF"/>
    <w:rsid w:val="32F9C911"/>
    <w:rsid w:val="335E6FAF"/>
    <w:rsid w:val="3391F580"/>
    <w:rsid w:val="339EDE50"/>
    <w:rsid w:val="33B0CDDB"/>
    <w:rsid w:val="34252460"/>
    <w:rsid w:val="3438AEB8"/>
    <w:rsid w:val="36197137"/>
    <w:rsid w:val="36B21B9A"/>
    <w:rsid w:val="37755E61"/>
    <w:rsid w:val="38D8318A"/>
    <w:rsid w:val="395C9180"/>
    <w:rsid w:val="3975CED5"/>
    <w:rsid w:val="399DA2AE"/>
    <w:rsid w:val="3A0B8C96"/>
    <w:rsid w:val="3ADF12AC"/>
    <w:rsid w:val="3AE1AFF7"/>
    <w:rsid w:val="3AEC8EE6"/>
    <w:rsid w:val="3B0F1066"/>
    <w:rsid w:val="3BC4F25A"/>
    <w:rsid w:val="3C33D4E8"/>
    <w:rsid w:val="3D411AFD"/>
    <w:rsid w:val="3E08417A"/>
    <w:rsid w:val="4057FF5E"/>
    <w:rsid w:val="4095D326"/>
    <w:rsid w:val="40C6A802"/>
    <w:rsid w:val="40E645E6"/>
    <w:rsid w:val="416009A9"/>
    <w:rsid w:val="41E0CA84"/>
    <w:rsid w:val="41E333E5"/>
    <w:rsid w:val="44155BF9"/>
    <w:rsid w:val="446838AA"/>
    <w:rsid w:val="45554CA7"/>
    <w:rsid w:val="45EA2406"/>
    <w:rsid w:val="47234417"/>
    <w:rsid w:val="47646CCD"/>
    <w:rsid w:val="49858079"/>
    <w:rsid w:val="49E0C53E"/>
    <w:rsid w:val="4A739AC3"/>
    <w:rsid w:val="4B572453"/>
    <w:rsid w:val="4C065B7A"/>
    <w:rsid w:val="4C31A228"/>
    <w:rsid w:val="4CCDE36A"/>
    <w:rsid w:val="4CDB0165"/>
    <w:rsid w:val="4D265F2B"/>
    <w:rsid w:val="4DEDB40E"/>
    <w:rsid w:val="4E290017"/>
    <w:rsid w:val="4F9D8B6A"/>
    <w:rsid w:val="4FF35397"/>
    <w:rsid w:val="50129630"/>
    <w:rsid w:val="517D2719"/>
    <w:rsid w:val="51E4ACFA"/>
    <w:rsid w:val="521DE73B"/>
    <w:rsid w:val="53A16AA9"/>
    <w:rsid w:val="541BE57F"/>
    <w:rsid w:val="54C63111"/>
    <w:rsid w:val="54F5F74D"/>
    <w:rsid w:val="55288870"/>
    <w:rsid w:val="564A92D7"/>
    <w:rsid w:val="568B1371"/>
    <w:rsid w:val="56CCC460"/>
    <w:rsid w:val="57885653"/>
    <w:rsid w:val="57A377F9"/>
    <w:rsid w:val="57BFBA78"/>
    <w:rsid w:val="589170CC"/>
    <w:rsid w:val="59359609"/>
    <w:rsid w:val="59553DF8"/>
    <w:rsid w:val="5AE5FC68"/>
    <w:rsid w:val="5B88A428"/>
    <w:rsid w:val="5BE14586"/>
    <w:rsid w:val="5C324C82"/>
    <w:rsid w:val="5D4C5861"/>
    <w:rsid w:val="5DAA9CA6"/>
    <w:rsid w:val="5ECCD384"/>
    <w:rsid w:val="5F0181B1"/>
    <w:rsid w:val="5F798B5A"/>
    <w:rsid w:val="60B1123E"/>
    <w:rsid w:val="60BA148B"/>
    <w:rsid w:val="616EDED9"/>
    <w:rsid w:val="6198A2C2"/>
    <w:rsid w:val="61FA185B"/>
    <w:rsid w:val="6314A091"/>
    <w:rsid w:val="6377148D"/>
    <w:rsid w:val="63EA411A"/>
    <w:rsid w:val="64411983"/>
    <w:rsid w:val="64CA0162"/>
    <w:rsid w:val="65C97725"/>
    <w:rsid w:val="6605D6A7"/>
    <w:rsid w:val="67F117BF"/>
    <w:rsid w:val="684651DC"/>
    <w:rsid w:val="68528F27"/>
    <w:rsid w:val="6887BB56"/>
    <w:rsid w:val="696DD782"/>
    <w:rsid w:val="6A31B8DA"/>
    <w:rsid w:val="6A3393BB"/>
    <w:rsid w:val="6AC60696"/>
    <w:rsid w:val="6AEB2019"/>
    <w:rsid w:val="6B831CB7"/>
    <w:rsid w:val="6B8341CC"/>
    <w:rsid w:val="6BB0A76F"/>
    <w:rsid w:val="6ED8C2AA"/>
    <w:rsid w:val="6EEAAB4B"/>
    <w:rsid w:val="6EF73E63"/>
    <w:rsid w:val="6F5A8366"/>
    <w:rsid w:val="6F72E8F6"/>
    <w:rsid w:val="712C8449"/>
    <w:rsid w:val="7260F64F"/>
    <w:rsid w:val="728845E9"/>
    <w:rsid w:val="72A4CE0A"/>
    <w:rsid w:val="733DB0F8"/>
    <w:rsid w:val="75DFB438"/>
    <w:rsid w:val="763FE6E2"/>
    <w:rsid w:val="766A2322"/>
    <w:rsid w:val="768C5AB9"/>
    <w:rsid w:val="76A7FD6C"/>
    <w:rsid w:val="774982D6"/>
    <w:rsid w:val="774FBF71"/>
    <w:rsid w:val="777D5985"/>
    <w:rsid w:val="77A526E8"/>
    <w:rsid w:val="787C2DE5"/>
    <w:rsid w:val="78C9C67A"/>
    <w:rsid w:val="79BAB00C"/>
    <w:rsid w:val="79BC109B"/>
    <w:rsid w:val="79EEB453"/>
    <w:rsid w:val="7A8D7EBE"/>
    <w:rsid w:val="7B04B394"/>
    <w:rsid w:val="7C05DB7B"/>
    <w:rsid w:val="7C5C98B0"/>
    <w:rsid w:val="7C6A9EDD"/>
    <w:rsid w:val="7CA3AC49"/>
    <w:rsid w:val="7D5A668B"/>
    <w:rsid w:val="7E1F6F75"/>
    <w:rsid w:val="7E64C4A2"/>
    <w:rsid w:val="7EC1F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B6BC11F0-AC28-44D2-BFC8-B1129DBC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3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omylnaczcionkaakapitu"/>
    <w:rsid w:val="00F52E58"/>
  </w:style>
  <w:style w:type="paragraph" w:styleId="NormalnyWeb">
    <w:name w:val="Normal (Web)"/>
    <w:basedOn w:val="Normalny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222D99"/>
    <w:rPr>
      <w:i/>
      <w:iCs/>
    </w:rPr>
  </w:style>
  <w:style w:type="character" w:styleId="Pogrubienie">
    <w:name w:val="Strong"/>
    <w:uiPriority w:val="22"/>
    <w:qFormat/>
    <w:rsid w:val="0068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a.wasilak@hillandknowlton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strosznajder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r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A350BBEB1614B834058CC950DD18B" ma:contentTypeVersion="20" ma:contentTypeDescription="Create a new document." ma:contentTypeScope="" ma:versionID="d72a7d71999de115b58336abf5cfa96d">
  <xsd:schema xmlns:xsd="http://www.w3.org/2001/XMLSchema" xmlns:xs="http://www.w3.org/2001/XMLSchema" xmlns:p="http://schemas.microsoft.com/office/2006/metadata/properties" xmlns:ns2="27713221-5b51-4fa0-80cb-6b7673a1cfe8" xmlns:ns3="ac0ebce6-a4a4-4457-ad09-3c87710eceba" targetNamespace="http://schemas.microsoft.com/office/2006/metadata/properties" ma:root="true" ma:fieldsID="f29096b4ef1ab15d2620e3e4a15742b1" ns2:_="" ns3:_="">
    <xsd:import namespace="27713221-5b51-4fa0-80cb-6b7673a1cfe8"/>
    <xsd:import namespace="ac0ebce6-a4a4-4457-ad09-3c87710ec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rchiverLink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13221-5b51-4fa0-80cb-6b7673a1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false">
      <xsd:simpleType>
        <xsd:restriction base="dms:Text"/>
      </xsd:simpleType>
    </xsd:element>
    <xsd:element name="MediaServiceOCR" ma:index="12" nillable="true" ma:displayName="MediaServiceOCR" ma:internalName="MediaServiceOCR" ma:readOnly="fals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fals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9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fals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fff48-cca9-4807-8ad1-02586ec8c4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fals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 ma:readOnly="fals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ebce6-a4a4-4457-ad09-3c87710ec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e54e9-443f-4972-94a2-65fd48fc740b}" ma:internalName="TaxCatchAll" ma:showField="CatchAllData" ma:web="ac0ebce6-a4a4-4457-ad09-3c87710ec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13221-5b51-4fa0-80cb-6b7673a1cfe8">
      <Terms xmlns="http://schemas.microsoft.com/office/infopath/2007/PartnerControls"/>
    </lcf76f155ced4ddcb4097134ff3c332f>
    <TaxCatchAll xmlns="ac0ebce6-a4a4-4457-ad09-3c87710eceba" xsi:nil="true"/>
    <MediaServiceKeyPoints xmlns="27713221-5b51-4fa0-80cb-6b7673a1cfe8" xsi:nil="true"/>
    <MediaServiceOCR xmlns="27713221-5b51-4fa0-80cb-6b7673a1cfe8" xsi:nil="true"/>
    <ArchiverLinkFileType xmlns="27713221-5b51-4fa0-80cb-6b7673a1cfe8" xsi:nil="true"/>
    <MediaServiceAutoTags xmlns="27713221-5b51-4fa0-80cb-6b7673a1cfe8" xsi:nil="true"/>
    <MediaServiceObjectDetectorVersions xmlns="27713221-5b51-4fa0-80cb-6b7673a1cfe8" xsi:nil="true"/>
    <MediaLengthInSeconds xmlns="27713221-5b51-4fa0-80cb-6b7673a1cfe8" xsi:nil="true"/>
    <MediaServiceSearchProperties xmlns="27713221-5b51-4fa0-80cb-6b7673a1cfe8" xsi:nil="true"/>
    <MediaServiceLocation xmlns="27713221-5b51-4fa0-80cb-6b7673a1cfe8" xsi:nil="true"/>
    <MediaServiceAutoKeyPoints xmlns="27713221-5b51-4fa0-80cb-6b7673a1cfe8" xsi:nil="true"/>
    <SharedWithUsers xmlns="ac0ebce6-a4a4-4457-ad09-3c87710eceb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C99F34-BAED-4A3A-9796-DE4D1F4C1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13221-5b51-4fa0-80cb-6b7673a1cfe8"/>
    <ds:schemaRef ds:uri="ac0ebce6-a4a4-4457-ad09-3c87710ec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7713221-5b51-4fa0-80cb-6b7673a1cfe8"/>
    <ds:schemaRef ds:uri="ac0ebce6-a4a4-4457-ad09-3c87710ece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2477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10</cp:revision>
  <cp:lastPrinted>2024-06-07T22:51:00Z</cp:lastPrinted>
  <dcterms:created xsi:type="dcterms:W3CDTF">2025-05-08T15:40:00Z</dcterms:created>
  <dcterms:modified xsi:type="dcterms:W3CDTF">2025-05-08T17:18:00Z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0x01010065DA350BBEB1614B834058CC950DD18B</vt:lpwstr>
  </property>
  <property fmtid="{D5CDD505-2E9C-101B-9397-08002B2CF9AE}" pid="3" name="MediaServiceImageTags">
    <vt:lpwstr/>
  </property>
  <property fmtid="{D5CDD505-2E9C-101B-9397-08002B2CF9AE}" pid="4" name="Order">
    <vt:r8>48597700</vt:r8>
  </property>
  <property fmtid="{D5CDD505-2E9C-101B-9397-08002B2CF9AE}" pid="5" name="GUID">
    <vt:lpwstr>05427b9b-5d5d-4842-bbbf-0111b0b28258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ArchiverLinkFileType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