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D2241" w14:textId="77777777" w:rsidR="00731238" w:rsidRDefault="00731238">
      <w:pPr>
        <w:jc w:val="center"/>
        <w:rPr>
          <w:b/>
          <w:sz w:val="28"/>
          <w:szCs w:val="28"/>
        </w:rPr>
      </w:pPr>
    </w:p>
    <w:p w14:paraId="0F77CD31" w14:textId="4ECEBDB0" w:rsidR="00731238" w:rsidRDefault="008578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 el Día del Orgullo, Henkel </w:t>
      </w:r>
      <w:r w:rsidR="00DB2672" w:rsidRPr="44A86348">
        <w:rPr>
          <w:b/>
          <w:bCs/>
          <w:sz w:val="28"/>
          <w:szCs w:val="28"/>
        </w:rPr>
        <w:t>re</w:t>
      </w:r>
      <w:r w:rsidR="5E220121" w:rsidRPr="44A86348">
        <w:rPr>
          <w:b/>
          <w:bCs/>
          <w:sz w:val="28"/>
          <w:szCs w:val="28"/>
        </w:rPr>
        <w:t>itera</w:t>
      </w:r>
      <w:r>
        <w:rPr>
          <w:b/>
          <w:sz w:val="28"/>
          <w:szCs w:val="28"/>
        </w:rPr>
        <w:t xml:space="preserve"> sus esfuerzos por una sociedad inclusiva y diversa</w:t>
      </w:r>
    </w:p>
    <w:p w14:paraId="02077F69" w14:textId="77777777" w:rsidR="00731238" w:rsidRDefault="00731238"/>
    <w:p w14:paraId="15DEB2C3" w14:textId="2ACF3106" w:rsidR="33B4E04B" w:rsidRPr="0085787A" w:rsidRDefault="0085787A" w:rsidP="0085787A">
      <w:pPr>
        <w:pStyle w:val="ListParagraph"/>
        <w:numPr>
          <w:ilvl w:val="0"/>
          <w:numId w:val="1"/>
        </w:numPr>
        <w:ind w:left="142" w:hanging="142"/>
        <w:jc w:val="both"/>
        <w:rPr>
          <w:i/>
          <w:iCs/>
          <w:sz w:val="16"/>
          <w:szCs w:val="16"/>
        </w:rPr>
      </w:pPr>
      <w:r w:rsidRPr="0085787A">
        <w:rPr>
          <w:i/>
          <w:sz w:val="16"/>
          <w:szCs w:val="16"/>
        </w:rPr>
        <w:t xml:space="preserve">Sin importar su género u orientación sexual, los colaboradores de Henkel </w:t>
      </w:r>
      <w:r w:rsidR="02A21371" w:rsidRPr="0085787A">
        <w:rPr>
          <w:i/>
          <w:iCs/>
          <w:sz w:val="16"/>
          <w:szCs w:val="16"/>
        </w:rPr>
        <w:t>pueden disfrutar de una</w:t>
      </w:r>
      <w:r w:rsidRPr="0085787A">
        <w:rPr>
          <w:i/>
          <w:sz w:val="16"/>
          <w:szCs w:val="16"/>
        </w:rPr>
        <w:t xml:space="preserve"> licencia </w:t>
      </w:r>
      <w:r w:rsidR="00DB2672" w:rsidRPr="0085787A">
        <w:rPr>
          <w:i/>
          <w:iCs/>
          <w:sz w:val="16"/>
          <w:szCs w:val="16"/>
        </w:rPr>
        <w:t>parental</w:t>
      </w:r>
      <w:r w:rsidR="6EA1578F" w:rsidRPr="0085787A">
        <w:rPr>
          <w:i/>
          <w:iCs/>
          <w:sz w:val="16"/>
          <w:szCs w:val="16"/>
        </w:rPr>
        <w:t xml:space="preserve"> ampliada</w:t>
      </w:r>
      <w:r w:rsidR="22209192" w:rsidRPr="0085787A">
        <w:rPr>
          <w:i/>
          <w:iCs/>
          <w:sz w:val="16"/>
          <w:szCs w:val="16"/>
        </w:rPr>
        <w:t>,</w:t>
      </w:r>
      <w:r w:rsidR="00AE49BC" w:rsidRPr="0085787A">
        <w:rPr>
          <w:sz w:val="16"/>
          <w:szCs w:val="16"/>
        </w:rPr>
        <w:t xml:space="preserve"> entrega de una bonificación mensual</w:t>
      </w:r>
      <w:r w:rsidR="00D136CE" w:rsidRPr="0085787A">
        <w:rPr>
          <w:sz w:val="16"/>
          <w:szCs w:val="16"/>
        </w:rPr>
        <w:t xml:space="preserve"> durante un año, programas de bienestar</w:t>
      </w:r>
      <w:r w:rsidR="006B267B" w:rsidRPr="0085787A">
        <w:rPr>
          <w:sz w:val="16"/>
          <w:szCs w:val="16"/>
        </w:rPr>
        <w:t xml:space="preserve">, </w:t>
      </w:r>
      <w:r w:rsidR="00D136CE" w:rsidRPr="0085787A">
        <w:rPr>
          <w:sz w:val="16"/>
          <w:szCs w:val="16"/>
        </w:rPr>
        <w:t>mentoría paternal</w:t>
      </w:r>
      <w:r w:rsidR="000B290A" w:rsidRPr="0085787A">
        <w:rPr>
          <w:sz w:val="16"/>
          <w:szCs w:val="16"/>
        </w:rPr>
        <w:t xml:space="preserve">, entre otros. </w:t>
      </w:r>
    </w:p>
    <w:p w14:paraId="03CD57E5" w14:textId="58EBE7F7" w:rsidR="00893ACB" w:rsidRPr="00F83FEC" w:rsidRDefault="00B32C1D" w:rsidP="0085787A">
      <w:pPr>
        <w:pStyle w:val="ListParagraph"/>
        <w:numPr>
          <w:ilvl w:val="0"/>
          <w:numId w:val="1"/>
        </w:numPr>
        <w:ind w:left="142" w:hanging="142"/>
        <w:jc w:val="both"/>
        <w:rPr>
          <w:i/>
          <w:sz w:val="16"/>
          <w:szCs w:val="16"/>
          <w:lang w:val="es-ES"/>
        </w:rPr>
      </w:pPr>
      <w:r w:rsidRPr="0085787A">
        <w:rPr>
          <w:i/>
          <w:sz w:val="16"/>
          <w:szCs w:val="16"/>
          <w:lang w:val="es-ES"/>
        </w:rPr>
        <w:t>En Colombia, l</w:t>
      </w:r>
      <w:r w:rsidR="00893ACB" w:rsidRPr="0085787A">
        <w:rPr>
          <w:i/>
          <w:sz w:val="16"/>
          <w:szCs w:val="16"/>
          <w:lang w:val="es-ES"/>
        </w:rPr>
        <w:t xml:space="preserve">a participación de la comunidad LGBTIQ+ en la economía es bastante marcada, según </w:t>
      </w:r>
      <w:r w:rsidRPr="0085787A">
        <w:rPr>
          <w:i/>
          <w:sz w:val="16"/>
          <w:szCs w:val="16"/>
          <w:lang w:val="es-ES"/>
        </w:rPr>
        <w:t>el</w:t>
      </w:r>
      <w:r w:rsidR="00893ACB" w:rsidRPr="0085787A">
        <w:rPr>
          <w:i/>
          <w:sz w:val="16"/>
          <w:szCs w:val="16"/>
          <w:lang w:val="es-ES"/>
        </w:rPr>
        <w:t xml:space="preserve"> </w:t>
      </w:r>
      <w:proofErr w:type="spellStart"/>
      <w:r w:rsidR="00893ACB" w:rsidRPr="0085787A">
        <w:rPr>
          <w:i/>
          <w:sz w:val="16"/>
          <w:szCs w:val="16"/>
          <w:lang w:val="es-ES"/>
        </w:rPr>
        <w:t>Dane</w:t>
      </w:r>
      <w:proofErr w:type="spellEnd"/>
      <w:r w:rsidR="00893ACB" w:rsidRPr="0085787A">
        <w:rPr>
          <w:i/>
          <w:sz w:val="16"/>
          <w:szCs w:val="16"/>
          <w:lang w:val="es-ES"/>
        </w:rPr>
        <w:t>. El 71,9% de la población de la comunidad en Colombia está emplead</w:t>
      </w:r>
      <w:r w:rsidR="00A5114D" w:rsidRPr="0085787A">
        <w:rPr>
          <w:i/>
          <w:sz w:val="16"/>
          <w:szCs w:val="16"/>
          <w:lang w:val="es-ES"/>
        </w:rPr>
        <w:t xml:space="preserve">a. </w:t>
      </w:r>
    </w:p>
    <w:p w14:paraId="0E7BF0BC" w14:textId="77777777" w:rsidR="00731238" w:rsidRDefault="00731238"/>
    <w:p w14:paraId="77AE86D8" w14:textId="193D52A7" w:rsidR="00731238" w:rsidRDefault="0085787A" w:rsidP="00B378B1">
      <w:pPr>
        <w:jc w:val="both"/>
      </w:pPr>
      <w:r w:rsidRPr="5E5BFDDB">
        <w:rPr>
          <w:b/>
          <w:bCs/>
        </w:rPr>
        <w:t xml:space="preserve">Bogotá, junio de 2025. </w:t>
      </w:r>
      <w:r>
        <w:t xml:space="preserve">Este 28 de junio se conmemora el Día Internacional del Orgullo, una jornada en </w:t>
      </w:r>
      <w:r w:rsidR="05664E49">
        <w:t>la</w:t>
      </w:r>
      <w:r>
        <w:t xml:space="preserve"> que la comunidad LGBTIQ+ celebra su participación en una sociedad que, a su vez, reconoce su papel para la construcción de un mundo más inclusivo. </w:t>
      </w:r>
      <w:r w:rsidR="006704EC" w:rsidRPr="006704EC">
        <w:t>Impulsadas por un espíritu de avance y resiliencia, las jornadas del Día del Orgullo celebran los logros conquistados por la comunidad y renuevan el compromiso colectivo con una sociedad más justa, diversa e inclusiva.</w:t>
      </w:r>
    </w:p>
    <w:p w14:paraId="5D30E6DE" w14:textId="77777777" w:rsidR="006704EC" w:rsidRDefault="006704EC" w:rsidP="00B378B1">
      <w:pPr>
        <w:jc w:val="both"/>
      </w:pPr>
    </w:p>
    <w:p w14:paraId="7E7757AA" w14:textId="1BB61007" w:rsidR="00731238" w:rsidRDefault="008171C6" w:rsidP="00B378B1">
      <w:pPr>
        <w:jc w:val="both"/>
      </w:pPr>
      <w:r w:rsidRPr="008171C6">
        <w:t>En Colombia, cada vez son más las empresas que reconocen la importancia de promover entornos laborales diversos, equitativos e inclusivos. En este camino, compañías como Henkel</w:t>
      </w:r>
      <w:r w:rsidR="002363DA">
        <w:t xml:space="preserve">, </w:t>
      </w:r>
      <w:r w:rsidR="007060D0" w:rsidRPr="2DA39E1D">
        <w:rPr>
          <w:lang w:val="es-ES"/>
        </w:rPr>
        <w:t>empresa alemana con casi 70 años de presencia en Colombia</w:t>
      </w:r>
      <w:r w:rsidR="007060D0">
        <w:rPr>
          <w:lang w:val="es-ES"/>
        </w:rPr>
        <w:t xml:space="preserve">, </w:t>
      </w:r>
      <w:r w:rsidRPr="008171C6">
        <w:t xml:space="preserve">se destacan por impulsar iniciativas que buscan garantizar la </w:t>
      </w:r>
      <w:r w:rsidR="00E20EA6" w:rsidRPr="008171C6">
        <w:t>participación</w:t>
      </w:r>
      <w:r w:rsidRPr="008171C6">
        <w:t xml:space="preserve"> y el respeto por todas las personas, sin importar su género u orientación sexual. Este compromiso se refleja en políticas y acciones concretas que la compañía ha venido desarrollando también en el país.</w:t>
      </w:r>
    </w:p>
    <w:p w14:paraId="6CB45CB6" w14:textId="77777777" w:rsidR="008171C6" w:rsidRDefault="008171C6" w:rsidP="00B378B1">
      <w:pPr>
        <w:jc w:val="both"/>
      </w:pPr>
    </w:p>
    <w:p w14:paraId="382DEC41" w14:textId="4E09C571" w:rsidR="00690905" w:rsidRDefault="00DB2672" w:rsidP="00B378B1">
      <w:pPr>
        <w:jc w:val="both"/>
      </w:pPr>
      <w:r w:rsidRPr="5E5BFDDB">
        <w:rPr>
          <w:lang w:val="es-ES"/>
        </w:rPr>
        <w:t>Un</w:t>
      </w:r>
      <w:r w:rsidR="2EFC289B" w:rsidRPr="5E5BFDDB">
        <w:rPr>
          <w:lang w:val="es-ES"/>
        </w:rPr>
        <w:t xml:space="preserve">a </w:t>
      </w:r>
      <w:r w:rsidRPr="5E5BFDDB">
        <w:rPr>
          <w:lang w:val="es-ES"/>
        </w:rPr>
        <w:t>de</w:t>
      </w:r>
      <w:r w:rsidR="0085787A" w:rsidRPr="5E5BFDDB">
        <w:rPr>
          <w:lang w:val="es-ES"/>
        </w:rPr>
        <w:t xml:space="preserve"> </w:t>
      </w:r>
      <w:r w:rsidR="62CDCF0D" w:rsidRPr="5E5BFDDB">
        <w:rPr>
          <w:lang w:val="es-ES"/>
        </w:rPr>
        <w:t xml:space="preserve">las acciones más destacadas de Henkel en su compromiso con la diversidad </w:t>
      </w:r>
      <w:r w:rsidRPr="5E5BFDDB">
        <w:rPr>
          <w:lang w:val="es-ES"/>
        </w:rPr>
        <w:t>ha</w:t>
      </w:r>
      <w:r w:rsidR="0085787A" w:rsidRPr="5E5BFDDB">
        <w:rPr>
          <w:lang w:val="es-ES"/>
        </w:rPr>
        <w:t xml:space="preserve"> sido la implementación de licencias </w:t>
      </w:r>
      <w:r w:rsidR="4AC88258" w:rsidRPr="5E5BFDDB">
        <w:rPr>
          <w:lang w:val="es-ES"/>
        </w:rPr>
        <w:t>parentales</w:t>
      </w:r>
      <w:r w:rsidR="0085787A" w:rsidRPr="5E5BFDDB">
        <w:rPr>
          <w:lang w:val="es-ES"/>
        </w:rPr>
        <w:t xml:space="preserve"> equitativas sin importar género o tipo de familia</w:t>
      </w:r>
      <w:r w:rsidR="001B44D3">
        <w:rPr>
          <w:lang w:val="es-ES"/>
        </w:rPr>
        <w:t xml:space="preserve">. </w:t>
      </w:r>
      <w:r w:rsidR="005D4A97">
        <w:t xml:space="preserve">Henkel impulsa una política global de equidad parental que beneficia a sus más de 50.000 colaboradores, incluidos los más de 400 en Colombia. </w:t>
      </w:r>
    </w:p>
    <w:p w14:paraId="61E25383" w14:textId="77777777" w:rsidR="00690905" w:rsidRDefault="00690905" w:rsidP="00B378B1">
      <w:pPr>
        <w:jc w:val="both"/>
      </w:pPr>
    </w:p>
    <w:p w14:paraId="436B05D3" w14:textId="2321A83F" w:rsidR="00731238" w:rsidRDefault="00A820DE" w:rsidP="00B378B1">
      <w:pPr>
        <w:jc w:val="both"/>
      </w:pPr>
      <w:r w:rsidRPr="5E5BFDDB">
        <w:rPr>
          <w:lang w:val="es-ES"/>
        </w:rPr>
        <w:t xml:space="preserve">El programa de equidad parental de Henkel ofrece beneficios integrales para apoyar a sus colaboradores en la llegada de un nuevo hijo. Incluye una </w:t>
      </w:r>
      <w:r w:rsidRPr="5E5BFDDB">
        <w:rPr>
          <w:b/>
          <w:bCs/>
          <w:lang w:val="es-ES"/>
        </w:rPr>
        <w:t>licencia ampliada</w:t>
      </w:r>
      <w:r w:rsidRPr="5E5BFDDB">
        <w:rPr>
          <w:lang w:val="es-ES"/>
        </w:rPr>
        <w:t xml:space="preserve"> de hasta </w:t>
      </w:r>
      <w:r w:rsidRPr="5E5BFDDB">
        <w:rPr>
          <w:b/>
          <w:bCs/>
          <w:lang w:val="es-ES"/>
        </w:rPr>
        <w:t>180 días para cuidadores primarios</w:t>
      </w:r>
      <w:r w:rsidRPr="5E5BFDDB">
        <w:rPr>
          <w:lang w:val="es-ES"/>
        </w:rPr>
        <w:t xml:space="preserve"> y </w:t>
      </w:r>
      <w:r w:rsidR="006462A8">
        <w:rPr>
          <w:b/>
          <w:bCs/>
          <w:lang w:val="es-ES"/>
        </w:rPr>
        <w:t>6</w:t>
      </w:r>
      <w:r w:rsidRPr="5E5BFDDB">
        <w:rPr>
          <w:b/>
          <w:bCs/>
          <w:lang w:val="es-ES"/>
        </w:rPr>
        <w:t>0 días para secundarios</w:t>
      </w:r>
      <w:r w:rsidRPr="5E5BFDDB">
        <w:rPr>
          <w:lang w:val="es-ES"/>
        </w:rPr>
        <w:t xml:space="preserve">, favoreciendo el vínculo familiar. También entrega el </w:t>
      </w:r>
      <w:r w:rsidRPr="5E5BFDDB">
        <w:rPr>
          <w:b/>
          <w:bCs/>
          <w:lang w:val="es-ES"/>
        </w:rPr>
        <w:t xml:space="preserve">kit “BOB” (Baby </w:t>
      </w:r>
      <w:proofErr w:type="spellStart"/>
      <w:r w:rsidRPr="5E5BFDDB">
        <w:rPr>
          <w:b/>
          <w:bCs/>
          <w:lang w:val="es-ES"/>
        </w:rPr>
        <w:t>On</w:t>
      </w:r>
      <w:proofErr w:type="spellEnd"/>
      <w:r w:rsidRPr="5E5BFDDB">
        <w:rPr>
          <w:b/>
          <w:bCs/>
          <w:lang w:val="es-ES"/>
        </w:rPr>
        <w:t xml:space="preserve"> </w:t>
      </w:r>
      <w:proofErr w:type="spellStart"/>
      <w:r w:rsidRPr="5E5BFDDB">
        <w:rPr>
          <w:b/>
          <w:bCs/>
          <w:lang w:val="es-ES"/>
        </w:rPr>
        <w:t>Board</w:t>
      </w:r>
      <w:proofErr w:type="spellEnd"/>
      <w:r w:rsidRPr="5E5BFDDB">
        <w:rPr>
          <w:b/>
          <w:bCs/>
          <w:lang w:val="es-ES"/>
        </w:rPr>
        <w:t>)</w:t>
      </w:r>
      <w:r w:rsidRPr="5E5BFDDB">
        <w:rPr>
          <w:lang w:val="es-ES"/>
        </w:rPr>
        <w:t xml:space="preserve">, con una bonificación mensual durante el primer año tras el regreso al trabajo y recursos de bienestar parental. Además, promueve una red de </w:t>
      </w:r>
      <w:r w:rsidRPr="5E5BFDDB">
        <w:rPr>
          <w:b/>
          <w:bCs/>
          <w:lang w:val="es-ES"/>
        </w:rPr>
        <w:t>mentoría parental</w:t>
      </w:r>
      <w:r w:rsidRPr="5E5BFDDB">
        <w:rPr>
          <w:lang w:val="es-ES"/>
        </w:rPr>
        <w:t xml:space="preserve"> entre colaboradores con experiencias diversas para facilitar la adaptación a la nueva dinámica familiar. Finalmente, contempla un </w:t>
      </w:r>
      <w:r w:rsidRPr="5E5BFDDB">
        <w:rPr>
          <w:b/>
          <w:bCs/>
          <w:lang w:val="es-ES"/>
        </w:rPr>
        <w:t>retorno al trabajo progresivo</w:t>
      </w:r>
      <w:r w:rsidRPr="5E5BFDDB">
        <w:rPr>
          <w:lang w:val="es-ES"/>
        </w:rPr>
        <w:t>, acordado con el líder, que permite una transición flexible tras la licencia, cuidando tanto al colaborador como al bebé.</w:t>
      </w:r>
    </w:p>
    <w:p w14:paraId="42D5FC64" w14:textId="77777777" w:rsidR="00E6240D" w:rsidRDefault="00E6240D" w:rsidP="00B378B1">
      <w:pPr>
        <w:jc w:val="both"/>
      </w:pPr>
    </w:p>
    <w:p w14:paraId="0E50A551" w14:textId="28D8F819" w:rsidR="00E6240D" w:rsidRDefault="00E6240D" w:rsidP="00B378B1">
      <w:pPr>
        <w:jc w:val="both"/>
        <w:rPr>
          <w:lang w:val="es-ES"/>
        </w:rPr>
      </w:pPr>
      <w:r w:rsidRPr="00E6240D">
        <w:t>Los conceptos "cuidador primario" y "cuidador secundario" se utilizan para referirse al papel que desempeña una persona en la atención a un recién nacido o a un bebé tras su adopción.</w:t>
      </w:r>
    </w:p>
    <w:p w14:paraId="7BCB4D3C" w14:textId="77777777" w:rsidR="00731238" w:rsidRDefault="00731238" w:rsidP="00B378B1">
      <w:pPr>
        <w:jc w:val="both"/>
      </w:pPr>
    </w:p>
    <w:p w14:paraId="415EF1FB" w14:textId="79934AE0" w:rsidR="00731238" w:rsidRDefault="0085787A" w:rsidP="00B378B1">
      <w:pPr>
        <w:jc w:val="both"/>
      </w:pPr>
      <w:r w:rsidRPr="1968DA9A">
        <w:rPr>
          <w:i/>
        </w:rPr>
        <w:t>“En Henkel promovemos una cultura empresarial donde la diversidad y la inclusión no solamente son valores fundamentales, sino también motores de nuestra creatividad, innovación y alto desempeño. Estamos comprometidos con cerrar las brechas de género y construir una cultura de pertenencia, donde todas las personas tengan las mismas oportunidades de desarrollarse profesionalmente”</w:t>
      </w:r>
      <w:r>
        <w:t xml:space="preserve">, dijo Natalia Vargas, gerente de recursos humanos </w:t>
      </w:r>
      <w:r w:rsidR="7A5961B5">
        <w:t>de Henkel.</w:t>
      </w:r>
    </w:p>
    <w:p w14:paraId="7275F555" w14:textId="77777777" w:rsidR="00731238" w:rsidRDefault="00731238" w:rsidP="00B378B1">
      <w:pPr>
        <w:jc w:val="both"/>
      </w:pPr>
    </w:p>
    <w:p w14:paraId="3251C533" w14:textId="4F6F1DFE" w:rsidR="00731238" w:rsidRPr="00D14488" w:rsidRDefault="00D14488" w:rsidP="00B378B1">
      <w:pPr>
        <w:jc w:val="both"/>
        <w:rPr>
          <w:b/>
          <w:lang w:val="es-ES"/>
        </w:rPr>
      </w:pPr>
      <w:r w:rsidRPr="3AB08195">
        <w:rPr>
          <w:b/>
          <w:lang w:val="es-ES"/>
        </w:rPr>
        <w:t xml:space="preserve">La comunidad LGBTIQ+ gana espacio en sectores clave de la economía: </w:t>
      </w:r>
      <w:r w:rsidRPr="3AB08195">
        <w:rPr>
          <w:lang w:val="es-ES"/>
        </w:rPr>
        <w:t>l</w:t>
      </w:r>
      <w:r w:rsidR="0085787A" w:rsidRPr="3AB08195">
        <w:rPr>
          <w:lang w:val="es-ES"/>
        </w:rPr>
        <w:t xml:space="preserve">a participación de la comunidad LGBTIQ+ en la economía es bastante marcada, según la Gran Encuesta Integrada de Hogares del </w:t>
      </w:r>
      <w:proofErr w:type="spellStart"/>
      <w:r w:rsidR="0085787A" w:rsidRPr="3AB08195">
        <w:rPr>
          <w:lang w:val="es-ES"/>
        </w:rPr>
        <w:t>Dane</w:t>
      </w:r>
      <w:proofErr w:type="spellEnd"/>
      <w:r w:rsidR="0085787A" w:rsidRPr="3AB08195">
        <w:rPr>
          <w:lang w:val="es-ES"/>
        </w:rPr>
        <w:t>. El 71,9% de la población de la comunidad en Colombia está empleada, respecto a un 60,9% de la población colombiana en general. Las personas de sexualidad diversa tienen una mayor participación en actividades profesionales y artísticas que el total de los colombianos, mientras que participan menos en sectores como construcción y agricultura.</w:t>
      </w:r>
    </w:p>
    <w:p w14:paraId="0607112B" w14:textId="77777777" w:rsidR="00731238" w:rsidRDefault="00731238" w:rsidP="00B378B1">
      <w:pPr>
        <w:jc w:val="both"/>
      </w:pPr>
    </w:p>
    <w:p w14:paraId="582A57B7" w14:textId="77777777" w:rsidR="00731238" w:rsidRDefault="0085787A" w:rsidP="00B378B1">
      <w:pPr>
        <w:jc w:val="both"/>
        <w:rPr>
          <w:lang w:val="es-ES"/>
        </w:rPr>
      </w:pPr>
      <w:r w:rsidRPr="3AB08195">
        <w:rPr>
          <w:lang w:val="es-ES"/>
        </w:rPr>
        <w:t>Los miembros de la comunidad tienden a ser más frecuentemente empleados por otras personas, con un 58,0% de obreros y empleados particulares contra un 31,7% de trabajadores por cuenta propia. En la población en general, estas cifras son del 43,9% y 41,6%, respectivamente.</w:t>
      </w:r>
    </w:p>
    <w:p w14:paraId="6B73F10D" w14:textId="77777777" w:rsidR="00731238" w:rsidRDefault="00731238" w:rsidP="00B378B1">
      <w:pPr>
        <w:jc w:val="both"/>
      </w:pPr>
    </w:p>
    <w:p w14:paraId="3AA87CC9" w14:textId="458D4E86" w:rsidR="00731238" w:rsidRDefault="0085787A" w:rsidP="00B378B1">
      <w:pPr>
        <w:jc w:val="both"/>
        <w:rPr>
          <w:lang w:val="es-ES"/>
        </w:rPr>
      </w:pPr>
      <w:r w:rsidRPr="3AB08195">
        <w:rPr>
          <w:lang w:val="es-ES"/>
        </w:rPr>
        <w:t xml:space="preserve">Asimismo, Henkel ha participado en el desarrollo personal y laboral de personas de la comunidad LGBTIQ+ que trabajan en los sectores de belleza y cuidado capilar. Prueba de ello es la reciente graduación de </w:t>
      </w:r>
      <w:r w:rsidR="2F9EA0D1" w:rsidRPr="12D6BA3D">
        <w:rPr>
          <w:lang w:val="es-ES"/>
        </w:rPr>
        <w:t xml:space="preserve">un </w:t>
      </w:r>
      <w:r w:rsidR="2F9EA0D1" w:rsidRPr="65D4756A">
        <w:rPr>
          <w:lang w:val="es-ES"/>
        </w:rPr>
        <w:t>grupo</w:t>
      </w:r>
      <w:r w:rsidRPr="3AB08195">
        <w:rPr>
          <w:lang w:val="es-ES"/>
        </w:rPr>
        <w:t xml:space="preserve"> </w:t>
      </w:r>
      <w:r w:rsidR="2F9EA0D1" w:rsidRPr="2C9F28B5">
        <w:rPr>
          <w:lang w:val="es-ES"/>
        </w:rPr>
        <w:t>de</w:t>
      </w:r>
      <w:r w:rsidR="00DB2672" w:rsidRPr="2C9F28B5">
        <w:rPr>
          <w:lang w:val="es-ES"/>
        </w:rPr>
        <w:t xml:space="preserve"> </w:t>
      </w:r>
      <w:r w:rsidRPr="3AB08195">
        <w:rPr>
          <w:lang w:val="es-ES"/>
        </w:rPr>
        <w:t xml:space="preserve">personas de la comunidad </w:t>
      </w:r>
      <w:r w:rsidR="7A9ED8D0" w:rsidRPr="385829B1">
        <w:rPr>
          <w:lang w:val="es-ES"/>
        </w:rPr>
        <w:t>a</w:t>
      </w:r>
      <w:r w:rsidRPr="3AB08195">
        <w:rPr>
          <w:lang w:val="es-ES"/>
        </w:rPr>
        <w:t xml:space="preserve"> través de la iniciativa </w:t>
      </w:r>
      <w:proofErr w:type="spellStart"/>
      <w:r w:rsidRPr="775ABF89">
        <w:rPr>
          <w:i/>
          <w:lang w:val="es-ES"/>
        </w:rPr>
        <w:t>Shaping</w:t>
      </w:r>
      <w:proofErr w:type="spellEnd"/>
      <w:r w:rsidRPr="775ABF89">
        <w:rPr>
          <w:i/>
          <w:lang w:val="es-ES"/>
        </w:rPr>
        <w:t xml:space="preserve"> Futures</w:t>
      </w:r>
      <w:r w:rsidRPr="3AB08195">
        <w:rPr>
          <w:lang w:val="es-ES"/>
        </w:rPr>
        <w:t xml:space="preserve"> de Henkel y </w:t>
      </w:r>
      <w:r w:rsidR="00592282" w:rsidRPr="3AB08195">
        <w:rPr>
          <w:lang w:val="es-ES"/>
        </w:rPr>
        <w:t>los programas de formación de sus</w:t>
      </w:r>
      <w:r w:rsidRPr="3AB08195">
        <w:rPr>
          <w:lang w:val="es-ES"/>
        </w:rPr>
        <w:t xml:space="preserve"> marcas Schwarzkopf, </w:t>
      </w:r>
      <w:proofErr w:type="spellStart"/>
      <w:r w:rsidRPr="3AB08195">
        <w:rPr>
          <w:lang w:val="es-ES"/>
        </w:rPr>
        <w:t>Authentic</w:t>
      </w:r>
      <w:proofErr w:type="spellEnd"/>
      <w:r w:rsidRPr="3AB08195">
        <w:rPr>
          <w:lang w:val="es-ES"/>
        </w:rPr>
        <w:t xml:space="preserve"> </w:t>
      </w:r>
      <w:proofErr w:type="spellStart"/>
      <w:r w:rsidRPr="3AB08195">
        <w:rPr>
          <w:lang w:val="es-ES"/>
        </w:rPr>
        <w:t>Beauty</w:t>
      </w:r>
      <w:proofErr w:type="spellEnd"/>
      <w:r w:rsidRPr="3AB08195">
        <w:rPr>
          <w:lang w:val="es-ES"/>
        </w:rPr>
        <w:t xml:space="preserve"> Concept, </w:t>
      </w:r>
      <w:proofErr w:type="spellStart"/>
      <w:r w:rsidRPr="3AB08195">
        <w:rPr>
          <w:lang w:val="es-ES"/>
        </w:rPr>
        <w:t>Tec</w:t>
      </w:r>
      <w:proofErr w:type="spellEnd"/>
      <w:r w:rsidRPr="3AB08195">
        <w:rPr>
          <w:lang w:val="es-ES"/>
        </w:rPr>
        <w:t xml:space="preserve"> </w:t>
      </w:r>
      <w:proofErr w:type="spellStart"/>
      <w:r w:rsidRPr="3AB08195">
        <w:rPr>
          <w:lang w:val="es-ES"/>
        </w:rPr>
        <w:t>Italy</w:t>
      </w:r>
      <w:proofErr w:type="spellEnd"/>
      <w:r w:rsidRPr="3AB08195">
        <w:rPr>
          <w:lang w:val="es-ES"/>
        </w:rPr>
        <w:t xml:space="preserve"> y </w:t>
      </w:r>
      <w:proofErr w:type="spellStart"/>
      <w:r w:rsidRPr="3AB08195">
        <w:rPr>
          <w:lang w:val="es-ES"/>
        </w:rPr>
        <w:t>Küul</w:t>
      </w:r>
      <w:proofErr w:type="spellEnd"/>
      <w:r w:rsidRPr="3AB08195">
        <w:rPr>
          <w:lang w:val="es-ES"/>
        </w:rPr>
        <w:t xml:space="preserve"> con el fin de transformar vidas a través del arte del peinado y la estética.</w:t>
      </w:r>
    </w:p>
    <w:p w14:paraId="6CC7EC48" w14:textId="77777777" w:rsidR="00731238" w:rsidRDefault="00731238" w:rsidP="00B378B1">
      <w:pPr>
        <w:jc w:val="both"/>
      </w:pPr>
    </w:p>
    <w:p w14:paraId="51743121" w14:textId="77777777" w:rsidR="00731238" w:rsidRDefault="0085787A">
      <w:pPr>
        <w:spacing w:after="160" w:line="259" w:lineRule="auto"/>
        <w:jc w:val="center"/>
      </w:pPr>
      <w:r>
        <w:t>***</w:t>
      </w:r>
    </w:p>
    <w:p w14:paraId="718DAD0E" w14:textId="77777777" w:rsidR="00731238" w:rsidRDefault="0085787A">
      <w:pPr>
        <w:spacing w:line="259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Sobre Henkel</w:t>
      </w:r>
    </w:p>
    <w:p w14:paraId="6334EBC5" w14:textId="77777777" w:rsidR="00731238" w:rsidRDefault="0085787A">
      <w:pPr>
        <w:spacing w:line="259" w:lineRule="auto"/>
        <w:jc w:val="both"/>
        <w:rPr>
          <w:sz w:val="16"/>
          <w:szCs w:val="16"/>
          <w:lang w:val="es-ES"/>
        </w:rPr>
      </w:pPr>
      <w:r w:rsidRPr="3AB08195">
        <w:rPr>
          <w:sz w:val="16"/>
          <w:szCs w:val="16"/>
          <w:lang w:val="es-ES"/>
        </w:rPr>
        <w:t xml:space="preserve">Henkel es una compañía global con casi 150 años de historia. Con sus marcas, innovaciones y tecnologías, ocupa posiciones de liderazgo mundial en dos unidades de negocio: Marcas de consumo (cuidado del cabello y lavandería) y Tecnologías adhesivas (adhesivos, selladores y recubrimientos funcionales). Las tres marcas más fuertes de Henkel son Loctite, </w:t>
      </w:r>
      <w:proofErr w:type="spellStart"/>
      <w:r w:rsidRPr="3AB08195">
        <w:rPr>
          <w:sz w:val="16"/>
          <w:szCs w:val="16"/>
          <w:lang w:val="es-ES"/>
        </w:rPr>
        <w:t>Persil</w:t>
      </w:r>
      <w:proofErr w:type="spellEnd"/>
      <w:r w:rsidRPr="3AB08195">
        <w:rPr>
          <w:sz w:val="16"/>
          <w:szCs w:val="16"/>
          <w:lang w:val="es-ES"/>
        </w:rPr>
        <w:t xml:space="preserve"> y Schwarzkopf. En 2024 Henkel alcanzó ventas por €21,6 billones de euros Las acciones preferentes de Henkel cotizan en el índice bursátil alemán DAX. La sostenibilidad, innovación y diversidad están profundamente ancladas a la estrategia de la compañía. Henkel se fundó en 1876 y hoy emplea a un equipo diverso de más de 47.000 personas en todo el mundo, unidas por una sólida cultura corporativa, valores compartidos y un propósito común: "</w:t>
      </w:r>
      <w:proofErr w:type="spellStart"/>
      <w:r w:rsidRPr="3AB08195">
        <w:rPr>
          <w:sz w:val="16"/>
          <w:szCs w:val="16"/>
          <w:lang w:val="es-ES"/>
        </w:rPr>
        <w:t>Pioneers</w:t>
      </w:r>
      <w:proofErr w:type="spellEnd"/>
      <w:r w:rsidRPr="3AB08195">
        <w:rPr>
          <w:sz w:val="16"/>
          <w:szCs w:val="16"/>
          <w:lang w:val="es-ES"/>
        </w:rPr>
        <w:t xml:space="preserve"> at </w:t>
      </w:r>
      <w:proofErr w:type="spellStart"/>
      <w:r w:rsidRPr="3AB08195">
        <w:rPr>
          <w:sz w:val="16"/>
          <w:szCs w:val="16"/>
          <w:lang w:val="es-ES"/>
        </w:rPr>
        <w:t>heart</w:t>
      </w:r>
      <w:proofErr w:type="spellEnd"/>
      <w:r w:rsidRPr="3AB08195">
        <w:rPr>
          <w:sz w:val="16"/>
          <w:szCs w:val="16"/>
          <w:lang w:val="es-ES"/>
        </w:rPr>
        <w:t xml:space="preserve"> </w:t>
      </w:r>
      <w:proofErr w:type="spellStart"/>
      <w:r w:rsidRPr="3AB08195">
        <w:rPr>
          <w:sz w:val="16"/>
          <w:szCs w:val="16"/>
          <w:lang w:val="es-ES"/>
        </w:rPr>
        <w:t>for</w:t>
      </w:r>
      <w:proofErr w:type="spellEnd"/>
      <w:r w:rsidRPr="3AB08195">
        <w:rPr>
          <w:sz w:val="16"/>
          <w:szCs w:val="16"/>
          <w:lang w:val="es-ES"/>
        </w:rPr>
        <w:t xml:space="preserve"> </w:t>
      </w:r>
      <w:proofErr w:type="spellStart"/>
      <w:r w:rsidRPr="3AB08195">
        <w:rPr>
          <w:sz w:val="16"/>
          <w:szCs w:val="16"/>
          <w:lang w:val="es-ES"/>
        </w:rPr>
        <w:t>the</w:t>
      </w:r>
      <w:proofErr w:type="spellEnd"/>
      <w:r w:rsidRPr="3AB08195">
        <w:rPr>
          <w:sz w:val="16"/>
          <w:szCs w:val="16"/>
          <w:lang w:val="es-ES"/>
        </w:rPr>
        <w:t xml:space="preserve"> </w:t>
      </w:r>
      <w:proofErr w:type="spellStart"/>
      <w:r w:rsidRPr="3AB08195">
        <w:rPr>
          <w:sz w:val="16"/>
          <w:szCs w:val="16"/>
          <w:lang w:val="es-ES"/>
        </w:rPr>
        <w:t>good</w:t>
      </w:r>
      <w:proofErr w:type="spellEnd"/>
      <w:r w:rsidRPr="3AB08195">
        <w:rPr>
          <w:sz w:val="16"/>
          <w:szCs w:val="16"/>
          <w:lang w:val="es-ES"/>
        </w:rPr>
        <w:t xml:space="preserve"> </w:t>
      </w:r>
      <w:proofErr w:type="spellStart"/>
      <w:r w:rsidRPr="3AB08195">
        <w:rPr>
          <w:sz w:val="16"/>
          <w:szCs w:val="16"/>
          <w:lang w:val="es-ES"/>
        </w:rPr>
        <w:t>of</w:t>
      </w:r>
      <w:proofErr w:type="spellEnd"/>
      <w:r w:rsidRPr="3AB08195">
        <w:rPr>
          <w:sz w:val="16"/>
          <w:szCs w:val="16"/>
          <w:lang w:val="es-ES"/>
        </w:rPr>
        <w:t xml:space="preserve"> </w:t>
      </w:r>
      <w:proofErr w:type="spellStart"/>
      <w:r w:rsidRPr="3AB08195">
        <w:rPr>
          <w:sz w:val="16"/>
          <w:szCs w:val="16"/>
          <w:lang w:val="es-ES"/>
        </w:rPr>
        <w:t>generations</w:t>
      </w:r>
      <w:proofErr w:type="spellEnd"/>
      <w:r w:rsidRPr="3AB08195">
        <w:rPr>
          <w:sz w:val="16"/>
          <w:szCs w:val="16"/>
          <w:lang w:val="es-ES"/>
        </w:rPr>
        <w:t xml:space="preserve">" Más información en www.henkel.com  </w:t>
      </w:r>
    </w:p>
    <w:p w14:paraId="0045BDCF" w14:textId="77777777" w:rsidR="00731238" w:rsidRDefault="00731238">
      <w:pPr>
        <w:spacing w:after="160" w:line="259" w:lineRule="auto"/>
        <w:jc w:val="both"/>
        <w:rPr>
          <w:b/>
          <w:sz w:val="16"/>
          <w:szCs w:val="16"/>
        </w:rPr>
      </w:pPr>
    </w:p>
    <w:p w14:paraId="0E8F6E7E" w14:textId="77777777" w:rsidR="00731238" w:rsidRDefault="0085787A">
      <w:pPr>
        <w:spacing w:after="160" w:line="259" w:lineRule="auto"/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Henkel en Colombia</w:t>
      </w:r>
    </w:p>
    <w:p w14:paraId="2F8E8568" w14:textId="77777777" w:rsidR="00731238" w:rsidRDefault="0085787A">
      <w:pPr>
        <w:spacing w:line="259" w:lineRule="auto"/>
        <w:jc w:val="both"/>
        <w:rPr>
          <w:sz w:val="16"/>
          <w:szCs w:val="16"/>
          <w:lang w:val="es-ES"/>
        </w:rPr>
      </w:pPr>
      <w:r w:rsidRPr="3AB08195">
        <w:rPr>
          <w:sz w:val="16"/>
          <w:szCs w:val="16"/>
          <w:lang w:val="es-ES"/>
        </w:rPr>
        <w:t xml:space="preserve">En Colombia, Henkel cuenta con una trayectoria de casi 70 años y una planta de producción en Bogotá. En 2024, el país se convirtió en el tercero con mayores ventas de la región, después de México y Brasil, ratificando su posición estratégica para el desarrollo y crecimiento del mercado en Latinoamérica. Asimismo, las ventas fueron de más de €103,2 millones de euros, consolidando en el mercado 23 marcas en las cuales están Schwarzkopf, </w:t>
      </w:r>
      <w:proofErr w:type="spellStart"/>
      <w:r w:rsidRPr="3AB08195">
        <w:rPr>
          <w:sz w:val="16"/>
          <w:szCs w:val="16"/>
          <w:lang w:val="es-ES"/>
        </w:rPr>
        <w:t>Igora</w:t>
      </w:r>
      <w:proofErr w:type="spellEnd"/>
      <w:r w:rsidRPr="3AB08195">
        <w:rPr>
          <w:sz w:val="16"/>
          <w:szCs w:val="16"/>
          <w:lang w:val="es-ES"/>
        </w:rPr>
        <w:t xml:space="preserve">, </w:t>
      </w:r>
      <w:proofErr w:type="spellStart"/>
      <w:r w:rsidRPr="3AB08195">
        <w:rPr>
          <w:sz w:val="16"/>
          <w:szCs w:val="16"/>
          <w:lang w:val="es-ES"/>
        </w:rPr>
        <w:t>Konzil</w:t>
      </w:r>
      <w:proofErr w:type="spellEnd"/>
      <w:r w:rsidRPr="3AB08195">
        <w:rPr>
          <w:sz w:val="16"/>
          <w:szCs w:val="16"/>
          <w:lang w:val="es-ES"/>
        </w:rPr>
        <w:t xml:space="preserve">, </w:t>
      </w:r>
      <w:proofErr w:type="spellStart"/>
      <w:r w:rsidRPr="3AB08195">
        <w:rPr>
          <w:sz w:val="16"/>
          <w:szCs w:val="16"/>
          <w:lang w:val="es-ES"/>
        </w:rPr>
        <w:t>Persil</w:t>
      </w:r>
      <w:proofErr w:type="spellEnd"/>
      <w:r w:rsidRPr="3AB08195">
        <w:rPr>
          <w:sz w:val="16"/>
          <w:szCs w:val="16"/>
          <w:lang w:val="es-ES"/>
        </w:rPr>
        <w:t xml:space="preserve">, </w:t>
      </w:r>
      <w:proofErr w:type="spellStart"/>
      <w:r w:rsidRPr="3AB08195">
        <w:rPr>
          <w:sz w:val="16"/>
          <w:szCs w:val="16"/>
          <w:lang w:val="es-ES"/>
        </w:rPr>
        <w:t>Tec</w:t>
      </w:r>
      <w:proofErr w:type="spellEnd"/>
      <w:r w:rsidRPr="3AB08195">
        <w:rPr>
          <w:sz w:val="16"/>
          <w:szCs w:val="16"/>
          <w:lang w:val="es-ES"/>
        </w:rPr>
        <w:t xml:space="preserve"> </w:t>
      </w:r>
      <w:proofErr w:type="spellStart"/>
      <w:r w:rsidRPr="3AB08195">
        <w:rPr>
          <w:sz w:val="16"/>
          <w:szCs w:val="16"/>
          <w:lang w:val="es-ES"/>
        </w:rPr>
        <w:t>Italy</w:t>
      </w:r>
      <w:proofErr w:type="spellEnd"/>
      <w:r w:rsidRPr="3AB08195">
        <w:rPr>
          <w:sz w:val="16"/>
          <w:szCs w:val="16"/>
          <w:lang w:val="es-ES"/>
        </w:rPr>
        <w:t xml:space="preserve">, </w:t>
      </w:r>
      <w:proofErr w:type="spellStart"/>
      <w:r w:rsidRPr="3AB08195">
        <w:rPr>
          <w:sz w:val="16"/>
          <w:szCs w:val="16"/>
          <w:lang w:val="es-ES"/>
        </w:rPr>
        <w:t>Authentic</w:t>
      </w:r>
      <w:proofErr w:type="spellEnd"/>
      <w:r w:rsidRPr="3AB08195">
        <w:rPr>
          <w:sz w:val="16"/>
          <w:szCs w:val="16"/>
          <w:lang w:val="es-ES"/>
        </w:rPr>
        <w:t xml:space="preserve"> </w:t>
      </w:r>
      <w:proofErr w:type="spellStart"/>
      <w:r w:rsidRPr="3AB08195">
        <w:rPr>
          <w:sz w:val="16"/>
          <w:szCs w:val="16"/>
          <w:lang w:val="es-ES"/>
        </w:rPr>
        <w:t>Beauty</w:t>
      </w:r>
      <w:proofErr w:type="spellEnd"/>
      <w:r w:rsidRPr="3AB08195">
        <w:rPr>
          <w:sz w:val="16"/>
          <w:szCs w:val="16"/>
          <w:lang w:val="es-ES"/>
        </w:rPr>
        <w:t xml:space="preserve"> Concept, </w:t>
      </w:r>
      <w:proofErr w:type="spellStart"/>
      <w:r w:rsidRPr="3AB08195">
        <w:rPr>
          <w:sz w:val="16"/>
          <w:szCs w:val="16"/>
          <w:lang w:val="es-ES"/>
        </w:rPr>
        <w:t>Palette</w:t>
      </w:r>
      <w:proofErr w:type="spellEnd"/>
      <w:r w:rsidRPr="3AB08195">
        <w:rPr>
          <w:sz w:val="16"/>
          <w:szCs w:val="16"/>
          <w:lang w:val="es-ES"/>
        </w:rPr>
        <w:t xml:space="preserve">, Balance, </w:t>
      </w:r>
      <w:proofErr w:type="spellStart"/>
      <w:r w:rsidRPr="3AB08195">
        <w:rPr>
          <w:sz w:val="16"/>
          <w:szCs w:val="16"/>
          <w:lang w:val="es-ES"/>
        </w:rPr>
        <w:t>Sista</w:t>
      </w:r>
      <w:proofErr w:type="spellEnd"/>
      <w:r w:rsidRPr="3AB08195">
        <w:rPr>
          <w:sz w:val="16"/>
          <w:szCs w:val="16"/>
          <w:lang w:val="es-ES"/>
        </w:rPr>
        <w:t xml:space="preserve">, Loctite, </w:t>
      </w:r>
      <w:proofErr w:type="spellStart"/>
      <w:r w:rsidRPr="3AB08195">
        <w:rPr>
          <w:sz w:val="16"/>
          <w:szCs w:val="16"/>
          <w:lang w:val="es-ES"/>
        </w:rPr>
        <w:t>Ceresit</w:t>
      </w:r>
      <w:proofErr w:type="spellEnd"/>
      <w:r w:rsidRPr="3AB08195">
        <w:rPr>
          <w:sz w:val="16"/>
          <w:szCs w:val="16"/>
          <w:lang w:val="es-ES"/>
        </w:rPr>
        <w:t xml:space="preserve"> entre otras. La planta de Montevideo (Bogotá), fundada en 1956, se ha consolidado como el Hub de producción de coloración en América Latina, desde donde se exporta más del 50% de la producción de esta planta a Europa, Estados Unidos, Argentina, Brasil, México, entre otros.</w:t>
      </w:r>
    </w:p>
    <w:p w14:paraId="09A0C061" w14:textId="77777777" w:rsidR="00731238" w:rsidRDefault="00731238">
      <w:pPr>
        <w:spacing w:line="259" w:lineRule="auto"/>
        <w:jc w:val="both"/>
        <w:rPr>
          <w:sz w:val="16"/>
          <w:szCs w:val="16"/>
        </w:rPr>
      </w:pPr>
    </w:p>
    <w:p w14:paraId="77010DDF" w14:textId="77777777" w:rsidR="00731238" w:rsidRDefault="00731238">
      <w:pPr>
        <w:spacing w:after="160" w:line="259" w:lineRule="auto"/>
        <w:jc w:val="center"/>
        <w:rPr>
          <w:rFonts w:ascii="Calibri" w:eastAsia="Calibri" w:hAnsi="Calibri" w:cs="Calibri"/>
        </w:rPr>
      </w:pPr>
    </w:p>
    <w:sectPr w:rsidR="00731238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9129BC" w14:textId="77777777" w:rsidR="00766FCE" w:rsidRDefault="00766FCE">
      <w:pPr>
        <w:spacing w:line="240" w:lineRule="auto"/>
      </w:pPr>
      <w:r>
        <w:separator/>
      </w:r>
    </w:p>
  </w:endnote>
  <w:endnote w:type="continuationSeparator" w:id="0">
    <w:p w14:paraId="36715490" w14:textId="77777777" w:rsidR="00766FCE" w:rsidRDefault="00766FCE">
      <w:pPr>
        <w:spacing w:line="240" w:lineRule="auto"/>
      </w:pPr>
      <w:r>
        <w:continuationSeparator/>
      </w:r>
    </w:p>
  </w:endnote>
  <w:endnote w:type="continuationNotice" w:id="1">
    <w:p w14:paraId="27E7BF5A" w14:textId="77777777" w:rsidR="00766FCE" w:rsidRDefault="00766FC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2F613" w14:textId="77777777" w:rsidR="00766FCE" w:rsidRDefault="00766FCE">
      <w:pPr>
        <w:spacing w:line="240" w:lineRule="auto"/>
      </w:pPr>
      <w:r>
        <w:separator/>
      </w:r>
    </w:p>
  </w:footnote>
  <w:footnote w:type="continuationSeparator" w:id="0">
    <w:p w14:paraId="2FF24415" w14:textId="77777777" w:rsidR="00766FCE" w:rsidRDefault="00766FCE">
      <w:pPr>
        <w:spacing w:line="240" w:lineRule="auto"/>
      </w:pPr>
      <w:r>
        <w:continuationSeparator/>
      </w:r>
    </w:p>
  </w:footnote>
  <w:footnote w:type="continuationNotice" w:id="1">
    <w:p w14:paraId="0B428AA4" w14:textId="77777777" w:rsidR="00766FCE" w:rsidRDefault="00766FC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FD805" w14:textId="77777777" w:rsidR="00731238" w:rsidRDefault="0085787A">
    <w:pPr>
      <w:tabs>
        <w:tab w:val="center" w:pos="4680"/>
        <w:tab w:val="right" w:pos="9360"/>
      </w:tabs>
      <w:spacing w:line="240" w:lineRule="auto"/>
      <w:ind w:right="-115"/>
      <w:jc w:val="right"/>
    </w:pPr>
    <w:r>
      <w:rPr>
        <w:rFonts w:ascii="Calibri" w:eastAsia="Calibri" w:hAnsi="Calibri" w:cs="Calibri"/>
        <w:noProof/>
      </w:rPr>
      <w:drawing>
        <wp:inline distT="0" distB="0" distL="0" distR="0" wp14:anchorId="3B75CF3B" wp14:editId="319BCC72">
          <wp:extent cx="1042502" cy="5905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42502" cy="590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44622"/>
    <w:multiLevelType w:val="hybridMultilevel"/>
    <w:tmpl w:val="88F002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3318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238"/>
    <w:rsid w:val="00001661"/>
    <w:rsid w:val="00002EA4"/>
    <w:rsid w:val="0001115D"/>
    <w:rsid w:val="000169D2"/>
    <w:rsid w:val="00020C51"/>
    <w:rsid w:val="000248F4"/>
    <w:rsid w:val="00026519"/>
    <w:rsid w:val="00045141"/>
    <w:rsid w:val="00065935"/>
    <w:rsid w:val="000702A5"/>
    <w:rsid w:val="000806DE"/>
    <w:rsid w:val="00090611"/>
    <w:rsid w:val="000A1833"/>
    <w:rsid w:val="000A638F"/>
    <w:rsid w:val="000B2372"/>
    <w:rsid w:val="000B290A"/>
    <w:rsid w:val="000B4558"/>
    <w:rsid w:val="000B4A27"/>
    <w:rsid w:val="000C7927"/>
    <w:rsid w:val="000D00F5"/>
    <w:rsid w:val="000F2FC2"/>
    <w:rsid w:val="00100622"/>
    <w:rsid w:val="001243A3"/>
    <w:rsid w:val="00137AED"/>
    <w:rsid w:val="00153772"/>
    <w:rsid w:val="00154647"/>
    <w:rsid w:val="00162361"/>
    <w:rsid w:val="00174298"/>
    <w:rsid w:val="00191528"/>
    <w:rsid w:val="001B0D25"/>
    <w:rsid w:val="001B44D3"/>
    <w:rsid w:val="001B4A39"/>
    <w:rsid w:val="001B4BFA"/>
    <w:rsid w:val="001B7B8A"/>
    <w:rsid w:val="001D02AA"/>
    <w:rsid w:val="001D02FC"/>
    <w:rsid w:val="001D603B"/>
    <w:rsid w:val="001E779C"/>
    <w:rsid w:val="001E7E3F"/>
    <w:rsid w:val="001F1240"/>
    <w:rsid w:val="001F6CB6"/>
    <w:rsid w:val="00202140"/>
    <w:rsid w:val="00203583"/>
    <w:rsid w:val="00204482"/>
    <w:rsid w:val="002075AD"/>
    <w:rsid w:val="0021013B"/>
    <w:rsid w:val="00215614"/>
    <w:rsid w:val="002213AA"/>
    <w:rsid w:val="00222FE5"/>
    <w:rsid w:val="00224F97"/>
    <w:rsid w:val="002363DA"/>
    <w:rsid w:val="002400EE"/>
    <w:rsid w:val="0025678A"/>
    <w:rsid w:val="002673D4"/>
    <w:rsid w:val="002713FD"/>
    <w:rsid w:val="002720DC"/>
    <w:rsid w:val="00272EA0"/>
    <w:rsid w:val="00286B4B"/>
    <w:rsid w:val="00292703"/>
    <w:rsid w:val="00297B67"/>
    <w:rsid w:val="002A3482"/>
    <w:rsid w:val="002A3507"/>
    <w:rsid w:val="002A5457"/>
    <w:rsid w:val="002E26A2"/>
    <w:rsid w:val="002E5625"/>
    <w:rsid w:val="003048D3"/>
    <w:rsid w:val="003119B7"/>
    <w:rsid w:val="00326888"/>
    <w:rsid w:val="0034047A"/>
    <w:rsid w:val="003469B9"/>
    <w:rsid w:val="00347F43"/>
    <w:rsid w:val="003527F7"/>
    <w:rsid w:val="0035494D"/>
    <w:rsid w:val="00355EAE"/>
    <w:rsid w:val="00361412"/>
    <w:rsid w:val="00371017"/>
    <w:rsid w:val="003712B9"/>
    <w:rsid w:val="0037393A"/>
    <w:rsid w:val="0038186F"/>
    <w:rsid w:val="00383974"/>
    <w:rsid w:val="0039475C"/>
    <w:rsid w:val="003A183D"/>
    <w:rsid w:val="003A4135"/>
    <w:rsid w:val="003B48AE"/>
    <w:rsid w:val="003C574A"/>
    <w:rsid w:val="003D7130"/>
    <w:rsid w:val="003E5B29"/>
    <w:rsid w:val="003F112B"/>
    <w:rsid w:val="003F1B9A"/>
    <w:rsid w:val="003F4D86"/>
    <w:rsid w:val="004007F3"/>
    <w:rsid w:val="00401AEC"/>
    <w:rsid w:val="004043A3"/>
    <w:rsid w:val="0041416C"/>
    <w:rsid w:val="00420F1C"/>
    <w:rsid w:val="00434EBA"/>
    <w:rsid w:val="00441DD2"/>
    <w:rsid w:val="00453661"/>
    <w:rsid w:val="004577C0"/>
    <w:rsid w:val="004677BC"/>
    <w:rsid w:val="0047557C"/>
    <w:rsid w:val="00476743"/>
    <w:rsid w:val="004778A4"/>
    <w:rsid w:val="00477C9A"/>
    <w:rsid w:val="004966B3"/>
    <w:rsid w:val="00497356"/>
    <w:rsid w:val="004A7A86"/>
    <w:rsid w:val="004B4428"/>
    <w:rsid w:val="004B4449"/>
    <w:rsid w:val="004D3FA1"/>
    <w:rsid w:val="004E2F5E"/>
    <w:rsid w:val="004E7CD6"/>
    <w:rsid w:val="004F0C86"/>
    <w:rsid w:val="004F22C1"/>
    <w:rsid w:val="00500010"/>
    <w:rsid w:val="00512972"/>
    <w:rsid w:val="0051458B"/>
    <w:rsid w:val="005152F6"/>
    <w:rsid w:val="005156D2"/>
    <w:rsid w:val="005322FF"/>
    <w:rsid w:val="00533C0A"/>
    <w:rsid w:val="00536CE8"/>
    <w:rsid w:val="00556283"/>
    <w:rsid w:val="00557FD1"/>
    <w:rsid w:val="00565107"/>
    <w:rsid w:val="00567787"/>
    <w:rsid w:val="00572718"/>
    <w:rsid w:val="00574DDF"/>
    <w:rsid w:val="00584E33"/>
    <w:rsid w:val="00592282"/>
    <w:rsid w:val="00594C0E"/>
    <w:rsid w:val="0059561B"/>
    <w:rsid w:val="005A6215"/>
    <w:rsid w:val="005A64AB"/>
    <w:rsid w:val="005B1C10"/>
    <w:rsid w:val="005B1F7B"/>
    <w:rsid w:val="005B498B"/>
    <w:rsid w:val="005B5D68"/>
    <w:rsid w:val="005C377D"/>
    <w:rsid w:val="005D23D7"/>
    <w:rsid w:val="005D4A97"/>
    <w:rsid w:val="005F0FA7"/>
    <w:rsid w:val="005F6484"/>
    <w:rsid w:val="005F6696"/>
    <w:rsid w:val="00603C36"/>
    <w:rsid w:val="00604965"/>
    <w:rsid w:val="00623A63"/>
    <w:rsid w:val="006249BB"/>
    <w:rsid w:val="006462A8"/>
    <w:rsid w:val="0065293B"/>
    <w:rsid w:val="006620CC"/>
    <w:rsid w:val="006664BD"/>
    <w:rsid w:val="006704EC"/>
    <w:rsid w:val="006717CF"/>
    <w:rsid w:val="0067714E"/>
    <w:rsid w:val="006852DA"/>
    <w:rsid w:val="00690905"/>
    <w:rsid w:val="006A177F"/>
    <w:rsid w:val="006A3322"/>
    <w:rsid w:val="006A72AA"/>
    <w:rsid w:val="006B0955"/>
    <w:rsid w:val="006B267B"/>
    <w:rsid w:val="006B335A"/>
    <w:rsid w:val="006B3E3B"/>
    <w:rsid w:val="006C72E2"/>
    <w:rsid w:val="006D2FFB"/>
    <w:rsid w:val="006E1E87"/>
    <w:rsid w:val="006E2DA1"/>
    <w:rsid w:val="006E5E11"/>
    <w:rsid w:val="006E7C69"/>
    <w:rsid w:val="006F145E"/>
    <w:rsid w:val="00703EFA"/>
    <w:rsid w:val="007060D0"/>
    <w:rsid w:val="007111B5"/>
    <w:rsid w:val="00721981"/>
    <w:rsid w:val="00723723"/>
    <w:rsid w:val="00731238"/>
    <w:rsid w:val="00744B75"/>
    <w:rsid w:val="00753B8F"/>
    <w:rsid w:val="00766FCE"/>
    <w:rsid w:val="00774791"/>
    <w:rsid w:val="00783CFF"/>
    <w:rsid w:val="00792335"/>
    <w:rsid w:val="007A177B"/>
    <w:rsid w:val="007A42DF"/>
    <w:rsid w:val="007A5838"/>
    <w:rsid w:val="007B30A1"/>
    <w:rsid w:val="007B5633"/>
    <w:rsid w:val="007C2735"/>
    <w:rsid w:val="007C60FA"/>
    <w:rsid w:val="007D03DA"/>
    <w:rsid w:val="007D3C08"/>
    <w:rsid w:val="007D793B"/>
    <w:rsid w:val="007E2160"/>
    <w:rsid w:val="007E7112"/>
    <w:rsid w:val="007F5FAF"/>
    <w:rsid w:val="00807AE1"/>
    <w:rsid w:val="00812C08"/>
    <w:rsid w:val="00815FF4"/>
    <w:rsid w:val="008171C6"/>
    <w:rsid w:val="0083527F"/>
    <w:rsid w:val="00841B6A"/>
    <w:rsid w:val="0085474F"/>
    <w:rsid w:val="00856BF8"/>
    <w:rsid w:val="00856E15"/>
    <w:rsid w:val="0085787A"/>
    <w:rsid w:val="0087333C"/>
    <w:rsid w:val="00874CD3"/>
    <w:rsid w:val="00875647"/>
    <w:rsid w:val="0087648F"/>
    <w:rsid w:val="00882D4B"/>
    <w:rsid w:val="0088396D"/>
    <w:rsid w:val="00884C0C"/>
    <w:rsid w:val="00887376"/>
    <w:rsid w:val="00893ACB"/>
    <w:rsid w:val="008C02A0"/>
    <w:rsid w:val="008C4B50"/>
    <w:rsid w:val="008D24E2"/>
    <w:rsid w:val="008D5CA9"/>
    <w:rsid w:val="008E195F"/>
    <w:rsid w:val="008E2E69"/>
    <w:rsid w:val="008E3549"/>
    <w:rsid w:val="008E4F6F"/>
    <w:rsid w:val="008E56BE"/>
    <w:rsid w:val="0091693A"/>
    <w:rsid w:val="0092352E"/>
    <w:rsid w:val="009245E7"/>
    <w:rsid w:val="00933684"/>
    <w:rsid w:val="00940C01"/>
    <w:rsid w:val="00960342"/>
    <w:rsid w:val="00960A0E"/>
    <w:rsid w:val="0098204B"/>
    <w:rsid w:val="009A66CB"/>
    <w:rsid w:val="009A6C18"/>
    <w:rsid w:val="009B3FB2"/>
    <w:rsid w:val="009D1ABE"/>
    <w:rsid w:val="009D3680"/>
    <w:rsid w:val="009E2613"/>
    <w:rsid w:val="009E5126"/>
    <w:rsid w:val="009F7E80"/>
    <w:rsid w:val="00A242EC"/>
    <w:rsid w:val="00A37A40"/>
    <w:rsid w:val="00A4194E"/>
    <w:rsid w:val="00A5114D"/>
    <w:rsid w:val="00A543C0"/>
    <w:rsid w:val="00A57354"/>
    <w:rsid w:val="00A67F84"/>
    <w:rsid w:val="00A75A45"/>
    <w:rsid w:val="00A820DE"/>
    <w:rsid w:val="00A93BDA"/>
    <w:rsid w:val="00AA1BE5"/>
    <w:rsid w:val="00AB4FC4"/>
    <w:rsid w:val="00AB5524"/>
    <w:rsid w:val="00AC5DEE"/>
    <w:rsid w:val="00AC6310"/>
    <w:rsid w:val="00AD75EA"/>
    <w:rsid w:val="00AE49BC"/>
    <w:rsid w:val="00AF199F"/>
    <w:rsid w:val="00AF49B7"/>
    <w:rsid w:val="00AF6119"/>
    <w:rsid w:val="00B10B25"/>
    <w:rsid w:val="00B15D3C"/>
    <w:rsid w:val="00B27253"/>
    <w:rsid w:val="00B32C1D"/>
    <w:rsid w:val="00B3491A"/>
    <w:rsid w:val="00B378B1"/>
    <w:rsid w:val="00B42B3D"/>
    <w:rsid w:val="00B45CDB"/>
    <w:rsid w:val="00B514FE"/>
    <w:rsid w:val="00B554A5"/>
    <w:rsid w:val="00B606C4"/>
    <w:rsid w:val="00B70841"/>
    <w:rsid w:val="00B75C2F"/>
    <w:rsid w:val="00B7717C"/>
    <w:rsid w:val="00B87A5D"/>
    <w:rsid w:val="00B910BC"/>
    <w:rsid w:val="00BA306B"/>
    <w:rsid w:val="00BA5296"/>
    <w:rsid w:val="00BA6B88"/>
    <w:rsid w:val="00BC120F"/>
    <w:rsid w:val="00BC3A5E"/>
    <w:rsid w:val="00BD22C5"/>
    <w:rsid w:val="00BE23E9"/>
    <w:rsid w:val="00BE344B"/>
    <w:rsid w:val="00BE40E6"/>
    <w:rsid w:val="00BE5B32"/>
    <w:rsid w:val="00C01F9C"/>
    <w:rsid w:val="00C0636A"/>
    <w:rsid w:val="00C06381"/>
    <w:rsid w:val="00C149BF"/>
    <w:rsid w:val="00C15A97"/>
    <w:rsid w:val="00C15CFD"/>
    <w:rsid w:val="00C22130"/>
    <w:rsid w:val="00C23849"/>
    <w:rsid w:val="00C27C1A"/>
    <w:rsid w:val="00C344C5"/>
    <w:rsid w:val="00C43C28"/>
    <w:rsid w:val="00C57FD3"/>
    <w:rsid w:val="00C731E3"/>
    <w:rsid w:val="00C77540"/>
    <w:rsid w:val="00C8320C"/>
    <w:rsid w:val="00C83E0D"/>
    <w:rsid w:val="00C85DF4"/>
    <w:rsid w:val="00CA1C20"/>
    <w:rsid w:val="00CB152F"/>
    <w:rsid w:val="00CB45BC"/>
    <w:rsid w:val="00CC40C7"/>
    <w:rsid w:val="00CD0FBD"/>
    <w:rsid w:val="00CD40C8"/>
    <w:rsid w:val="00CE33E0"/>
    <w:rsid w:val="00CF2398"/>
    <w:rsid w:val="00CF595F"/>
    <w:rsid w:val="00D007A9"/>
    <w:rsid w:val="00D01CF6"/>
    <w:rsid w:val="00D066A0"/>
    <w:rsid w:val="00D0708F"/>
    <w:rsid w:val="00D136CE"/>
    <w:rsid w:val="00D14488"/>
    <w:rsid w:val="00D223A8"/>
    <w:rsid w:val="00D227F1"/>
    <w:rsid w:val="00D268BC"/>
    <w:rsid w:val="00D4074C"/>
    <w:rsid w:val="00D462E9"/>
    <w:rsid w:val="00D46B66"/>
    <w:rsid w:val="00D47C6E"/>
    <w:rsid w:val="00D51A49"/>
    <w:rsid w:val="00D56D86"/>
    <w:rsid w:val="00D655E8"/>
    <w:rsid w:val="00D73F01"/>
    <w:rsid w:val="00D75CB3"/>
    <w:rsid w:val="00D77D09"/>
    <w:rsid w:val="00D95FC4"/>
    <w:rsid w:val="00DB2672"/>
    <w:rsid w:val="00DB4CAC"/>
    <w:rsid w:val="00DD2315"/>
    <w:rsid w:val="00DD33EB"/>
    <w:rsid w:val="00DD7AC6"/>
    <w:rsid w:val="00E00D1B"/>
    <w:rsid w:val="00E02E0C"/>
    <w:rsid w:val="00E04972"/>
    <w:rsid w:val="00E07F7D"/>
    <w:rsid w:val="00E204C3"/>
    <w:rsid w:val="00E20EA6"/>
    <w:rsid w:val="00E27668"/>
    <w:rsid w:val="00E277C9"/>
    <w:rsid w:val="00E30D1B"/>
    <w:rsid w:val="00E3527D"/>
    <w:rsid w:val="00E44673"/>
    <w:rsid w:val="00E5648B"/>
    <w:rsid w:val="00E614A7"/>
    <w:rsid w:val="00E6240D"/>
    <w:rsid w:val="00E672D8"/>
    <w:rsid w:val="00E938C1"/>
    <w:rsid w:val="00E97F77"/>
    <w:rsid w:val="00EB197F"/>
    <w:rsid w:val="00EB557C"/>
    <w:rsid w:val="00EC1858"/>
    <w:rsid w:val="00ED3AD1"/>
    <w:rsid w:val="00EE7DAF"/>
    <w:rsid w:val="00EF0B5D"/>
    <w:rsid w:val="00EF46D4"/>
    <w:rsid w:val="00F261FD"/>
    <w:rsid w:val="00F340F0"/>
    <w:rsid w:val="00F42372"/>
    <w:rsid w:val="00F53403"/>
    <w:rsid w:val="00F54D41"/>
    <w:rsid w:val="00F56D4F"/>
    <w:rsid w:val="00F60F9C"/>
    <w:rsid w:val="00F635BF"/>
    <w:rsid w:val="00F76304"/>
    <w:rsid w:val="00F772C7"/>
    <w:rsid w:val="00F81392"/>
    <w:rsid w:val="00F82CBD"/>
    <w:rsid w:val="00F83105"/>
    <w:rsid w:val="00F83FEC"/>
    <w:rsid w:val="00F91EF7"/>
    <w:rsid w:val="00F9369D"/>
    <w:rsid w:val="00F967BE"/>
    <w:rsid w:val="00FA71A4"/>
    <w:rsid w:val="00FB096A"/>
    <w:rsid w:val="00FB517A"/>
    <w:rsid w:val="00FD75CB"/>
    <w:rsid w:val="00FE5D09"/>
    <w:rsid w:val="00FF13BC"/>
    <w:rsid w:val="00FF42BF"/>
    <w:rsid w:val="0184ADB2"/>
    <w:rsid w:val="01FF1A59"/>
    <w:rsid w:val="02A21371"/>
    <w:rsid w:val="036BCE45"/>
    <w:rsid w:val="05664E49"/>
    <w:rsid w:val="063EF49A"/>
    <w:rsid w:val="07B4DDF3"/>
    <w:rsid w:val="07D276E2"/>
    <w:rsid w:val="0B502419"/>
    <w:rsid w:val="0E461DBB"/>
    <w:rsid w:val="0E683E13"/>
    <w:rsid w:val="0F7FF266"/>
    <w:rsid w:val="12C19A96"/>
    <w:rsid w:val="12D6BA3D"/>
    <w:rsid w:val="13F83B0A"/>
    <w:rsid w:val="1438E62A"/>
    <w:rsid w:val="14A3673E"/>
    <w:rsid w:val="167FE5E2"/>
    <w:rsid w:val="184CE7F1"/>
    <w:rsid w:val="1968DA9A"/>
    <w:rsid w:val="1C95B706"/>
    <w:rsid w:val="1D0FDF48"/>
    <w:rsid w:val="1F2253CC"/>
    <w:rsid w:val="1FABCF1D"/>
    <w:rsid w:val="2111BBA9"/>
    <w:rsid w:val="22209192"/>
    <w:rsid w:val="22D3B932"/>
    <w:rsid w:val="232BF043"/>
    <w:rsid w:val="2387041E"/>
    <w:rsid w:val="24128CE6"/>
    <w:rsid w:val="24874291"/>
    <w:rsid w:val="28507E81"/>
    <w:rsid w:val="2A213A3D"/>
    <w:rsid w:val="2A81AECE"/>
    <w:rsid w:val="2C9F28B5"/>
    <w:rsid w:val="2EFC289B"/>
    <w:rsid w:val="2F44D0F9"/>
    <w:rsid w:val="2F8CDBA6"/>
    <w:rsid w:val="2F9157F3"/>
    <w:rsid w:val="2F9EA0D1"/>
    <w:rsid w:val="3205A10C"/>
    <w:rsid w:val="33507F77"/>
    <w:rsid w:val="33B4E04B"/>
    <w:rsid w:val="34A9334D"/>
    <w:rsid w:val="34FB9E04"/>
    <w:rsid w:val="37B5852F"/>
    <w:rsid w:val="385829B1"/>
    <w:rsid w:val="38BEFE26"/>
    <w:rsid w:val="38F4ADB5"/>
    <w:rsid w:val="3AB08195"/>
    <w:rsid w:val="3AB1B6E8"/>
    <w:rsid w:val="3AB59E5E"/>
    <w:rsid w:val="3AB5E2B0"/>
    <w:rsid w:val="3EB3F65E"/>
    <w:rsid w:val="3F6E3834"/>
    <w:rsid w:val="412B8491"/>
    <w:rsid w:val="414FEFA1"/>
    <w:rsid w:val="417006FA"/>
    <w:rsid w:val="44A86348"/>
    <w:rsid w:val="46CDA56E"/>
    <w:rsid w:val="4846D74F"/>
    <w:rsid w:val="4987BD9E"/>
    <w:rsid w:val="4AC88258"/>
    <w:rsid w:val="4B9146F0"/>
    <w:rsid w:val="4C859644"/>
    <w:rsid w:val="4D775054"/>
    <w:rsid w:val="511AF65A"/>
    <w:rsid w:val="519BA62F"/>
    <w:rsid w:val="51CDED81"/>
    <w:rsid w:val="5210B8BE"/>
    <w:rsid w:val="53586DC6"/>
    <w:rsid w:val="53EAF11C"/>
    <w:rsid w:val="54B55FCB"/>
    <w:rsid w:val="551AB6F9"/>
    <w:rsid w:val="5620634F"/>
    <w:rsid w:val="56EE29F9"/>
    <w:rsid w:val="57E38DBF"/>
    <w:rsid w:val="5E220121"/>
    <w:rsid w:val="5E5BFDDB"/>
    <w:rsid w:val="625AE56E"/>
    <w:rsid w:val="62CDCF0D"/>
    <w:rsid w:val="62D07BD9"/>
    <w:rsid w:val="63D68D5D"/>
    <w:rsid w:val="64674019"/>
    <w:rsid w:val="64C2389D"/>
    <w:rsid w:val="65C09449"/>
    <w:rsid w:val="65D4756A"/>
    <w:rsid w:val="666BCE1B"/>
    <w:rsid w:val="67D42DE2"/>
    <w:rsid w:val="6B880613"/>
    <w:rsid w:val="6EA1578F"/>
    <w:rsid w:val="6EEBE574"/>
    <w:rsid w:val="6F4A9F6F"/>
    <w:rsid w:val="6F5A9E3B"/>
    <w:rsid w:val="72FE34C8"/>
    <w:rsid w:val="7305EEA7"/>
    <w:rsid w:val="752F424A"/>
    <w:rsid w:val="7739C36C"/>
    <w:rsid w:val="775ABF89"/>
    <w:rsid w:val="793B00D4"/>
    <w:rsid w:val="79677E68"/>
    <w:rsid w:val="79706CE4"/>
    <w:rsid w:val="7A5961B5"/>
    <w:rsid w:val="7A9ED8D0"/>
    <w:rsid w:val="7CE5411C"/>
    <w:rsid w:val="7F577335"/>
    <w:rsid w:val="7FDF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384EC9B"/>
  <w15:docId w15:val="{2BF663B8-98A8-4170-8596-69AFB8974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F83F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56BF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7354"/>
  </w:style>
  <w:style w:type="paragraph" w:styleId="Footer">
    <w:name w:val="footer"/>
    <w:basedOn w:val="Normal"/>
    <w:link w:val="FooterChar"/>
    <w:uiPriority w:val="99"/>
    <w:semiHidden/>
    <w:unhideWhenUsed/>
    <w:rsid w:val="00856BF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7354"/>
  </w:style>
  <w:style w:type="paragraph" w:styleId="CommentText">
    <w:name w:val="annotation text"/>
    <w:basedOn w:val="Normal"/>
    <w:link w:val="CommentTextChar"/>
    <w:uiPriority w:val="99"/>
    <w:semiHidden/>
    <w:unhideWhenUsed/>
    <w:rsid w:val="00B42B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2B3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42B3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929</Words>
  <Characters>5300</Characters>
  <Application>Microsoft Office Word</Application>
  <DocSecurity>0</DocSecurity>
  <Lines>44</Lines>
  <Paragraphs>12</Paragraphs>
  <ScaleCrop>false</ScaleCrop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Cuellar (Ext)</dc:creator>
  <cp:keywords/>
  <cp:lastModifiedBy>IMB</cp:lastModifiedBy>
  <cp:revision>125</cp:revision>
  <dcterms:created xsi:type="dcterms:W3CDTF">2025-06-19T14:41:00Z</dcterms:created>
  <dcterms:modified xsi:type="dcterms:W3CDTF">2025-06-26T06:11:00Z</dcterms:modified>
</cp:coreProperties>
</file>