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E39A" w14:textId="2CB59801" w:rsidR="00B422EC" w:rsidRPr="008A12B9" w:rsidRDefault="00081692" w:rsidP="00E670B5">
      <w:pPr>
        <w:pStyle w:val="MonthDayYear"/>
        <w:tabs>
          <w:tab w:val="left" w:pos="7371"/>
        </w:tabs>
      </w:pPr>
      <w:r w:rsidRPr="008A12B9">
        <w:tab/>
        <w:t>7 août 2025</w:t>
      </w:r>
    </w:p>
    <w:p w14:paraId="42E18679" w14:textId="5E304D61" w:rsidR="00033476" w:rsidRPr="008A12B9" w:rsidRDefault="00033476" w:rsidP="00033476">
      <w:pPr>
        <w:pStyle w:val="MonthDayYear"/>
        <w:tabs>
          <w:tab w:val="left" w:pos="7513"/>
        </w:tabs>
        <w:jc w:val="left"/>
      </w:pPr>
    </w:p>
    <w:p w14:paraId="60F0AAB2" w14:textId="7A24E286" w:rsidR="00033476" w:rsidRPr="008A12B9" w:rsidRDefault="007B5F6B" w:rsidP="00033476">
      <w:pPr>
        <w:pStyle w:val="Topline"/>
        <w:spacing w:after="360"/>
        <w:rPr>
          <w:rFonts w:asciiTheme="majorHAnsi" w:hAnsiTheme="majorHAnsi" w:cstheme="majorHAnsi"/>
        </w:rPr>
      </w:pPr>
      <w:r w:rsidRPr="008A12B9">
        <w:rPr>
          <w:rFonts w:asciiTheme="majorHAnsi" w:hAnsiTheme="majorHAnsi"/>
        </w:rPr>
        <w:t>Henkel prévoit une nouvelle croissance rentable pour l'exercice 2025</w:t>
      </w:r>
    </w:p>
    <w:p w14:paraId="0BD1473C" w14:textId="6EDDEBBB" w:rsidR="00033476" w:rsidRPr="008A12B9" w:rsidRDefault="00033476" w:rsidP="00202C65">
      <w:pPr>
        <w:jc w:val="left"/>
        <w:rPr>
          <w:rStyle w:val="Headline"/>
          <w:rFonts w:asciiTheme="majorHAnsi" w:hAnsiTheme="majorHAnsi" w:cstheme="majorHAnsi"/>
        </w:rPr>
      </w:pPr>
      <w:r w:rsidRPr="008A12B9">
        <w:rPr>
          <w:rStyle w:val="Headline"/>
          <w:rFonts w:asciiTheme="majorHAnsi" w:hAnsiTheme="majorHAnsi"/>
        </w:rPr>
        <w:t>Henkel accélère sa croissance au premier semestre et améliore sa marge ainsi que ses résultats</w:t>
      </w:r>
    </w:p>
    <w:p w14:paraId="76A670BB" w14:textId="77777777" w:rsidR="00033476" w:rsidRPr="008A12B9" w:rsidRDefault="00033476" w:rsidP="00033476"/>
    <w:p w14:paraId="6A3FAF04" w14:textId="38FC6D79" w:rsidR="00033476" w:rsidRPr="008A12B9" w:rsidRDefault="00665769" w:rsidP="00BF6651">
      <w:pPr>
        <w:pStyle w:val="Paragraphedeliste"/>
        <w:numPr>
          <w:ilvl w:val="0"/>
          <w:numId w:val="7"/>
        </w:numPr>
        <w:spacing w:after="80"/>
        <w:ind w:left="284" w:right="-108" w:hanging="357"/>
        <w:contextualSpacing w:val="0"/>
        <w:jc w:val="left"/>
        <w:rPr>
          <w:rFonts w:asciiTheme="majorHAnsi" w:hAnsiTheme="majorHAnsi" w:cstheme="majorHAnsi"/>
          <w:b/>
          <w:szCs w:val="22"/>
        </w:rPr>
      </w:pPr>
      <w:bookmarkStart w:id="0" w:name="_Hlk140061525"/>
      <w:bookmarkStart w:id="1" w:name="_Hlk43712519"/>
      <w:r w:rsidRPr="008A12B9">
        <w:rPr>
          <w:rFonts w:asciiTheme="majorHAnsi" w:hAnsiTheme="majorHAnsi"/>
          <w:b/>
        </w:rPr>
        <w:t>Au premier semestre, le chiffre d'affaires du Groupe s'est maintenu au niveau de l'année précédente en données organiques : 10,4 milliards d'euros (variation organique : -0,1 % ; +0,9 % au deuxième trimestre)</w:t>
      </w:r>
    </w:p>
    <w:p w14:paraId="4399F7C7" w14:textId="2EF00EC3" w:rsidR="00665769" w:rsidRPr="008A12B9" w:rsidRDefault="00665769" w:rsidP="00665769">
      <w:pPr>
        <w:pStyle w:val="Paragraphedeliste"/>
        <w:numPr>
          <w:ilvl w:val="0"/>
          <w:numId w:val="7"/>
        </w:numPr>
        <w:spacing w:after="80"/>
        <w:ind w:left="284" w:right="-108" w:hanging="357"/>
        <w:contextualSpacing w:val="0"/>
        <w:jc w:val="left"/>
        <w:rPr>
          <w:rFonts w:asciiTheme="majorHAnsi" w:hAnsiTheme="majorHAnsi" w:cstheme="majorHAnsi"/>
          <w:b/>
          <w:szCs w:val="22"/>
        </w:rPr>
      </w:pPr>
      <w:r w:rsidRPr="008A12B9">
        <w:rPr>
          <w:rFonts w:asciiTheme="majorHAnsi" w:hAnsiTheme="majorHAnsi"/>
          <w:b/>
        </w:rPr>
        <w:t>Le bénéfice d’exploitation (EBIT)* augmente pour atteindre 1 614 millions d’euros (+0,2 %)</w:t>
      </w:r>
    </w:p>
    <w:p w14:paraId="04C36CC1" w14:textId="11783776" w:rsidR="00665769" w:rsidRPr="008A12B9" w:rsidRDefault="00665769" w:rsidP="00665769">
      <w:pPr>
        <w:pStyle w:val="Paragraphedeliste"/>
        <w:numPr>
          <w:ilvl w:val="0"/>
          <w:numId w:val="7"/>
        </w:numPr>
        <w:spacing w:after="80"/>
        <w:ind w:left="284" w:right="-108" w:hanging="357"/>
        <w:contextualSpacing w:val="0"/>
        <w:jc w:val="left"/>
        <w:rPr>
          <w:rFonts w:asciiTheme="majorHAnsi" w:hAnsiTheme="majorHAnsi" w:cstheme="majorHAnsi"/>
          <w:b/>
          <w:szCs w:val="22"/>
        </w:rPr>
      </w:pPr>
      <w:r w:rsidRPr="008A12B9">
        <w:rPr>
          <w:rFonts w:asciiTheme="majorHAnsi" w:hAnsiTheme="majorHAnsi"/>
          <w:b/>
        </w:rPr>
        <w:t>La marge EBIT* s’améliore à 15,5 % (+60 points de base)</w:t>
      </w:r>
    </w:p>
    <w:p w14:paraId="582FEB53" w14:textId="2767F876" w:rsidR="00665769" w:rsidRPr="008A12B9" w:rsidRDefault="00665769" w:rsidP="00665769">
      <w:pPr>
        <w:pStyle w:val="Paragraphedeliste"/>
        <w:numPr>
          <w:ilvl w:val="0"/>
          <w:numId w:val="7"/>
        </w:numPr>
        <w:spacing w:after="80"/>
        <w:ind w:left="284" w:right="-108" w:hanging="357"/>
        <w:contextualSpacing w:val="0"/>
        <w:jc w:val="left"/>
        <w:rPr>
          <w:rFonts w:asciiTheme="majorHAnsi" w:hAnsiTheme="majorHAnsi" w:cstheme="majorHAnsi"/>
          <w:b/>
          <w:szCs w:val="22"/>
        </w:rPr>
      </w:pPr>
      <w:r w:rsidRPr="008A12B9">
        <w:rPr>
          <w:rFonts w:asciiTheme="majorHAnsi" w:hAnsiTheme="majorHAnsi"/>
          <w:b/>
        </w:rPr>
        <w:t>Bénéfice par action préférentielle (EPS)* augmente à 2,81 euros et +5,0 % à taux de change constant</w:t>
      </w:r>
    </w:p>
    <w:bookmarkEnd w:id="0"/>
    <w:p w14:paraId="28D02A4B" w14:textId="3C9771EA" w:rsidR="00033476" w:rsidRPr="008A12B9" w:rsidRDefault="009F21DA" w:rsidP="009F21DA">
      <w:pPr>
        <w:pStyle w:val="Paragraphedeliste"/>
        <w:numPr>
          <w:ilvl w:val="0"/>
          <w:numId w:val="7"/>
        </w:numPr>
        <w:spacing w:after="80"/>
        <w:ind w:left="284" w:right="-108" w:hanging="357"/>
        <w:contextualSpacing w:val="0"/>
        <w:jc w:val="left"/>
        <w:rPr>
          <w:rFonts w:asciiTheme="majorHAnsi" w:hAnsiTheme="majorHAnsi" w:cstheme="majorHAnsi"/>
          <w:b/>
          <w:szCs w:val="22"/>
        </w:rPr>
      </w:pPr>
      <w:r w:rsidRPr="008A12B9">
        <w:rPr>
          <w:rFonts w:asciiTheme="majorHAnsi" w:hAnsiTheme="majorHAnsi"/>
          <w:b/>
        </w:rPr>
        <w:t>Poursuite de la progression de la mise en œuvre du programme de croissance ciblée</w:t>
      </w:r>
    </w:p>
    <w:p w14:paraId="6DE3D0E1" w14:textId="44577EEB" w:rsidR="00811469" w:rsidRPr="008A12B9" w:rsidRDefault="00727D2B" w:rsidP="003036D9">
      <w:pPr>
        <w:pStyle w:val="Paragraphedeliste"/>
        <w:widowControl w:val="0"/>
        <w:numPr>
          <w:ilvl w:val="1"/>
          <w:numId w:val="21"/>
        </w:numPr>
        <w:tabs>
          <w:tab w:val="left" w:pos="702"/>
        </w:tabs>
        <w:autoSpaceDE w:val="0"/>
        <w:autoSpaceDN w:val="0"/>
        <w:spacing w:before="113" w:after="120" w:line="240" w:lineRule="auto"/>
        <w:contextualSpacing w:val="0"/>
        <w:jc w:val="left"/>
      </w:pPr>
      <w:r w:rsidRPr="008A12B9">
        <w:t>Une focalisation stratégique sur les mégatendances mondiales renforce la compétitivité et la résilience d’</w:t>
      </w:r>
      <w:proofErr w:type="spellStart"/>
      <w:r w:rsidRPr="008A12B9">
        <w:t>Adhesive</w:t>
      </w:r>
      <w:proofErr w:type="spellEnd"/>
      <w:r w:rsidRPr="008A12B9">
        <w:t xml:space="preserve"> Technologies dans un contexte de marché exigeant</w:t>
      </w:r>
    </w:p>
    <w:p w14:paraId="79D59D91" w14:textId="04FB1CAA" w:rsidR="00B44E44" w:rsidRPr="008A12B9" w:rsidRDefault="00320C5D" w:rsidP="00B44E44">
      <w:pPr>
        <w:pStyle w:val="Paragraphedeliste"/>
        <w:widowControl w:val="0"/>
        <w:numPr>
          <w:ilvl w:val="1"/>
          <w:numId w:val="21"/>
        </w:numPr>
        <w:tabs>
          <w:tab w:val="left" w:pos="702"/>
        </w:tabs>
        <w:autoSpaceDE w:val="0"/>
        <w:autoSpaceDN w:val="0"/>
        <w:spacing w:before="113" w:after="120" w:line="240" w:lineRule="auto"/>
        <w:ind w:left="697" w:hanging="357"/>
        <w:contextualSpacing w:val="0"/>
        <w:jc w:val="left"/>
      </w:pPr>
      <w:r>
        <w:t>P</w:t>
      </w:r>
      <w:r w:rsidR="00371AE6" w:rsidRPr="008A12B9">
        <w:t>rogression</w:t>
      </w:r>
      <w:r>
        <w:t xml:space="preserve"> significative</w:t>
      </w:r>
      <w:r w:rsidR="00371AE6" w:rsidRPr="008A12B9">
        <w:t xml:space="preserve"> des volumes d</w:t>
      </w:r>
      <w:r>
        <w:t>e</w:t>
      </w:r>
      <w:r w:rsidR="00371AE6" w:rsidRPr="008A12B9">
        <w:t xml:space="preserve">s marques grand public </w:t>
      </w:r>
      <w:r>
        <w:t xml:space="preserve">(Consumer Brands) </w:t>
      </w:r>
      <w:r w:rsidR="00371AE6" w:rsidRPr="008A12B9">
        <w:t>– Les 10 principales marques affichent une solide croissance organique des ventes</w:t>
      </w:r>
    </w:p>
    <w:p w14:paraId="655DE29F" w14:textId="74131DCC" w:rsidR="00072356" w:rsidRPr="008A12B9" w:rsidRDefault="00072356" w:rsidP="00072356">
      <w:pPr>
        <w:pStyle w:val="He01FlietextAufzhlung1Ebene"/>
        <w:ind w:hanging="357"/>
        <w:rPr>
          <w:b/>
          <w:bCs/>
        </w:rPr>
      </w:pPr>
      <w:r w:rsidRPr="008A12B9">
        <w:rPr>
          <w:b/>
        </w:rPr>
        <w:t>Perspectives pour l’exercice 2025 actualisées :</w:t>
      </w:r>
    </w:p>
    <w:p w14:paraId="5DCBC893" w14:textId="4D0587CC" w:rsidR="00072356" w:rsidRPr="008A12B9" w:rsidRDefault="00072356" w:rsidP="00072356">
      <w:pPr>
        <w:pStyle w:val="He01FlietextAufzhlung2Ebene"/>
      </w:pPr>
      <w:r w:rsidRPr="008A12B9">
        <w:t>Croissance organique des ventes : 1,0 à 2,0 % (précédemment : 1,5 à 3,5 %)</w:t>
      </w:r>
    </w:p>
    <w:p w14:paraId="6DDA8EEF" w14:textId="36134DFA" w:rsidR="00072356" w:rsidRPr="008A12B9" w:rsidRDefault="00072356" w:rsidP="00072356">
      <w:pPr>
        <w:pStyle w:val="He01FlietextAufzhlung2Ebene"/>
      </w:pPr>
      <w:r w:rsidRPr="008A12B9">
        <w:t>Rentabilité ajustée des ventes : 14,5 à 15,5 % (précédemment : 14,0 à 15,5 %)</w:t>
      </w:r>
    </w:p>
    <w:p w14:paraId="74AA575D" w14:textId="30875497" w:rsidR="00072356" w:rsidRPr="008A12B9" w:rsidRDefault="00072356" w:rsidP="00072356">
      <w:pPr>
        <w:pStyle w:val="He01FlietextAufzhlung2Ebene"/>
      </w:pPr>
      <w:r w:rsidRPr="008A12B9">
        <w:t>Bénéfice ajusté par action privilégiée (EPS) : augmentation de l’ordre d’un pourcentage à un chiffre, dans le bas ou</w:t>
      </w:r>
      <w:r w:rsidR="003E0456">
        <w:t xml:space="preserve"> </w:t>
      </w:r>
      <w:r w:rsidRPr="008A12B9">
        <w:t>le haut de la fourchette à taux d</w:t>
      </w:r>
      <w:r w:rsidR="00EB46FD">
        <w:t>e change</w:t>
      </w:r>
      <w:r w:rsidRPr="008A12B9">
        <w:t xml:space="preserve"> constants (inchangé)</w:t>
      </w:r>
    </w:p>
    <w:p w14:paraId="6C146C66" w14:textId="77777777" w:rsidR="00727D2B" w:rsidRPr="008A12B9" w:rsidRDefault="00727D2B" w:rsidP="005C6F40">
      <w:pPr>
        <w:pStyle w:val="He01Flietext"/>
        <w:spacing w:after="0" w:line="276" w:lineRule="auto"/>
        <w:jc w:val="both"/>
        <w:rPr>
          <w:rFonts w:cs="Segoe UI"/>
        </w:rPr>
      </w:pPr>
    </w:p>
    <w:p w14:paraId="2380166B" w14:textId="0D0CF7D6" w:rsidR="00401267" w:rsidRPr="008A12B9" w:rsidRDefault="00C550D9" w:rsidP="005C6F40">
      <w:pPr>
        <w:pStyle w:val="He01Flietext"/>
        <w:spacing w:after="0" w:line="276" w:lineRule="auto"/>
        <w:jc w:val="both"/>
        <w:rPr>
          <w:rFonts w:cs="Segoe UI"/>
        </w:rPr>
      </w:pPr>
      <w:r w:rsidRPr="008A12B9">
        <w:rPr>
          <w:rFonts w:asciiTheme="majorHAnsi" w:hAnsiTheme="majorHAnsi"/>
          <w:noProof/>
          <w:sz w:val="24"/>
        </w:rPr>
        <w:lastRenderedPageBreak/>
        <mc:AlternateContent>
          <mc:Choice Requires="wps">
            <w:drawing>
              <wp:anchor distT="45720" distB="45720" distL="114300" distR="114300" simplePos="0" relativeHeight="251659264" behindDoc="0" locked="0" layoutInCell="1" allowOverlap="1" wp14:anchorId="36BB89EF" wp14:editId="1A89AC16">
                <wp:simplePos x="0" y="0"/>
                <wp:positionH relativeFrom="margin">
                  <wp:posOffset>-53975</wp:posOffset>
                </wp:positionH>
                <wp:positionV relativeFrom="page">
                  <wp:posOffset>9972043</wp:posOffset>
                </wp:positionV>
                <wp:extent cx="5374640" cy="270662"/>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640" cy="2706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608260" w14:textId="6C9DCDFA" w:rsidR="00C550D9" w:rsidRPr="003B6DC6" w:rsidRDefault="00C550D9" w:rsidP="00C550D9">
                            <w:pPr>
                              <w:autoSpaceDE w:val="0"/>
                              <w:autoSpaceDN w:val="0"/>
                              <w:adjustRightInd w:val="0"/>
                              <w:spacing w:after="60" w:line="240" w:lineRule="auto"/>
                              <w:rPr>
                                <w:sz w:val="16"/>
                                <w:szCs w:val="16"/>
                              </w:rPr>
                            </w:pPr>
                            <w:r>
                              <w:rPr>
                                <w:sz w:val="16"/>
                              </w:rPr>
                              <w:t>* Ajusté pour tenir compte des dépenses et des revenus ponctuels, ainsi que des frais de restructuration.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BB89EF" id="_x0000_t202" coordsize="21600,21600" o:spt="202" path="m,l,21600r21600,l21600,xe">
                <v:stroke joinstyle="miter"/>
                <v:path gradientshapeok="t" o:connecttype="rect"/>
              </v:shapetype>
              <v:shape id="Textfeld 8" o:spid="_x0000_s1026" type="#_x0000_t202" style="position:absolute;left:0;text-align:left;margin-left:-4.25pt;margin-top:785.2pt;width:423.2pt;height:21.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" stroked="f">
                <v:textbox>
                  <w:txbxContent>
                    <w:p w14:paraId="22608260" w14:textId="6C9DCDFA" w:rsidR="00C550D9" w:rsidRPr="003B6DC6" w:rsidRDefault="00C550D9" w:rsidP="00C550D9">
                      <w:pPr>
                        <w:autoSpaceDE w:val="0"/>
                        <w:autoSpaceDN w:val="0"/>
                        <w:adjustRightInd w:val="0"/>
                        <w:spacing w:after="60" w:line="240" w:lineRule="auto"/>
                        <w:rPr>
                          <w:sz w:val="16"/>
                          <w:szCs w:val="16"/>
                        </w:rPr>
                      </w:pPr>
                      <w:r>
                        <w:rPr>
                          <w:sz w:val="16"/>
                        </w:rPr>
                        <w:t>* Ajusté pour tenir compte des dépenses et des revenus ponctuels, ainsi que des frais de restructuration.</w:t>
                      </w:r>
                    </w:p>
                  </w:txbxContent>
                </v:textbox>
                <w10:wrap anchorx="margin" anchory="page"/>
              </v:shape>
            </w:pict>
          </mc:Fallback>
        </mc:AlternateContent>
      </w:r>
      <w:r w:rsidRPr="008A12B9">
        <w:t>Düsseldorf -</w:t>
      </w:r>
      <w:bookmarkStart w:id="2" w:name="_Hlk109033326"/>
      <w:r w:rsidRPr="008A12B9">
        <w:t xml:space="preserve"> </w:t>
      </w:r>
      <w:bookmarkEnd w:id="2"/>
      <w:r w:rsidRPr="008A12B9">
        <w:t xml:space="preserve">Après un début d'année plutôt calme, Henkel a connu une accélération de la croissance organique de ses ventes au premier semestre 2025, portée notamment par la performance du deuxième trimestre. Dans le même temps, la rentabilité a fortement augmenté. « L’amélioration de la croissance organique des ventes a été portée par les deux </w:t>
      </w:r>
      <w:r w:rsidR="00EB46FD">
        <w:t>branches d’activité</w:t>
      </w:r>
      <w:r w:rsidRPr="008A12B9">
        <w:t xml:space="preserve">, avec une progression particulièrement marquée des volumes pour Consumer Brands. Cette évolution, combinée à une hausse favorable des prix, a permis d’atteindre une croissance organique positive des ventes au deuxième trimestre. </w:t>
      </w:r>
      <w:bookmarkStart w:id="3" w:name="_Hlk204078858"/>
      <w:r w:rsidR="00EB46FD">
        <w:t xml:space="preserve">La branche </w:t>
      </w:r>
      <w:proofErr w:type="spellStart"/>
      <w:r w:rsidRPr="008A12B9">
        <w:t>Adhesive</w:t>
      </w:r>
      <w:proofErr w:type="spellEnd"/>
      <w:r w:rsidRPr="008A12B9">
        <w:t xml:space="preserve"> Technologies a enregistré une croissance organique positive des ventes sur les six premiers mois, grâce à un développement équilibré tant au niveau des prix que des volumes, » a déclaré Carsten </w:t>
      </w:r>
      <w:proofErr w:type="spellStart"/>
      <w:r w:rsidRPr="008A12B9">
        <w:t>Knobel</w:t>
      </w:r>
      <w:proofErr w:type="spellEnd"/>
      <w:r w:rsidRPr="008A12B9">
        <w:t xml:space="preserve">, </w:t>
      </w:r>
      <w:r w:rsidR="00EB46FD">
        <w:t>président du comité de direction</w:t>
      </w:r>
      <w:r w:rsidRPr="008A12B9">
        <w:t xml:space="preserve"> de Henkel.</w:t>
      </w:r>
    </w:p>
    <w:p w14:paraId="0C4A36A9" w14:textId="77777777" w:rsidR="00401267" w:rsidRPr="008A12B9" w:rsidRDefault="00401267" w:rsidP="005C6F40">
      <w:pPr>
        <w:rPr>
          <w:rFonts w:cs="Segoe UI"/>
          <w:szCs w:val="22"/>
        </w:rPr>
      </w:pPr>
    </w:p>
    <w:p w14:paraId="4B1AA692" w14:textId="53BA0C16" w:rsidR="00337668" w:rsidRPr="008A12B9" w:rsidRDefault="00CC68F8" w:rsidP="002C45E8">
      <w:pPr>
        <w:rPr>
          <w:rFonts w:cs="Segoe UI"/>
          <w:szCs w:val="22"/>
        </w:rPr>
      </w:pPr>
      <w:r w:rsidRPr="008A12B9">
        <w:t>« Par ailleurs, nous avons nettement renforcé notre marge EBIT au cours du premier semestre. Cette progression résulte principalement de marges brutes très solides dans nos deux</w:t>
      </w:r>
      <w:r w:rsidR="00EB46FD">
        <w:t xml:space="preserve"> branches d’activité</w:t>
      </w:r>
      <w:r w:rsidRPr="008A12B9">
        <w:t xml:space="preserve">, ainsi que d’un mix d’activités favorable. Nous avons également enregistré de nouveaux gains d’efficacité et sommes parfaitement en voie d’atteindre, voire de dépasser, les économies prévues </w:t>
      </w:r>
      <w:r w:rsidR="00EB46FD">
        <w:t xml:space="preserve">pour l’activité </w:t>
      </w:r>
      <w:r w:rsidRPr="008A12B9">
        <w:t xml:space="preserve">Consumer Brands. Dans le même temps, nous avons poursuivi nos investissements dans nos marques et nos technologies, afin de consolider notre potentiel de croissance à long terme », a souligné Carsten </w:t>
      </w:r>
      <w:proofErr w:type="spellStart"/>
      <w:r w:rsidRPr="008A12B9">
        <w:t>Knobel</w:t>
      </w:r>
      <w:proofErr w:type="spellEnd"/>
      <w:r w:rsidRPr="008A12B9">
        <w:t>.</w:t>
      </w:r>
      <w:bookmarkEnd w:id="3"/>
    </w:p>
    <w:p w14:paraId="7CECDDDC" w14:textId="77777777" w:rsidR="00337668" w:rsidRPr="008A12B9" w:rsidRDefault="00337668" w:rsidP="00E874A2">
      <w:pPr>
        <w:rPr>
          <w:rFonts w:cs="Segoe UI"/>
          <w:szCs w:val="22"/>
        </w:rPr>
      </w:pPr>
    </w:p>
    <w:bookmarkEnd w:id="1"/>
    <w:p w14:paraId="7CD8C817" w14:textId="5BC84B52" w:rsidR="000D738C" w:rsidRPr="008A12B9" w:rsidRDefault="005C6F40" w:rsidP="00B52E6E">
      <w:pPr>
        <w:spacing w:after="120"/>
        <w:ind w:right="-108"/>
        <w:jc w:val="left"/>
        <w:rPr>
          <w:rFonts w:cs="Segoe UI"/>
          <w:b/>
          <w:bCs/>
          <w:szCs w:val="22"/>
        </w:rPr>
      </w:pPr>
      <w:r w:rsidRPr="008A12B9">
        <w:rPr>
          <w:b/>
        </w:rPr>
        <w:t>Perspectives pour l’exercice 2025 actualisées</w:t>
      </w:r>
    </w:p>
    <w:p w14:paraId="345B1BB0" w14:textId="19964364" w:rsidR="007B5F6B" w:rsidRPr="008A12B9" w:rsidRDefault="007B5F6B" w:rsidP="007B5F6B">
      <w:pPr>
        <w:rPr>
          <w:rFonts w:cs="Segoe UI"/>
          <w:szCs w:val="22"/>
        </w:rPr>
      </w:pPr>
      <w:r w:rsidRPr="008A12B9">
        <w:t>À la lumière des résultats obtenus au premier semestre 2025 et des hypothèses envisagées pour le second semestre, Henkel a actualisé ses perspectives pour l’exercice 2025.</w:t>
      </w:r>
    </w:p>
    <w:p w14:paraId="4C384468" w14:textId="77777777" w:rsidR="007B5F6B" w:rsidRPr="008A12B9" w:rsidRDefault="007B5F6B" w:rsidP="007B5F6B">
      <w:pPr>
        <w:rPr>
          <w:rFonts w:cs="Segoe UI"/>
          <w:szCs w:val="22"/>
        </w:rPr>
      </w:pPr>
    </w:p>
    <w:p w14:paraId="60BA0702" w14:textId="25C82219" w:rsidR="007B5F6B" w:rsidRPr="008A12B9" w:rsidRDefault="007B5F6B" w:rsidP="007B5F6B">
      <w:pPr>
        <w:rPr>
          <w:rFonts w:cs="Segoe UI"/>
          <w:szCs w:val="22"/>
        </w:rPr>
      </w:pPr>
      <w:r w:rsidRPr="008A12B9">
        <w:t xml:space="preserve">« Nous anticipons une croissance rentable supplémentaire pour l’exercice 2025, avec une accélération des ventes attendue au cours du second semestre. Les perspectives actualisées intègrent, d’une part, l’impact du contexte macroéconomique </w:t>
      </w:r>
      <w:r w:rsidR="003E0456">
        <w:t>exigeant</w:t>
      </w:r>
      <w:r w:rsidRPr="008A12B9">
        <w:t xml:space="preserve"> sur le développement organique des ventes de nos deux unités commerciales. D’autre part, la révision à la hausse de nos prévisions de rentabilité reflète la progression favorable de notre marge brute, les bénéfices liés à l’optimisation de notre portefeuille ainsi que les gains d’efficacité réalisés au sein de l’entreprise. Par ailleurs, ces perspectives actualisées prennent en considération les effets prévisibles des accords tarifaires mondiaux à ce stade, et s’alignent globalement sur les attentes actuelles du marché concernant l’évolution des activités de Henkel au cours de l’année », a déclaré Carsten </w:t>
      </w:r>
      <w:proofErr w:type="spellStart"/>
      <w:r w:rsidRPr="008A12B9">
        <w:t>Knobel</w:t>
      </w:r>
      <w:proofErr w:type="spellEnd"/>
      <w:r w:rsidRPr="008A12B9">
        <w:t>, en présentant ces perspectives.</w:t>
      </w:r>
    </w:p>
    <w:p w14:paraId="3C70D755" w14:textId="77777777" w:rsidR="007B5F6B" w:rsidRPr="008A12B9" w:rsidRDefault="007B5F6B" w:rsidP="007B5F6B">
      <w:pPr>
        <w:rPr>
          <w:rFonts w:cs="Segoe UI"/>
          <w:szCs w:val="22"/>
        </w:rPr>
      </w:pPr>
    </w:p>
    <w:p w14:paraId="0506ACB8" w14:textId="09D0DBB2" w:rsidR="00C95327" w:rsidRPr="008A12B9" w:rsidRDefault="007B5F6B" w:rsidP="007B5F6B">
      <w:pPr>
        <w:rPr>
          <w:rFonts w:cs="Segoe UI"/>
          <w:szCs w:val="22"/>
        </w:rPr>
      </w:pPr>
      <w:r w:rsidRPr="008A12B9">
        <w:t xml:space="preserve">Pour l’année en cours, Henkel prévoit maintenant une croissance organique des ventes de 1,0 à 2,0 % (précédemment : 1,5 à 3,5 %). Pour </w:t>
      </w:r>
      <w:r w:rsidR="00EB46FD">
        <w:t xml:space="preserve">la branche </w:t>
      </w:r>
      <w:proofErr w:type="spellStart"/>
      <w:r w:rsidRPr="008A12B9">
        <w:t>Adhesive</w:t>
      </w:r>
      <w:proofErr w:type="spellEnd"/>
      <w:r w:rsidRPr="008A12B9">
        <w:t xml:space="preserve"> Technologies, nous prévoyons désormais une croissance organique des ventes de l’ordre de 2,0 à 3,0 % (précédemment : 2 à 4 %). Pour </w:t>
      </w:r>
      <w:r w:rsidR="00EB46FD">
        <w:t xml:space="preserve">la branche </w:t>
      </w:r>
      <w:r w:rsidRPr="008A12B9">
        <w:t xml:space="preserve">Consumer Brands, une augmentation organique des ventes de 0,5 à 1,5 </w:t>
      </w:r>
      <w:r w:rsidRPr="008A12B9">
        <w:lastRenderedPageBreak/>
        <w:t xml:space="preserve">% est désormais prévue (précédemment : 1,0 à 3,0 %). Dans le même temps, les prévisions concernant le </w:t>
      </w:r>
      <w:r w:rsidRPr="008A12B9">
        <w:rPr>
          <w:b/>
        </w:rPr>
        <w:t>rendement ajusté des ventes</w:t>
      </w:r>
      <w:r w:rsidRPr="008A12B9">
        <w:t xml:space="preserve"> (marge EBIT ajustée) sont relevées à une fourchette comprise entre 14,5 et 15,5 % (précédemment : 14,0 à 15,5 %). Pour l’</w:t>
      </w:r>
      <w:r w:rsidR="00EB46FD">
        <w:t xml:space="preserve">activité </w:t>
      </w:r>
      <w:proofErr w:type="spellStart"/>
      <w:r w:rsidRPr="008A12B9">
        <w:t>Adhesive</w:t>
      </w:r>
      <w:proofErr w:type="spellEnd"/>
      <w:r w:rsidRPr="008A12B9">
        <w:t xml:space="preserve"> Technologies, le rendement ajusté des ventes est désormais prévu entre 16,5 et 17,5 % (précédemment : 16,0 à 17,5 %), et pour l</w:t>
      </w:r>
      <w:r w:rsidR="00EB46FD">
        <w:t xml:space="preserve">’activité </w:t>
      </w:r>
      <w:r w:rsidRPr="008A12B9">
        <w:t xml:space="preserve">Consumer Brands de 14,0 à 15,0 % (précédemment : 13,5 à +15,0 %). On </w:t>
      </w:r>
      <w:r w:rsidR="006A75A6">
        <w:t>s’</w:t>
      </w:r>
      <w:r w:rsidRPr="008A12B9">
        <w:t xml:space="preserve">attend toujours une augmentation du </w:t>
      </w:r>
      <w:r w:rsidRPr="008A12B9">
        <w:rPr>
          <w:b/>
        </w:rPr>
        <w:t>bénéfice ajusté par action privilégiée</w:t>
      </w:r>
      <w:r w:rsidRPr="008A12B9">
        <w:t xml:space="preserve"> (EPS) à taux de change constants de l’ordre d’un pourcentage à un chiffre, dans le bas ou le haut de la fourchette.</w:t>
      </w:r>
    </w:p>
    <w:p w14:paraId="60CA875B" w14:textId="30A3C6DA" w:rsidR="00C95327" w:rsidRPr="008A12B9" w:rsidRDefault="00C95327" w:rsidP="004851ED">
      <w:pPr>
        <w:rPr>
          <w:rFonts w:cs="Segoe UI"/>
          <w:szCs w:val="22"/>
        </w:rPr>
      </w:pPr>
    </w:p>
    <w:p w14:paraId="7F2C45C8" w14:textId="77777777" w:rsidR="007B5F6B" w:rsidRPr="008A12B9" w:rsidRDefault="007B5F6B">
      <w:pPr>
        <w:spacing w:line="240" w:lineRule="auto"/>
        <w:jc w:val="left"/>
        <w:rPr>
          <w:rFonts w:cs="Segoe UI"/>
          <w:b/>
          <w:bCs/>
          <w:szCs w:val="22"/>
        </w:rPr>
      </w:pPr>
      <w:r w:rsidRPr="008A12B9">
        <w:br w:type="page"/>
      </w:r>
    </w:p>
    <w:p w14:paraId="34AE25D7" w14:textId="2E059F03" w:rsidR="00033476" w:rsidRPr="008A12B9" w:rsidRDefault="002E4B4E" w:rsidP="00033476">
      <w:pPr>
        <w:spacing w:after="120"/>
        <w:jc w:val="left"/>
        <w:rPr>
          <w:rFonts w:cs="Segoe UI"/>
          <w:b/>
          <w:bCs/>
          <w:szCs w:val="22"/>
        </w:rPr>
      </w:pPr>
      <w:r w:rsidRPr="008A12B9">
        <w:rPr>
          <w:b/>
        </w:rPr>
        <w:lastRenderedPageBreak/>
        <w:t>Évolution des ventes et des bénéfices au premier semestre 2025</w:t>
      </w:r>
    </w:p>
    <w:p w14:paraId="09938CA3" w14:textId="7B7EBB98" w:rsidR="00236969" w:rsidRPr="008A12B9" w:rsidRDefault="00236969" w:rsidP="00033476">
      <w:pPr>
        <w:rPr>
          <w:rFonts w:cs="Segoe UI"/>
          <w:szCs w:val="22"/>
        </w:rPr>
      </w:pPr>
      <w:r w:rsidRPr="008A12B9">
        <w:t xml:space="preserve">Henkel a réalisé un </w:t>
      </w:r>
      <w:r w:rsidRPr="008A12B9">
        <w:rPr>
          <w:b/>
        </w:rPr>
        <w:t>chiffre d’affaires</w:t>
      </w:r>
      <w:r w:rsidRPr="008A12B9">
        <w:t xml:space="preserve"> de 10 402 million</w:t>
      </w:r>
      <w:r w:rsidR="00EB46FD">
        <w:t>s</w:t>
      </w:r>
      <w:r w:rsidRPr="008A12B9">
        <w:t xml:space="preserve"> d’euros au premier semestre 2025, soit une baisse nominale de 3,8 % (T2 : 5 160 millions d’euros, -6,1 %). Les effets de change ont diminué les ventes de -2,8 % (T2 : -4,1 %). Les acquisitions et les cessions </w:t>
      </w:r>
      <w:r w:rsidR="00EB46FD">
        <w:t xml:space="preserve">de marques </w:t>
      </w:r>
      <w:r w:rsidRPr="008A12B9">
        <w:t>ont réduit les ventes de -0,9 % (T2 : -2,9 %). Bien que la cession de l’activité des marques de distribut</w:t>
      </w:r>
      <w:r w:rsidR="00EB46FD">
        <w:t>eurs</w:t>
      </w:r>
      <w:r w:rsidRPr="008A12B9">
        <w:t xml:space="preserve"> en Amérique du Nord, intervenue en avril 2025, ait eu un impact défavorable, les acquisitions réalisées l’année précédente dans les deux</w:t>
      </w:r>
      <w:r w:rsidR="00EB46FD">
        <w:t xml:space="preserve"> branches </w:t>
      </w:r>
      <w:r w:rsidRPr="008A12B9">
        <w:t xml:space="preserve">– Seal for Life et Vidal Sassoon – ont eu un effet positif. En termes </w:t>
      </w:r>
      <w:r w:rsidRPr="008A12B9">
        <w:rPr>
          <w:b/>
        </w:rPr>
        <w:t>organiques</w:t>
      </w:r>
      <w:r w:rsidRPr="008A12B9">
        <w:t xml:space="preserve"> (c'est-à-dire corrigés des effets de change et des acquisitions/cessions), les ventes ont été comparables à celles de l'année précédente, à savoir -0,1 % (T2 : 0,9 %). Cette évolution est due à l'évolution positive des prix dans les deux </w:t>
      </w:r>
      <w:r w:rsidR="00EB46FD">
        <w:t xml:space="preserve">branches d’activité. </w:t>
      </w:r>
      <w:r w:rsidRPr="008A12B9">
        <w:t xml:space="preserve">L'évolution des volumes au niveau du Groupe a légèrement diminué au cours du premier semestre de l'année. Cette évolution découle principalement de l'environnement géopolitique et macroéconomique difficile, qui affecte à la fois la demande industrielle et la confiance des consommateurs, en particulier </w:t>
      </w:r>
      <w:r w:rsidR="006A75A6">
        <w:t xml:space="preserve">au premier trimestre </w:t>
      </w:r>
      <w:r w:rsidRPr="008A12B9">
        <w:t>en Amérique du Nord.</w:t>
      </w:r>
    </w:p>
    <w:p w14:paraId="635F0F8A" w14:textId="77777777" w:rsidR="00236969" w:rsidRPr="008A12B9" w:rsidRDefault="00236969" w:rsidP="00033476">
      <w:pPr>
        <w:rPr>
          <w:rFonts w:cs="Segoe UI"/>
          <w:szCs w:val="22"/>
        </w:rPr>
      </w:pPr>
    </w:p>
    <w:p w14:paraId="002D9136" w14:textId="28ACECE7" w:rsidR="00DF7441" w:rsidRPr="008A12B9" w:rsidRDefault="006400E8" w:rsidP="006400E8">
      <w:pPr>
        <w:rPr>
          <w:rFonts w:cs="Segoe UI"/>
          <w:szCs w:val="22"/>
        </w:rPr>
      </w:pPr>
      <w:r w:rsidRPr="008A12B9">
        <w:t>Au premier semestre 2025, l</w:t>
      </w:r>
      <w:r w:rsidR="00EB46FD">
        <w:t>’activité</w:t>
      </w:r>
      <w:r w:rsidRPr="008A12B9">
        <w:t xml:space="preserve"> </w:t>
      </w:r>
      <w:proofErr w:type="spellStart"/>
      <w:r w:rsidRPr="008A12B9">
        <w:rPr>
          <w:b/>
        </w:rPr>
        <w:t>Adhesive</w:t>
      </w:r>
      <w:proofErr w:type="spellEnd"/>
      <w:r w:rsidRPr="008A12B9">
        <w:rPr>
          <w:b/>
        </w:rPr>
        <w:t xml:space="preserve"> Technologies</w:t>
      </w:r>
      <w:r w:rsidRPr="008A12B9">
        <w:t xml:space="preserve"> a enregistré une croissance organique positive de 1,2 %, portée principalement par l</w:t>
      </w:r>
      <w:r w:rsidR="00EB46FD">
        <w:t xml:space="preserve">e secteur </w:t>
      </w:r>
      <w:proofErr w:type="spellStart"/>
      <w:r w:rsidRPr="008A12B9">
        <w:t>Mobilit</w:t>
      </w:r>
      <w:r w:rsidR="00EB46FD">
        <w:t>y</w:t>
      </w:r>
      <w:proofErr w:type="spellEnd"/>
      <w:r w:rsidRPr="008A12B9">
        <w:t xml:space="preserve"> &amp; </w:t>
      </w:r>
      <w:r w:rsidR="00EB46FD">
        <w:t>E</w:t>
      </w:r>
      <w:r w:rsidRPr="008A12B9">
        <w:t>lectroni</w:t>
      </w:r>
      <w:r w:rsidR="00EB46FD">
        <w:t>cs</w:t>
      </w:r>
      <w:r w:rsidRPr="008A12B9">
        <w:t xml:space="preserve"> (T2 : +1,3 %). </w:t>
      </w:r>
      <w:r w:rsidR="00EB46FD">
        <w:t xml:space="preserve">L’activité </w:t>
      </w:r>
      <w:r w:rsidRPr="008A12B9">
        <w:rPr>
          <w:b/>
        </w:rPr>
        <w:t>Consumer Brands</w:t>
      </w:r>
      <w:r w:rsidRPr="008A12B9">
        <w:t xml:space="preserve"> a enregistré une baisse des ventes organiques de -1,6 % (T2 : +0,4 %). Alors que l</w:t>
      </w:r>
      <w:r w:rsidR="00EB46FD">
        <w:t xml:space="preserve">e secteur </w:t>
      </w:r>
      <w:proofErr w:type="spellStart"/>
      <w:r w:rsidRPr="008A12B9">
        <w:t>Hair</w:t>
      </w:r>
      <w:proofErr w:type="spellEnd"/>
      <w:r w:rsidRPr="008A12B9">
        <w:t xml:space="preserve"> a affiché une croissance organique positive de ses ventes, les </w:t>
      </w:r>
      <w:r w:rsidR="00EB46FD">
        <w:t xml:space="preserve">secteurs </w:t>
      </w:r>
      <w:r w:rsidRPr="008A12B9">
        <w:t xml:space="preserve">Laundry &amp; Home Care et </w:t>
      </w:r>
      <w:r w:rsidR="00EB46FD">
        <w:t xml:space="preserve">le secteur </w:t>
      </w:r>
      <w:r w:rsidR="00EB46FD" w:rsidRPr="00EB46FD">
        <w:t xml:space="preserve">Autres activités Consumer </w:t>
      </w:r>
      <w:r w:rsidRPr="008A12B9">
        <w:t>ont enregistré un recul.</w:t>
      </w:r>
    </w:p>
    <w:p w14:paraId="7F9C767E" w14:textId="77777777" w:rsidR="00DF7441" w:rsidRPr="008A12B9" w:rsidRDefault="00DF7441" w:rsidP="006400E8">
      <w:pPr>
        <w:rPr>
          <w:rFonts w:cs="Segoe UI"/>
          <w:szCs w:val="22"/>
        </w:rPr>
      </w:pPr>
    </w:p>
    <w:p w14:paraId="19F4DD68" w14:textId="2A1F83B8" w:rsidR="00FB1C39" w:rsidRPr="008A12B9" w:rsidRDefault="00FB1C39" w:rsidP="00FB1C39">
      <w:pPr>
        <w:rPr>
          <w:rFonts w:cs="Segoe UI"/>
          <w:szCs w:val="22"/>
        </w:rPr>
      </w:pPr>
      <w:r w:rsidRPr="008A12B9">
        <w:t xml:space="preserve">Les régions </w:t>
      </w:r>
      <w:r w:rsidRPr="008A12B9">
        <w:rPr>
          <w:b/>
        </w:rPr>
        <w:t>Europe</w:t>
      </w:r>
      <w:r w:rsidRPr="008A12B9">
        <w:t xml:space="preserve"> et </w:t>
      </w:r>
      <w:r w:rsidRPr="008A12B9">
        <w:rPr>
          <w:b/>
        </w:rPr>
        <w:t>Amérique du Nord</w:t>
      </w:r>
      <w:r w:rsidRPr="008A12B9">
        <w:t xml:space="preserve"> ont enregistré une baisse des ventes organiques de -1,9 % (T2 : -1,8 %) et -3,4 % (T2 : -1,2 %), principalement en raison d'un environnement géopolitique et macroéconomique difficile. Dans la région </w:t>
      </w:r>
      <w:r w:rsidRPr="008A12B9">
        <w:rPr>
          <w:b/>
        </w:rPr>
        <w:t>IMEA</w:t>
      </w:r>
      <w:r w:rsidRPr="008A12B9">
        <w:t xml:space="preserve"> , en revanche, Henkel a généré une croissance organique significative des ventes de 9,1 % (T2 : +13,9 %). La région </w:t>
      </w:r>
      <w:r w:rsidRPr="008A12B9">
        <w:rPr>
          <w:b/>
        </w:rPr>
        <w:t>Amérique latine</w:t>
      </w:r>
      <w:r w:rsidRPr="008A12B9">
        <w:t xml:space="preserve"> a enregistré une croissance organique des ventes de 0,4 % (T2 : -0,6 %). La région </w:t>
      </w:r>
      <w:r w:rsidRPr="008A12B9">
        <w:rPr>
          <w:b/>
        </w:rPr>
        <w:t>Asie-Pacifique</w:t>
      </w:r>
      <w:r w:rsidRPr="008A12B9">
        <w:t xml:space="preserve"> a enregistré une croissance organique des ventes de 3,4 % (T2 : +3,1 %).</w:t>
      </w:r>
    </w:p>
    <w:p w14:paraId="34F3A4C0" w14:textId="77777777" w:rsidR="00FB1C39" w:rsidRPr="008A12B9" w:rsidRDefault="00FB1C39" w:rsidP="00FB1C39">
      <w:pPr>
        <w:rPr>
          <w:rFonts w:cs="Segoe UI"/>
          <w:szCs w:val="22"/>
        </w:rPr>
      </w:pPr>
    </w:p>
    <w:p w14:paraId="41F644D5" w14:textId="77777777" w:rsidR="00015C17" w:rsidRPr="008A12B9" w:rsidRDefault="00015C17" w:rsidP="00033476">
      <w:pPr>
        <w:rPr>
          <w:rFonts w:cs="Segoe UI"/>
          <w:bCs/>
          <w:szCs w:val="22"/>
        </w:rPr>
      </w:pPr>
      <w:r w:rsidRPr="008A12B9">
        <w:t xml:space="preserve">Le </w:t>
      </w:r>
      <w:r w:rsidRPr="008A12B9">
        <w:rPr>
          <w:b/>
        </w:rPr>
        <w:t>bénéfice d'exploitation ajusté (EBIT ajusté)</w:t>
      </w:r>
      <w:r w:rsidRPr="008A12B9">
        <w:t xml:space="preserve"> a légèrement augmenté, passant de 1 610 millions d'euros au premier semestre 2024 à 1 614 millions d'euros. </w:t>
      </w:r>
    </w:p>
    <w:p w14:paraId="76DE22BC" w14:textId="77777777" w:rsidR="00015C17" w:rsidRPr="008A12B9" w:rsidRDefault="00015C17" w:rsidP="00033476">
      <w:pPr>
        <w:rPr>
          <w:rFonts w:cs="Segoe UI"/>
          <w:bCs/>
          <w:szCs w:val="22"/>
        </w:rPr>
      </w:pPr>
    </w:p>
    <w:p w14:paraId="3C44FB7E" w14:textId="70894716" w:rsidR="00015C17" w:rsidRPr="008A12B9" w:rsidRDefault="00015C17" w:rsidP="00033476">
      <w:pPr>
        <w:rPr>
          <w:rFonts w:cs="Segoe UI"/>
          <w:bCs/>
          <w:szCs w:val="22"/>
        </w:rPr>
      </w:pPr>
      <w:r w:rsidRPr="008A12B9">
        <w:t xml:space="preserve">Le </w:t>
      </w:r>
      <w:r w:rsidRPr="008A12B9">
        <w:rPr>
          <w:b/>
        </w:rPr>
        <w:t>rendement ajusté des ventes (marge EBIT ajustée)</w:t>
      </w:r>
      <w:r w:rsidRPr="008A12B9">
        <w:t xml:space="preserve"> du Groupe Henkel a enregistré une augmentation de 60 points de base, passant de 14,9 % à 15,5 %.</w:t>
      </w:r>
    </w:p>
    <w:p w14:paraId="3091D2F3" w14:textId="77777777" w:rsidR="00015C17" w:rsidRPr="008A12B9" w:rsidRDefault="00015C17" w:rsidP="00033476">
      <w:pPr>
        <w:rPr>
          <w:rFonts w:cs="Segoe UI"/>
          <w:bCs/>
          <w:szCs w:val="22"/>
        </w:rPr>
      </w:pPr>
    </w:p>
    <w:p w14:paraId="33E5DD5E" w14:textId="77777777" w:rsidR="00015C17" w:rsidRPr="008A12B9" w:rsidRDefault="00015C17" w:rsidP="00033476">
      <w:pPr>
        <w:rPr>
          <w:rFonts w:cs="Segoe UI"/>
          <w:bCs/>
          <w:szCs w:val="22"/>
        </w:rPr>
      </w:pPr>
      <w:r w:rsidRPr="008A12B9">
        <w:t xml:space="preserve">Le </w:t>
      </w:r>
      <w:r w:rsidRPr="008A12B9">
        <w:rPr>
          <w:b/>
        </w:rPr>
        <w:t>bénéfice ajusté par action privilégiée</w:t>
      </w:r>
      <w:r w:rsidRPr="008A12B9">
        <w:t xml:space="preserve"> a augmenté de 2,66 euros (année précédente : 2,46 euros). Le bénéfice ajusté par action préférentielle a augmenté de 1,1 % pour atteindre </w:t>
      </w:r>
      <w:r w:rsidRPr="008A12B9">
        <w:lastRenderedPageBreak/>
        <w:t>2,81 euros, contre 2,78 euros l'année précédente. À taux de change constants, le bénéfice ajusté par action privilégiée a augmenté de 5,0 %.</w:t>
      </w:r>
    </w:p>
    <w:p w14:paraId="3291D73E" w14:textId="2212A94B" w:rsidR="00033476" w:rsidRPr="008A12B9" w:rsidRDefault="002E1A8B" w:rsidP="00033476">
      <w:pPr>
        <w:rPr>
          <w:rFonts w:cs="Segoe UI"/>
          <w:szCs w:val="22"/>
        </w:rPr>
      </w:pPr>
      <w:r w:rsidRPr="008A12B9">
        <w:t xml:space="preserve">Le rapport entre le </w:t>
      </w:r>
      <w:r w:rsidRPr="008A12B9">
        <w:rPr>
          <w:b/>
        </w:rPr>
        <w:t>fonds de roulement net</w:t>
      </w:r>
      <w:r w:rsidRPr="008A12B9">
        <w:t xml:space="preserve"> et les ventes au cours du deuxième trimestre a augmenté de 0,8 point de pourcentage par rapport à la période de l'année précédente, passant de 5,2 % à 6,0 %.</w:t>
      </w:r>
    </w:p>
    <w:p w14:paraId="1FFB4343" w14:textId="77777777" w:rsidR="00033476" w:rsidRPr="008A12B9" w:rsidRDefault="00033476" w:rsidP="00033476">
      <w:pPr>
        <w:rPr>
          <w:rFonts w:cs="Segoe UI"/>
          <w:szCs w:val="22"/>
          <w:highlight w:val="yellow"/>
        </w:rPr>
      </w:pPr>
    </w:p>
    <w:p w14:paraId="63418D73" w14:textId="47278879" w:rsidR="00B33C35" w:rsidRPr="008A12B9" w:rsidRDefault="008A169F" w:rsidP="008A169F">
      <w:pPr>
        <w:autoSpaceDE w:val="0"/>
        <w:autoSpaceDN w:val="0"/>
        <w:adjustRightInd w:val="0"/>
      </w:pPr>
      <w:r w:rsidRPr="008A12B9">
        <w:t xml:space="preserve">Le </w:t>
      </w:r>
      <w:r w:rsidRPr="008A12B9">
        <w:rPr>
          <w:b/>
        </w:rPr>
        <w:t xml:space="preserve">flux de trésorerie </w:t>
      </w:r>
      <w:r w:rsidR="00EB46FD" w:rsidRPr="008A12B9">
        <w:rPr>
          <w:b/>
        </w:rPr>
        <w:t>disponible</w:t>
      </w:r>
      <w:r w:rsidR="00EB46FD" w:rsidRPr="008A12B9">
        <w:t>,</w:t>
      </w:r>
      <w:r w:rsidRPr="008A12B9">
        <w:t xml:space="preserve"> d'un montant de 485 millions d'euros, est inférieur à celui du premier semestre 2024 (772 millions d'euros), en raison notamment de l'augmentation du fonds de roulement net et des paiements plus élevés pour les investissements en immobilisations corporelles et incorporelles.</w:t>
      </w:r>
    </w:p>
    <w:p w14:paraId="6D917835" w14:textId="77777777" w:rsidR="00033476" w:rsidRPr="008A12B9" w:rsidRDefault="00033476" w:rsidP="00033476">
      <w:pPr>
        <w:autoSpaceDE w:val="0"/>
        <w:autoSpaceDN w:val="0"/>
        <w:adjustRightInd w:val="0"/>
        <w:rPr>
          <w:rFonts w:cs="Segoe UI"/>
          <w:szCs w:val="22"/>
          <w:highlight w:val="yellow"/>
        </w:rPr>
      </w:pPr>
    </w:p>
    <w:p w14:paraId="00BD6AF7" w14:textId="2834CEDA" w:rsidR="00033476" w:rsidRPr="008A12B9" w:rsidRDefault="005D629E" w:rsidP="005B7690">
      <w:r w:rsidRPr="008A12B9">
        <w:t xml:space="preserve">Au 30 juin 2025, la </w:t>
      </w:r>
      <w:r w:rsidRPr="008A12B9">
        <w:rPr>
          <w:b/>
        </w:rPr>
        <w:t>position financière nette</w:t>
      </w:r>
      <w:r w:rsidRPr="008A12B9">
        <w:t xml:space="preserve"> s’élevait à -494 millions d’euros (31 décembre 2024 : -93 millions d’euros).</w:t>
      </w:r>
    </w:p>
    <w:p w14:paraId="024DF776" w14:textId="77777777" w:rsidR="00832837" w:rsidRPr="008A12B9" w:rsidRDefault="00832837" w:rsidP="00033476">
      <w:pPr>
        <w:spacing w:after="120"/>
        <w:rPr>
          <w:rFonts w:cs="Segoe UI"/>
          <w:b/>
          <w:bCs/>
          <w:szCs w:val="22"/>
          <w:lang w:eastAsia="de-DE"/>
        </w:rPr>
      </w:pPr>
    </w:p>
    <w:p w14:paraId="5683DF1E" w14:textId="40A8BEB1" w:rsidR="00033476" w:rsidRPr="008A12B9" w:rsidRDefault="005D629E" w:rsidP="00033476">
      <w:pPr>
        <w:spacing w:after="120"/>
        <w:rPr>
          <w:rFonts w:cs="Segoe UI"/>
          <w:b/>
          <w:bCs/>
          <w:szCs w:val="22"/>
          <w:highlight w:val="yellow"/>
        </w:rPr>
      </w:pPr>
      <w:r w:rsidRPr="008A12B9">
        <w:rPr>
          <w:b/>
        </w:rPr>
        <w:t>Évolution des branches d’activité au premier semestre 2025</w:t>
      </w:r>
    </w:p>
    <w:p w14:paraId="6240AB6A" w14:textId="3CBAD2F4" w:rsidR="00827E24" w:rsidRPr="008A12B9" w:rsidRDefault="005D629E" w:rsidP="00033476">
      <w:pPr>
        <w:rPr>
          <w:rFonts w:cs="Segoe UI"/>
          <w:bCs/>
          <w:szCs w:val="22"/>
          <w:lang w:val="es-ES"/>
        </w:rPr>
      </w:pPr>
      <w:bookmarkStart w:id="4" w:name="SNAMD_dc825768bfb2420dbdc0e075b6c733f3"/>
      <w:bookmarkStart w:id="5" w:name="SNERR_085cbfa1dc5245baabab2f6ce609ab4b"/>
      <w:r w:rsidRPr="008A12B9">
        <w:rPr>
          <w:b/>
        </w:rPr>
        <w:t>Les ventes</w:t>
      </w:r>
      <w:r w:rsidRPr="008A12B9">
        <w:t xml:space="preserve"> de l</w:t>
      </w:r>
      <w:r w:rsidR="00EB46FD">
        <w:t xml:space="preserve">a branche </w:t>
      </w:r>
      <w:proofErr w:type="spellStart"/>
      <w:r w:rsidRPr="008A12B9">
        <w:t>Adhesive</w:t>
      </w:r>
      <w:proofErr w:type="spellEnd"/>
      <w:r w:rsidRPr="008A12B9">
        <w:t xml:space="preserve"> Technologies ont enregistré une augmentation </w:t>
      </w:r>
      <w:r w:rsidRPr="008A12B9">
        <w:rPr>
          <w:b/>
        </w:rPr>
        <w:t>organique</w:t>
      </w:r>
      <w:r w:rsidRPr="008A12B9">
        <w:t xml:space="preserve"> de 1,2 % au premier semestre 2025 (T2 : +1,3 %). Cette augmentation est due à une évolution positive équilibrée des prix et des volumes. En termes nominaux, les ventes ont atteint 5 416 millions d'euros, ce qui est légèrement inférieur à </w:t>
      </w:r>
      <w:hyperlink r:id="rId12" w:history="1">
        <w:r w:rsidRPr="00634AED">
          <w:rPr>
            <w:rStyle w:val="Lienhypertexte"/>
            <w:color w:val="000000" w:themeColor="text1"/>
            <w:sz w:val="22"/>
            <w:szCs w:val="24"/>
            <w:u w:val="none"/>
          </w:rPr>
          <w:t>la période de l'année précédente</w:t>
        </w:r>
      </w:hyperlink>
      <w:r w:rsidRPr="0061552A">
        <w:rPr>
          <w:color w:val="000000" w:themeColor="text1"/>
        </w:rPr>
        <w:t xml:space="preserve"> </w:t>
      </w:r>
      <w:r w:rsidRPr="008A12B9">
        <w:t xml:space="preserve">avec -1,1 % </w:t>
      </w:r>
      <w:r w:rsidRPr="008A12B9">
        <w:rPr>
          <w:color w:val="000000" w:themeColor="text1"/>
        </w:rPr>
        <w:t xml:space="preserve">(T2 : 2 701 </w:t>
      </w:r>
      <w:r w:rsidR="00EB46FD" w:rsidRPr="008A12B9">
        <w:t>millions</w:t>
      </w:r>
      <w:r w:rsidRPr="008A12B9">
        <w:t xml:space="preserve"> d’euros</w:t>
      </w:r>
      <w:r w:rsidRPr="008A12B9">
        <w:rPr>
          <w:color w:val="000000" w:themeColor="text1"/>
        </w:rPr>
        <w:t>).</w:t>
      </w:r>
      <w:bookmarkEnd w:id="4"/>
      <w:bookmarkEnd w:id="5"/>
      <w:r w:rsidR="00EB46FD" w:rsidRPr="008A12B9">
        <w:rPr>
          <w:rFonts w:cs="Segoe UI"/>
          <w:bCs/>
          <w:szCs w:val="22"/>
          <w:lang w:val="es-ES"/>
        </w:rPr>
        <w:t xml:space="preserve"> </w:t>
      </w:r>
    </w:p>
    <w:p w14:paraId="4ABD5BAA" w14:textId="77777777" w:rsidR="007664AF" w:rsidRPr="008A12B9" w:rsidRDefault="007664AF" w:rsidP="00033476">
      <w:pPr>
        <w:rPr>
          <w:rFonts w:eastAsia="Segoe UI" w:cs="Segoe UI"/>
          <w:szCs w:val="18"/>
          <w:lang w:val="es-ES"/>
        </w:rPr>
      </w:pPr>
    </w:p>
    <w:p w14:paraId="2BC23EC0" w14:textId="7E6A281B" w:rsidR="003B13E8" w:rsidRPr="008A12B9" w:rsidRDefault="003B13E8" w:rsidP="003B13E8">
      <w:pPr>
        <w:rPr>
          <w:rFonts w:eastAsia="Segoe UI" w:cs="Segoe UI"/>
          <w:szCs w:val="18"/>
        </w:rPr>
      </w:pPr>
      <w:r w:rsidRPr="008A12B9">
        <w:t>La croissance organique positive des ventes de l</w:t>
      </w:r>
      <w:r w:rsidR="00EB46FD">
        <w:t>a branche</w:t>
      </w:r>
      <w:r w:rsidR="001902CF">
        <w:t xml:space="preserve"> d’activité</w:t>
      </w:r>
      <w:r w:rsidRPr="008A12B9">
        <w:t xml:space="preserve"> </w:t>
      </w:r>
      <w:proofErr w:type="spellStart"/>
      <w:r w:rsidRPr="001902CF">
        <w:rPr>
          <w:b/>
          <w:bCs/>
        </w:rPr>
        <w:t>Adhesive</w:t>
      </w:r>
      <w:proofErr w:type="spellEnd"/>
      <w:r w:rsidRPr="001902CF">
        <w:rPr>
          <w:b/>
          <w:bCs/>
        </w:rPr>
        <w:t xml:space="preserve"> Technologies</w:t>
      </w:r>
      <w:r w:rsidRPr="008A12B9">
        <w:t xml:space="preserve"> au premier semestre a été notamment portée par </w:t>
      </w:r>
      <w:r w:rsidR="00EB46FD">
        <w:t>l</w:t>
      </w:r>
      <w:r w:rsidR="001902CF">
        <w:t>e secteur</w:t>
      </w:r>
      <w:r w:rsidR="00EB46FD">
        <w:t xml:space="preserve"> </w:t>
      </w:r>
      <w:proofErr w:type="spellStart"/>
      <w:r w:rsidRPr="008A12B9">
        <w:rPr>
          <w:b/>
        </w:rPr>
        <w:t>Mobility</w:t>
      </w:r>
      <w:proofErr w:type="spellEnd"/>
      <w:r w:rsidRPr="008A12B9">
        <w:rPr>
          <w:b/>
        </w:rPr>
        <w:t xml:space="preserve"> &amp; </w:t>
      </w:r>
      <w:r w:rsidR="001902CF" w:rsidRPr="008A12B9">
        <w:rPr>
          <w:b/>
        </w:rPr>
        <w:t>Electronics</w:t>
      </w:r>
      <w:r w:rsidR="001902CF" w:rsidRPr="008A12B9">
        <w:t>,</w:t>
      </w:r>
      <w:r w:rsidRPr="008A12B9">
        <w:t xml:space="preserve"> qui a enregistré une forte progression organique de 2,8 % (T2 : +2,5 %). Cette croissance est due à la croissance organique à deux chiffres des ventes d</w:t>
      </w:r>
      <w:r w:rsidR="001902CF">
        <w:t xml:space="preserve">e la catégorie </w:t>
      </w:r>
      <w:r w:rsidRPr="008A12B9">
        <w:t>Electronics et à la très forte croissance organique des ventes d</w:t>
      </w:r>
      <w:r w:rsidR="001902CF">
        <w:t>e la catégorie</w:t>
      </w:r>
      <w:r w:rsidR="00EB46FD">
        <w:t xml:space="preserve"> </w:t>
      </w:r>
      <w:proofErr w:type="spellStart"/>
      <w:r w:rsidR="00EB46FD">
        <w:t>Industrials</w:t>
      </w:r>
      <w:proofErr w:type="spellEnd"/>
      <w:r w:rsidRPr="008A12B9">
        <w:t>. En revanche, l</w:t>
      </w:r>
      <w:r w:rsidR="00EB46FD">
        <w:t>e secteur</w:t>
      </w:r>
      <w:r w:rsidRPr="008A12B9">
        <w:t xml:space="preserve"> Automotive a reculé en raison d'un environnement de marché difficile. L</w:t>
      </w:r>
      <w:r w:rsidR="001902CF">
        <w:t>e secteur</w:t>
      </w:r>
      <w:r w:rsidR="00EB46FD">
        <w:t xml:space="preserve"> </w:t>
      </w:r>
      <w:r w:rsidRPr="008A12B9">
        <w:rPr>
          <w:b/>
        </w:rPr>
        <w:t xml:space="preserve">Packaging &amp; Consumer </w:t>
      </w:r>
      <w:proofErr w:type="spellStart"/>
      <w:r w:rsidRPr="008A12B9">
        <w:rPr>
          <w:b/>
        </w:rPr>
        <w:t>Goods</w:t>
      </w:r>
      <w:proofErr w:type="spellEnd"/>
      <w:r w:rsidRPr="008A12B9">
        <w:t xml:space="preserve"> a enregistré une croissance organique stable de ses ventes (T2 : +0,4 %). Bien que l</w:t>
      </w:r>
      <w:r w:rsidR="001902CF">
        <w:t>a catégorie</w:t>
      </w:r>
      <w:r w:rsidRPr="008A12B9">
        <w:t xml:space="preserve"> Packaging ait connu une légère baisse des ventes organiques, celle-ci a été compensée par une progression positive des ventes organiques d</w:t>
      </w:r>
      <w:r w:rsidR="001902CF">
        <w:t xml:space="preserve">e la catégorie </w:t>
      </w:r>
      <w:r w:rsidRPr="008A12B9">
        <w:t xml:space="preserve">Consumer </w:t>
      </w:r>
      <w:proofErr w:type="spellStart"/>
      <w:r w:rsidRPr="008A12B9">
        <w:t>Goods</w:t>
      </w:r>
      <w:proofErr w:type="spellEnd"/>
      <w:r w:rsidRPr="008A12B9">
        <w:t>. L</w:t>
      </w:r>
      <w:r w:rsidR="001902CF">
        <w:t>e secteur</w:t>
      </w:r>
      <w:r w:rsidRPr="008A12B9">
        <w:t xml:space="preserve"> </w:t>
      </w:r>
      <w:proofErr w:type="spellStart"/>
      <w:r w:rsidRPr="008A12B9">
        <w:rPr>
          <w:b/>
        </w:rPr>
        <w:t>Craftsmen</w:t>
      </w:r>
      <w:proofErr w:type="spellEnd"/>
      <w:r w:rsidRPr="008A12B9">
        <w:rPr>
          <w:b/>
        </w:rPr>
        <w:t>, Construction &amp; Professional</w:t>
      </w:r>
      <w:r w:rsidRPr="008A12B9">
        <w:t xml:space="preserve"> a enregistré une croissance organique des ventes de 0,6 % (T2 : 0,8 %). Cette croissance est notamment due à une bonne progression organique des ventes de la </w:t>
      </w:r>
      <w:r w:rsidR="001902CF">
        <w:t xml:space="preserve">catégorie </w:t>
      </w:r>
      <w:r w:rsidRPr="008A12B9">
        <w:t>Construction. L</w:t>
      </w:r>
      <w:r w:rsidR="001902CF">
        <w:t xml:space="preserve">es catégories </w:t>
      </w:r>
      <w:r w:rsidRPr="008A12B9">
        <w:t xml:space="preserve">Consumer &amp; </w:t>
      </w:r>
      <w:proofErr w:type="spellStart"/>
      <w:r w:rsidRPr="008A12B9">
        <w:t>Craftsmen</w:t>
      </w:r>
      <w:proofErr w:type="spellEnd"/>
      <w:r w:rsidRPr="008A12B9">
        <w:t xml:space="preserve"> et General </w:t>
      </w:r>
      <w:proofErr w:type="spellStart"/>
      <w:r w:rsidRPr="008A12B9">
        <w:t>Manufacturing</w:t>
      </w:r>
      <w:proofErr w:type="spellEnd"/>
      <w:r w:rsidRPr="008A12B9">
        <w:t xml:space="preserve"> &amp; Maintenance ont enregistré une évolution stable par rapport à la période de l'année précédente. </w:t>
      </w:r>
    </w:p>
    <w:p w14:paraId="087DE92D" w14:textId="77777777" w:rsidR="00074942" w:rsidRPr="008A12B9" w:rsidRDefault="00074942" w:rsidP="00033476">
      <w:pPr>
        <w:rPr>
          <w:rFonts w:cs="Segoe UI"/>
          <w:bCs/>
          <w:szCs w:val="22"/>
        </w:rPr>
      </w:pPr>
    </w:p>
    <w:p w14:paraId="65F1CFA3" w14:textId="67A5A3E0" w:rsidR="00B241F2" w:rsidRPr="008A12B9" w:rsidRDefault="003B13E8" w:rsidP="00033476">
      <w:pPr>
        <w:rPr>
          <w:rFonts w:cs="Segoe UI"/>
          <w:bCs/>
          <w:szCs w:val="22"/>
        </w:rPr>
      </w:pPr>
      <w:r w:rsidRPr="008A12B9">
        <w:t xml:space="preserve">Le </w:t>
      </w:r>
      <w:r w:rsidRPr="008A12B9">
        <w:rPr>
          <w:b/>
        </w:rPr>
        <w:t>bénéfice d’exploitation ajusté</w:t>
      </w:r>
      <w:r w:rsidRPr="008A12B9">
        <w:t xml:space="preserve"> était légèrement inférieur à celui de l’année précédente, à 931 millions d’euros. Cependant, le </w:t>
      </w:r>
      <w:r w:rsidRPr="008A12B9">
        <w:rPr>
          <w:b/>
        </w:rPr>
        <w:t>rendement ajusté des ventes</w:t>
      </w:r>
      <w:r w:rsidRPr="008A12B9">
        <w:t xml:space="preserve"> (marge EBIT ajustée) a </w:t>
      </w:r>
      <w:r w:rsidRPr="008A12B9">
        <w:lastRenderedPageBreak/>
        <w:t>atteint 17,2 %, contre 17,0 % sur la même période au cours de l’exercice précédent. Cette évolution est principalement due à un mix d'activités favorable.</w:t>
      </w:r>
    </w:p>
    <w:p w14:paraId="72CEB99A" w14:textId="77777777" w:rsidR="008A169F" w:rsidRPr="008A12B9" w:rsidRDefault="008A169F" w:rsidP="00A15FD2">
      <w:pPr>
        <w:rPr>
          <w:rFonts w:cs="Segoe UI"/>
          <w:b/>
          <w:bCs/>
          <w:szCs w:val="22"/>
        </w:rPr>
      </w:pPr>
    </w:p>
    <w:p w14:paraId="4B1B9836" w14:textId="77A743EB" w:rsidR="00A15FD2" w:rsidRPr="008A12B9" w:rsidRDefault="00EB0325" w:rsidP="00A15FD2">
      <w:pPr>
        <w:rPr>
          <w:rFonts w:cs="Segoe UI"/>
          <w:szCs w:val="22"/>
        </w:rPr>
      </w:pPr>
      <w:r w:rsidRPr="008A12B9">
        <w:t xml:space="preserve">La croissance </w:t>
      </w:r>
      <w:r w:rsidRPr="008A12B9">
        <w:rPr>
          <w:b/>
        </w:rPr>
        <w:t>organique</w:t>
      </w:r>
      <w:r w:rsidRPr="008A12B9">
        <w:t xml:space="preserve"> des ventes de </w:t>
      </w:r>
      <w:r w:rsidR="001902CF">
        <w:t xml:space="preserve">la branche d’activité </w:t>
      </w:r>
      <w:r w:rsidRPr="008A12B9">
        <w:rPr>
          <w:b/>
        </w:rPr>
        <w:t>Consumer Brands</w:t>
      </w:r>
      <w:r w:rsidRPr="008A12B9">
        <w:t xml:space="preserve"> a été de -1,6 % par rapport à la période de l'année précédente (T2 : +0,4 %). En termes nominaux, les </w:t>
      </w:r>
      <w:r w:rsidRPr="008A12B9">
        <w:rPr>
          <w:b/>
        </w:rPr>
        <w:t xml:space="preserve">ventes </w:t>
      </w:r>
      <w:r w:rsidRPr="008A12B9">
        <w:t>ont atteint</w:t>
      </w:r>
      <w:r w:rsidRPr="008A12B9">
        <w:rPr>
          <w:b/>
        </w:rPr>
        <w:t xml:space="preserve"> </w:t>
      </w:r>
      <w:r w:rsidRPr="008A12B9">
        <w:t xml:space="preserve">4 907 millions d'euros (T2 : </w:t>
      </w:r>
      <w:r w:rsidRPr="008A12B9">
        <w:rPr>
          <w:color w:val="000000" w:themeColor="text1"/>
        </w:rPr>
        <w:t>2 422 millions d'euros</w:t>
      </w:r>
      <w:r w:rsidRPr="008A12B9">
        <w:t>), soit une diminution de -6,8 % par rapport à la période de l'année précédente. L</w:t>
      </w:r>
      <w:r w:rsidR="001902CF">
        <w:t>a branche</w:t>
      </w:r>
      <w:r w:rsidRPr="008A12B9">
        <w:t xml:space="preserve"> a enregistré une bonne évolution des prix par rapport au premier semestre 2024. En revanche, les volumes ont diminué, principalement en raison d'un environnement de consommation difficile sur des marchés clés tels que l'Amérique du Nord et l'Europe.</w:t>
      </w:r>
    </w:p>
    <w:p w14:paraId="4E1A36E6" w14:textId="77777777" w:rsidR="00A15FD2" w:rsidRPr="008A12B9" w:rsidRDefault="00A15FD2" w:rsidP="00A15FD2">
      <w:pPr>
        <w:rPr>
          <w:rFonts w:cs="Segoe UI"/>
          <w:szCs w:val="22"/>
        </w:rPr>
      </w:pPr>
    </w:p>
    <w:p w14:paraId="4106A6DE" w14:textId="4F596D26" w:rsidR="00D64FE1" w:rsidRPr="008A12B9" w:rsidRDefault="00D64FE1" w:rsidP="00D64FE1">
      <w:pPr>
        <w:rPr>
          <w:rFonts w:cs="Segoe UI"/>
          <w:szCs w:val="22"/>
        </w:rPr>
      </w:pPr>
      <w:r w:rsidRPr="008A12B9">
        <w:t>Au premier semestre, l</w:t>
      </w:r>
      <w:r w:rsidR="001902CF">
        <w:t>e secteur</w:t>
      </w:r>
      <w:r w:rsidRPr="008A12B9">
        <w:t xml:space="preserve"> </w:t>
      </w:r>
      <w:r w:rsidRPr="008A12B9">
        <w:rPr>
          <w:b/>
        </w:rPr>
        <w:t>Laundry &amp; Home Care</w:t>
      </w:r>
      <w:r w:rsidRPr="008A12B9">
        <w:t xml:space="preserve"> a enregistré une baisse organique des ventes de -2,6 % (T2 : 0,9 %). L</w:t>
      </w:r>
      <w:r w:rsidR="001902CF">
        <w:t xml:space="preserve">a catégorie </w:t>
      </w:r>
      <w:r w:rsidRPr="008A12B9">
        <w:t xml:space="preserve">Home Care a généré une croissance organique positive des ventes, principalement grâce à la très forte croissance organique des ventes dans la catégorie </w:t>
      </w:r>
      <w:proofErr w:type="spellStart"/>
      <w:r w:rsidRPr="008A12B9">
        <w:t>Dishwashing</w:t>
      </w:r>
      <w:proofErr w:type="spellEnd"/>
      <w:r w:rsidRPr="008A12B9">
        <w:t>. En revanche, l</w:t>
      </w:r>
      <w:r w:rsidR="001902CF">
        <w:t>a catégorie</w:t>
      </w:r>
      <w:r w:rsidRPr="008A12B9">
        <w:t xml:space="preserve"> Laundry Care a enregistré une baisse des ventes organiques. L</w:t>
      </w:r>
      <w:r w:rsidR="001902CF">
        <w:t>e secteur</w:t>
      </w:r>
      <w:r w:rsidRPr="008A12B9">
        <w:t xml:space="preserve"> </w:t>
      </w:r>
      <w:proofErr w:type="spellStart"/>
      <w:r w:rsidRPr="008A12B9">
        <w:rPr>
          <w:b/>
        </w:rPr>
        <w:t>Hair</w:t>
      </w:r>
      <w:proofErr w:type="spellEnd"/>
      <w:r w:rsidRPr="008A12B9">
        <w:rPr>
          <w:b/>
        </w:rPr>
        <w:t xml:space="preserve"> </w:t>
      </w:r>
      <w:r w:rsidRPr="008A12B9">
        <w:t>a enregistré une croissance organique des ventes de 0,9 % au cours des six premiers mois de l'année (T2 : 3,2 %). L</w:t>
      </w:r>
      <w:r w:rsidR="001902CF">
        <w:t xml:space="preserve">e secteur </w:t>
      </w:r>
      <w:r w:rsidRPr="008A12B9">
        <w:t xml:space="preserve">Consumer a connu une solide croissance organique des ventes, portée notamment par le très fort dynamisme de la catégorie </w:t>
      </w:r>
      <w:proofErr w:type="spellStart"/>
      <w:r w:rsidRPr="008A12B9">
        <w:t>Hair</w:t>
      </w:r>
      <w:proofErr w:type="spellEnd"/>
      <w:r w:rsidRPr="008A12B9">
        <w:t xml:space="preserve"> Colorants ainsi que par le bon développement de la catégorie </w:t>
      </w:r>
      <w:proofErr w:type="spellStart"/>
      <w:r w:rsidRPr="008A12B9">
        <w:t>Hair</w:t>
      </w:r>
      <w:proofErr w:type="spellEnd"/>
      <w:r w:rsidRPr="008A12B9">
        <w:t xml:space="preserve"> </w:t>
      </w:r>
      <w:proofErr w:type="spellStart"/>
      <w:r w:rsidRPr="008A12B9">
        <w:t>Styling</w:t>
      </w:r>
      <w:proofErr w:type="spellEnd"/>
      <w:r w:rsidRPr="008A12B9">
        <w:t>. L</w:t>
      </w:r>
      <w:r w:rsidR="001902CF">
        <w:t>e secteur</w:t>
      </w:r>
      <w:r w:rsidRPr="008A12B9">
        <w:t xml:space="preserve"> Professional a enregistré une légère baisse des ventes organiques en raison d'un environnement de consommation difficile, en particulier dans la région Amérique du Nord. L</w:t>
      </w:r>
      <w:r w:rsidR="001902CF">
        <w:t>e secteur</w:t>
      </w:r>
      <w:r w:rsidRPr="008A12B9">
        <w:t xml:space="preserve"> </w:t>
      </w:r>
      <w:r w:rsidR="001902CF">
        <w:rPr>
          <w:b/>
        </w:rPr>
        <w:t xml:space="preserve">Autres activités Consumer </w:t>
      </w:r>
      <w:r w:rsidRPr="008A12B9">
        <w:t>a enregistré une baisse des ventes organiques de -4,2 % au cours du premier semestre de l'année (T2 : -1,7 %), principalement en raison de l'évolution négative de l</w:t>
      </w:r>
      <w:r w:rsidR="001902CF">
        <w:t>a catégorie</w:t>
      </w:r>
      <w:r w:rsidRPr="008A12B9">
        <w:t xml:space="preserve"> Body Care dans les régions d'Amérique du Nord et d'Europe.</w:t>
      </w:r>
    </w:p>
    <w:p w14:paraId="25683A15" w14:textId="77777777" w:rsidR="00D64FE1" w:rsidRPr="008A12B9" w:rsidRDefault="00D64FE1" w:rsidP="00D64FE1">
      <w:pPr>
        <w:rPr>
          <w:rFonts w:cs="Segoe UI"/>
          <w:szCs w:val="22"/>
        </w:rPr>
      </w:pPr>
    </w:p>
    <w:p w14:paraId="050D2123" w14:textId="36E9D15E" w:rsidR="00D64FE1" w:rsidRPr="008A12B9" w:rsidRDefault="00D64FE1" w:rsidP="00535180">
      <w:pPr>
        <w:rPr>
          <w:b/>
        </w:rPr>
      </w:pPr>
      <w:r w:rsidRPr="008A12B9">
        <w:t>Avec 748 millions d’euros, le</w:t>
      </w:r>
      <w:r w:rsidRPr="008A12B9">
        <w:rPr>
          <w:b/>
        </w:rPr>
        <w:t xml:space="preserve"> bénéfice d’exploitation ajusté</w:t>
      </w:r>
      <w:r w:rsidRPr="008A12B9">
        <w:t xml:space="preserve"> est légèrement inférieur au niveau de l’année précédente. Le </w:t>
      </w:r>
      <w:r w:rsidRPr="008A12B9">
        <w:rPr>
          <w:b/>
        </w:rPr>
        <w:t>rendement ajusté des ventes</w:t>
      </w:r>
      <w:r w:rsidRPr="008A12B9">
        <w:t xml:space="preserve"> (marge EBIT ajustée) a enregistré une augmentation significative pour atteindre 15,3 %, contre 14,3 % sur la même période au cours de l’exercice précédent. Cette évolution est principalement due à la valorisation continue du portefeuille et aux économies réalisées grâce à l'optimisation de la chaîne d'approvisionnement.</w:t>
      </w:r>
      <w:r w:rsidRPr="008A12B9">
        <w:rPr>
          <w:b/>
        </w:rPr>
        <w:t xml:space="preserve"> </w:t>
      </w:r>
    </w:p>
    <w:p w14:paraId="0B6C9F4D" w14:textId="77777777" w:rsidR="004542DA" w:rsidRPr="008A12B9" w:rsidRDefault="004542DA" w:rsidP="00535180">
      <w:pPr>
        <w:rPr>
          <w:rFonts w:cs="Segoe UI"/>
          <w:szCs w:val="22"/>
        </w:rPr>
      </w:pPr>
    </w:p>
    <w:p w14:paraId="76EC1B16" w14:textId="62C25C9C" w:rsidR="00B50061" w:rsidRPr="008A12B9" w:rsidRDefault="00B50061" w:rsidP="00B50061">
      <w:pPr>
        <w:spacing w:after="120"/>
        <w:rPr>
          <w:rFonts w:cs="Segoe UI"/>
          <w:szCs w:val="22"/>
        </w:rPr>
      </w:pPr>
      <w:r w:rsidRPr="008A12B9">
        <w:rPr>
          <w:b/>
        </w:rPr>
        <w:t>Poursuite de la progression de la mise en œuvre du programme de croissance ciblée</w:t>
      </w:r>
    </w:p>
    <w:p w14:paraId="5AD81101" w14:textId="000F889B" w:rsidR="00B50061" w:rsidRPr="008A12B9" w:rsidRDefault="00B50061" w:rsidP="00B50061">
      <w:pPr>
        <w:autoSpaceDE w:val="0"/>
        <w:autoSpaceDN w:val="0"/>
        <w:adjustRightInd w:val="0"/>
        <w:rPr>
          <w:rFonts w:cs="Segoe UI"/>
          <w:szCs w:val="22"/>
        </w:rPr>
      </w:pPr>
      <w:r w:rsidRPr="008A12B9">
        <w:t xml:space="preserve">Au cours du premier semestre 2025, Henkel a continué à mettre en œuvre avec succès les priorités stratégiques de son programme de croissance </w:t>
      </w:r>
      <w:r w:rsidR="00DD3077">
        <w:t>ciblé</w:t>
      </w:r>
      <w:r w:rsidR="00314275">
        <w:t>e</w:t>
      </w:r>
      <w:r w:rsidRPr="008A12B9">
        <w:t xml:space="preserve"> et a réalisé des progrès satisfaisants.</w:t>
      </w:r>
    </w:p>
    <w:p w14:paraId="2E113080" w14:textId="77777777" w:rsidR="00B50061" w:rsidRPr="008A12B9" w:rsidRDefault="00B50061" w:rsidP="00B50061">
      <w:pPr>
        <w:autoSpaceDE w:val="0"/>
        <w:autoSpaceDN w:val="0"/>
        <w:adjustRightInd w:val="0"/>
        <w:rPr>
          <w:rFonts w:cs="Segoe UI"/>
          <w:szCs w:val="22"/>
        </w:rPr>
      </w:pPr>
    </w:p>
    <w:p w14:paraId="647E6FDF" w14:textId="4457B0FC" w:rsidR="00B50061" w:rsidRPr="008A12B9" w:rsidRDefault="00B50061" w:rsidP="00B50061">
      <w:pPr>
        <w:autoSpaceDE w:val="0"/>
        <w:autoSpaceDN w:val="0"/>
        <w:adjustRightInd w:val="0"/>
        <w:rPr>
          <w:rFonts w:cs="Segoe UI"/>
          <w:szCs w:val="22"/>
        </w:rPr>
      </w:pPr>
      <w:r w:rsidRPr="008A12B9">
        <w:t>Dans s</w:t>
      </w:r>
      <w:r w:rsidR="001902CF">
        <w:t>a branche</w:t>
      </w:r>
      <w:r w:rsidRPr="008A12B9">
        <w:t xml:space="preserve"> </w:t>
      </w:r>
      <w:proofErr w:type="spellStart"/>
      <w:r w:rsidRPr="008A12B9">
        <w:rPr>
          <w:b/>
        </w:rPr>
        <w:t>Adhesive</w:t>
      </w:r>
      <w:proofErr w:type="spellEnd"/>
      <w:r w:rsidRPr="008A12B9">
        <w:rPr>
          <w:b/>
        </w:rPr>
        <w:t xml:space="preserve"> </w:t>
      </w:r>
      <w:r w:rsidR="001902CF" w:rsidRPr="008A12B9">
        <w:rPr>
          <w:b/>
        </w:rPr>
        <w:t>Technologies,</w:t>
      </w:r>
      <w:r w:rsidRPr="008A12B9">
        <w:t xml:space="preserve"> Henkel se concentre clairement sur les mégatendances mondiales que sont la mobilité, la connectivité, la</w:t>
      </w:r>
      <w:r w:rsidR="001902CF">
        <w:t xml:space="preserve"> digitalisation</w:t>
      </w:r>
      <w:r w:rsidRPr="008A12B9">
        <w:t xml:space="preserve">, l'urbanisation et le développement durable, ce qui contribue à renforcer sa compétitivité et sa résilience dans un environnement de marché difficile. Dans le domaine du développement durable, par exemple, Henkel aide ses clients de diverses industries à atteindre leurs objectifs de développement durable grâce à des solutions efficaces et respectueuses de l'environnement. </w:t>
      </w:r>
      <w:r w:rsidR="001902CF">
        <w:t xml:space="preserve">Avec sa branche </w:t>
      </w:r>
      <w:r w:rsidRPr="008A12B9">
        <w:rPr>
          <w:b/>
        </w:rPr>
        <w:t>Consumer Brands</w:t>
      </w:r>
      <w:r w:rsidRPr="008A12B9">
        <w:t>, Henkel a continué à concentrer son portefeuille. Les dix premières marques représentent aujourd'hui environ 60 % des ventes. Au cours du deuxième trimestre, ces dix premières marques ont enregistré une croissance organique des ventes de plus de 3 %, grâce à une évolution positive équilibrée des prix et des volumes.</w:t>
      </w:r>
    </w:p>
    <w:p w14:paraId="6196A1E4" w14:textId="77777777" w:rsidR="00B50061" w:rsidRPr="008A12B9" w:rsidRDefault="00B50061" w:rsidP="00B50061">
      <w:pPr>
        <w:autoSpaceDE w:val="0"/>
        <w:autoSpaceDN w:val="0"/>
        <w:adjustRightInd w:val="0"/>
        <w:rPr>
          <w:rFonts w:cs="Segoe UI"/>
          <w:szCs w:val="22"/>
          <w:highlight w:val="yellow"/>
          <w:lang w:eastAsia="de-DE"/>
        </w:rPr>
      </w:pPr>
    </w:p>
    <w:p w14:paraId="6ACD8689" w14:textId="4477952D" w:rsidR="00B50061" w:rsidRPr="008A12B9" w:rsidRDefault="00B50061" w:rsidP="00B50061">
      <w:pPr>
        <w:autoSpaceDE w:val="0"/>
        <w:autoSpaceDN w:val="0"/>
        <w:adjustRightInd w:val="0"/>
        <w:rPr>
          <w:rFonts w:cs="Segoe UI"/>
          <w:bCs/>
          <w:szCs w:val="22"/>
        </w:rPr>
      </w:pPr>
      <w:r w:rsidRPr="008A12B9">
        <w:t xml:space="preserve">Pour renforcer encore sa </w:t>
      </w:r>
      <w:r w:rsidRPr="008A12B9">
        <w:rPr>
          <w:b/>
        </w:rPr>
        <w:t>compétitivité</w:t>
      </w:r>
      <w:r w:rsidRPr="008A12B9">
        <w:t xml:space="preserve">, Henkel se concentre sur des </w:t>
      </w:r>
      <w:r w:rsidRPr="008A12B9">
        <w:rPr>
          <w:b/>
        </w:rPr>
        <w:t>innovations</w:t>
      </w:r>
      <w:r w:rsidRPr="008A12B9">
        <w:t xml:space="preserve"> fortes dans des domaines d’activité attra</w:t>
      </w:r>
      <w:r w:rsidR="001902CF">
        <w:t>ctifs</w:t>
      </w:r>
      <w:r w:rsidRPr="008A12B9">
        <w:t xml:space="preserve">. Ceux-ci ont à nouveau contribué à la croissance des deux branches d’activité au premier semestre 2025. </w:t>
      </w:r>
      <w:r w:rsidR="001902CF">
        <w:t xml:space="preserve">Avec sa branche </w:t>
      </w:r>
      <w:proofErr w:type="spellStart"/>
      <w:r w:rsidR="001902CF" w:rsidRPr="001902CF">
        <w:rPr>
          <w:b/>
          <w:bCs/>
        </w:rPr>
        <w:t>Adhesive</w:t>
      </w:r>
      <w:proofErr w:type="spellEnd"/>
      <w:r w:rsidRPr="001902CF">
        <w:rPr>
          <w:b/>
          <w:bCs/>
        </w:rPr>
        <w:t xml:space="preserve"> Technologies</w:t>
      </w:r>
      <w:r w:rsidRPr="008A12B9">
        <w:t xml:space="preserve">, Henkel enregistre une croissance à un rythme élevé, à un chiffre, dans le domaine de l’emballage métallique, grâce à un engagement clair en faveur d’innovations durables et orientées client, ce qui lui permet de surpasser le marché. Un exemple de ce segment est le premier nettoyeur de boîtes de conserve à basse température et à faible teneur en mousse mis sur le marché. Cette innovation permet une fabrication efficace et durable des </w:t>
      </w:r>
      <w:r w:rsidR="001902CF">
        <w:t xml:space="preserve">canettes </w:t>
      </w:r>
      <w:r w:rsidRPr="008A12B9">
        <w:t xml:space="preserve">grâce à d'importantes économies d'énergie et à une réduction de la consommation d'eau pouvant aller jusqu'à 25 %. Henkel a triplé la taille de ses activités dans ce domaine au cours des trois dernières années. </w:t>
      </w:r>
      <w:r w:rsidR="001902CF">
        <w:t xml:space="preserve">Au sein de sa branche </w:t>
      </w:r>
      <w:r w:rsidRPr="008A12B9">
        <w:rPr>
          <w:b/>
        </w:rPr>
        <w:t>Consumer Brands</w:t>
      </w:r>
      <w:r w:rsidRPr="008A12B9">
        <w:t>, le déploiement progressif de la nouvelle marque Cr</w:t>
      </w:r>
      <w:r w:rsidR="001902CF">
        <w:t>è</w:t>
      </w:r>
      <w:r w:rsidRPr="008A12B9">
        <w:t>me Supreme sur de nouveaux marchés a largement contribué à la forte croissance de la catégorie Consumer Coloration au deuxième trimestre. Cr</w:t>
      </w:r>
      <w:r w:rsidR="001902CF">
        <w:t>è</w:t>
      </w:r>
      <w:r w:rsidRPr="008A12B9">
        <w:t>me Supreme est la première coloration capillaire soignante dotée d'une technologie de liaison</w:t>
      </w:r>
      <w:r w:rsidR="001902CF">
        <w:t xml:space="preserve"> du cheveu</w:t>
      </w:r>
      <w:r w:rsidRPr="008A12B9">
        <w:t xml:space="preserve"> innovante. Elle renforce la structure du cheveu grâce à des micro-connexions et maintient mieux les fibres capillaires ensemble. Elle forme également une couche protectrice qui enveloppe le cheveu, évitant ainsi les cassures.</w:t>
      </w:r>
    </w:p>
    <w:p w14:paraId="69AF2662" w14:textId="77777777" w:rsidR="00B50061" w:rsidRPr="008A12B9" w:rsidRDefault="00B50061" w:rsidP="00B50061">
      <w:pPr>
        <w:autoSpaceDE w:val="0"/>
        <w:autoSpaceDN w:val="0"/>
        <w:adjustRightInd w:val="0"/>
        <w:rPr>
          <w:rFonts w:cs="Segoe UI"/>
          <w:bCs/>
          <w:szCs w:val="22"/>
        </w:rPr>
      </w:pPr>
    </w:p>
    <w:p w14:paraId="7F607E1A" w14:textId="61F4E8CB" w:rsidR="00B50061" w:rsidRPr="008A12B9" w:rsidRDefault="00B50061" w:rsidP="00B50061">
      <w:pPr>
        <w:rPr>
          <w:rStyle w:val="AboutandContactHeadline"/>
        </w:rPr>
      </w:pPr>
      <w:r w:rsidRPr="008A12B9">
        <w:t xml:space="preserve">« Après un début d’exercice 2025 plutôt lent, nous avons réussi à enregistrer une nette progression des ventes au cours du deuxième trimestre, notamment dans notre </w:t>
      </w:r>
      <w:r w:rsidR="001902CF">
        <w:t xml:space="preserve">activité </w:t>
      </w:r>
      <w:r w:rsidRPr="008A12B9">
        <w:t xml:space="preserve">Consumer. Parallèlement, nous avons poursuivi une forte augmentation de la rentabilité dans les </w:t>
      </w:r>
      <w:r w:rsidR="001902CF">
        <w:t xml:space="preserve">deux branches d’activité </w:t>
      </w:r>
      <w:r w:rsidRPr="008A12B9">
        <w:t xml:space="preserve">», a déclaré Carsten </w:t>
      </w:r>
      <w:proofErr w:type="spellStart"/>
      <w:r w:rsidRPr="008A12B9">
        <w:t>Knobel</w:t>
      </w:r>
      <w:proofErr w:type="spellEnd"/>
      <w:r w:rsidRPr="008A12B9">
        <w:t>. « La transformation de Henkel a d’ores et déjà porté ses fruits, comme en témoigne clairement notre progression. Nous poursuivrons cette dynamique afin de renforcer durablement notre position et notre compétitivité. Nous transformons Henkel pour assurer son avenir, et grâce à une stratégie claire, nous sommes sur la bonne voie pour générer une croissance rentable et pérenne. »</w:t>
      </w:r>
    </w:p>
    <w:p w14:paraId="63CA211C" w14:textId="77777777" w:rsidR="00F9022A" w:rsidRPr="008A12B9" w:rsidRDefault="00F9022A" w:rsidP="00F9022A">
      <w:pPr>
        <w:rPr>
          <w:rFonts w:cs="Segoe UI"/>
          <w:szCs w:val="22"/>
        </w:rPr>
      </w:pPr>
    </w:p>
    <w:p w14:paraId="0519D66E" w14:textId="77777777" w:rsidR="009607E1" w:rsidRPr="008A12B9" w:rsidRDefault="009607E1" w:rsidP="009607E1">
      <w:pPr>
        <w:spacing w:line="240" w:lineRule="auto"/>
        <w:jc w:val="left"/>
        <w:rPr>
          <w:rStyle w:val="AboutandContactHeadline"/>
          <w:szCs w:val="18"/>
        </w:rPr>
      </w:pPr>
    </w:p>
    <w:p w14:paraId="45C2E4DF" w14:textId="3E6E69B0" w:rsidR="001902CF" w:rsidRDefault="001902CF" w:rsidP="001902CF">
      <w:pPr>
        <w:pStyle w:val="He01Flietext"/>
        <w:rPr>
          <w:b/>
          <w:bCs/>
          <w:u w:val="single"/>
        </w:rPr>
      </w:pPr>
      <w:hyperlink r:id="rId13" w:history="1">
        <w:r>
          <w:rPr>
            <w:rStyle w:val="Lienhypertexte"/>
            <w:b/>
            <w:bCs/>
          </w:rPr>
          <w:t>Ce communiqué de presse en français est une traduction de la version originale en anglais.</w:t>
        </w:r>
      </w:hyperlink>
    </w:p>
    <w:p w14:paraId="60D31973" w14:textId="77777777" w:rsidR="001902CF" w:rsidRDefault="001902CF" w:rsidP="001902CF">
      <w:pPr>
        <w:pStyle w:val="NormalWeb"/>
        <w:rPr>
          <w:rFonts w:ascii="Segoe UI" w:hAnsi="Segoe UI" w:cs="Segoe UI"/>
          <w:b/>
          <w:bCs/>
          <w:color w:val="000000"/>
          <w:sz w:val="20"/>
          <w:szCs w:val="20"/>
        </w:rPr>
      </w:pPr>
      <w:bookmarkStart w:id="6" w:name="SNWID_f4771dd65dcd4c6f8f1c26f9ca68e4ba"/>
      <w:r>
        <w:rPr>
          <w:rFonts w:ascii="Segoe UI" w:hAnsi="Segoe UI" w:cs="Segoe UI"/>
          <w:b/>
          <w:bCs/>
          <w:color w:val="000000"/>
          <w:sz w:val="20"/>
          <w:szCs w:val="20"/>
        </w:rPr>
        <w:t xml:space="preserve">À propos de Henkel </w:t>
      </w:r>
    </w:p>
    <w:p w14:paraId="1D8433D6" w14:textId="77777777" w:rsidR="001902CF" w:rsidRDefault="001902CF" w:rsidP="001902CF">
      <w:pPr>
        <w:pStyle w:val="NormalWeb"/>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xml:space="preserve">Grâce à ses marques, ses innovations et ses technologies, Henkel détient des positions mondiales fortes auprès des industriels comme des consommateurs. L’activité </w:t>
      </w:r>
      <w:proofErr w:type="spellStart"/>
      <w:r>
        <w:rPr>
          <w:rFonts w:ascii="Segoe UI" w:hAnsi="Segoe UI" w:cs="Segoe UI"/>
          <w:color w:val="000000"/>
          <w:sz w:val="20"/>
          <w:szCs w:val="20"/>
        </w:rPr>
        <w:t>Adhesive</w:t>
      </w:r>
      <w:proofErr w:type="spellEnd"/>
      <w:r>
        <w:rPr>
          <w:rFonts w:ascii="Segoe UI" w:hAnsi="Segoe UI" w:cs="Segoe UI"/>
          <w:color w:val="000000"/>
          <w:sz w:val="20"/>
          <w:szCs w:val="20"/>
        </w:rPr>
        <w:t xml:space="preserve"> Technologies est leader mondial des adhésifs, des produits d'étanchéité et des revêtements fonctionnels. Avec son activité Consumer Brands, Henkel détient des positions de leader sur de nombreux marchés et catégories dans le monde, en particulier pour les soins des cheveux et pour les lessives et produits d’entretien. Les trois premières marques internationales du Groupe sont </w:t>
      </w:r>
      <w:proofErr w:type="spellStart"/>
      <w:r>
        <w:rPr>
          <w:rFonts w:ascii="Segoe UI" w:hAnsi="Segoe UI" w:cs="Segoe UI"/>
          <w:color w:val="000000"/>
          <w:sz w:val="20"/>
          <w:szCs w:val="20"/>
        </w:rPr>
        <w:t>Loctite</w:t>
      </w:r>
      <w:proofErr w:type="spellEnd"/>
      <w:r>
        <w:rPr>
          <w:rFonts w:ascii="Segoe UI" w:hAnsi="Segoe UI" w:cs="Segoe UI"/>
          <w:color w:val="000000"/>
          <w:sz w:val="20"/>
          <w:szCs w:val="20"/>
        </w:rPr>
        <w:t xml:space="preserve">, Persil (Le Chat en France) et Schwarzkopf. En 2024, Henkel a réalisé un chiffre d’affaires de plus de 21,6 milliards d’EUR et un bénéfice d’exploitation ajusté d’environ 3,1 milliards d’euros. Les actions préférentielles Henkel sont listées à l’indice boursier allemand DAX. Le développement durable fait partie intégrante de l’histoire de Henkel et le Groupe a dans ce domaine une stratégie claire avec des objectifs concrets. Fondé en 1876, Henkel s’appuie aujourd’hui sur une équipe empreinte de diversité, de près de 47 000 personnes à travers le monde – unies par une culture forte, des valeurs d’entreprise et une raison d’être partagées :         </w:t>
      </w:r>
    </w:p>
    <w:p w14:paraId="73C55129" w14:textId="77777777" w:rsidR="001902CF" w:rsidRDefault="001902CF" w:rsidP="001902CF">
      <w:pPr>
        <w:pStyle w:val="NormalWeb"/>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lang w:val="en-US"/>
        </w:rPr>
        <w:t xml:space="preserve">« </w:t>
      </w:r>
      <w:r>
        <w:rPr>
          <w:rFonts w:ascii="Segoe UI" w:hAnsi="Segoe UI" w:cs="Segoe UI"/>
          <w:i/>
          <w:iCs/>
          <w:color w:val="000000"/>
          <w:sz w:val="20"/>
          <w:szCs w:val="20"/>
          <w:lang w:val="en-US"/>
        </w:rPr>
        <w:t>Pioneers at heart for the good of generations</w:t>
      </w:r>
      <w:r>
        <w:rPr>
          <w:rFonts w:ascii="Segoe UI" w:hAnsi="Segoe UI" w:cs="Segoe UI"/>
          <w:color w:val="000000"/>
          <w:sz w:val="20"/>
          <w:szCs w:val="20"/>
          <w:lang w:val="en-US"/>
        </w:rPr>
        <w:t xml:space="preserve"> ». </w:t>
      </w:r>
      <w:r>
        <w:rPr>
          <w:rFonts w:ascii="Segoe UI" w:hAnsi="Segoe UI" w:cs="Segoe UI"/>
          <w:color w:val="000000"/>
          <w:sz w:val="20"/>
          <w:szCs w:val="20"/>
        </w:rPr>
        <w:t xml:space="preserve">Pour en savoir plus, rendez-vous sur </w:t>
      </w:r>
      <w:hyperlink r:id="rId14" w:history="1">
        <w:r>
          <w:rPr>
            <w:rStyle w:val="Lienhypertexte"/>
            <w:rFonts w:cs="Segoe UI"/>
            <w:sz w:val="20"/>
            <w:szCs w:val="20"/>
          </w:rPr>
          <w:t>www.henkel.fr</w:t>
        </w:r>
      </w:hyperlink>
    </w:p>
    <w:p w14:paraId="73C7897A" w14:textId="77777777" w:rsidR="001902CF" w:rsidRDefault="001902CF" w:rsidP="001902CF">
      <w:pPr>
        <w:pStyle w:val="He01Flietext"/>
        <w:rPr>
          <w:sz w:val="20"/>
          <w:szCs w:val="20"/>
        </w:rPr>
      </w:pPr>
    </w:p>
    <w:p w14:paraId="48F209A0" w14:textId="77777777" w:rsidR="001902CF" w:rsidRDefault="001902CF" w:rsidP="001902CF">
      <w:pPr>
        <w:spacing w:before="100"/>
        <w:ind w:right="604"/>
        <w:rPr>
          <w:sz w:val="14"/>
          <w:szCs w:val="22"/>
        </w:rPr>
      </w:pPr>
      <w:r>
        <w:rPr>
          <w:sz w:val="14"/>
        </w:rPr>
        <w:t xml:space="preserve">Ce document contient des prévisions fondées sur les estimations et suppositions établies par la direction d’entreprise de Henkel AG &amp; Co. </w:t>
      </w:r>
      <w:proofErr w:type="spellStart"/>
      <w:r>
        <w:rPr>
          <w:sz w:val="14"/>
        </w:rPr>
        <w:t>KGaA</w:t>
      </w:r>
      <w:proofErr w:type="spellEnd"/>
      <w:r>
        <w:rPr>
          <w:sz w:val="14"/>
        </w:rPr>
        <w:t xml:space="preserve">. Les prévisions sont caractérisées par l’emploi de termes tels que attendre, avoir l’intention, envisager, planifier, prédire, supposer, croire, estimer, anticiper, prévoir, etc. De telles affirmations ne doivent pas être conçues comme une quelconque garantie que ces prévisions vont se réaliser. La performance et les résultats futurs effectivement réalisés par Henkel AG &amp; Co. </w:t>
      </w:r>
      <w:proofErr w:type="spellStart"/>
      <w:r>
        <w:rPr>
          <w:sz w:val="14"/>
        </w:rPr>
        <w:t>KGaA</w:t>
      </w:r>
      <w:proofErr w:type="spellEnd"/>
      <w:r>
        <w:rPr>
          <w:sz w:val="14"/>
        </w:rPr>
        <w:t xml:space="preserve"> et ses filiales comportent de nombreux risques et incertitudes et peuvent par conséquent diverger sensiblement des prévisions initiales. Nombre de ces facteurs échappent au contrôle direct de Henkel et ne peuvent être évalués avec précision à l’avance, à commencer par l’environnement économique futur, et les actions des concurrents et d’autres acteurs impliqués sur les marchés. Henkel n’a pas l’intention de mettre à jour les prévisions et ne le fera jamais.</w:t>
      </w:r>
    </w:p>
    <w:p w14:paraId="08682628" w14:textId="77777777" w:rsidR="001902CF" w:rsidRDefault="001902CF" w:rsidP="001902CF">
      <w:pPr>
        <w:pStyle w:val="Corpsdetexte"/>
        <w:spacing w:before="1"/>
        <w:rPr>
          <w:sz w:val="16"/>
        </w:rPr>
      </w:pPr>
    </w:p>
    <w:p w14:paraId="1E8C76A5" w14:textId="77777777" w:rsidR="001902CF" w:rsidRPr="00925BB9" w:rsidRDefault="001902CF" w:rsidP="001902CF">
      <w:pPr>
        <w:ind w:right="604"/>
        <w:rPr>
          <w:sz w:val="14"/>
        </w:rPr>
      </w:pPr>
      <w:r>
        <w:rPr>
          <w:sz w:val="14"/>
        </w:rPr>
        <w:t xml:space="preserve">Ce document contient – dans le cadre de </w:t>
      </w:r>
      <w:proofErr w:type="spellStart"/>
      <w:r>
        <w:rPr>
          <w:sz w:val="14"/>
        </w:rPr>
        <w:t>reporting</w:t>
      </w:r>
      <w:proofErr w:type="spellEnd"/>
      <w:r>
        <w:rPr>
          <w:sz w:val="14"/>
        </w:rPr>
        <w:t xml:space="preserve"> financier en vigueur qui n’est pas clairement défini – des indicateurs financiers supplémentaires qui sont ou peuvent être des moyens alternatifs d’évaluer les performances (indicateurs dits « non GAAP »). Ces indicateurs financiers supplémentaires ne doivent pas être pris en compte isolément ou comme des moyens de mesurer les actifs nets et les positions financières de Henkel ou le résultat de ses opérations ; tels que présentés dans le cadre de ses États financiers consolidés. D’autres entreprises qui utilisent ou décrivent des indicateurs de performance portant le même nom peuvent les calculer d’une manière différente.</w:t>
      </w:r>
    </w:p>
    <w:p w14:paraId="0DB04E91" w14:textId="77777777" w:rsidR="001902CF" w:rsidRDefault="001902CF" w:rsidP="001902CF">
      <w:pPr>
        <w:ind w:right="605"/>
        <w:rPr>
          <w:sz w:val="14"/>
        </w:rPr>
      </w:pPr>
      <w:r>
        <w:rPr>
          <w:spacing w:val="-1"/>
          <w:sz w:val="14"/>
        </w:rPr>
        <w:t>Ce communiqué est publié à titre informatif uniquement et ne représente pas un conseil en investissement. Ce n'est pas une offre de vente de titres ni une demande d'offre d'achat de titres</w:t>
      </w:r>
      <w:r>
        <w:rPr>
          <w:sz w:val="14"/>
        </w:rPr>
        <w:t>.</w:t>
      </w:r>
      <w:bookmarkStart w:id="7" w:name="SNWID_5574a91e235b4b66baee26f9ca68e4bb"/>
      <w:bookmarkEnd w:id="6"/>
    </w:p>
    <w:p w14:paraId="7D7DA129" w14:textId="77777777" w:rsidR="001902CF" w:rsidRDefault="001902CF" w:rsidP="001902CF">
      <w:pPr>
        <w:ind w:right="605"/>
        <w:rPr>
          <w:sz w:val="14"/>
        </w:rPr>
      </w:pPr>
    </w:p>
    <w:p w14:paraId="30DAD59F" w14:textId="77777777" w:rsidR="001902CF" w:rsidRPr="00925BB9" w:rsidRDefault="001902CF" w:rsidP="001902CF">
      <w:pPr>
        <w:ind w:right="605"/>
        <w:rPr>
          <w:sz w:val="14"/>
        </w:rPr>
      </w:pPr>
    </w:p>
    <w:bookmarkEnd w:id="7"/>
    <w:p w14:paraId="3FC2D41D" w14:textId="77777777" w:rsidR="001902CF" w:rsidRPr="00925BB9" w:rsidRDefault="001902CF" w:rsidP="001902CF">
      <w:pPr>
        <w:pStyle w:val="He02berschriftEbene2"/>
        <w:rPr>
          <w:lang w:val="en-US"/>
        </w:rPr>
      </w:pPr>
      <w:r>
        <w:rPr>
          <w:lang w:val="en-US"/>
        </w:rPr>
        <w:t>Contacts</w:t>
      </w:r>
    </w:p>
    <w:p w14:paraId="3050224B" w14:textId="77777777" w:rsidR="001902CF" w:rsidRDefault="001902CF" w:rsidP="001902CF">
      <w:pPr>
        <w:tabs>
          <w:tab w:val="left" w:pos="5291"/>
        </w:tabs>
        <w:rPr>
          <w:b/>
          <w:lang w:val="en-US"/>
        </w:rPr>
      </w:pPr>
      <w:bookmarkStart w:id="8" w:name="_Hlk96504170"/>
      <w:r>
        <w:rPr>
          <w:b/>
          <w:lang w:val="en-US"/>
        </w:rPr>
        <w:t xml:space="preserve">Henkel </w:t>
      </w:r>
      <w:r>
        <w:rPr>
          <w:b/>
          <w:lang w:val="en-US"/>
        </w:rPr>
        <w:tab/>
      </w:r>
      <w:proofErr w:type="spellStart"/>
      <w:r>
        <w:rPr>
          <w:b/>
          <w:lang w:val="en-US"/>
        </w:rPr>
        <w:t>Agence</w:t>
      </w:r>
      <w:proofErr w:type="spellEnd"/>
      <w:r>
        <w:rPr>
          <w:b/>
          <w:lang w:val="en-US"/>
        </w:rPr>
        <w:t xml:space="preserve"> Burson Cohn &amp; Wolf</w:t>
      </w:r>
    </w:p>
    <w:p w14:paraId="0D407536" w14:textId="77777777" w:rsidR="001902CF" w:rsidRDefault="001902CF" w:rsidP="001902CF">
      <w:pPr>
        <w:tabs>
          <w:tab w:val="left" w:pos="5290"/>
          <w:tab w:val="left" w:pos="6036"/>
        </w:tabs>
        <w:spacing w:before="23"/>
        <w:rPr>
          <w:lang w:val="it-IT"/>
        </w:rPr>
      </w:pPr>
      <w:r>
        <w:rPr>
          <w:lang w:val="it-IT"/>
        </w:rPr>
        <w:t>Octavie Blandin                                                               Paolo Ghilardi</w:t>
      </w:r>
    </w:p>
    <w:p w14:paraId="7CDD438C" w14:textId="77777777" w:rsidR="001902CF" w:rsidRDefault="001902CF" w:rsidP="001902CF">
      <w:pPr>
        <w:tabs>
          <w:tab w:val="left" w:pos="5290"/>
          <w:tab w:val="left" w:pos="6036"/>
        </w:tabs>
        <w:spacing w:before="23"/>
        <w:rPr>
          <w:color w:val="0000FF"/>
          <w:lang w:val="it-IT"/>
        </w:rPr>
      </w:pPr>
      <w:r>
        <w:rPr>
          <w:lang w:val="it-IT"/>
        </w:rPr>
        <w:t xml:space="preserve">Tél : 01 46 84 92 45                                                         Tél : 01 56 03 1302 </w:t>
      </w:r>
    </w:p>
    <w:p w14:paraId="4F755522" w14:textId="77777777" w:rsidR="001902CF" w:rsidRDefault="001902CF" w:rsidP="001902CF">
      <w:pPr>
        <w:tabs>
          <w:tab w:val="left" w:pos="1500"/>
          <w:tab w:val="left" w:pos="5291"/>
          <w:tab w:val="left" w:pos="6036"/>
        </w:tabs>
        <w:spacing w:before="25"/>
        <w:rPr>
          <w:lang w:val="it-IT"/>
        </w:rPr>
      </w:pPr>
      <w:r>
        <w:rPr>
          <w:color w:val="0000FF"/>
          <w:u w:val="single"/>
          <w:lang w:val="it-IT"/>
        </w:rPr>
        <w:t>octavie.blandin@henkel.com</w:t>
      </w:r>
      <w:r>
        <w:rPr>
          <w:lang w:val="it-IT"/>
        </w:rPr>
        <w:tab/>
      </w:r>
      <w:hyperlink r:id="rId15" w:history="1">
        <w:r>
          <w:rPr>
            <w:rStyle w:val="Lienhypertexte"/>
            <w:lang w:val="it-IT"/>
          </w:rPr>
          <w:t>paolo.ghilardi@bcw-global.com</w:t>
        </w:r>
      </w:hyperlink>
    </w:p>
    <w:bookmarkEnd w:id="8"/>
    <w:p w14:paraId="634FDC2E" w14:textId="77777777" w:rsidR="001902CF" w:rsidRDefault="001902CF" w:rsidP="001902CF">
      <w:pPr>
        <w:pStyle w:val="He01Flietext"/>
        <w:rPr>
          <w:lang w:val="it-IT"/>
        </w:rPr>
      </w:pPr>
    </w:p>
    <w:p w14:paraId="09BEC0F5" w14:textId="77777777" w:rsidR="001902CF" w:rsidRPr="001902CF" w:rsidRDefault="001902CF" w:rsidP="001902CF">
      <w:pPr>
        <w:pStyle w:val="He01Flietext"/>
        <w:rPr>
          <w:u w:val="single"/>
          <w:lang w:val="it-IT"/>
        </w:rPr>
      </w:pPr>
      <w:r w:rsidRPr="001902CF">
        <w:rPr>
          <w:rStyle w:val="Lienhypertexte"/>
          <w:lang w:val="it-IT"/>
        </w:rPr>
        <w:t>www.henkel.com/press</w:t>
      </w:r>
    </w:p>
    <w:p w14:paraId="75FD2E39" w14:textId="77777777" w:rsidR="001902CF" w:rsidRPr="001902CF" w:rsidRDefault="001902CF" w:rsidP="001902CF">
      <w:pPr>
        <w:pStyle w:val="He01Flietext"/>
        <w:rPr>
          <w:u w:val="single"/>
          <w:lang w:val="it-IT"/>
        </w:rPr>
      </w:pPr>
      <w:r w:rsidRPr="001902CF">
        <w:rPr>
          <w:rStyle w:val="Lienhypertexte"/>
          <w:lang w:val="it-IT"/>
        </w:rPr>
        <w:t>www.henkel.com/ir</w:t>
      </w:r>
    </w:p>
    <w:p w14:paraId="0586D7A4" w14:textId="63F193E0" w:rsidR="009607E1" w:rsidRPr="001902CF" w:rsidRDefault="009607E1" w:rsidP="009607E1">
      <w:pPr>
        <w:tabs>
          <w:tab w:val="left" w:pos="1080"/>
          <w:tab w:val="left" w:pos="4500"/>
        </w:tabs>
        <w:spacing w:line="264" w:lineRule="auto"/>
        <w:rPr>
          <w:rStyle w:val="Lienhypertexte"/>
          <w:rFonts w:eastAsia="PMingLiU"/>
          <w:color w:val="9A141B"/>
          <w:szCs w:val="24"/>
          <w:u w:val="none"/>
          <w:lang w:val="it-IT"/>
        </w:rPr>
      </w:pPr>
    </w:p>
    <w:sectPr w:rsidR="009607E1" w:rsidRPr="001902CF" w:rsidSect="00A41DBE">
      <w:headerReference w:type="even" r:id="rId16"/>
      <w:footerReference w:type="default" r:id="rId17"/>
      <w:headerReference w:type="first" r:id="rId18"/>
      <w:footerReference w:type="first" r:id="rId19"/>
      <w:pgSz w:w="11907" w:h="16840" w:code="9"/>
      <w:pgMar w:top="1944" w:right="1411" w:bottom="1843"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AC2C6" w14:textId="77777777" w:rsidR="00D83023" w:rsidRDefault="00D83023">
      <w:r>
        <w:separator/>
      </w:r>
    </w:p>
  </w:endnote>
  <w:endnote w:type="continuationSeparator" w:id="0">
    <w:p w14:paraId="257B23BD" w14:textId="77777777" w:rsidR="00D83023" w:rsidRDefault="00D83023">
      <w:r>
        <w:continuationSeparator/>
      </w:r>
    </w:p>
  </w:endnote>
  <w:endnote w:type="continuationNotice" w:id="1">
    <w:p w14:paraId="0517A5BC" w14:textId="77777777" w:rsidR="00D83023" w:rsidRDefault="00D830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445EDAFF" w:rsidR="00CF6F33" w:rsidRPr="00112A28" w:rsidRDefault="00112A28" w:rsidP="00112A28">
    <w:pPr>
      <w:pStyle w:val="Pieddepage"/>
      <w:tabs>
        <w:tab w:val="clear" w:pos="7083"/>
        <w:tab w:val="clear" w:pos="8640"/>
        <w:tab w:val="right" w:pos="9071"/>
      </w:tabs>
      <w:jc w:val="both"/>
    </w:pPr>
    <w:r>
      <w:t>Henkel AG &amp; Co. KGaA</w:t>
    </w:r>
    <w:r>
      <w:tab/>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t>/</w:t>
    </w:r>
    <w:fldSimple w:instr="NUMPAGES  \* Arabic  \* MERGEFORMAT">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058E" w14:textId="028E834A" w:rsidR="00CF6F33" w:rsidRPr="00992A11" w:rsidRDefault="009E5B95" w:rsidP="00992A11">
    <w:pPr>
      <w:pStyle w:val="Pieddepage"/>
    </w:pPr>
    <w:r>
      <w:t xml:space="preserve">Page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A6BB6" w14:textId="77777777" w:rsidR="00D83023" w:rsidRDefault="00D83023">
      <w:r>
        <w:separator/>
      </w:r>
    </w:p>
  </w:footnote>
  <w:footnote w:type="continuationSeparator" w:id="0">
    <w:p w14:paraId="77C0AA89" w14:textId="77777777" w:rsidR="00D83023" w:rsidRDefault="00D83023">
      <w:r>
        <w:continuationSeparator/>
      </w:r>
    </w:p>
  </w:footnote>
  <w:footnote w:type="continuationNotice" w:id="1">
    <w:p w14:paraId="0AB8C134" w14:textId="77777777" w:rsidR="00D83023" w:rsidRDefault="00D8302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Default="00112A28" w:rsidP="00112A28">
    <w:pPr>
      <w:pStyle w:val="En-tt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05DAD93D" w:rsidR="00CF6F33" w:rsidRPr="00EB46D9" w:rsidRDefault="0059722C" w:rsidP="00EB46D9">
    <w:pPr>
      <w:pStyle w:val="En-tte"/>
    </w:pPr>
    <w:r>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653066876" name="Grafik 165306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288F6957"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109D5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614AC"/>
    <w:multiLevelType w:val="hybridMultilevel"/>
    <w:tmpl w:val="13B0B26E"/>
    <w:lvl w:ilvl="0" w:tplc="7F22C7A8">
      <w:start w:val="1"/>
      <w:numFmt w:val="bullet"/>
      <w:pStyle w:val="He01FlietextAufzhlung1Ebene"/>
      <w:lvlText w:val=""/>
      <w:lvlJc w:val="left"/>
      <w:pPr>
        <w:ind w:left="36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E4621"/>
    <w:multiLevelType w:val="hybridMultilevel"/>
    <w:tmpl w:val="44BEA6F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5" w15:restartNumberingAfterBreak="0">
    <w:nsid w:val="1294669F"/>
    <w:multiLevelType w:val="hybridMultilevel"/>
    <w:tmpl w:val="541E7E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9D4FBB"/>
    <w:multiLevelType w:val="hybridMultilevel"/>
    <w:tmpl w:val="FBEAD750"/>
    <w:lvl w:ilvl="0" w:tplc="BFD02278">
      <w:numFmt w:val="bullet"/>
      <w:lvlText w:val=""/>
      <w:lvlJc w:val="left"/>
      <w:pPr>
        <w:ind w:left="361" w:hanging="360"/>
      </w:pPr>
      <w:rPr>
        <w:rFonts w:ascii="Wingdings" w:eastAsia="Wingdings" w:hAnsi="Wingdings" w:cs="Wingdings" w:hint="default"/>
        <w:b w:val="0"/>
        <w:bCs w:val="0"/>
        <w:i w:val="0"/>
        <w:iCs w:val="0"/>
        <w:color w:val="E0000E"/>
        <w:spacing w:val="0"/>
        <w:w w:val="100"/>
        <w:sz w:val="22"/>
        <w:szCs w:val="22"/>
        <w:lang w:val="de-DE" w:eastAsia="en-US" w:bidi="ar-SA"/>
      </w:rPr>
    </w:lvl>
    <w:lvl w:ilvl="1" w:tplc="D480B16C">
      <w:numFmt w:val="bullet"/>
      <w:lvlText w:val="–"/>
      <w:lvlJc w:val="left"/>
      <w:pPr>
        <w:ind w:left="702" w:hanging="360"/>
      </w:pPr>
      <w:rPr>
        <w:rFonts w:ascii="Segoe UI" w:eastAsia="Segoe UI" w:hAnsi="Segoe UI" w:cs="Segoe UI" w:hint="default"/>
        <w:b w:val="0"/>
        <w:bCs w:val="0"/>
        <w:i w:val="0"/>
        <w:iCs w:val="0"/>
        <w:color w:val="E0000E"/>
        <w:spacing w:val="0"/>
        <w:w w:val="100"/>
        <w:sz w:val="22"/>
        <w:szCs w:val="22"/>
        <w:lang w:val="de-DE" w:eastAsia="en-US" w:bidi="ar-SA"/>
      </w:rPr>
    </w:lvl>
    <w:lvl w:ilvl="2" w:tplc="02D62C02">
      <w:numFmt w:val="bullet"/>
      <w:lvlText w:val="•"/>
      <w:lvlJc w:val="left"/>
      <w:pPr>
        <w:ind w:left="1724" w:hanging="360"/>
      </w:pPr>
      <w:rPr>
        <w:rFonts w:hint="default"/>
        <w:lang w:val="de-DE" w:eastAsia="en-US" w:bidi="ar-SA"/>
      </w:rPr>
    </w:lvl>
    <w:lvl w:ilvl="3" w:tplc="9C40D990">
      <w:numFmt w:val="bullet"/>
      <w:lvlText w:val="•"/>
      <w:lvlJc w:val="left"/>
      <w:pPr>
        <w:ind w:left="2749" w:hanging="360"/>
      </w:pPr>
      <w:rPr>
        <w:rFonts w:hint="default"/>
        <w:lang w:val="de-DE" w:eastAsia="en-US" w:bidi="ar-SA"/>
      </w:rPr>
    </w:lvl>
    <w:lvl w:ilvl="4" w:tplc="1406A6DA">
      <w:numFmt w:val="bullet"/>
      <w:lvlText w:val="•"/>
      <w:lvlJc w:val="left"/>
      <w:pPr>
        <w:ind w:left="3774" w:hanging="360"/>
      </w:pPr>
      <w:rPr>
        <w:rFonts w:hint="default"/>
        <w:lang w:val="de-DE" w:eastAsia="en-US" w:bidi="ar-SA"/>
      </w:rPr>
    </w:lvl>
    <w:lvl w:ilvl="5" w:tplc="8AE8738E">
      <w:numFmt w:val="bullet"/>
      <w:lvlText w:val="•"/>
      <w:lvlJc w:val="left"/>
      <w:pPr>
        <w:ind w:left="4799" w:hanging="360"/>
      </w:pPr>
      <w:rPr>
        <w:rFonts w:hint="default"/>
        <w:lang w:val="de-DE" w:eastAsia="en-US" w:bidi="ar-SA"/>
      </w:rPr>
    </w:lvl>
    <w:lvl w:ilvl="6" w:tplc="7EAABB1E">
      <w:numFmt w:val="bullet"/>
      <w:lvlText w:val="•"/>
      <w:lvlJc w:val="left"/>
      <w:pPr>
        <w:ind w:left="5824" w:hanging="360"/>
      </w:pPr>
      <w:rPr>
        <w:rFonts w:hint="default"/>
        <w:lang w:val="de-DE" w:eastAsia="en-US" w:bidi="ar-SA"/>
      </w:rPr>
    </w:lvl>
    <w:lvl w:ilvl="7" w:tplc="09289774">
      <w:numFmt w:val="bullet"/>
      <w:lvlText w:val="•"/>
      <w:lvlJc w:val="left"/>
      <w:pPr>
        <w:ind w:left="6848" w:hanging="360"/>
      </w:pPr>
      <w:rPr>
        <w:rFonts w:hint="default"/>
        <w:lang w:val="de-DE" w:eastAsia="en-US" w:bidi="ar-SA"/>
      </w:rPr>
    </w:lvl>
    <w:lvl w:ilvl="8" w:tplc="DD12C02C">
      <w:numFmt w:val="bullet"/>
      <w:lvlText w:val="•"/>
      <w:lvlJc w:val="left"/>
      <w:pPr>
        <w:ind w:left="7873" w:hanging="360"/>
      </w:pPr>
      <w:rPr>
        <w:rFonts w:hint="default"/>
        <w:lang w:val="de-DE" w:eastAsia="en-US" w:bidi="ar-SA"/>
      </w:rPr>
    </w:lvl>
  </w:abstractNum>
  <w:abstractNum w:abstractNumId="7" w15:restartNumberingAfterBreak="0">
    <w:nsid w:val="15E233B2"/>
    <w:multiLevelType w:val="hybridMultilevel"/>
    <w:tmpl w:val="70ECA632"/>
    <w:lvl w:ilvl="0" w:tplc="4B4C214C">
      <w:start w:val="1"/>
      <w:numFmt w:val="bullet"/>
      <w:lvlText w:val=""/>
      <w:lvlJc w:val="left"/>
      <w:pPr>
        <w:ind w:left="720" w:hanging="360"/>
      </w:pPr>
      <w:rPr>
        <w:rFonts w:ascii="Wingdings" w:hAnsi="Wingdings" w:hint="default"/>
        <w:color w:val="E100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740AFE"/>
    <w:multiLevelType w:val="hybridMultilevel"/>
    <w:tmpl w:val="19402942"/>
    <w:lvl w:ilvl="0" w:tplc="3FDAE620">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9"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246F7BE2"/>
    <w:multiLevelType w:val="hybridMultilevel"/>
    <w:tmpl w:val="44144422"/>
    <w:lvl w:ilvl="0" w:tplc="FFFFFFFF">
      <w:start w:val="1"/>
      <w:numFmt w:val="bullet"/>
      <w:lvlText w:val=""/>
      <w:lvlJc w:val="left"/>
      <w:pPr>
        <w:ind w:left="360" w:hanging="360"/>
      </w:pPr>
      <w:rPr>
        <w:rFonts w:ascii="Wingdings" w:hAnsi="Wingdings" w:hint="default"/>
        <w:color w:val="E1000F"/>
      </w:rPr>
    </w:lvl>
    <w:lvl w:ilvl="1" w:tplc="0407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3" w15:restartNumberingAfterBreak="0">
    <w:nsid w:val="52C76F01"/>
    <w:multiLevelType w:val="hybridMultilevel"/>
    <w:tmpl w:val="D040BA96"/>
    <w:lvl w:ilvl="0" w:tplc="FFFFFFFF">
      <w:start w:val="1"/>
      <w:numFmt w:val="bullet"/>
      <w:lvlText w:val=""/>
      <w:lvlJc w:val="left"/>
      <w:pPr>
        <w:ind w:left="720" w:hanging="360"/>
      </w:pPr>
      <w:rPr>
        <w:rFonts w:ascii="Wingdings" w:hAnsi="Wingdings" w:hint="default"/>
        <w:color w:val="E1000F"/>
      </w:rPr>
    </w:lvl>
    <w:lvl w:ilvl="1" w:tplc="4B4C214C">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136284"/>
    <w:multiLevelType w:val="hybridMultilevel"/>
    <w:tmpl w:val="81B8DC94"/>
    <w:lvl w:ilvl="0" w:tplc="FFFFFFFF">
      <w:start w:val="1"/>
      <w:numFmt w:val="bullet"/>
      <w:lvlText w:val=""/>
      <w:lvlJc w:val="left"/>
      <w:pPr>
        <w:ind w:left="720" w:hanging="360"/>
      </w:pPr>
      <w:rPr>
        <w:rFonts w:ascii="Wingdings" w:hAnsi="Wingdings" w:hint="default"/>
        <w:color w:val="E1000F"/>
      </w:rPr>
    </w:lvl>
    <w:lvl w:ilvl="1" w:tplc="FFFFFFFF">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2C72573"/>
    <w:multiLevelType w:val="hybridMultilevel"/>
    <w:tmpl w:val="D354C796"/>
    <w:lvl w:ilvl="0" w:tplc="4B4C214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6BB6FB3"/>
    <w:multiLevelType w:val="hybridMultilevel"/>
    <w:tmpl w:val="FD7E88F4"/>
    <w:lvl w:ilvl="0" w:tplc="A86EF76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AB624AF"/>
    <w:multiLevelType w:val="hybridMultilevel"/>
    <w:tmpl w:val="F534948E"/>
    <w:lvl w:ilvl="0" w:tplc="4B4C214C">
      <w:start w:val="1"/>
      <w:numFmt w:val="bullet"/>
      <w:lvlText w:val=""/>
      <w:lvlJc w:val="left"/>
      <w:pPr>
        <w:ind w:left="72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AB00033"/>
    <w:multiLevelType w:val="hybridMultilevel"/>
    <w:tmpl w:val="44CCA5EE"/>
    <w:lvl w:ilvl="0" w:tplc="04070005">
      <w:start w:val="1"/>
      <w:numFmt w:val="bullet"/>
      <w:lvlText w:val=""/>
      <w:lvlJc w:val="left"/>
      <w:pPr>
        <w:ind w:left="360" w:hanging="360"/>
      </w:pPr>
      <w:rPr>
        <w:rFonts w:ascii="Wingdings" w:hAnsi="Wingdings" w:hint="default"/>
        <w:color w:val="E1000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71322993">
    <w:abstractNumId w:val="3"/>
  </w:num>
  <w:num w:numId="2" w16cid:durableId="165293174">
    <w:abstractNumId w:val="2"/>
  </w:num>
  <w:num w:numId="3" w16cid:durableId="1508134485">
    <w:abstractNumId w:val="18"/>
  </w:num>
  <w:num w:numId="4" w16cid:durableId="1234970366">
    <w:abstractNumId w:val="12"/>
  </w:num>
  <w:num w:numId="5" w16cid:durableId="1008554684">
    <w:abstractNumId w:val="9"/>
  </w:num>
  <w:num w:numId="6" w16cid:durableId="933825870">
    <w:abstractNumId w:val="14"/>
  </w:num>
  <w:num w:numId="7" w16cid:durableId="912852597">
    <w:abstractNumId w:val="11"/>
  </w:num>
  <w:num w:numId="8" w16cid:durableId="1625698526">
    <w:abstractNumId w:val="17"/>
  </w:num>
  <w:num w:numId="9" w16cid:durableId="1415131532">
    <w:abstractNumId w:val="1"/>
  </w:num>
  <w:num w:numId="10" w16cid:durableId="1753891704">
    <w:abstractNumId w:val="20"/>
  </w:num>
  <w:num w:numId="11" w16cid:durableId="1821996854">
    <w:abstractNumId w:val="10"/>
  </w:num>
  <w:num w:numId="12" w16cid:durableId="1174342575">
    <w:abstractNumId w:val="1"/>
  </w:num>
  <w:num w:numId="13" w16cid:durableId="421489921">
    <w:abstractNumId w:val="4"/>
  </w:num>
  <w:num w:numId="14" w16cid:durableId="2017075722">
    <w:abstractNumId w:val="5"/>
  </w:num>
  <w:num w:numId="15" w16cid:durableId="809250421">
    <w:abstractNumId w:val="19"/>
  </w:num>
  <w:num w:numId="16" w16cid:durableId="642275258">
    <w:abstractNumId w:val="15"/>
  </w:num>
  <w:num w:numId="17" w16cid:durableId="1280260482">
    <w:abstractNumId w:val="13"/>
  </w:num>
  <w:num w:numId="18" w16cid:durableId="1581863752">
    <w:abstractNumId w:val="7"/>
  </w:num>
  <w:num w:numId="19" w16cid:durableId="1326934875">
    <w:abstractNumId w:val="16"/>
  </w:num>
  <w:num w:numId="20" w16cid:durableId="1572081013">
    <w:abstractNumId w:val="8"/>
  </w:num>
  <w:num w:numId="21" w16cid:durableId="1696735545">
    <w:abstractNumId w:val="6"/>
  </w:num>
  <w:num w:numId="22" w16cid:durableId="1125932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2AA4"/>
    <w:rsid w:val="00004621"/>
    <w:rsid w:val="00004F3C"/>
    <w:rsid w:val="000050F2"/>
    <w:rsid w:val="00005267"/>
    <w:rsid w:val="00006346"/>
    <w:rsid w:val="000069EB"/>
    <w:rsid w:val="00006A45"/>
    <w:rsid w:val="000070A8"/>
    <w:rsid w:val="00012E70"/>
    <w:rsid w:val="000136FE"/>
    <w:rsid w:val="00014FC1"/>
    <w:rsid w:val="00015C17"/>
    <w:rsid w:val="00016137"/>
    <w:rsid w:val="00020DC3"/>
    <w:rsid w:val="00021C67"/>
    <w:rsid w:val="00024147"/>
    <w:rsid w:val="00024483"/>
    <w:rsid w:val="000256A9"/>
    <w:rsid w:val="00026EEE"/>
    <w:rsid w:val="000301F0"/>
    <w:rsid w:val="00030557"/>
    <w:rsid w:val="00030701"/>
    <w:rsid w:val="00030F51"/>
    <w:rsid w:val="00031E51"/>
    <w:rsid w:val="00033476"/>
    <w:rsid w:val="000343EB"/>
    <w:rsid w:val="00035A84"/>
    <w:rsid w:val="00037933"/>
    <w:rsid w:val="00040816"/>
    <w:rsid w:val="0004082A"/>
    <w:rsid w:val="00040CC9"/>
    <w:rsid w:val="00041F81"/>
    <w:rsid w:val="000425ED"/>
    <w:rsid w:val="00045CCB"/>
    <w:rsid w:val="000510FC"/>
    <w:rsid w:val="00051555"/>
    <w:rsid w:val="00051E86"/>
    <w:rsid w:val="000525F1"/>
    <w:rsid w:val="00054AFE"/>
    <w:rsid w:val="0005544E"/>
    <w:rsid w:val="0005619D"/>
    <w:rsid w:val="00056A64"/>
    <w:rsid w:val="00056EEE"/>
    <w:rsid w:val="000575F9"/>
    <w:rsid w:val="0006148D"/>
    <w:rsid w:val="00061653"/>
    <w:rsid w:val="000618FC"/>
    <w:rsid w:val="00065466"/>
    <w:rsid w:val="000665F3"/>
    <w:rsid w:val="00067071"/>
    <w:rsid w:val="00067F67"/>
    <w:rsid w:val="00070652"/>
    <w:rsid w:val="00070757"/>
    <w:rsid w:val="00071284"/>
    <w:rsid w:val="00072356"/>
    <w:rsid w:val="00073AED"/>
    <w:rsid w:val="00074942"/>
    <w:rsid w:val="000751A7"/>
    <w:rsid w:val="0007558F"/>
    <w:rsid w:val="0007746E"/>
    <w:rsid w:val="00077AF9"/>
    <w:rsid w:val="00080D10"/>
    <w:rsid w:val="00081241"/>
    <w:rsid w:val="00081692"/>
    <w:rsid w:val="00081EF8"/>
    <w:rsid w:val="00082417"/>
    <w:rsid w:val="0008357F"/>
    <w:rsid w:val="00083A35"/>
    <w:rsid w:val="00083A61"/>
    <w:rsid w:val="00083DAB"/>
    <w:rsid w:val="0008406B"/>
    <w:rsid w:val="00084918"/>
    <w:rsid w:val="0008581D"/>
    <w:rsid w:val="00090DB6"/>
    <w:rsid w:val="00090E73"/>
    <w:rsid w:val="00091F11"/>
    <w:rsid w:val="00094235"/>
    <w:rsid w:val="00096AD4"/>
    <w:rsid w:val="00097DB9"/>
    <w:rsid w:val="000A05E0"/>
    <w:rsid w:val="000A06FB"/>
    <w:rsid w:val="000A31D3"/>
    <w:rsid w:val="000A4B52"/>
    <w:rsid w:val="000A50CF"/>
    <w:rsid w:val="000A511E"/>
    <w:rsid w:val="000A64B3"/>
    <w:rsid w:val="000A6C25"/>
    <w:rsid w:val="000A6D45"/>
    <w:rsid w:val="000B005C"/>
    <w:rsid w:val="000B10DE"/>
    <w:rsid w:val="000B2E86"/>
    <w:rsid w:val="000B5D2F"/>
    <w:rsid w:val="000B5E32"/>
    <w:rsid w:val="000B6244"/>
    <w:rsid w:val="000B695A"/>
    <w:rsid w:val="000B72A8"/>
    <w:rsid w:val="000C1D69"/>
    <w:rsid w:val="000C210A"/>
    <w:rsid w:val="000C27E5"/>
    <w:rsid w:val="000C30D6"/>
    <w:rsid w:val="000C47D1"/>
    <w:rsid w:val="000C50A1"/>
    <w:rsid w:val="000C540F"/>
    <w:rsid w:val="000C56DD"/>
    <w:rsid w:val="000C63F4"/>
    <w:rsid w:val="000C65FB"/>
    <w:rsid w:val="000C7373"/>
    <w:rsid w:val="000D11CB"/>
    <w:rsid w:val="000D14C4"/>
    <w:rsid w:val="000D1672"/>
    <w:rsid w:val="000D178A"/>
    <w:rsid w:val="000D18CE"/>
    <w:rsid w:val="000D40C6"/>
    <w:rsid w:val="000D4349"/>
    <w:rsid w:val="000D52F6"/>
    <w:rsid w:val="000D58A1"/>
    <w:rsid w:val="000D6C67"/>
    <w:rsid w:val="000D738C"/>
    <w:rsid w:val="000E0CAB"/>
    <w:rsid w:val="000E11D9"/>
    <w:rsid w:val="000E1B84"/>
    <w:rsid w:val="000E2EDC"/>
    <w:rsid w:val="000E2F62"/>
    <w:rsid w:val="000E38ED"/>
    <w:rsid w:val="000E45C7"/>
    <w:rsid w:val="000E5A02"/>
    <w:rsid w:val="000E7F24"/>
    <w:rsid w:val="000F03BE"/>
    <w:rsid w:val="000F1757"/>
    <w:rsid w:val="000F225B"/>
    <w:rsid w:val="000F277E"/>
    <w:rsid w:val="000F333E"/>
    <w:rsid w:val="000F41BC"/>
    <w:rsid w:val="000F48E9"/>
    <w:rsid w:val="000F4DAE"/>
    <w:rsid w:val="000F689C"/>
    <w:rsid w:val="000F7ADB"/>
    <w:rsid w:val="000F7FAF"/>
    <w:rsid w:val="001002DD"/>
    <w:rsid w:val="0010048F"/>
    <w:rsid w:val="00100D8B"/>
    <w:rsid w:val="00102045"/>
    <w:rsid w:val="00102264"/>
    <w:rsid w:val="00103537"/>
    <w:rsid w:val="00103B01"/>
    <w:rsid w:val="0010421C"/>
    <w:rsid w:val="0010465B"/>
    <w:rsid w:val="0010570F"/>
    <w:rsid w:val="00105975"/>
    <w:rsid w:val="00105DD4"/>
    <w:rsid w:val="00110090"/>
    <w:rsid w:val="0011116D"/>
    <w:rsid w:val="00111386"/>
    <w:rsid w:val="001118DF"/>
    <w:rsid w:val="00111F4D"/>
    <w:rsid w:val="00112A28"/>
    <w:rsid w:val="00113571"/>
    <w:rsid w:val="00114DDF"/>
    <w:rsid w:val="00115230"/>
    <w:rsid w:val="00115B5F"/>
    <w:rsid w:val="001162B4"/>
    <w:rsid w:val="00116B3A"/>
    <w:rsid w:val="00116DF3"/>
    <w:rsid w:val="00122B90"/>
    <w:rsid w:val="00122CBC"/>
    <w:rsid w:val="0012397D"/>
    <w:rsid w:val="0012414B"/>
    <w:rsid w:val="00124FA3"/>
    <w:rsid w:val="00126C65"/>
    <w:rsid w:val="00126D4A"/>
    <w:rsid w:val="00131762"/>
    <w:rsid w:val="001318EB"/>
    <w:rsid w:val="00132DA9"/>
    <w:rsid w:val="0013305B"/>
    <w:rsid w:val="00133B99"/>
    <w:rsid w:val="0013464E"/>
    <w:rsid w:val="0013569C"/>
    <w:rsid w:val="00135939"/>
    <w:rsid w:val="001369E3"/>
    <w:rsid w:val="001375DD"/>
    <w:rsid w:val="00142EFB"/>
    <w:rsid w:val="001438BF"/>
    <w:rsid w:val="001443BD"/>
    <w:rsid w:val="00144A87"/>
    <w:rsid w:val="00145B62"/>
    <w:rsid w:val="00146193"/>
    <w:rsid w:val="00150993"/>
    <w:rsid w:val="00152022"/>
    <w:rsid w:val="00152026"/>
    <w:rsid w:val="00152A41"/>
    <w:rsid w:val="00154D35"/>
    <w:rsid w:val="001577E9"/>
    <w:rsid w:val="00157A59"/>
    <w:rsid w:val="0016138C"/>
    <w:rsid w:val="00162D60"/>
    <w:rsid w:val="001640D5"/>
    <w:rsid w:val="001653D7"/>
    <w:rsid w:val="001659FB"/>
    <w:rsid w:val="00166F97"/>
    <w:rsid w:val="00172C99"/>
    <w:rsid w:val="001731CE"/>
    <w:rsid w:val="00175C72"/>
    <w:rsid w:val="00177B37"/>
    <w:rsid w:val="00180F93"/>
    <w:rsid w:val="00181B06"/>
    <w:rsid w:val="00182629"/>
    <w:rsid w:val="001827BF"/>
    <w:rsid w:val="00186010"/>
    <w:rsid w:val="0018672E"/>
    <w:rsid w:val="00186AB1"/>
    <w:rsid w:val="001902CF"/>
    <w:rsid w:val="00191458"/>
    <w:rsid w:val="00191DD2"/>
    <w:rsid w:val="00192778"/>
    <w:rsid w:val="001945F1"/>
    <w:rsid w:val="00196A14"/>
    <w:rsid w:val="00197E9B"/>
    <w:rsid w:val="001A1185"/>
    <w:rsid w:val="001A1FEB"/>
    <w:rsid w:val="001A2003"/>
    <w:rsid w:val="001A3D77"/>
    <w:rsid w:val="001A4C03"/>
    <w:rsid w:val="001A7411"/>
    <w:rsid w:val="001B3094"/>
    <w:rsid w:val="001B30F7"/>
    <w:rsid w:val="001B31F0"/>
    <w:rsid w:val="001B4862"/>
    <w:rsid w:val="001B5147"/>
    <w:rsid w:val="001B65FF"/>
    <w:rsid w:val="001B710A"/>
    <w:rsid w:val="001B771D"/>
    <w:rsid w:val="001B7C20"/>
    <w:rsid w:val="001B7F28"/>
    <w:rsid w:val="001C0B32"/>
    <w:rsid w:val="001C2B63"/>
    <w:rsid w:val="001C2D66"/>
    <w:rsid w:val="001C36F7"/>
    <w:rsid w:val="001C4BE1"/>
    <w:rsid w:val="001C4CE3"/>
    <w:rsid w:val="001C5338"/>
    <w:rsid w:val="001C7F21"/>
    <w:rsid w:val="001D1497"/>
    <w:rsid w:val="001D361C"/>
    <w:rsid w:val="001D5534"/>
    <w:rsid w:val="001D63D9"/>
    <w:rsid w:val="001D7ADF"/>
    <w:rsid w:val="001E0F71"/>
    <w:rsid w:val="001E17FB"/>
    <w:rsid w:val="001E255E"/>
    <w:rsid w:val="001E2B9B"/>
    <w:rsid w:val="001E2C06"/>
    <w:rsid w:val="001E35BA"/>
    <w:rsid w:val="001E4650"/>
    <w:rsid w:val="001E49D3"/>
    <w:rsid w:val="001E4CCB"/>
    <w:rsid w:val="001E51A6"/>
    <w:rsid w:val="001E52CB"/>
    <w:rsid w:val="001E6D05"/>
    <w:rsid w:val="001E73E8"/>
    <w:rsid w:val="001E785E"/>
    <w:rsid w:val="001E7C28"/>
    <w:rsid w:val="001F11A1"/>
    <w:rsid w:val="001F1AB5"/>
    <w:rsid w:val="001F1BDF"/>
    <w:rsid w:val="001F1D6D"/>
    <w:rsid w:val="001F35F8"/>
    <w:rsid w:val="001F39FC"/>
    <w:rsid w:val="001F4966"/>
    <w:rsid w:val="001F4AC3"/>
    <w:rsid w:val="001F4CAC"/>
    <w:rsid w:val="001F52E0"/>
    <w:rsid w:val="001F590C"/>
    <w:rsid w:val="001F7110"/>
    <w:rsid w:val="001F75DB"/>
    <w:rsid w:val="001F773D"/>
    <w:rsid w:val="001F7E96"/>
    <w:rsid w:val="002005F5"/>
    <w:rsid w:val="00202284"/>
    <w:rsid w:val="00202C65"/>
    <w:rsid w:val="0020528D"/>
    <w:rsid w:val="0020543B"/>
    <w:rsid w:val="00205A66"/>
    <w:rsid w:val="002063CF"/>
    <w:rsid w:val="00206613"/>
    <w:rsid w:val="0020756B"/>
    <w:rsid w:val="00207E75"/>
    <w:rsid w:val="00210D86"/>
    <w:rsid w:val="0021158F"/>
    <w:rsid w:val="00212488"/>
    <w:rsid w:val="002129A6"/>
    <w:rsid w:val="002151DB"/>
    <w:rsid w:val="0021591A"/>
    <w:rsid w:val="00217E9D"/>
    <w:rsid w:val="00220628"/>
    <w:rsid w:val="00221A45"/>
    <w:rsid w:val="00221BA0"/>
    <w:rsid w:val="002227F7"/>
    <w:rsid w:val="00224B7D"/>
    <w:rsid w:val="002260C7"/>
    <w:rsid w:val="002304D2"/>
    <w:rsid w:val="002333DA"/>
    <w:rsid w:val="002338C1"/>
    <w:rsid w:val="00233D04"/>
    <w:rsid w:val="00234ABD"/>
    <w:rsid w:val="00236491"/>
    <w:rsid w:val="00236969"/>
    <w:rsid w:val="00236C3B"/>
    <w:rsid w:val="00236E2A"/>
    <w:rsid w:val="00237F62"/>
    <w:rsid w:val="00240316"/>
    <w:rsid w:val="00241E10"/>
    <w:rsid w:val="00242367"/>
    <w:rsid w:val="0024458B"/>
    <w:rsid w:val="0024586A"/>
    <w:rsid w:val="0024601F"/>
    <w:rsid w:val="002502E1"/>
    <w:rsid w:val="00250F80"/>
    <w:rsid w:val="0025124F"/>
    <w:rsid w:val="002518A2"/>
    <w:rsid w:val="00252807"/>
    <w:rsid w:val="002528B3"/>
    <w:rsid w:val="002533CC"/>
    <w:rsid w:val="0025551F"/>
    <w:rsid w:val="00255F8C"/>
    <w:rsid w:val="00256174"/>
    <w:rsid w:val="00256F0C"/>
    <w:rsid w:val="00257231"/>
    <w:rsid w:val="00260318"/>
    <w:rsid w:val="002617D6"/>
    <w:rsid w:val="00261C23"/>
    <w:rsid w:val="00262C05"/>
    <w:rsid w:val="00263868"/>
    <w:rsid w:val="00264E86"/>
    <w:rsid w:val="00266359"/>
    <w:rsid w:val="002715AF"/>
    <w:rsid w:val="002717F0"/>
    <w:rsid w:val="0027301C"/>
    <w:rsid w:val="00273099"/>
    <w:rsid w:val="00276C44"/>
    <w:rsid w:val="00277220"/>
    <w:rsid w:val="00281089"/>
    <w:rsid w:val="00281D14"/>
    <w:rsid w:val="00282953"/>
    <w:rsid w:val="00282C13"/>
    <w:rsid w:val="002833D8"/>
    <w:rsid w:val="00285669"/>
    <w:rsid w:val="00286BF6"/>
    <w:rsid w:val="00287DEE"/>
    <w:rsid w:val="002903B7"/>
    <w:rsid w:val="00291187"/>
    <w:rsid w:val="00293D0F"/>
    <w:rsid w:val="00294B60"/>
    <w:rsid w:val="00294EB3"/>
    <w:rsid w:val="00295E54"/>
    <w:rsid w:val="002962D7"/>
    <w:rsid w:val="00296C33"/>
    <w:rsid w:val="002A0167"/>
    <w:rsid w:val="002A0D7B"/>
    <w:rsid w:val="002A0DF7"/>
    <w:rsid w:val="002A268C"/>
    <w:rsid w:val="002A2975"/>
    <w:rsid w:val="002A460D"/>
    <w:rsid w:val="002A4CEA"/>
    <w:rsid w:val="002A505B"/>
    <w:rsid w:val="002A5EE9"/>
    <w:rsid w:val="002A60E0"/>
    <w:rsid w:val="002B03A5"/>
    <w:rsid w:val="002B0BB4"/>
    <w:rsid w:val="002B1AA8"/>
    <w:rsid w:val="002B1E51"/>
    <w:rsid w:val="002B1E87"/>
    <w:rsid w:val="002B233F"/>
    <w:rsid w:val="002B2345"/>
    <w:rsid w:val="002B3555"/>
    <w:rsid w:val="002B45C2"/>
    <w:rsid w:val="002B687A"/>
    <w:rsid w:val="002C1344"/>
    <w:rsid w:val="002C252E"/>
    <w:rsid w:val="002C3A2A"/>
    <w:rsid w:val="002C458A"/>
    <w:rsid w:val="002C45E8"/>
    <w:rsid w:val="002C5BA6"/>
    <w:rsid w:val="002C6552"/>
    <w:rsid w:val="002C6773"/>
    <w:rsid w:val="002C6F51"/>
    <w:rsid w:val="002C73EC"/>
    <w:rsid w:val="002C79C4"/>
    <w:rsid w:val="002D0FE0"/>
    <w:rsid w:val="002D269A"/>
    <w:rsid w:val="002D2A3D"/>
    <w:rsid w:val="002D3E72"/>
    <w:rsid w:val="002D3EAC"/>
    <w:rsid w:val="002D46A9"/>
    <w:rsid w:val="002D5D1D"/>
    <w:rsid w:val="002D6EFD"/>
    <w:rsid w:val="002D71E6"/>
    <w:rsid w:val="002D74CF"/>
    <w:rsid w:val="002E0A45"/>
    <w:rsid w:val="002E0B17"/>
    <w:rsid w:val="002E1A8B"/>
    <w:rsid w:val="002E26B4"/>
    <w:rsid w:val="002E3FF5"/>
    <w:rsid w:val="002E4B4E"/>
    <w:rsid w:val="002E4FFB"/>
    <w:rsid w:val="002E512B"/>
    <w:rsid w:val="002E6110"/>
    <w:rsid w:val="002E63A7"/>
    <w:rsid w:val="002E650E"/>
    <w:rsid w:val="002E670C"/>
    <w:rsid w:val="002E6E2F"/>
    <w:rsid w:val="002E7DED"/>
    <w:rsid w:val="002F0334"/>
    <w:rsid w:val="002F2A7B"/>
    <w:rsid w:val="002F4AB2"/>
    <w:rsid w:val="002F51C6"/>
    <w:rsid w:val="002F5944"/>
    <w:rsid w:val="002F7BC2"/>
    <w:rsid w:val="002F7E11"/>
    <w:rsid w:val="0030037C"/>
    <w:rsid w:val="00301C72"/>
    <w:rsid w:val="00304087"/>
    <w:rsid w:val="003053DC"/>
    <w:rsid w:val="003054B0"/>
    <w:rsid w:val="003057B1"/>
    <w:rsid w:val="003062AD"/>
    <w:rsid w:val="00310ACD"/>
    <w:rsid w:val="00312C23"/>
    <w:rsid w:val="00312ED8"/>
    <w:rsid w:val="0031379F"/>
    <w:rsid w:val="00313A9C"/>
    <w:rsid w:val="00314275"/>
    <w:rsid w:val="00314A97"/>
    <w:rsid w:val="0031621E"/>
    <w:rsid w:val="00316A16"/>
    <w:rsid w:val="00320228"/>
    <w:rsid w:val="00320289"/>
    <w:rsid w:val="00320A26"/>
    <w:rsid w:val="00320C5D"/>
    <w:rsid w:val="003212F3"/>
    <w:rsid w:val="00321344"/>
    <w:rsid w:val="00321788"/>
    <w:rsid w:val="00325064"/>
    <w:rsid w:val="00325630"/>
    <w:rsid w:val="00325EC9"/>
    <w:rsid w:val="00326D29"/>
    <w:rsid w:val="003279C6"/>
    <w:rsid w:val="0032B295"/>
    <w:rsid w:val="00331A3E"/>
    <w:rsid w:val="0033451C"/>
    <w:rsid w:val="00335660"/>
    <w:rsid w:val="00335FBD"/>
    <w:rsid w:val="00336854"/>
    <w:rsid w:val="00337668"/>
    <w:rsid w:val="0033769B"/>
    <w:rsid w:val="0034015C"/>
    <w:rsid w:val="00341409"/>
    <w:rsid w:val="00341CAE"/>
    <w:rsid w:val="003442F4"/>
    <w:rsid w:val="00344546"/>
    <w:rsid w:val="003455CF"/>
    <w:rsid w:val="00345FA1"/>
    <w:rsid w:val="0034716E"/>
    <w:rsid w:val="00350439"/>
    <w:rsid w:val="00350B86"/>
    <w:rsid w:val="00350CB4"/>
    <w:rsid w:val="00351EA9"/>
    <w:rsid w:val="00353705"/>
    <w:rsid w:val="00354C69"/>
    <w:rsid w:val="00355536"/>
    <w:rsid w:val="003562E8"/>
    <w:rsid w:val="003614D7"/>
    <w:rsid w:val="00361FB0"/>
    <w:rsid w:val="0036357D"/>
    <w:rsid w:val="003649BC"/>
    <w:rsid w:val="00364F7E"/>
    <w:rsid w:val="0036577C"/>
    <w:rsid w:val="00365E44"/>
    <w:rsid w:val="003662B1"/>
    <w:rsid w:val="003667AD"/>
    <w:rsid w:val="00367AA1"/>
    <w:rsid w:val="00370A5B"/>
    <w:rsid w:val="00371AE6"/>
    <w:rsid w:val="00372497"/>
    <w:rsid w:val="00372E36"/>
    <w:rsid w:val="00373D53"/>
    <w:rsid w:val="00375653"/>
    <w:rsid w:val="00375DFA"/>
    <w:rsid w:val="00375F7D"/>
    <w:rsid w:val="003767D3"/>
    <w:rsid w:val="00376EE9"/>
    <w:rsid w:val="00376FFC"/>
    <w:rsid w:val="00377C3F"/>
    <w:rsid w:val="00377CBB"/>
    <w:rsid w:val="00383839"/>
    <w:rsid w:val="00384F62"/>
    <w:rsid w:val="003851C4"/>
    <w:rsid w:val="00385438"/>
    <w:rsid w:val="003858E5"/>
    <w:rsid w:val="00387494"/>
    <w:rsid w:val="003877B6"/>
    <w:rsid w:val="003910BB"/>
    <w:rsid w:val="00391539"/>
    <w:rsid w:val="003921B7"/>
    <w:rsid w:val="00393887"/>
    <w:rsid w:val="00393F1B"/>
    <w:rsid w:val="00394C6B"/>
    <w:rsid w:val="00395318"/>
    <w:rsid w:val="0039610B"/>
    <w:rsid w:val="00396BE1"/>
    <w:rsid w:val="00397C2B"/>
    <w:rsid w:val="00397C90"/>
    <w:rsid w:val="003A0961"/>
    <w:rsid w:val="003A290F"/>
    <w:rsid w:val="003A33EF"/>
    <w:rsid w:val="003A392C"/>
    <w:rsid w:val="003A4AAA"/>
    <w:rsid w:val="003A4B10"/>
    <w:rsid w:val="003A4E2E"/>
    <w:rsid w:val="003A4E62"/>
    <w:rsid w:val="003A56EB"/>
    <w:rsid w:val="003A5A6A"/>
    <w:rsid w:val="003A6F7B"/>
    <w:rsid w:val="003A775E"/>
    <w:rsid w:val="003A7AB2"/>
    <w:rsid w:val="003B02F2"/>
    <w:rsid w:val="003B0BD0"/>
    <w:rsid w:val="003B0CDD"/>
    <w:rsid w:val="003B1069"/>
    <w:rsid w:val="003B13E8"/>
    <w:rsid w:val="003B2BB0"/>
    <w:rsid w:val="003B2CC9"/>
    <w:rsid w:val="003B38CC"/>
    <w:rsid w:val="003B390A"/>
    <w:rsid w:val="003B3D53"/>
    <w:rsid w:val="003B4E3A"/>
    <w:rsid w:val="003B6373"/>
    <w:rsid w:val="003B6DC6"/>
    <w:rsid w:val="003B79E1"/>
    <w:rsid w:val="003C0E8C"/>
    <w:rsid w:val="003C15DE"/>
    <w:rsid w:val="003C2096"/>
    <w:rsid w:val="003C2889"/>
    <w:rsid w:val="003C34C9"/>
    <w:rsid w:val="003C4EB2"/>
    <w:rsid w:val="003C5E05"/>
    <w:rsid w:val="003C63D0"/>
    <w:rsid w:val="003C7959"/>
    <w:rsid w:val="003D0FD1"/>
    <w:rsid w:val="003D21D0"/>
    <w:rsid w:val="003D2E79"/>
    <w:rsid w:val="003D3968"/>
    <w:rsid w:val="003D42AF"/>
    <w:rsid w:val="003D4AD2"/>
    <w:rsid w:val="003D5E11"/>
    <w:rsid w:val="003D73C0"/>
    <w:rsid w:val="003E031D"/>
    <w:rsid w:val="003E0456"/>
    <w:rsid w:val="003E41CB"/>
    <w:rsid w:val="003E6849"/>
    <w:rsid w:val="003E7305"/>
    <w:rsid w:val="003F0C1C"/>
    <w:rsid w:val="003F1AF3"/>
    <w:rsid w:val="003F25E4"/>
    <w:rsid w:val="003F4743"/>
    <w:rsid w:val="003F4804"/>
    <w:rsid w:val="003F4AAA"/>
    <w:rsid w:val="003F4D8D"/>
    <w:rsid w:val="003F5BA8"/>
    <w:rsid w:val="003F64A2"/>
    <w:rsid w:val="003F66A4"/>
    <w:rsid w:val="00401267"/>
    <w:rsid w:val="00401508"/>
    <w:rsid w:val="00401688"/>
    <w:rsid w:val="004024D9"/>
    <w:rsid w:val="0040257E"/>
    <w:rsid w:val="004025C3"/>
    <w:rsid w:val="0040386D"/>
    <w:rsid w:val="00403A2C"/>
    <w:rsid w:val="00404188"/>
    <w:rsid w:val="00406435"/>
    <w:rsid w:val="004066F9"/>
    <w:rsid w:val="00406CBE"/>
    <w:rsid w:val="004073DC"/>
    <w:rsid w:val="004128C1"/>
    <w:rsid w:val="004137C0"/>
    <w:rsid w:val="004138F3"/>
    <w:rsid w:val="00421217"/>
    <w:rsid w:val="00421F20"/>
    <w:rsid w:val="00423B63"/>
    <w:rsid w:val="00423FDF"/>
    <w:rsid w:val="00427BEA"/>
    <w:rsid w:val="00427EDC"/>
    <w:rsid w:val="00430120"/>
    <w:rsid w:val="004313E7"/>
    <w:rsid w:val="00431BBC"/>
    <w:rsid w:val="00432542"/>
    <w:rsid w:val="004339B2"/>
    <w:rsid w:val="00436CCB"/>
    <w:rsid w:val="004379C2"/>
    <w:rsid w:val="00440223"/>
    <w:rsid w:val="00442C16"/>
    <w:rsid w:val="00444A70"/>
    <w:rsid w:val="004456C0"/>
    <w:rsid w:val="0044763B"/>
    <w:rsid w:val="004514E8"/>
    <w:rsid w:val="00451681"/>
    <w:rsid w:val="00451E88"/>
    <w:rsid w:val="00452696"/>
    <w:rsid w:val="00453F32"/>
    <w:rsid w:val="004542DA"/>
    <w:rsid w:val="00454665"/>
    <w:rsid w:val="004565AD"/>
    <w:rsid w:val="00456A53"/>
    <w:rsid w:val="00457B39"/>
    <w:rsid w:val="00460CD2"/>
    <w:rsid w:val="0046100E"/>
    <w:rsid w:val="0046213C"/>
    <w:rsid w:val="00462518"/>
    <w:rsid w:val="0046266D"/>
    <w:rsid w:val="004629B3"/>
    <w:rsid w:val="00463022"/>
    <w:rsid w:val="0046376E"/>
    <w:rsid w:val="00463B50"/>
    <w:rsid w:val="00464155"/>
    <w:rsid w:val="0046587C"/>
    <w:rsid w:val="0046690F"/>
    <w:rsid w:val="0046792B"/>
    <w:rsid w:val="00471116"/>
    <w:rsid w:val="00472FEC"/>
    <w:rsid w:val="0047503A"/>
    <w:rsid w:val="00476830"/>
    <w:rsid w:val="0047696E"/>
    <w:rsid w:val="004770F6"/>
    <w:rsid w:val="004812D2"/>
    <w:rsid w:val="00481477"/>
    <w:rsid w:val="00481710"/>
    <w:rsid w:val="00483B28"/>
    <w:rsid w:val="004851ED"/>
    <w:rsid w:val="004858E1"/>
    <w:rsid w:val="00485EF2"/>
    <w:rsid w:val="004864A1"/>
    <w:rsid w:val="0048769E"/>
    <w:rsid w:val="00490787"/>
    <w:rsid w:val="00490A03"/>
    <w:rsid w:val="00490B0D"/>
    <w:rsid w:val="00490E5D"/>
    <w:rsid w:val="00492B0A"/>
    <w:rsid w:val="00492D88"/>
    <w:rsid w:val="00493327"/>
    <w:rsid w:val="0049382E"/>
    <w:rsid w:val="00493B38"/>
    <w:rsid w:val="0049425D"/>
    <w:rsid w:val="00494DBE"/>
    <w:rsid w:val="004958DA"/>
    <w:rsid w:val="00495CE6"/>
    <w:rsid w:val="00497524"/>
    <w:rsid w:val="00497D5E"/>
    <w:rsid w:val="004A144D"/>
    <w:rsid w:val="004A1D27"/>
    <w:rsid w:val="004A2A8B"/>
    <w:rsid w:val="004A323C"/>
    <w:rsid w:val="004A476A"/>
    <w:rsid w:val="004B0801"/>
    <w:rsid w:val="004B1117"/>
    <w:rsid w:val="004B1A6B"/>
    <w:rsid w:val="004B1FC8"/>
    <w:rsid w:val="004B339A"/>
    <w:rsid w:val="004B511F"/>
    <w:rsid w:val="004B522C"/>
    <w:rsid w:val="004B54E8"/>
    <w:rsid w:val="004B773C"/>
    <w:rsid w:val="004C0138"/>
    <w:rsid w:val="004C0599"/>
    <w:rsid w:val="004C0686"/>
    <w:rsid w:val="004C08BC"/>
    <w:rsid w:val="004C12E8"/>
    <w:rsid w:val="004C130C"/>
    <w:rsid w:val="004C1578"/>
    <w:rsid w:val="004C174B"/>
    <w:rsid w:val="004C286B"/>
    <w:rsid w:val="004C33BA"/>
    <w:rsid w:val="004C47EA"/>
    <w:rsid w:val="004C4FEB"/>
    <w:rsid w:val="004C6570"/>
    <w:rsid w:val="004C678C"/>
    <w:rsid w:val="004C6B79"/>
    <w:rsid w:val="004C7345"/>
    <w:rsid w:val="004D059B"/>
    <w:rsid w:val="004D09E8"/>
    <w:rsid w:val="004D09F9"/>
    <w:rsid w:val="004D0E64"/>
    <w:rsid w:val="004D2963"/>
    <w:rsid w:val="004D304E"/>
    <w:rsid w:val="004D4543"/>
    <w:rsid w:val="004D48A8"/>
    <w:rsid w:val="004D4CB6"/>
    <w:rsid w:val="004D4DCB"/>
    <w:rsid w:val="004E0907"/>
    <w:rsid w:val="004E20CF"/>
    <w:rsid w:val="004E2324"/>
    <w:rsid w:val="004E28C9"/>
    <w:rsid w:val="004E3341"/>
    <w:rsid w:val="004E5124"/>
    <w:rsid w:val="004E531A"/>
    <w:rsid w:val="004E7BE2"/>
    <w:rsid w:val="004E7E3A"/>
    <w:rsid w:val="004F10C1"/>
    <w:rsid w:val="004F1C5E"/>
    <w:rsid w:val="004F3E47"/>
    <w:rsid w:val="004F4CC8"/>
    <w:rsid w:val="004F4F5A"/>
    <w:rsid w:val="004F51FF"/>
    <w:rsid w:val="004F56E7"/>
    <w:rsid w:val="004F5AD9"/>
    <w:rsid w:val="004F699F"/>
    <w:rsid w:val="0050008F"/>
    <w:rsid w:val="00500955"/>
    <w:rsid w:val="0050159C"/>
    <w:rsid w:val="005018C2"/>
    <w:rsid w:val="005022B7"/>
    <w:rsid w:val="00502E62"/>
    <w:rsid w:val="00503719"/>
    <w:rsid w:val="00504DA3"/>
    <w:rsid w:val="00506B8A"/>
    <w:rsid w:val="005110D3"/>
    <w:rsid w:val="00515B6A"/>
    <w:rsid w:val="00520A65"/>
    <w:rsid w:val="00521280"/>
    <w:rsid w:val="00521891"/>
    <w:rsid w:val="005218B8"/>
    <w:rsid w:val="0052212B"/>
    <w:rsid w:val="005221A8"/>
    <w:rsid w:val="005224A4"/>
    <w:rsid w:val="005230C7"/>
    <w:rsid w:val="0052625A"/>
    <w:rsid w:val="005266EA"/>
    <w:rsid w:val="00527072"/>
    <w:rsid w:val="0053001D"/>
    <w:rsid w:val="00534B46"/>
    <w:rsid w:val="00534CE8"/>
    <w:rsid w:val="00535018"/>
    <w:rsid w:val="00535180"/>
    <w:rsid w:val="0053558B"/>
    <w:rsid w:val="005355DB"/>
    <w:rsid w:val="00535866"/>
    <w:rsid w:val="00540358"/>
    <w:rsid w:val="00540A05"/>
    <w:rsid w:val="00540D47"/>
    <w:rsid w:val="005428D7"/>
    <w:rsid w:val="00542D43"/>
    <w:rsid w:val="00544504"/>
    <w:rsid w:val="005463C3"/>
    <w:rsid w:val="005465A3"/>
    <w:rsid w:val="00547C7C"/>
    <w:rsid w:val="00550391"/>
    <w:rsid w:val="005506D5"/>
    <w:rsid w:val="00550864"/>
    <w:rsid w:val="00550B92"/>
    <w:rsid w:val="00551D6C"/>
    <w:rsid w:val="00552BFD"/>
    <w:rsid w:val="00553580"/>
    <w:rsid w:val="00553B15"/>
    <w:rsid w:val="005550A8"/>
    <w:rsid w:val="00555138"/>
    <w:rsid w:val="0055571E"/>
    <w:rsid w:val="00556F67"/>
    <w:rsid w:val="00557849"/>
    <w:rsid w:val="00560D23"/>
    <w:rsid w:val="00563009"/>
    <w:rsid w:val="005635B7"/>
    <w:rsid w:val="005652E8"/>
    <w:rsid w:val="0056637D"/>
    <w:rsid w:val="0056772E"/>
    <w:rsid w:val="00567A17"/>
    <w:rsid w:val="005750FB"/>
    <w:rsid w:val="0057667C"/>
    <w:rsid w:val="00576BDA"/>
    <w:rsid w:val="00577DB4"/>
    <w:rsid w:val="00580D2D"/>
    <w:rsid w:val="00581B1C"/>
    <w:rsid w:val="005826DA"/>
    <w:rsid w:val="005826FB"/>
    <w:rsid w:val="00582943"/>
    <w:rsid w:val="00582D0E"/>
    <w:rsid w:val="00582E09"/>
    <w:rsid w:val="005833F0"/>
    <w:rsid w:val="00586280"/>
    <w:rsid w:val="005865FC"/>
    <w:rsid w:val="005869CE"/>
    <w:rsid w:val="00586CAF"/>
    <w:rsid w:val="005873E9"/>
    <w:rsid w:val="00587A90"/>
    <w:rsid w:val="00587F6C"/>
    <w:rsid w:val="00591180"/>
    <w:rsid w:val="00592CEB"/>
    <w:rsid w:val="00592E9F"/>
    <w:rsid w:val="005948A6"/>
    <w:rsid w:val="00595286"/>
    <w:rsid w:val="0059722C"/>
    <w:rsid w:val="005977A6"/>
    <w:rsid w:val="00597D07"/>
    <w:rsid w:val="00597DD6"/>
    <w:rsid w:val="005A16E6"/>
    <w:rsid w:val="005A30D7"/>
    <w:rsid w:val="005A3846"/>
    <w:rsid w:val="005A5E6B"/>
    <w:rsid w:val="005A678F"/>
    <w:rsid w:val="005A7DE8"/>
    <w:rsid w:val="005A7E97"/>
    <w:rsid w:val="005B0DFE"/>
    <w:rsid w:val="005B2CD2"/>
    <w:rsid w:val="005B632A"/>
    <w:rsid w:val="005B6A58"/>
    <w:rsid w:val="005B7690"/>
    <w:rsid w:val="005C2D0E"/>
    <w:rsid w:val="005C5A83"/>
    <w:rsid w:val="005C6F40"/>
    <w:rsid w:val="005C7112"/>
    <w:rsid w:val="005D0561"/>
    <w:rsid w:val="005D0AD9"/>
    <w:rsid w:val="005D1A67"/>
    <w:rsid w:val="005D22F6"/>
    <w:rsid w:val="005D629E"/>
    <w:rsid w:val="005D6774"/>
    <w:rsid w:val="005D68AA"/>
    <w:rsid w:val="005D6BD1"/>
    <w:rsid w:val="005E060E"/>
    <w:rsid w:val="005E0C30"/>
    <w:rsid w:val="005E1657"/>
    <w:rsid w:val="005E1BBB"/>
    <w:rsid w:val="005E1DCB"/>
    <w:rsid w:val="005E2377"/>
    <w:rsid w:val="005E2EE4"/>
    <w:rsid w:val="005E326D"/>
    <w:rsid w:val="005E33E0"/>
    <w:rsid w:val="005E3FBB"/>
    <w:rsid w:val="005E66B4"/>
    <w:rsid w:val="005E69D9"/>
    <w:rsid w:val="005E6CB1"/>
    <w:rsid w:val="005E7116"/>
    <w:rsid w:val="005E7971"/>
    <w:rsid w:val="005F17D1"/>
    <w:rsid w:val="005F27F4"/>
    <w:rsid w:val="005F3239"/>
    <w:rsid w:val="005F39BF"/>
    <w:rsid w:val="005F566C"/>
    <w:rsid w:val="005F6567"/>
    <w:rsid w:val="005F676D"/>
    <w:rsid w:val="005F7A8A"/>
    <w:rsid w:val="00600998"/>
    <w:rsid w:val="00600ACF"/>
    <w:rsid w:val="006019EB"/>
    <w:rsid w:val="006027CA"/>
    <w:rsid w:val="00602BDC"/>
    <w:rsid w:val="00604527"/>
    <w:rsid w:val="006051BA"/>
    <w:rsid w:val="00605DFE"/>
    <w:rsid w:val="00606A00"/>
    <w:rsid w:val="00607094"/>
    <w:rsid w:val="00607256"/>
    <w:rsid w:val="0060790C"/>
    <w:rsid w:val="0060791E"/>
    <w:rsid w:val="00610215"/>
    <w:rsid w:val="00611F08"/>
    <w:rsid w:val="00613104"/>
    <w:rsid w:val="00613BF1"/>
    <w:rsid w:val="006144B1"/>
    <w:rsid w:val="0061552A"/>
    <w:rsid w:val="00615A5C"/>
    <w:rsid w:val="006177FF"/>
    <w:rsid w:val="00617FC0"/>
    <w:rsid w:val="0062077F"/>
    <w:rsid w:val="00621BC7"/>
    <w:rsid w:val="00622033"/>
    <w:rsid w:val="0062232C"/>
    <w:rsid w:val="006275E5"/>
    <w:rsid w:val="00630644"/>
    <w:rsid w:val="006335F1"/>
    <w:rsid w:val="006336FD"/>
    <w:rsid w:val="00633B49"/>
    <w:rsid w:val="006345B6"/>
    <w:rsid w:val="006349FD"/>
    <w:rsid w:val="00634AED"/>
    <w:rsid w:val="00635616"/>
    <w:rsid w:val="00635712"/>
    <w:rsid w:val="00635984"/>
    <w:rsid w:val="00635F41"/>
    <w:rsid w:val="006368FF"/>
    <w:rsid w:val="006377D4"/>
    <w:rsid w:val="006400E8"/>
    <w:rsid w:val="00640135"/>
    <w:rsid w:val="006402FF"/>
    <w:rsid w:val="0064107F"/>
    <w:rsid w:val="00643D8A"/>
    <w:rsid w:val="00645A5C"/>
    <w:rsid w:val="00647AB9"/>
    <w:rsid w:val="00650894"/>
    <w:rsid w:val="0065112B"/>
    <w:rsid w:val="00652091"/>
    <w:rsid w:val="00652229"/>
    <w:rsid w:val="00652793"/>
    <w:rsid w:val="006528DE"/>
    <w:rsid w:val="00657789"/>
    <w:rsid w:val="00660320"/>
    <w:rsid w:val="0066187E"/>
    <w:rsid w:val="00662375"/>
    <w:rsid w:val="006626CA"/>
    <w:rsid w:val="00663487"/>
    <w:rsid w:val="00665769"/>
    <w:rsid w:val="006662DE"/>
    <w:rsid w:val="00672382"/>
    <w:rsid w:val="006733BB"/>
    <w:rsid w:val="00676E80"/>
    <w:rsid w:val="006802BC"/>
    <w:rsid w:val="00681257"/>
    <w:rsid w:val="00681C3E"/>
    <w:rsid w:val="006822E9"/>
    <w:rsid w:val="006823EE"/>
    <w:rsid w:val="00682643"/>
    <w:rsid w:val="00682EB9"/>
    <w:rsid w:val="00682F1E"/>
    <w:rsid w:val="006832C1"/>
    <w:rsid w:val="0068378C"/>
    <w:rsid w:val="006839D3"/>
    <w:rsid w:val="0068441A"/>
    <w:rsid w:val="00684CF3"/>
    <w:rsid w:val="0068699A"/>
    <w:rsid w:val="00686ACC"/>
    <w:rsid w:val="00687028"/>
    <w:rsid w:val="00690B19"/>
    <w:rsid w:val="0069650C"/>
    <w:rsid w:val="0069681A"/>
    <w:rsid w:val="006A0A3C"/>
    <w:rsid w:val="006A1ED8"/>
    <w:rsid w:val="006A59E9"/>
    <w:rsid w:val="006A5AB1"/>
    <w:rsid w:val="006A75A6"/>
    <w:rsid w:val="006A75B8"/>
    <w:rsid w:val="006A79F0"/>
    <w:rsid w:val="006B048F"/>
    <w:rsid w:val="006B0AE4"/>
    <w:rsid w:val="006B359D"/>
    <w:rsid w:val="006B47EE"/>
    <w:rsid w:val="006B499F"/>
    <w:rsid w:val="006B54C6"/>
    <w:rsid w:val="006B5E11"/>
    <w:rsid w:val="006B617F"/>
    <w:rsid w:val="006C1FB8"/>
    <w:rsid w:val="006C2BB0"/>
    <w:rsid w:val="006C33BE"/>
    <w:rsid w:val="006C4B3D"/>
    <w:rsid w:val="006C5B53"/>
    <w:rsid w:val="006C72CA"/>
    <w:rsid w:val="006C7E78"/>
    <w:rsid w:val="006D064D"/>
    <w:rsid w:val="006D098F"/>
    <w:rsid w:val="006D20E3"/>
    <w:rsid w:val="006D2218"/>
    <w:rsid w:val="006D33E1"/>
    <w:rsid w:val="006D4996"/>
    <w:rsid w:val="006D4EE6"/>
    <w:rsid w:val="006D535B"/>
    <w:rsid w:val="006D54AB"/>
    <w:rsid w:val="006D58E5"/>
    <w:rsid w:val="006E095F"/>
    <w:rsid w:val="006E1084"/>
    <w:rsid w:val="006E10B2"/>
    <w:rsid w:val="006E1FA9"/>
    <w:rsid w:val="006E2D24"/>
    <w:rsid w:val="006E3006"/>
    <w:rsid w:val="006E3BB0"/>
    <w:rsid w:val="006E4F02"/>
    <w:rsid w:val="006E5032"/>
    <w:rsid w:val="006E5BDA"/>
    <w:rsid w:val="006E7AC9"/>
    <w:rsid w:val="006F0FC7"/>
    <w:rsid w:val="006F1A3A"/>
    <w:rsid w:val="006F39A9"/>
    <w:rsid w:val="006F3D9D"/>
    <w:rsid w:val="006F524E"/>
    <w:rsid w:val="006F5D57"/>
    <w:rsid w:val="006F643F"/>
    <w:rsid w:val="006F670F"/>
    <w:rsid w:val="006F77F3"/>
    <w:rsid w:val="0070063C"/>
    <w:rsid w:val="00700939"/>
    <w:rsid w:val="00700D69"/>
    <w:rsid w:val="00702921"/>
    <w:rsid w:val="0070298D"/>
    <w:rsid w:val="00703272"/>
    <w:rsid w:val="0070362C"/>
    <w:rsid w:val="0070471B"/>
    <w:rsid w:val="00704A68"/>
    <w:rsid w:val="00705BBE"/>
    <w:rsid w:val="00706893"/>
    <w:rsid w:val="00706A8D"/>
    <w:rsid w:val="0070733C"/>
    <w:rsid w:val="007101A5"/>
    <w:rsid w:val="007102D5"/>
    <w:rsid w:val="0071043A"/>
    <w:rsid w:val="00710C5D"/>
    <w:rsid w:val="0071348C"/>
    <w:rsid w:val="00715598"/>
    <w:rsid w:val="00717273"/>
    <w:rsid w:val="00720FD4"/>
    <w:rsid w:val="00721072"/>
    <w:rsid w:val="007230AD"/>
    <w:rsid w:val="0072314B"/>
    <w:rsid w:val="00723C6D"/>
    <w:rsid w:val="00724550"/>
    <w:rsid w:val="007246A0"/>
    <w:rsid w:val="00724737"/>
    <w:rsid w:val="00724AF2"/>
    <w:rsid w:val="00727D2B"/>
    <w:rsid w:val="00730624"/>
    <w:rsid w:val="0073096C"/>
    <w:rsid w:val="0073100D"/>
    <w:rsid w:val="00731368"/>
    <w:rsid w:val="00733429"/>
    <w:rsid w:val="00733A46"/>
    <w:rsid w:val="00735E2D"/>
    <w:rsid w:val="00736624"/>
    <w:rsid w:val="00736DDC"/>
    <w:rsid w:val="00736F2C"/>
    <w:rsid w:val="007419C8"/>
    <w:rsid w:val="00741D9F"/>
    <w:rsid w:val="00742398"/>
    <w:rsid w:val="007432A9"/>
    <w:rsid w:val="0074457C"/>
    <w:rsid w:val="00745C0B"/>
    <w:rsid w:val="00746050"/>
    <w:rsid w:val="00746118"/>
    <w:rsid w:val="00746C7F"/>
    <w:rsid w:val="007507B5"/>
    <w:rsid w:val="0075091D"/>
    <w:rsid w:val="00750EC4"/>
    <w:rsid w:val="00751831"/>
    <w:rsid w:val="0075201B"/>
    <w:rsid w:val="007523F8"/>
    <w:rsid w:val="00753A24"/>
    <w:rsid w:val="0075430D"/>
    <w:rsid w:val="007558B1"/>
    <w:rsid w:val="00756424"/>
    <w:rsid w:val="0075779F"/>
    <w:rsid w:val="00760198"/>
    <w:rsid w:val="0076354B"/>
    <w:rsid w:val="007658F3"/>
    <w:rsid w:val="007661FA"/>
    <w:rsid w:val="007664AF"/>
    <w:rsid w:val="00766EA2"/>
    <w:rsid w:val="00767034"/>
    <w:rsid w:val="007712DB"/>
    <w:rsid w:val="00772188"/>
    <w:rsid w:val="0077222A"/>
    <w:rsid w:val="00772D30"/>
    <w:rsid w:val="00773909"/>
    <w:rsid w:val="0077411B"/>
    <w:rsid w:val="0077433B"/>
    <w:rsid w:val="00774E1E"/>
    <w:rsid w:val="0078094C"/>
    <w:rsid w:val="0078118A"/>
    <w:rsid w:val="007813D0"/>
    <w:rsid w:val="00782DD7"/>
    <w:rsid w:val="007845AC"/>
    <w:rsid w:val="007845F0"/>
    <w:rsid w:val="00785993"/>
    <w:rsid w:val="00785A0D"/>
    <w:rsid w:val="00785FC4"/>
    <w:rsid w:val="007863BF"/>
    <w:rsid w:val="007866E2"/>
    <w:rsid w:val="00786BA3"/>
    <w:rsid w:val="00790993"/>
    <w:rsid w:val="0079202F"/>
    <w:rsid w:val="0079203E"/>
    <w:rsid w:val="007934C3"/>
    <w:rsid w:val="00794903"/>
    <w:rsid w:val="00795486"/>
    <w:rsid w:val="00795AF2"/>
    <w:rsid w:val="00795E4F"/>
    <w:rsid w:val="007A0287"/>
    <w:rsid w:val="007A09FC"/>
    <w:rsid w:val="007A15BB"/>
    <w:rsid w:val="007A2AAD"/>
    <w:rsid w:val="007A4432"/>
    <w:rsid w:val="007A59E9"/>
    <w:rsid w:val="007A784E"/>
    <w:rsid w:val="007A7E31"/>
    <w:rsid w:val="007B02A0"/>
    <w:rsid w:val="007B278C"/>
    <w:rsid w:val="007B2DAD"/>
    <w:rsid w:val="007B3774"/>
    <w:rsid w:val="007B453B"/>
    <w:rsid w:val="007B459E"/>
    <w:rsid w:val="007B4939"/>
    <w:rsid w:val="007B499C"/>
    <w:rsid w:val="007B4D4B"/>
    <w:rsid w:val="007B58C6"/>
    <w:rsid w:val="007B5EE2"/>
    <w:rsid w:val="007B5F6B"/>
    <w:rsid w:val="007B76D8"/>
    <w:rsid w:val="007C0646"/>
    <w:rsid w:val="007C1E5E"/>
    <w:rsid w:val="007C1E9D"/>
    <w:rsid w:val="007C36C2"/>
    <w:rsid w:val="007C3827"/>
    <w:rsid w:val="007C3AE3"/>
    <w:rsid w:val="007C459E"/>
    <w:rsid w:val="007C53C3"/>
    <w:rsid w:val="007C6C51"/>
    <w:rsid w:val="007D0000"/>
    <w:rsid w:val="007D1543"/>
    <w:rsid w:val="007D1926"/>
    <w:rsid w:val="007D2A02"/>
    <w:rsid w:val="007D4ACB"/>
    <w:rsid w:val="007D5587"/>
    <w:rsid w:val="007D5EA2"/>
    <w:rsid w:val="007D6144"/>
    <w:rsid w:val="007D62A4"/>
    <w:rsid w:val="007D6CE5"/>
    <w:rsid w:val="007D77BC"/>
    <w:rsid w:val="007E0503"/>
    <w:rsid w:val="007E0917"/>
    <w:rsid w:val="007E1736"/>
    <w:rsid w:val="007E25DD"/>
    <w:rsid w:val="007E2887"/>
    <w:rsid w:val="007E3318"/>
    <w:rsid w:val="007E3B2C"/>
    <w:rsid w:val="007E6EA1"/>
    <w:rsid w:val="007E7EFB"/>
    <w:rsid w:val="007F0F63"/>
    <w:rsid w:val="007F2B1E"/>
    <w:rsid w:val="007F4590"/>
    <w:rsid w:val="007F62B4"/>
    <w:rsid w:val="007F7DF9"/>
    <w:rsid w:val="00800FD6"/>
    <w:rsid w:val="00801517"/>
    <w:rsid w:val="00804053"/>
    <w:rsid w:val="00804966"/>
    <w:rsid w:val="0080510A"/>
    <w:rsid w:val="0080596A"/>
    <w:rsid w:val="00805CBF"/>
    <w:rsid w:val="008079E2"/>
    <w:rsid w:val="00810891"/>
    <w:rsid w:val="00810AC4"/>
    <w:rsid w:val="00811469"/>
    <w:rsid w:val="0081218E"/>
    <w:rsid w:val="0081228B"/>
    <w:rsid w:val="0081278B"/>
    <w:rsid w:val="00813492"/>
    <w:rsid w:val="00813A7E"/>
    <w:rsid w:val="00814DE2"/>
    <w:rsid w:val="00815423"/>
    <w:rsid w:val="008155E7"/>
    <w:rsid w:val="008177EE"/>
    <w:rsid w:val="00817895"/>
    <w:rsid w:val="00817AE8"/>
    <w:rsid w:val="00817DE8"/>
    <w:rsid w:val="008229F5"/>
    <w:rsid w:val="008259DE"/>
    <w:rsid w:val="0082699A"/>
    <w:rsid w:val="00827D15"/>
    <w:rsid w:val="00827E24"/>
    <w:rsid w:val="00827F2A"/>
    <w:rsid w:val="00832633"/>
    <w:rsid w:val="00832837"/>
    <w:rsid w:val="0083342C"/>
    <w:rsid w:val="00833869"/>
    <w:rsid w:val="008339AE"/>
    <w:rsid w:val="00833CEB"/>
    <w:rsid w:val="0083662B"/>
    <w:rsid w:val="008372D2"/>
    <w:rsid w:val="008377BC"/>
    <w:rsid w:val="00844C17"/>
    <w:rsid w:val="00846017"/>
    <w:rsid w:val="00847726"/>
    <w:rsid w:val="00851033"/>
    <w:rsid w:val="00851A55"/>
    <w:rsid w:val="00851CB1"/>
    <w:rsid w:val="00852511"/>
    <w:rsid w:val="0085252F"/>
    <w:rsid w:val="00855FD0"/>
    <w:rsid w:val="00857408"/>
    <w:rsid w:val="008578A9"/>
    <w:rsid w:val="0086072A"/>
    <w:rsid w:val="0086088F"/>
    <w:rsid w:val="008614F1"/>
    <w:rsid w:val="00862FD6"/>
    <w:rsid w:val="008639B3"/>
    <w:rsid w:val="00863C1A"/>
    <w:rsid w:val="00863DA3"/>
    <w:rsid w:val="00863ED7"/>
    <w:rsid w:val="0086470F"/>
    <w:rsid w:val="00865882"/>
    <w:rsid w:val="00866CDD"/>
    <w:rsid w:val="00867A66"/>
    <w:rsid w:val="008712FE"/>
    <w:rsid w:val="0087142D"/>
    <w:rsid w:val="00871FF6"/>
    <w:rsid w:val="00872928"/>
    <w:rsid w:val="00872DA6"/>
    <w:rsid w:val="00873416"/>
    <w:rsid w:val="00873956"/>
    <w:rsid w:val="0087538C"/>
    <w:rsid w:val="00875CB0"/>
    <w:rsid w:val="008770CC"/>
    <w:rsid w:val="00877800"/>
    <w:rsid w:val="00877C32"/>
    <w:rsid w:val="00877F6E"/>
    <w:rsid w:val="0088094B"/>
    <w:rsid w:val="00880E08"/>
    <w:rsid w:val="00880E72"/>
    <w:rsid w:val="0088176E"/>
    <w:rsid w:val="008825EE"/>
    <w:rsid w:val="00882DE4"/>
    <w:rsid w:val="0088313E"/>
    <w:rsid w:val="0088596E"/>
    <w:rsid w:val="00885D26"/>
    <w:rsid w:val="008860A4"/>
    <w:rsid w:val="00886A4B"/>
    <w:rsid w:val="00886C54"/>
    <w:rsid w:val="00886F34"/>
    <w:rsid w:val="008870ED"/>
    <w:rsid w:val="008877FC"/>
    <w:rsid w:val="00887E5A"/>
    <w:rsid w:val="00891D8A"/>
    <w:rsid w:val="0089796A"/>
    <w:rsid w:val="0089799B"/>
    <w:rsid w:val="008A12B9"/>
    <w:rsid w:val="008A169F"/>
    <w:rsid w:val="008A2375"/>
    <w:rsid w:val="008A399F"/>
    <w:rsid w:val="008A54B6"/>
    <w:rsid w:val="008A56FE"/>
    <w:rsid w:val="008A584C"/>
    <w:rsid w:val="008A7D22"/>
    <w:rsid w:val="008A7DEB"/>
    <w:rsid w:val="008B1B65"/>
    <w:rsid w:val="008B3557"/>
    <w:rsid w:val="008B3936"/>
    <w:rsid w:val="008B39E0"/>
    <w:rsid w:val="008B4302"/>
    <w:rsid w:val="008B605A"/>
    <w:rsid w:val="008C093B"/>
    <w:rsid w:val="008C0E76"/>
    <w:rsid w:val="008C2665"/>
    <w:rsid w:val="008C5CD8"/>
    <w:rsid w:val="008C6041"/>
    <w:rsid w:val="008C68D0"/>
    <w:rsid w:val="008C74E3"/>
    <w:rsid w:val="008D0936"/>
    <w:rsid w:val="008D403B"/>
    <w:rsid w:val="008D4707"/>
    <w:rsid w:val="008D7698"/>
    <w:rsid w:val="008D76C5"/>
    <w:rsid w:val="008E0A04"/>
    <w:rsid w:val="008E0AFA"/>
    <w:rsid w:val="008E131A"/>
    <w:rsid w:val="008E2799"/>
    <w:rsid w:val="008E3A7E"/>
    <w:rsid w:val="008E411B"/>
    <w:rsid w:val="008E4F56"/>
    <w:rsid w:val="008E75D3"/>
    <w:rsid w:val="008E7E48"/>
    <w:rsid w:val="008F02E9"/>
    <w:rsid w:val="008F0CE4"/>
    <w:rsid w:val="008F125E"/>
    <w:rsid w:val="008F1CC5"/>
    <w:rsid w:val="008F2B54"/>
    <w:rsid w:val="008F2CC5"/>
    <w:rsid w:val="008F2F3B"/>
    <w:rsid w:val="008F3CFA"/>
    <w:rsid w:val="008F4C1E"/>
    <w:rsid w:val="008F4D2F"/>
    <w:rsid w:val="008F510A"/>
    <w:rsid w:val="008F55A2"/>
    <w:rsid w:val="00900235"/>
    <w:rsid w:val="009004CC"/>
    <w:rsid w:val="00900D3C"/>
    <w:rsid w:val="00906292"/>
    <w:rsid w:val="00914B5B"/>
    <w:rsid w:val="00917162"/>
    <w:rsid w:val="009172B9"/>
    <w:rsid w:val="009178AA"/>
    <w:rsid w:val="009218AE"/>
    <w:rsid w:val="00921B5F"/>
    <w:rsid w:val="00923001"/>
    <w:rsid w:val="0092358D"/>
    <w:rsid w:val="009238BF"/>
    <w:rsid w:val="009251CC"/>
    <w:rsid w:val="00925656"/>
    <w:rsid w:val="00925692"/>
    <w:rsid w:val="0092714E"/>
    <w:rsid w:val="00927661"/>
    <w:rsid w:val="00931E24"/>
    <w:rsid w:val="009324F0"/>
    <w:rsid w:val="00932993"/>
    <w:rsid w:val="00932AF8"/>
    <w:rsid w:val="009338D2"/>
    <w:rsid w:val="0093478F"/>
    <w:rsid w:val="0093520D"/>
    <w:rsid w:val="00936826"/>
    <w:rsid w:val="00936896"/>
    <w:rsid w:val="00940B3D"/>
    <w:rsid w:val="00942002"/>
    <w:rsid w:val="00942359"/>
    <w:rsid w:val="00943D07"/>
    <w:rsid w:val="009446D6"/>
    <w:rsid w:val="009457DC"/>
    <w:rsid w:val="0094623A"/>
    <w:rsid w:val="00946FC5"/>
    <w:rsid w:val="00947885"/>
    <w:rsid w:val="009504AB"/>
    <w:rsid w:val="00951212"/>
    <w:rsid w:val="00951818"/>
    <w:rsid w:val="00952168"/>
    <w:rsid w:val="009527FE"/>
    <w:rsid w:val="009529B2"/>
    <w:rsid w:val="009535A6"/>
    <w:rsid w:val="009538D0"/>
    <w:rsid w:val="0095421F"/>
    <w:rsid w:val="009555CA"/>
    <w:rsid w:val="00955D69"/>
    <w:rsid w:val="00960539"/>
    <w:rsid w:val="009605B1"/>
    <w:rsid w:val="009607E1"/>
    <w:rsid w:val="00960CBC"/>
    <w:rsid w:val="009621EE"/>
    <w:rsid w:val="00963A06"/>
    <w:rsid w:val="00964B2B"/>
    <w:rsid w:val="00965192"/>
    <w:rsid w:val="00967DD4"/>
    <w:rsid w:val="009700B1"/>
    <w:rsid w:val="0097043F"/>
    <w:rsid w:val="00970ECF"/>
    <w:rsid w:val="00971261"/>
    <w:rsid w:val="00971FD4"/>
    <w:rsid w:val="009722CB"/>
    <w:rsid w:val="009739A0"/>
    <w:rsid w:val="00974EE4"/>
    <w:rsid w:val="00974F84"/>
    <w:rsid w:val="00975D5B"/>
    <w:rsid w:val="00976216"/>
    <w:rsid w:val="009767C7"/>
    <w:rsid w:val="00977D30"/>
    <w:rsid w:val="009809DA"/>
    <w:rsid w:val="00980D2C"/>
    <w:rsid w:val="00980E69"/>
    <w:rsid w:val="00983159"/>
    <w:rsid w:val="0098334C"/>
    <w:rsid w:val="009839AE"/>
    <w:rsid w:val="00984643"/>
    <w:rsid w:val="0098576C"/>
    <w:rsid w:val="0098579A"/>
    <w:rsid w:val="00987D1D"/>
    <w:rsid w:val="00991475"/>
    <w:rsid w:val="009918DD"/>
    <w:rsid w:val="0099195A"/>
    <w:rsid w:val="00991BD2"/>
    <w:rsid w:val="00992407"/>
    <w:rsid w:val="00992A11"/>
    <w:rsid w:val="00994681"/>
    <w:rsid w:val="0099486A"/>
    <w:rsid w:val="009A0B33"/>
    <w:rsid w:val="009A0E26"/>
    <w:rsid w:val="009A16EC"/>
    <w:rsid w:val="009A1C88"/>
    <w:rsid w:val="009A22C2"/>
    <w:rsid w:val="009A6655"/>
    <w:rsid w:val="009A743E"/>
    <w:rsid w:val="009A7CF6"/>
    <w:rsid w:val="009B1B55"/>
    <w:rsid w:val="009B29B7"/>
    <w:rsid w:val="009B3199"/>
    <w:rsid w:val="009B36CE"/>
    <w:rsid w:val="009B3B37"/>
    <w:rsid w:val="009B63F4"/>
    <w:rsid w:val="009B7D1F"/>
    <w:rsid w:val="009C088E"/>
    <w:rsid w:val="009C17DC"/>
    <w:rsid w:val="009C37AB"/>
    <w:rsid w:val="009C4C57"/>
    <w:rsid w:val="009C4C7A"/>
    <w:rsid w:val="009C4D35"/>
    <w:rsid w:val="009C5E51"/>
    <w:rsid w:val="009C7B68"/>
    <w:rsid w:val="009D1522"/>
    <w:rsid w:val="009D51F0"/>
    <w:rsid w:val="009D51F7"/>
    <w:rsid w:val="009D7252"/>
    <w:rsid w:val="009E1FF6"/>
    <w:rsid w:val="009E2A7E"/>
    <w:rsid w:val="009E3CAF"/>
    <w:rsid w:val="009E3F48"/>
    <w:rsid w:val="009E53A5"/>
    <w:rsid w:val="009E5B95"/>
    <w:rsid w:val="009E5CCE"/>
    <w:rsid w:val="009E5EB4"/>
    <w:rsid w:val="009F21DA"/>
    <w:rsid w:val="009F563C"/>
    <w:rsid w:val="009F610E"/>
    <w:rsid w:val="00A00DA9"/>
    <w:rsid w:val="00A00E4B"/>
    <w:rsid w:val="00A00F7E"/>
    <w:rsid w:val="00A02ED4"/>
    <w:rsid w:val="00A0384F"/>
    <w:rsid w:val="00A03E9A"/>
    <w:rsid w:val="00A044D6"/>
    <w:rsid w:val="00A04ADB"/>
    <w:rsid w:val="00A04F89"/>
    <w:rsid w:val="00A05F11"/>
    <w:rsid w:val="00A10F76"/>
    <w:rsid w:val="00A11E0F"/>
    <w:rsid w:val="00A12378"/>
    <w:rsid w:val="00A141E9"/>
    <w:rsid w:val="00A15D78"/>
    <w:rsid w:val="00A15EBE"/>
    <w:rsid w:val="00A15FD2"/>
    <w:rsid w:val="00A17F5B"/>
    <w:rsid w:val="00A20196"/>
    <w:rsid w:val="00A2022D"/>
    <w:rsid w:val="00A216E5"/>
    <w:rsid w:val="00A22C2B"/>
    <w:rsid w:val="00A24752"/>
    <w:rsid w:val="00A25884"/>
    <w:rsid w:val="00A26744"/>
    <w:rsid w:val="00A26CB6"/>
    <w:rsid w:val="00A30A00"/>
    <w:rsid w:val="00A32F82"/>
    <w:rsid w:val="00A32F8B"/>
    <w:rsid w:val="00A3431E"/>
    <w:rsid w:val="00A34B41"/>
    <w:rsid w:val="00A34F9F"/>
    <w:rsid w:val="00A36481"/>
    <w:rsid w:val="00A36675"/>
    <w:rsid w:val="00A3756F"/>
    <w:rsid w:val="00A37C5E"/>
    <w:rsid w:val="00A41CC3"/>
    <w:rsid w:val="00A41DBE"/>
    <w:rsid w:val="00A41F0F"/>
    <w:rsid w:val="00A42D6F"/>
    <w:rsid w:val="00A43870"/>
    <w:rsid w:val="00A44642"/>
    <w:rsid w:val="00A4474B"/>
    <w:rsid w:val="00A45A62"/>
    <w:rsid w:val="00A462DC"/>
    <w:rsid w:val="00A4657C"/>
    <w:rsid w:val="00A46C7E"/>
    <w:rsid w:val="00A51CE8"/>
    <w:rsid w:val="00A51DB8"/>
    <w:rsid w:val="00A52E0B"/>
    <w:rsid w:val="00A52FA1"/>
    <w:rsid w:val="00A54AC5"/>
    <w:rsid w:val="00A54C2A"/>
    <w:rsid w:val="00A55DC3"/>
    <w:rsid w:val="00A56D41"/>
    <w:rsid w:val="00A56DEC"/>
    <w:rsid w:val="00A60529"/>
    <w:rsid w:val="00A60899"/>
    <w:rsid w:val="00A608D3"/>
    <w:rsid w:val="00A60F91"/>
    <w:rsid w:val="00A61353"/>
    <w:rsid w:val="00A61481"/>
    <w:rsid w:val="00A616F1"/>
    <w:rsid w:val="00A61A48"/>
    <w:rsid w:val="00A629D6"/>
    <w:rsid w:val="00A6364F"/>
    <w:rsid w:val="00A637C9"/>
    <w:rsid w:val="00A65278"/>
    <w:rsid w:val="00A66DB1"/>
    <w:rsid w:val="00A67A92"/>
    <w:rsid w:val="00A70DC6"/>
    <w:rsid w:val="00A74FDC"/>
    <w:rsid w:val="00A77192"/>
    <w:rsid w:val="00A80737"/>
    <w:rsid w:val="00A8089F"/>
    <w:rsid w:val="00A83F98"/>
    <w:rsid w:val="00A842D5"/>
    <w:rsid w:val="00A87870"/>
    <w:rsid w:val="00A903F3"/>
    <w:rsid w:val="00A90F18"/>
    <w:rsid w:val="00A90FFB"/>
    <w:rsid w:val="00A9149D"/>
    <w:rsid w:val="00A91A70"/>
    <w:rsid w:val="00A92659"/>
    <w:rsid w:val="00A9302F"/>
    <w:rsid w:val="00A940AF"/>
    <w:rsid w:val="00A957F6"/>
    <w:rsid w:val="00A959CF"/>
    <w:rsid w:val="00A97316"/>
    <w:rsid w:val="00A974AA"/>
    <w:rsid w:val="00AA010B"/>
    <w:rsid w:val="00AA0D54"/>
    <w:rsid w:val="00AA17CD"/>
    <w:rsid w:val="00AA1B85"/>
    <w:rsid w:val="00AA24E8"/>
    <w:rsid w:val="00AA3290"/>
    <w:rsid w:val="00AA34E8"/>
    <w:rsid w:val="00AA4353"/>
    <w:rsid w:val="00AA46F0"/>
    <w:rsid w:val="00AA4CA2"/>
    <w:rsid w:val="00AA6481"/>
    <w:rsid w:val="00AA7270"/>
    <w:rsid w:val="00AA7D68"/>
    <w:rsid w:val="00AB0C08"/>
    <w:rsid w:val="00AB12AC"/>
    <w:rsid w:val="00AB1CB6"/>
    <w:rsid w:val="00AB1D9A"/>
    <w:rsid w:val="00AB2D3A"/>
    <w:rsid w:val="00AB4A1F"/>
    <w:rsid w:val="00AB5C61"/>
    <w:rsid w:val="00AB60F7"/>
    <w:rsid w:val="00AC2C10"/>
    <w:rsid w:val="00AC3540"/>
    <w:rsid w:val="00AC3D15"/>
    <w:rsid w:val="00AC5055"/>
    <w:rsid w:val="00AC668B"/>
    <w:rsid w:val="00AC735A"/>
    <w:rsid w:val="00AD0C22"/>
    <w:rsid w:val="00AD1AD7"/>
    <w:rsid w:val="00AD1AE2"/>
    <w:rsid w:val="00AD3290"/>
    <w:rsid w:val="00AD442C"/>
    <w:rsid w:val="00AD44FE"/>
    <w:rsid w:val="00AD5A37"/>
    <w:rsid w:val="00AD72D3"/>
    <w:rsid w:val="00AD73BF"/>
    <w:rsid w:val="00AD7C94"/>
    <w:rsid w:val="00AE05A4"/>
    <w:rsid w:val="00AE177E"/>
    <w:rsid w:val="00AE2147"/>
    <w:rsid w:val="00AE25FC"/>
    <w:rsid w:val="00AE3F99"/>
    <w:rsid w:val="00AE400C"/>
    <w:rsid w:val="00AE4765"/>
    <w:rsid w:val="00AE49F1"/>
    <w:rsid w:val="00AE4A1C"/>
    <w:rsid w:val="00AE4B7A"/>
    <w:rsid w:val="00AE5532"/>
    <w:rsid w:val="00AE74D8"/>
    <w:rsid w:val="00AF0B6F"/>
    <w:rsid w:val="00AF1D69"/>
    <w:rsid w:val="00AF30D0"/>
    <w:rsid w:val="00AF3FEC"/>
    <w:rsid w:val="00AF41FA"/>
    <w:rsid w:val="00AF617E"/>
    <w:rsid w:val="00AF71EB"/>
    <w:rsid w:val="00B00988"/>
    <w:rsid w:val="00B01405"/>
    <w:rsid w:val="00B038D9"/>
    <w:rsid w:val="00B052E8"/>
    <w:rsid w:val="00B05CCA"/>
    <w:rsid w:val="00B100C9"/>
    <w:rsid w:val="00B10E8A"/>
    <w:rsid w:val="00B11099"/>
    <w:rsid w:val="00B1118A"/>
    <w:rsid w:val="00B14271"/>
    <w:rsid w:val="00B16270"/>
    <w:rsid w:val="00B20272"/>
    <w:rsid w:val="00B22578"/>
    <w:rsid w:val="00B23C16"/>
    <w:rsid w:val="00B23C52"/>
    <w:rsid w:val="00B241F2"/>
    <w:rsid w:val="00B247C7"/>
    <w:rsid w:val="00B259E1"/>
    <w:rsid w:val="00B2685D"/>
    <w:rsid w:val="00B26D1E"/>
    <w:rsid w:val="00B27DA3"/>
    <w:rsid w:val="00B30351"/>
    <w:rsid w:val="00B30375"/>
    <w:rsid w:val="00B312C0"/>
    <w:rsid w:val="00B32601"/>
    <w:rsid w:val="00B3270B"/>
    <w:rsid w:val="00B33837"/>
    <w:rsid w:val="00B33C2A"/>
    <w:rsid w:val="00B33C35"/>
    <w:rsid w:val="00B34A14"/>
    <w:rsid w:val="00B35967"/>
    <w:rsid w:val="00B363D9"/>
    <w:rsid w:val="00B3671E"/>
    <w:rsid w:val="00B422EC"/>
    <w:rsid w:val="00B44324"/>
    <w:rsid w:val="00B44875"/>
    <w:rsid w:val="00B44C07"/>
    <w:rsid w:val="00B44E44"/>
    <w:rsid w:val="00B46320"/>
    <w:rsid w:val="00B4657A"/>
    <w:rsid w:val="00B471F4"/>
    <w:rsid w:val="00B47F0A"/>
    <w:rsid w:val="00B50061"/>
    <w:rsid w:val="00B50B6B"/>
    <w:rsid w:val="00B50FD4"/>
    <w:rsid w:val="00B52E6E"/>
    <w:rsid w:val="00B53BE4"/>
    <w:rsid w:val="00B53FF8"/>
    <w:rsid w:val="00B54329"/>
    <w:rsid w:val="00B54885"/>
    <w:rsid w:val="00B54BFF"/>
    <w:rsid w:val="00B5508F"/>
    <w:rsid w:val="00B554C9"/>
    <w:rsid w:val="00B56AD9"/>
    <w:rsid w:val="00B56EE3"/>
    <w:rsid w:val="00B57158"/>
    <w:rsid w:val="00B5778D"/>
    <w:rsid w:val="00B614C0"/>
    <w:rsid w:val="00B634AB"/>
    <w:rsid w:val="00B63533"/>
    <w:rsid w:val="00B63624"/>
    <w:rsid w:val="00B6678B"/>
    <w:rsid w:val="00B7037B"/>
    <w:rsid w:val="00B71798"/>
    <w:rsid w:val="00B719F6"/>
    <w:rsid w:val="00B726D4"/>
    <w:rsid w:val="00B72969"/>
    <w:rsid w:val="00B758FD"/>
    <w:rsid w:val="00B76807"/>
    <w:rsid w:val="00B76890"/>
    <w:rsid w:val="00B77D24"/>
    <w:rsid w:val="00B818C3"/>
    <w:rsid w:val="00B81A6C"/>
    <w:rsid w:val="00B8214F"/>
    <w:rsid w:val="00B82B43"/>
    <w:rsid w:val="00B82B48"/>
    <w:rsid w:val="00B85133"/>
    <w:rsid w:val="00B8643A"/>
    <w:rsid w:val="00B86A4F"/>
    <w:rsid w:val="00B9025B"/>
    <w:rsid w:val="00B93035"/>
    <w:rsid w:val="00B940EB"/>
    <w:rsid w:val="00B9431C"/>
    <w:rsid w:val="00B95798"/>
    <w:rsid w:val="00B958E8"/>
    <w:rsid w:val="00B974C3"/>
    <w:rsid w:val="00B97637"/>
    <w:rsid w:val="00B97E4A"/>
    <w:rsid w:val="00BA09B2"/>
    <w:rsid w:val="00BA0B44"/>
    <w:rsid w:val="00BA0F35"/>
    <w:rsid w:val="00BA465D"/>
    <w:rsid w:val="00BA52C0"/>
    <w:rsid w:val="00BA5B46"/>
    <w:rsid w:val="00BA63D4"/>
    <w:rsid w:val="00BA67F9"/>
    <w:rsid w:val="00BB1E13"/>
    <w:rsid w:val="00BB2D73"/>
    <w:rsid w:val="00BB400D"/>
    <w:rsid w:val="00BB45BA"/>
    <w:rsid w:val="00BB45EF"/>
    <w:rsid w:val="00BB48B2"/>
    <w:rsid w:val="00BB4A3A"/>
    <w:rsid w:val="00BB4D6A"/>
    <w:rsid w:val="00BB5AFE"/>
    <w:rsid w:val="00BB5D0B"/>
    <w:rsid w:val="00BB629C"/>
    <w:rsid w:val="00BC0995"/>
    <w:rsid w:val="00BC1761"/>
    <w:rsid w:val="00BC19ED"/>
    <w:rsid w:val="00BC26B9"/>
    <w:rsid w:val="00BC308B"/>
    <w:rsid w:val="00BC36D4"/>
    <w:rsid w:val="00BC513A"/>
    <w:rsid w:val="00BC696C"/>
    <w:rsid w:val="00BC6C56"/>
    <w:rsid w:val="00BC6DE2"/>
    <w:rsid w:val="00BC6E62"/>
    <w:rsid w:val="00BD013A"/>
    <w:rsid w:val="00BD2510"/>
    <w:rsid w:val="00BD3A53"/>
    <w:rsid w:val="00BD4E7E"/>
    <w:rsid w:val="00BD5A19"/>
    <w:rsid w:val="00BD656A"/>
    <w:rsid w:val="00BD6D1B"/>
    <w:rsid w:val="00BE13AB"/>
    <w:rsid w:val="00BE2403"/>
    <w:rsid w:val="00BE2C8C"/>
    <w:rsid w:val="00BE2D0A"/>
    <w:rsid w:val="00BE47D4"/>
    <w:rsid w:val="00BE6622"/>
    <w:rsid w:val="00BE793A"/>
    <w:rsid w:val="00BE7A0B"/>
    <w:rsid w:val="00BE7FF3"/>
    <w:rsid w:val="00BF114D"/>
    <w:rsid w:val="00BF2B82"/>
    <w:rsid w:val="00BF2CEB"/>
    <w:rsid w:val="00BF432A"/>
    <w:rsid w:val="00BF5D70"/>
    <w:rsid w:val="00BF64A6"/>
    <w:rsid w:val="00BF6796"/>
    <w:rsid w:val="00BF6E82"/>
    <w:rsid w:val="00C060C7"/>
    <w:rsid w:val="00C06DCC"/>
    <w:rsid w:val="00C07F92"/>
    <w:rsid w:val="00C10EA4"/>
    <w:rsid w:val="00C11D25"/>
    <w:rsid w:val="00C13217"/>
    <w:rsid w:val="00C15BEC"/>
    <w:rsid w:val="00C15DB5"/>
    <w:rsid w:val="00C1728E"/>
    <w:rsid w:val="00C208E2"/>
    <w:rsid w:val="00C20D11"/>
    <w:rsid w:val="00C21897"/>
    <w:rsid w:val="00C21DC1"/>
    <w:rsid w:val="00C22054"/>
    <w:rsid w:val="00C2288E"/>
    <w:rsid w:val="00C22B54"/>
    <w:rsid w:val="00C24279"/>
    <w:rsid w:val="00C24C17"/>
    <w:rsid w:val="00C31595"/>
    <w:rsid w:val="00C31B25"/>
    <w:rsid w:val="00C3309D"/>
    <w:rsid w:val="00C3411D"/>
    <w:rsid w:val="00C34357"/>
    <w:rsid w:val="00C34829"/>
    <w:rsid w:val="00C363B8"/>
    <w:rsid w:val="00C3758F"/>
    <w:rsid w:val="00C40B88"/>
    <w:rsid w:val="00C44489"/>
    <w:rsid w:val="00C44FC2"/>
    <w:rsid w:val="00C452D4"/>
    <w:rsid w:val="00C47D87"/>
    <w:rsid w:val="00C47FCD"/>
    <w:rsid w:val="00C50FA6"/>
    <w:rsid w:val="00C5368E"/>
    <w:rsid w:val="00C5376E"/>
    <w:rsid w:val="00C53A95"/>
    <w:rsid w:val="00C53F04"/>
    <w:rsid w:val="00C550D9"/>
    <w:rsid w:val="00C554C1"/>
    <w:rsid w:val="00C55AEE"/>
    <w:rsid w:val="00C5701B"/>
    <w:rsid w:val="00C6069A"/>
    <w:rsid w:val="00C61BDC"/>
    <w:rsid w:val="00C64158"/>
    <w:rsid w:val="00C64D40"/>
    <w:rsid w:val="00C6565D"/>
    <w:rsid w:val="00C65957"/>
    <w:rsid w:val="00C66218"/>
    <w:rsid w:val="00C677C9"/>
    <w:rsid w:val="00C70DBC"/>
    <w:rsid w:val="00C71E80"/>
    <w:rsid w:val="00C74198"/>
    <w:rsid w:val="00C74F1A"/>
    <w:rsid w:val="00C7750A"/>
    <w:rsid w:val="00C80467"/>
    <w:rsid w:val="00C808A6"/>
    <w:rsid w:val="00C84AC6"/>
    <w:rsid w:val="00C855DB"/>
    <w:rsid w:val="00C855F3"/>
    <w:rsid w:val="00C86270"/>
    <w:rsid w:val="00C86C49"/>
    <w:rsid w:val="00C90C20"/>
    <w:rsid w:val="00C948CF"/>
    <w:rsid w:val="00C94F6F"/>
    <w:rsid w:val="00C95327"/>
    <w:rsid w:val="00C95798"/>
    <w:rsid w:val="00C95A74"/>
    <w:rsid w:val="00C95B71"/>
    <w:rsid w:val="00C97091"/>
    <w:rsid w:val="00C97260"/>
    <w:rsid w:val="00C97391"/>
    <w:rsid w:val="00CA14A5"/>
    <w:rsid w:val="00CA1A7C"/>
    <w:rsid w:val="00CA1AB8"/>
    <w:rsid w:val="00CA2001"/>
    <w:rsid w:val="00CA2B10"/>
    <w:rsid w:val="00CA3F11"/>
    <w:rsid w:val="00CA5256"/>
    <w:rsid w:val="00CA5564"/>
    <w:rsid w:val="00CA7E40"/>
    <w:rsid w:val="00CB078E"/>
    <w:rsid w:val="00CB2416"/>
    <w:rsid w:val="00CB3782"/>
    <w:rsid w:val="00CB4D20"/>
    <w:rsid w:val="00CB537B"/>
    <w:rsid w:val="00CB5B6C"/>
    <w:rsid w:val="00CB74E3"/>
    <w:rsid w:val="00CC052E"/>
    <w:rsid w:val="00CC0657"/>
    <w:rsid w:val="00CC06E5"/>
    <w:rsid w:val="00CC08A8"/>
    <w:rsid w:val="00CC0B14"/>
    <w:rsid w:val="00CC2ACD"/>
    <w:rsid w:val="00CC31D6"/>
    <w:rsid w:val="00CC5B9C"/>
    <w:rsid w:val="00CC68F8"/>
    <w:rsid w:val="00CC7AF9"/>
    <w:rsid w:val="00CD02DF"/>
    <w:rsid w:val="00CD10A5"/>
    <w:rsid w:val="00CD16BE"/>
    <w:rsid w:val="00CD179F"/>
    <w:rsid w:val="00CD1F32"/>
    <w:rsid w:val="00CD2268"/>
    <w:rsid w:val="00CD4616"/>
    <w:rsid w:val="00CD56AF"/>
    <w:rsid w:val="00CD5FFA"/>
    <w:rsid w:val="00CD608B"/>
    <w:rsid w:val="00CD61BB"/>
    <w:rsid w:val="00CD6EB1"/>
    <w:rsid w:val="00CE33D5"/>
    <w:rsid w:val="00CE3FC9"/>
    <w:rsid w:val="00CE4712"/>
    <w:rsid w:val="00CE6073"/>
    <w:rsid w:val="00CE761C"/>
    <w:rsid w:val="00CE7FFD"/>
    <w:rsid w:val="00CF4118"/>
    <w:rsid w:val="00CF53F5"/>
    <w:rsid w:val="00CF5773"/>
    <w:rsid w:val="00CF5D37"/>
    <w:rsid w:val="00CF6353"/>
    <w:rsid w:val="00CF6F33"/>
    <w:rsid w:val="00CF7C7B"/>
    <w:rsid w:val="00D0176E"/>
    <w:rsid w:val="00D02248"/>
    <w:rsid w:val="00D04429"/>
    <w:rsid w:val="00D04B47"/>
    <w:rsid w:val="00D04E37"/>
    <w:rsid w:val="00D063B8"/>
    <w:rsid w:val="00D06825"/>
    <w:rsid w:val="00D06E0B"/>
    <w:rsid w:val="00D072F9"/>
    <w:rsid w:val="00D07467"/>
    <w:rsid w:val="00D076E6"/>
    <w:rsid w:val="00D10594"/>
    <w:rsid w:val="00D15CDD"/>
    <w:rsid w:val="00D17185"/>
    <w:rsid w:val="00D17E3B"/>
    <w:rsid w:val="00D20AA1"/>
    <w:rsid w:val="00D2306F"/>
    <w:rsid w:val="00D233A1"/>
    <w:rsid w:val="00D23C09"/>
    <w:rsid w:val="00D23CED"/>
    <w:rsid w:val="00D241D1"/>
    <w:rsid w:val="00D24BD2"/>
    <w:rsid w:val="00D254F7"/>
    <w:rsid w:val="00D2573D"/>
    <w:rsid w:val="00D260A2"/>
    <w:rsid w:val="00D30CC6"/>
    <w:rsid w:val="00D30DA4"/>
    <w:rsid w:val="00D31722"/>
    <w:rsid w:val="00D31D9F"/>
    <w:rsid w:val="00D3260C"/>
    <w:rsid w:val="00D32DE6"/>
    <w:rsid w:val="00D33DB5"/>
    <w:rsid w:val="00D34CBB"/>
    <w:rsid w:val="00D35790"/>
    <w:rsid w:val="00D41971"/>
    <w:rsid w:val="00D442D5"/>
    <w:rsid w:val="00D45043"/>
    <w:rsid w:val="00D45C1D"/>
    <w:rsid w:val="00D45C81"/>
    <w:rsid w:val="00D46C5F"/>
    <w:rsid w:val="00D4757A"/>
    <w:rsid w:val="00D51576"/>
    <w:rsid w:val="00D519AF"/>
    <w:rsid w:val="00D532A9"/>
    <w:rsid w:val="00D5437A"/>
    <w:rsid w:val="00D5611E"/>
    <w:rsid w:val="00D5653B"/>
    <w:rsid w:val="00D56C30"/>
    <w:rsid w:val="00D56DF7"/>
    <w:rsid w:val="00D5726D"/>
    <w:rsid w:val="00D572AC"/>
    <w:rsid w:val="00D604A7"/>
    <w:rsid w:val="00D6071F"/>
    <w:rsid w:val="00D6084C"/>
    <w:rsid w:val="00D60AA4"/>
    <w:rsid w:val="00D61D6E"/>
    <w:rsid w:val="00D62A31"/>
    <w:rsid w:val="00D62EF1"/>
    <w:rsid w:val="00D6309D"/>
    <w:rsid w:val="00D634F9"/>
    <w:rsid w:val="00D6389F"/>
    <w:rsid w:val="00D644CA"/>
    <w:rsid w:val="00D64EA0"/>
    <w:rsid w:val="00D64FE1"/>
    <w:rsid w:val="00D66FC2"/>
    <w:rsid w:val="00D677CD"/>
    <w:rsid w:val="00D7044E"/>
    <w:rsid w:val="00D704A8"/>
    <w:rsid w:val="00D70A2B"/>
    <w:rsid w:val="00D70CA5"/>
    <w:rsid w:val="00D743AE"/>
    <w:rsid w:val="00D74E1F"/>
    <w:rsid w:val="00D74F48"/>
    <w:rsid w:val="00D758F4"/>
    <w:rsid w:val="00D765B4"/>
    <w:rsid w:val="00D76C7E"/>
    <w:rsid w:val="00D771DE"/>
    <w:rsid w:val="00D7776D"/>
    <w:rsid w:val="00D80C6C"/>
    <w:rsid w:val="00D81AEF"/>
    <w:rsid w:val="00D82A42"/>
    <w:rsid w:val="00D83023"/>
    <w:rsid w:val="00D834F1"/>
    <w:rsid w:val="00D83609"/>
    <w:rsid w:val="00D83AA6"/>
    <w:rsid w:val="00D84295"/>
    <w:rsid w:val="00D846BE"/>
    <w:rsid w:val="00D851C7"/>
    <w:rsid w:val="00D85C0D"/>
    <w:rsid w:val="00D866CB"/>
    <w:rsid w:val="00D86909"/>
    <w:rsid w:val="00D87A9A"/>
    <w:rsid w:val="00D90625"/>
    <w:rsid w:val="00D909F8"/>
    <w:rsid w:val="00D9152C"/>
    <w:rsid w:val="00D92179"/>
    <w:rsid w:val="00D922C6"/>
    <w:rsid w:val="00D9293F"/>
    <w:rsid w:val="00D92DE7"/>
    <w:rsid w:val="00D93598"/>
    <w:rsid w:val="00D93FDD"/>
    <w:rsid w:val="00D942F8"/>
    <w:rsid w:val="00D9644B"/>
    <w:rsid w:val="00D97A5B"/>
    <w:rsid w:val="00DA1E18"/>
    <w:rsid w:val="00DA2009"/>
    <w:rsid w:val="00DA296C"/>
    <w:rsid w:val="00DA585A"/>
    <w:rsid w:val="00DA7741"/>
    <w:rsid w:val="00DA7769"/>
    <w:rsid w:val="00DB05B1"/>
    <w:rsid w:val="00DB2823"/>
    <w:rsid w:val="00DB2D74"/>
    <w:rsid w:val="00DB3786"/>
    <w:rsid w:val="00DB59E8"/>
    <w:rsid w:val="00DB5A79"/>
    <w:rsid w:val="00DB7A76"/>
    <w:rsid w:val="00DC20D1"/>
    <w:rsid w:val="00DC2272"/>
    <w:rsid w:val="00DC2465"/>
    <w:rsid w:val="00DC307D"/>
    <w:rsid w:val="00DC329B"/>
    <w:rsid w:val="00DC4BCA"/>
    <w:rsid w:val="00DC5CA4"/>
    <w:rsid w:val="00DC5CDA"/>
    <w:rsid w:val="00DC5E2C"/>
    <w:rsid w:val="00DC6B80"/>
    <w:rsid w:val="00DC7D48"/>
    <w:rsid w:val="00DD0253"/>
    <w:rsid w:val="00DD145A"/>
    <w:rsid w:val="00DD3077"/>
    <w:rsid w:val="00DD512E"/>
    <w:rsid w:val="00DD5EC8"/>
    <w:rsid w:val="00DD7B34"/>
    <w:rsid w:val="00DD7BEC"/>
    <w:rsid w:val="00DE083E"/>
    <w:rsid w:val="00DE0C22"/>
    <w:rsid w:val="00DE1177"/>
    <w:rsid w:val="00DE23BE"/>
    <w:rsid w:val="00DE2CEA"/>
    <w:rsid w:val="00DE3CFE"/>
    <w:rsid w:val="00DE4A8F"/>
    <w:rsid w:val="00DE567C"/>
    <w:rsid w:val="00DE6154"/>
    <w:rsid w:val="00DE634D"/>
    <w:rsid w:val="00DE6A3C"/>
    <w:rsid w:val="00DE6C0E"/>
    <w:rsid w:val="00DE74F4"/>
    <w:rsid w:val="00DE7C8B"/>
    <w:rsid w:val="00DE7F97"/>
    <w:rsid w:val="00DF0AAF"/>
    <w:rsid w:val="00DF1010"/>
    <w:rsid w:val="00DF2244"/>
    <w:rsid w:val="00DF334D"/>
    <w:rsid w:val="00DF4D68"/>
    <w:rsid w:val="00DF53D9"/>
    <w:rsid w:val="00DF5837"/>
    <w:rsid w:val="00DF5AEA"/>
    <w:rsid w:val="00DF5D49"/>
    <w:rsid w:val="00DF63F6"/>
    <w:rsid w:val="00DF7441"/>
    <w:rsid w:val="00DF7992"/>
    <w:rsid w:val="00DF7BD0"/>
    <w:rsid w:val="00E003E6"/>
    <w:rsid w:val="00E008AC"/>
    <w:rsid w:val="00E00C8E"/>
    <w:rsid w:val="00E0219D"/>
    <w:rsid w:val="00E0276A"/>
    <w:rsid w:val="00E0374B"/>
    <w:rsid w:val="00E0632F"/>
    <w:rsid w:val="00E06C36"/>
    <w:rsid w:val="00E071A9"/>
    <w:rsid w:val="00E07D26"/>
    <w:rsid w:val="00E10B28"/>
    <w:rsid w:val="00E117FD"/>
    <w:rsid w:val="00E13747"/>
    <w:rsid w:val="00E14758"/>
    <w:rsid w:val="00E16505"/>
    <w:rsid w:val="00E17A13"/>
    <w:rsid w:val="00E21088"/>
    <w:rsid w:val="00E22514"/>
    <w:rsid w:val="00E22FD8"/>
    <w:rsid w:val="00E23C5E"/>
    <w:rsid w:val="00E23E29"/>
    <w:rsid w:val="00E24632"/>
    <w:rsid w:val="00E25155"/>
    <w:rsid w:val="00E25AEA"/>
    <w:rsid w:val="00E27C2C"/>
    <w:rsid w:val="00E3051B"/>
    <w:rsid w:val="00E30AE4"/>
    <w:rsid w:val="00E30D26"/>
    <w:rsid w:val="00E30DEF"/>
    <w:rsid w:val="00E30ED2"/>
    <w:rsid w:val="00E31276"/>
    <w:rsid w:val="00E3155D"/>
    <w:rsid w:val="00E31875"/>
    <w:rsid w:val="00E32102"/>
    <w:rsid w:val="00E34666"/>
    <w:rsid w:val="00E346E8"/>
    <w:rsid w:val="00E35684"/>
    <w:rsid w:val="00E36A66"/>
    <w:rsid w:val="00E37C6A"/>
    <w:rsid w:val="00E37F70"/>
    <w:rsid w:val="00E41377"/>
    <w:rsid w:val="00E41985"/>
    <w:rsid w:val="00E42B89"/>
    <w:rsid w:val="00E446C1"/>
    <w:rsid w:val="00E46BCD"/>
    <w:rsid w:val="00E505AA"/>
    <w:rsid w:val="00E51CCC"/>
    <w:rsid w:val="00E52079"/>
    <w:rsid w:val="00E545D7"/>
    <w:rsid w:val="00E547FE"/>
    <w:rsid w:val="00E54960"/>
    <w:rsid w:val="00E55927"/>
    <w:rsid w:val="00E5669C"/>
    <w:rsid w:val="00E56A58"/>
    <w:rsid w:val="00E60ECA"/>
    <w:rsid w:val="00E613AB"/>
    <w:rsid w:val="00E637B6"/>
    <w:rsid w:val="00E645AE"/>
    <w:rsid w:val="00E663B6"/>
    <w:rsid w:val="00E66BBE"/>
    <w:rsid w:val="00E670B5"/>
    <w:rsid w:val="00E6780D"/>
    <w:rsid w:val="00E67B4F"/>
    <w:rsid w:val="00E71DFE"/>
    <w:rsid w:val="00E73083"/>
    <w:rsid w:val="00E74990"/>
    <w:rsid w:val="00E756E4"/>
    <w:rsid w:val="00E758B9"/>
    <w:rsid w:val="00E76025"/>
    <w:rsid w:val="00E76B45"/>
    <w:rsid w:val="00E806A5"/>
    <w:rsid w:val="00E807BE"/>
    <w:rsid w:val="00E81BC1"/>
    <w:rsid w:val="00E82FE5"/>
    <w:rsid w:val="00E83724"/>
    <w:rsid w:val="00E83871"/>
    <w:rsid w:val="00E83F47"/>
    <w:rsid w:val="00E84236"/>
    <w:rsid w:val="00E84C02"/>
    <w:rsid w:val="00E85569"/>
    <w:rsid w:val="00E856AF"/>
    <w:rsid w:val="00E859D9"/>
    <w:rsid w:val="00E86B83"/>
    <w:rsid w:val="00E86D6E"/>
    <w:rsid w:val="00E874A2"/>
    <w:rsid w:val="00E878FB"/>
    <w:rsid w:val="00E87C64"/>
    <w:rsid w:val="00E912E1"/>
    <w:rsid w:val="00E919C3"/>
    <w:rsid w:val="00E91C4B"/>
    <w:rsid w:val="00E93A01"/>
    <w:rsid w:val="00E93FF8"/>
    <w:rsid w:val="00E948D8"/>
    <w:rsid w:val="00E94EB6"/>
    <w:rsid w:val="00E94F16"/>
    <w:rsid w:val="00E950CA"/>
    <w:rsid w:val="00E95CA8"/>
    <w:rsid w:val="00E96643"/>
    <w:rsid w:val="00E96CE0"/>
    <w:rsid w:val="00E96EAF"/>
    <w:rsid w:val="00EA044C"/>
    <w:rsid w:val="00EA1752"/>
    <w:rsid w:val="00EA1911"/>
    <w:rsid w:val="00EA539B"/>
    <w:rsid w:val="00EA5A89"/>
    <w:rsid w:val="00EA5BDB"/>
    <w:rsid w:val="00EA5C39"/>
    <w:rsid w:val="00EA63FA"/>
    <w:rsid w:val="00EA7DEB"/>
    <w:rsid w:val="00EB0325"/>
    <w:rsid w:val="00EB0A73"/>
    <w:rsid w:val="00EB0A9C"/>
    <w:rsid w:val="00EB0B55"/>
    <w:rsid w:val="00EB3A98"/>
    <w:rsid w:val="00EB46D9"/>
    <w:rsid w:val="00EB46FD"/>
    <w:rsid w:val="00EB4909"/>
    <w:rsid w:val="00EB6EF6"/>
    <w:rsid w:val="00EC0199"/>
    <w:rsid w:val="00EC0E64"/>
    <w:rsid w:val="00EC11AB"/>
    <w:rsid w:val="00EC142D"/>
    <w:rsid w:val="00EC1E16"/>
    <w:rsid w:val="00EC2DD1"/>
    <w:rsid w:val="00EC4BA5"/>
    <w:rsid w:val="00EC52DA"/>
    <w:rsid w:val="00EC6F28"/>
    <w:rsid w:val="00EC73C2"/>
    <w:rsid w:val="00ED0024"/>
    <w:rsid w:val="00ED0EA0"/>
    <w:rsid w:val="00ED0F85"/>
    <w:rsid w:val="00ED2B5C"/>
    <w:rsid w:val="00ED3269"/>
    <w:rsid w:val="00ED3A18"/>
    <w:rsid w:val="00ED3AB7"/>
    <w:rsid w:val="00ED3C57"/>
    <w:rsid w:val="00EE1A8C"/>
    <w:rsid w:val="00EE1C03"/>
    <w:rsid w:val="00EE3FED"/>
    <w:rsid w:val="00EE4643"/>
    <w:rsid w:val="00EE529F"/>
    <w:rsid w:val="00EE65B6"/>
    <w:rsid w:val="00EE7C86"/>
    <w:rsid w:val="00EF1330"/>
    <w:rsid w:val="00EF15FF"/>
    <w:rsid w:val="00EF31D8"/>
    <w:rsid w:val="00EF55E6"/>
    <w:rsid w:val="00EF5707"/>
    <w:rsid w:val="00EF69E8"/>
    <w:rsid w:val="00EF6F1F"/>
    <w:rsid w:val="00EF70EC"/>
    <w:rsid w:val="00EF7111"/>
    <w:rsid w:val="00EF7D1A"/>
    <w:rsid w:val="00F02759"/>
    <w:rsid w:val="00F03B49"/>
    <w:rsid w:val="00F0448F"/>
    <w:rsid w:val="00F04E9B"/>
    <w:rsid w:val="00F0716C"/>
    <w:rsid w:val="00F105AE"/>
    <w:rsid w:val="00F108A8"/>
    <w:rsid w:val="00F13319"/>
    <w:rsid w:val="00F14353"/>
    <w:rsid w:val="00F1628B"/>
    <w:rsid w:val="00F16EBE"/>
    <w:rsid w:val="00F21398"/>
    <w:rsid w:val="00F22E81"/>
    <w:rsid w:val="00F26998"/>
    <w:rsid w:val="00F270E9"/>
    <w:rsid w:val="00F273EF"/>
    <w:rsid w:val="00F27440"/>
    <w:rsid w:val="00F275BB"/>
    <w:rsid w:val="00F275C0"/>
    <w:rsid w:val="00F317B5"/>
    <w:rsid w:val="00F33348"/>
    <w:rsid w:val="00F346B6"/>
    <w:rsid w:val="00F3608D"/>
    <w:rsid w:val="00F36145"/>
    <w:rsid w:val="00F37AE5"/>
    <w:rsid w:val="00F37BDD"/>
    <w:rsid w:val="00F40716"/>
    <w:rsid w:val="00F41503"/>
    <w:rsid w:val="00F417D4"/>
    <w:rsid w:val="00F432CF"/>
    <w:rsid w:val="00F43506"/>
    <w:rsid w:val="00F437FD"/>
    <w:rsid w:val="00F43B69"/>
    <w:rsid w:val="00F43DD4"/>
    <w:rsid w:val="00F440E6"/>
    <w:rsid w:val="00F4479A"/>
    <w:rsid w:val="00F44D82"/>
    <w:rsid w:val="00F45589"/>
    <w:rsid w:val="00F46207"/>
    <w:rsid w:val="00F466C8"/>
    <w:rsid w:val="00F469A9"/>
    <w:rsid w:val="00F46B50"/>
    <w:rsid w:val="00F47C20"/>
    <w:rsid w:val="00F50B46"/>
    <w:rsid w:val="00F50D1F"/>
    <w:rsid w:val="00F51545"/>
    <w:rsid w:val="00F521DE"/>
    <w:rsid w:val="00F54162"/>
    <w:rsid w:val="00F541D4"/>
    <w:rsid w:val="00F553CE"/>
    <w:rsid w:val="00F56043"/>
    <w:rsid w:val="00F5664E"/>
    <w:rsid w:val="00F56BD8"/>
    <w:rsid w:val="00F56FA9"/>
    <w:rsid w:val="00F6136B"/>
    <w:rsid w:val="00F6171A"/>
    <w:rsid w:val="00F62303"/>
    <w:rsid w:val="00F62306"/>
    <w:rsid w:val="00F635FC"/>
    <w:rsid w:val="00F63D03"/>
    <w:rsid w:val="00F65E2F"/>
    <w:rsid w:val="00F66520"/>
    <w:rsid w:val="00F66B33"/>
    <w:rsid w:val="00F66EA7"/>
    <w:rsid w:val="00F67385"/>
    <w:rsid w:val="00F67DF1"/>
    <w:rsid w:val="00F7054E"/>
    <w:rsid w:val="00F7137C"/>
    <w:rsid w:val="00F72A09"/>
    <w:rsid w:val="00F74E67"/>
    <w:rsid w:val="00F7552B"/>
    <w:rsid w:val="00F8309B"/>
    <w:rsid w:val="00F831E2"/>
    <w:rsid w:val="00F833C9"/>
    <w:rsid w:val="00F8533A"/>
    <w:rsid w:val="00F90064"/>
    <w:rsid w:val="00F9022A"/>
    <w:rsid w:val="00F90520"/>
    <w:rsid w:val="00F938B1"/>
    <w:rsid w:val="00F94217"/>
    <w:rsid w:val="00F9586C"/>
    <w:rsid w:val="00F96AFD"/>
    <w:rsid w:val="00F96F4C"/>
    <w:rsid w:val="00FA07F4"/>
    <w:rsid w:val="00FA1398"/>
    <w:rsid w:val="00FA1515"/>
    <w:rsid w:val="00FA2E19"/>
    <w:rsid w:val="00FA43C8"/>
    <w:rsid w:val="00FA697F"/>
    <w:rsid w:val="00FB0147"/>
    <w:rsid w:val="00FB0823"/>
    <w:rsid w:val="00FB0F92"/>
    <w:rsid w:val="00FB1C39"/>
    <w:rsid w:val="00FB2FB3"/>
    <w:rsid w:val="00FB3846"/>
    <w:rsid w:val="00FB5059"/>
    <w:rsid w:val="00FB5521"/>
    <w:rsid w:val="00FB610D"/>
    <w:rsid w:val="00FB626E"/>
    <w:rsid w:val="00FC2B60"/>
    <w:rsid w:val="00FC4477"/>
    <w:rsid w:val="00FC46FB"/>
    <w:rsid w:val="00FC51FF"/>
    <w:rsid w:val="00FC6615"/>
    <w:rsid w:val="00FC6630"/>
    <w:rsid w:val="00FC7B66"/>
    <w:rsid w:val="00FD06E6"/>
    <w:rsid w:val="00FD0D94"/>
    <w:rsid w:val="00FD106C"/>
    <w:rsid w:val="00FD2BD3"/>
    <w:rsid w:val="00FD3DEF"/>
    <w:rsid w:val="00FD3E98"/>
    <w:rsid w:val="00FD4CCA"/>
    <w:rsid w:val="00FD58B1"/>
    <w:rsid w:val="00FD60E3"/>
    <w:rsid w:val="00FD6BB8"/>
    <w:rsid w:val="00FD6FBC"/>
    <w:rsid w:val="00FD7002"/>
    <w:rsid w:val="00FD7610"/>
    <w:rsid w:val="00FE04BA"/>
    <w:rsid w:val="00FE234B"/>
    <w:rsid w:val="00FE2A9E"/>
    <w:rsid w:val="00FE34B3"/>
    <w:rsid w:val="00FE46B7"/>
    <w:rsid w:val="00FE4CEC"/>
    <w:rsid w:val="00FF0420"/>
    <w:rsid w:val="00FF41B8"/>
    <w:rsid w:val="00FF5237"/>
    <w:rsid w:val="00FF5B79"/>
    <w:rsid w:val="00FF6048"/>
    <w:rsid w:val="06763376"/>
    <w:rsid w:val="06D79157"/>
    <w:rsid w:val="0DD79F36"/>
    <w:rsid w:val="11E43BAB"/>
    <w:rsid w:val="121534C5"/>
    <w:rsid w:val="161E678D"/>
    <w:rsid w:val="19090967"/>
    <w:rsid w:val="1B3C24C5"/>
    <w:rsid w:val="210B7837"/>
    <w:rsid w:val="23B4E6BE"/>
    <w:rsid w:val="24F18C83"/>
    <w:rsid w:val="25653D02"/>
    <w:rsid w:val="27AA7305"/>
    <w:rsid w:val="3310C0BE"/>
    <w:rsid w:val="38EF0D05"/>
    <w:rsid w:val="39A07357"/>
    <w:rsid w:val="42088138"/>
    <w:rsid w:val="511D528A"/>
    <w:rsid w:val="588ADAF6"/>
    <w:rsid w:val="5CE173DD"/>
    <w:rsid w:val="66EB6E8A"/>
    <w:rsid w:val="69981A89"/>
    <w:rsid w:val="7629CDD5"/>
    <w:rsid w:val="772E53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D8A9B98D-733D-4FF4-9BF4-D50BB21B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fr-FR"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Titre1">
    <w:name w:val="heading 1"/>
    <w:basedOn w:val="Normal"/>
    <w:next w:val="Normal"/>
    <w:link w:val="Titre1Car"/>
    <w:uiPriority w:val="99"/>
    <w:qFormat/>
    <w:rsid w:val="00097261"/>
    <w:pPr>
      <w:keepNext/>
      <w:spacing w:line="420" w:lineRule="atLeast"/>
      <w:outlineLvl w:val="0"/>
    </w:pPr>
    <w:rPr>
      <w:rFonts w:cs="Arial"/>
      <w:b/>
      <w:bCs/>
      <w:kern w:val="32"/>
      <w:sz w:val="36"/>
      <w:szCs w:val="32"/>
    </w:rPr>
  </w:style>
  <w:style w:type="paragraph" w:styleId="Titre2">
    <w:name w:val="heading 2"/>
    <w:basedOn w:val="Normal"/>
    <w:next w:val="Normal"/>
    <w:qFormat/>
    <w:rsid w:val="003F46B0"/>
    <w:pPr>
      <w:keepNext/>
      <w:outlineLvl w:val="1"/>
    </w:pPr>
    <w:rPr>
      <w:rFonts w:cs="Arial"/>
      <w:bCs/>
      <w:iCs/>
      <w:color w:val="E1000F"/>
      <w:szCs w:val="28"/>
    </w:rPr>
  </w:style>
  <w:style w:type="paragraph" w:styleId="Titre3">
    <w:name w:val="heading 3"/>
    <w:basedOn w:val="Titre2"/>
    <w:next w:val="Normal"/>
    <w:qFormat/>
    <w:rsid w:val="006F1596"/>
    <w:pPr>
      <w:outlineLvl w:val="2"/>
    </w:pPr>
    <w:rPr>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eddepage">
    <w:name w:val="footer"/>
    <w:basedOn w:val="Normal"/>
    <w:link w:val="PieddepageC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lledutableau">
    <w:name w:val="Table Grid"/>
    <w:basedOn w:val="Tableau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fr-FR" w:eastAsia="en-US" w:bidi="ar-SA"/>
    </w:rPr>
  </w:style>
  <w:style w:type="paragraph" w:customStyle="1" w:styleId="Standard12pt">
    <w:name w:val="Standard_12pt"/>
    <w:basedOn w:val="Normal"/>
    <w:rsid w:val="0048435F"/>
    <w:pPr>
      <w:spacing w:line="300" w:lineRule="atLeast"/>
    </w:pPr>
    <w:rPr>
      <w:sz w:val="24"/>
    </w:rPr>
  </w:style>
  <w:style w:type="character" w:customStyle="1" w:styleId="Titre1Car">
    <w:name w:val="Titre 1 Car"/>
    <w:link w:val="Titre1"/>
    <w:uiPriority w:val="99"/>
    <w:locked/>
    <w:rsid w:val="00B422EC"/>
    <w:rPr>
      <w:rFonts w:ascii="Arial" w:hAnsi="Arial" w:cs="Arial"/>
      <w:b/>
      <w:bCs/>
      <w:kern w:val="32"/>
      <w:sz w:val="36"/>
      <w:szCs w:val="32"/>
      <w:lang w:val="fr-FR"/>
    </w:rPr>
  </w:style>
  <w:style w:type="character" w:styleId="Lienhypertext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Textedebulles">
    <w:name w:val="Balloon Text"/>
    <w:basedOn w:val="Normal"/>
    <w:link w:val="TextedebullesCar"/>
    <w:rsid w:val="00336854"/>
    <w:pPr>
      <w:spacing w:line="240" w:lineRule="auto"/>
    </w:pPr>
    <w:rPr>
      <w:sz w:val="18"/>
      <w:szCs w:val="18"/>
    </w:rPr>
  </w:style>
  <w:style w:type="character" w:customStyle="1" w:styleId="TextedebullesCar">
    <w:name w:val="Texte de bulles Car"/>
    <w:link w:val="Textedebulles"/>
    <w:rsid w:val="00336854"/>
    <w:rPr>
      <w:rFonts w:ascii="Segoe UI" w:hAnsi="Segoe UI"/>
      <w:sz w:val="18"/>
      <w:szCs w:val="18"/>
      <w:lang w:val="fr-FR"/>
    </w:rPr>
  </w:style>
  <w:style w:type="paragraph" w:customStyle="1" w:styleId="MittlereListe2-Akzent21">
    <w:name w:val="Mittlere Liste 2 - Akzent 21"/>
    <w:hidden/>
    <w:uiPriority w:val="99"/>
    <w:semiHidden/>
    <w:rsid w:val="002E0B17"/>
    <w:rPr>
      <w:rFonts w:ascii="Arial" w:hAnsi="Arial"/>
    </w:rPr>
  </w:style>
  <w:style w:type="character" w:customStyle="1" w:styleId="PieddepageCar">
    <w:name w:val="Pied de page Car"/>
    <w:link w:val="Pieddepage"/>
    <w:uiPriority w:val="99"/>
    <w:rsid w:val="00992A11"/>
    <w:rPr>
      <w:rFonts w:ascii="Segoe UI" w:hAnsi="Segoe UI"/>
      <w:bCs/>
      <w:noProof/>
      <w:sz w:val="12"/>
      <w:szCs w:val="24"/>
      <w:lang w:val="fr-FR"/>
    </w:rPr>
  </w:style>
  <w:style w:type="character" w:styleId="Mentionnonrsolue">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Policepardfau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Policepardfaut"/>
    <w:rsid w:val="00336854"/>
    <w:rPr>
      <w:rFonts w:ascii="Segoe UI" w:hAnsi="Segoe UI"/>
      <w:sz w:val="18"/>
    </w:rPr>
  </w:style>
  <w:style w:type="character" w:customStyle="1" w:styleId="AboutandContactHeadline">
    <w:name w:val="About and Contact Headline"/>
    <w:basedOn w:val="Policepardfaut"/>
    <w:rsid w:val="00336854"/>
    <w:rPr>
      <w:rFonts w:ascii="Segoe UI" w:hAnsi="Segoe UI"/>
      <w:b/>
      <w:bCs/>
      <w:sz w:val="18"/>
    </w:rPr>
  </w:style>
  <w:style w:type="paragraph" w:styleId="Paragraphedeliste">
    <w:name w:val="List Paragraph"/>
    <w:basedOn w:val="Normal"/>
    <w:uiPriority w:val="34"/>
    <w:qFormat/>
    <w:rsid w:val="00635616"/>
    <w:pPr>
      <w:ind w:left="720"/>
      <w:contextualSpacing/>
    </w:pPr>
  </w:style>
  <w:style w:type="character" w:styleId="Marquedecommentaire">
    <w:name w:val="annotation reference"/>
    <w:rsid w:val="00846017"/>
    <w:rPr>
      <w:sz w:val="16"/>
      <w:szCs w:val="16"/>
    </w:rPr>
  </w:style>
  <w:style w:type="paragraph" w:styleId="Commentaire">
    <w:name w:val="annotation text"/>
    <w:basedOn w:val="Normal"/>
    <w:link w:val="CommentaireCar"/>
    <w:rsid w:val="00846017"/>
    <w:pPr>
      <w:spacing w:line="260" w:lineRule="atLeast"/>
      <w:jc w:val="left"/>
    </w:pPr>
    <w:rPr>
      <w:rFonts w:ascii="Arial" w:hAnsi="Arial"/>
      <w:sz w:val="20"/>
      <w:szCs w:val="20"/>
    </w:rPr>
  </w:style>
  <w:style w:type="character" w:customStyle="1" w:styleId="CommentaireCar">
    <w:name w:val="Commentaire Car"/>
    <w:basedOn w:val="Policepardfaut"/>
    <w:link w:val="Commentaire"/>
    <w:rsid w:val="00846017"/>
    <w:rPr>
      <w:rFonts w:ascii="Arial" w:hAnsi="Arial"/>
      <w:sz w:val="20"/>
      <w:szCs w:val="20"/>
      <w:lang w:val="fr-FR"/>
    </w:rPr>
  </w:style>
  <w:style w:type="paragraph" w:styleId="Objetducommentaire">
    <w:name w:val="annotation subject"/>
    <w:basedOn w:val="Commentaire"/>
    <w:next w:val="Commentaire"/>
    <w:link w:val="ObjetducommentaireCar"/>
    <w:rsid w:val="0020528D"/>
    <w:pPr>
      <w:spacing w:line="240" w:lineRule="auto"/>
      <w:jc w:val="both"/>
    </w:pPr>
    <w:rPr>
      <w:rFonts w:ascii="Segoe UI" w:hAnsi="Segoe UI"/>
      <w:b/>
      <w:bCs/>
    </w:rPr>
  </w:style>
  <w:style w:type="character" w:customStyle="1" w:styleId="ObjetducommentaireCar">
    <w:name w:val="Objet du commentaire Car"/>
    <w:basedOn w:val="CommentaireCar"/>
    <w:link w:val="Objetducommentaire"/>
    <w:rsid w:val="0020528D"/>
    <w:rPr>
      <w:rFonts w:ascii="Arial" w:hAnsi="Arial"/>
      <w:b/>
      <w:bCs/>
      <w:sz w:val="20"/>
      <w:szCs w:val="20"/>
      <w:lang w:val="fr-FR"/>
    </w:rPr>
  </w:style>
  <w:style w:type="paragraph" w:styleId="Rvision">
    <w:name w:val="Revision"/>
    <w:hidden/>
    <w:uiPriority w:val="62"/>
    <w:unhideWhenUsed/>
    <w:rsid w:val="006E2D24"/>
    <w:rPr>
      <w:sz w:val="22"/>
    </w:rPr>
  </w:style>
  <w:style w:type="paragraph" w:customStyle="1" w:styleId="He04Funote">
    <w:name w:val="_He_04_Fußnote"/>
    <w:next w:val="Normal"/>
    <w:qFormat/>
    <w:rsid w:val="00A90F18"/>
    <w:pPr>
      <w:tabs>
        <w:tab w:val="left" w:pos="85"/>
      </w:tabs>
      <w:spacing w:line="256" w:lineRule="auto"/>
      <w:ind w:left="85" w:hanging="85"/>
    </w:pPr>
    <w:rPr>
      <w:rFonts w:eastAsiaTheme="minorHAnsi" w:cstheme="minorBidi"/>
      <w:sz w:val="15"/>
      <w:szCs w:val="22"/>
      <w14:numForm w14:val="lining"/>
    </w:rPr>
  </w:style>
  <w:style w:type="character" w:styleId="Appelnotedebasdep">
    <w:name w:val="footnote reference"/>
    <w:basedOn w:val="Policepardfaut"/>
    <w:uiPriority w:val="99"/>
    <w:unhideWhenUsed/>
    <w:rsid w:val="00A90F18"/>
    <w:rPr>
      <w:vertAlign w:val="superscript"/>
    </w:rPr>
  </w:style>
  <w:style w:type="character" w:styleId="Lienhypertextesuivivisit">
    <w:name w:val="FollowedHyperlink"/>
    <w:basedOn w:val="Policepardfaut"/>
    <w:rsid w:val="00B1118A"/>
    <w:rPr>
      <w:color w:val="954F72" w:themeColor="followedHyperlink"/>
      <w:u w:val="single"/>
    </w:rPr>
  </w:style>
  <w:style w:type="paragraph" w:customStyle="1" w:styleId="He01FlietextAufzhlung1Ebene">
    <w:name w:val="_He_01_Fließtext Aufzählung 1. Ebene"/>
    <w:next w:val="Normal"/>
    <w:qFormat/>
    <w:rsid w:val="00B471F4"/>
    <w:pPr>
      <w:numPr>
        <w:numId w:val="9"/>
      </w:numPr>
      <w:spacing w:after="113"/>
    </w:pPr>
    <w:rPr>
      <w:rFonts w:eastAsiaTheme="minorHAnsi" w:cstheme="minorBidi"/>
      <w:sz w:val="22"/>
      <w:szCs w:val="22"/>
    </w:rPr>
  </w:style>
  <w:style w:type="character" w:customStyle="1" w:styleId="ui-provider">
    <w:name w:val="ui-provider"/>
    <w:basedOn w:val="Policepardfaut"/>
    <w:rsid w:val="00C86C49"/>
  </w:style>
  <w:style w:type="paragraph" w:customStyle="1" w:styleId="He01Flietext">
    <w:name w:val="_He_01_Fließtext"/>
    <w:uiPriority w:val="99"/>
    <w:qFormat/>
    <w:rsid w:val="007558B1"/>
    <w:pPr>
      <w:spacing w:after="160"/>
    </w:pPr>
    <w:rPr>
      <w:rFonts w:eastAsiaTheme="minorHAnsi" w:cstheme="minorBidi"/>
      <w:sz w:val="22"/>
      <w:szCs w:val="22"/>
    </w:rPr>
  </w:style>
  <w:style w:type="paragraph" w:styleId="Notedebasdepage">
    <w:name w:val="footnote text"/>
    <w:basedOn w:val="Normal"/>
    <w:link w:val="NotedebasdepageCar"/>
    <w:uiPriority w:val="99"/>
    <w:unhideWhenUsed/>
    <w:rsid w:val="00F9022A"/>
    <w:pPr>
      <w:spacing w:line="240" w:lineRule="auto"/>
      <w:jc w:val="left"/>
    </w:pPr>
    <w:rPr>
      <w:rFonts w:eastAsiaTheme="minorHAnsi" w:cstheme="minorBidi"/>
      <w:szCs w:val="20"/>
    </w:rPr>
  </w:style>
  <w:style w:type="character" w:customStyle="1" w:styleId="NotedebasdepageCar">
    <w:name w:val="Note de bas de page Car"/>
    <w:basedOn w:val="Policepardfaut"/>
    <w:link w:val="Notedebasdepage"/>
    <w:uiPriority w:val="99"/>
    <w:rsid w:val="00F9022A"/>
    <w:rPr>
      <w:rFonts w:eastAsiaTheme="minorHAnsi" w:cstheme="minorBidi"/>
      <w:sz w:val="22"/>
      <w:szCs w:val="20"/>
      <w:lang w:val="fr-FR"/>
    </w:rPr>
  </w:style>
  <w:style w:type="character" w:styleId="lev">
    <w:name w:val="Strong"/>
    <w:basedOn w:val="Policepardfaut"/>
    <w:uiPriority w:val="22"/>
    <w:qFormat/>
    <w:rsid w:val="00033476"/>
    <w:rPr>
      <w:b/>
      <w:bCs/>
    </w:rPr>
  </w:style>
  <w:style w:type="paragraph" w:customStyle="1" w:styleId="He01FlietextAufzhlung2Ebene">
    <w:name w:val="_He_01_Fließtext Aufzählung 2. Ebene"/>
    <w:next w:val="He01Flietext"/>
    <w:qFormat/>
    <w:rsid w:val="00700939"/>
    <w:pPr>
      <w:numPr>
        <w:numId w:val="20"/>
      </w:numPr>
      <w:spacing w:after="160"/>
    </w:pPr>
    <w:rPr>
      <w:rFonts w:eastAsiaTheme="minorHAnsi" w:cstheme="minorBidi"/>
      <w:sz w:val="22"/>
      <w:szCs w:val="22"/>
    </w:rPr>
  </w:style>
  <w:style w:type="paragraph" w:customStyle="1" w:styleId="He05Fett">
    <w:name w:val="_He_05_Fett"/>
    <w:next w:val="He01Flietext"/>
    <w:link w:val="He05FettZchn"/>
    <w:qFormat/>
    <w:rsid w:val="00B33C35"/>
    <w:pPr>
      <w:spacing w:after="160" w:line="259" w:lineRule="auto"/>
    </w:pPr>
    <w:rPr>
      <w:rFonts w:eastAsiaTheme="minorHAnsi" w:cstheme="minorBidi"/>
      <w:b/>
      <w:szCs w:val="22"/>
    </w:rPr>
  </w:style>
  <w:style w:type="character" w:customStyle="1" w:styleId="He05FettZchn">
    <w:name w:val="_He_05_Fett Zchn"/>
    <w:basedOn w:val="Policepardfaut"/>
    <w:link w:val="He05Fett"/>
    <w:rsid w:val="00B33C35"/>
    <w:rPr>
      <w:rFonts w:eastAsiaTheme="minorHAnsi" w:cstheme="minorBidi"/>
      <w:b/>
      <w:szCs w:val="22"/>
      <w:lang w:val="fr-FR"/>
    </w:rPr>
  </w:style>
  <w:style w:type="paragraph" w:styleId="Corpsdetexte">
    <w:name w:val="Body Text"/>
    <w:basedOn w:val="Normal"/>
    <w:link w:val="CorpsdetexteCar"/>
    <w:uiPriority w:val="1"/>
    <w:qFormat/>
    <w:rsid w:val="0056637D"/>
    <w:pPr>
      <w:widowControl w:val="0"/>
      <w:autoSpaceDE w:val="0"/>
      <w:autoSpaceDN w:val="0"/>
      <w:spacing w:line="240" w:lineRule="auto"/>
      <w:ind w:left="1"/>
      <w:jc w:val="left"/>
    </w:pPr>
    <w:rPr>
      <w:rFonts w:eastAsia="Segoe UI" w:cs="Segoe UI"/>
      <w:szCs w:val="22"/>
    </w:rPr>
  </w:style>
  <w:style w:type="character" w:customStyle="1" w:styleId="CorpsdetexteCar">
    <w:name w:val="Corps de texte Car"/>
    <w:basedOn w:val="Policepardfaut"/>
    <w:link w:val="Corpsdetexte"/>
    <w:uiPriority w:val="1"/>
    <w:rsid w:val="0056637D"/>
    <w:rPr>
      <w:rFonts w:eastAsia="Segoe UI" w:cs="Segoe UI"/>
      <w:sz w:val="22"/>
      <w:szCs w:val="22"/>
      <w:lang w:val="fr-FR"/>
    </w:rPr>
  </w:style>
  <w:style w:type="paragraph" w:styleId="NormalWeb">
    <w:name w:val="Normal (Web)"/>
    <w:basedOn w:val="Normal"/>
    <w:uiPriority w:val="99"/>
    <w:unhideWhenUsed/>
    <w:rsid w:val="004456C0"/>
    <w:pPr>
      <w:spacing w:before="100" w:beforeAutospacing="1" w:after="100" w:afterAutospacing="1" w:line="240" w:lineRule="auto"/>
      <w:jc w:val="left"/>
    </w:pPr>
    <w:rPr>
      <w:rFonts w:ascii="Times New Roman" w:hAnsi="Times New Roman"/>
      <w:sz w:val="24"/>
      <w:lang w:eastAsia="de-DE"/>
    </w:rPr>
  </w:style>
  <w:style w:type="paragraph" w:customStyle="1" w:styleId="He02berschriftEbene2">
    <w:name w:val="_He_02_Überschrift Ebene 2"/>
    <w:next w:val="He01Flietext"/>
    <w:uiPriority w:val="99"/>
    <w:semiHidden/>
    <w:qFormat/>
    <w:rsid w:val="001902CF"/>
    <w:pPr>
      <w:spacing w:after="113"/>
    </w:pPr>
    <w:rPr>
      <w:rFonts w:eastAsiaTheme="minorHAnsi" w:cstheme="minorBidi"/>
      <w:b/>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01274">
      <w:bodyDiv w:val="1"/>
      <w:marLeft w:val="0"/>
      <w:marRight w:val="0"/>
      <w:marTop w:val="0"/>
      <w:marBottom w:val="0"/>
      <w:divBdr>
        <w:top w:val="none" w:sz="0" w:space="0" w:color="auto"/>
        <w:left w:val="none" w:sz="0" w:space="0" w:color="auto"/>
        <w:bottom w:val="none" w:sz="0" w:space="0" w:color="auto"/>
        <w:right w:val="none" w:sz="0" w:space="0" w:color="auto"/>
      </w:divBdr>
    </w:div>
    <w:div w:id="331758879">
      <w:bodyDiv w:val="1"/>
      <w:marLeft w:val="0"/>
      <w:marRight w:val="0"/>
      <w:marTop w:val="0"/>
      <w:marBottom w:val="0"/>
      <w:divBdr>
        <w:top w:val="none" w:sz="0" w:space="0" w:color="auto"/>
        <w:left w:val="none" w:sz="0" w:space="0" w:color="auto"/>
        <w:bottom w:val="none" w:sz="0" w:space="0" w:color="auto"/>
        <w:right w:val="none" w:sz="0" w:space="0" w:color="auto"/>
      </w:divBdr>
    </w:div>
    <w:div w:id="475221331">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9716788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0689247">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18812379">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641376655">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237326346">
          <w:marLeft w:val="0"/>
          <w:marRight w:val="0"/>
          <w:marTop w:val="0"/>
          <w:marBottom w:val="0"/>
          <w:divBdr>
            <w:top w:val="none" w:sz="0" w:space="0" w:color="auto"/>
            <w:left w:val="none" w:sz="0" w:space="0" w:color="auto"/>
            <w:bottom w:val="none" w:sz="0" w:space="0" w:color="auto"/>
            <w:right w:val="none" w:sz="0" w:space="0" w:color="auto"/>
          </w:divBdr>
        </w:div>
        <w:div w:id="331104911">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sChild>
    </w:div>
    <w:div w:id="210515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nkel.com/press-and-media/press-releases-and-kits/2025-08-07-henkel-with-sales-growth-acceleration-in-the-first-half-of-the-year-and-good-margin-and-earnings-increase-207949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henkel.fr/presse-et-medias/communiques-et-actualites/2024-08-13-henkel-enregistre-une-bonne-croissance-organique-de-ses-ventes-et-une-tres-forte-amelioration-de-ses-benefices-au-premier-semestre-2024-197704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aolo.ghilardi@bcw-globa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487aa4a8-6e08-4624-a126-3644f60fbb35">
      <Terms xmlns="http://schemas.microsoft.com/office/infopath/2007/PartnerControls"/>
    </lcf76f155ced4ddcb4097134ff3c332f>
    <Datum xmlns="487aa4a8-6e08-4624-a126-3644f60fbb35" xsi:nil="true"/>
  </documentManagement>
</p:properties>
</file>

<file path=customXml/item3.xml><?xml version="1.0" encoding="utf-8"?>
<?mso-contentType ?>
<SharedContentType xmlns="Microsoft.SharePoint.Taxonomy.ContentTypeSync" SourceId="72f792e8-4dad-42c1-ad63-44982727bf4d" ContentTypeId="0x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22" ma:contentTypeDescription="Create a new document." ma:contentTypeScope="" ma:versionID="e8b64b52e1ac86ee121164444417b25c">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9c7c8f3a356123b03710f7456b134ef0"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487aa4a8-6e08-4624-a126-3644f60fbb35"/>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customXml/itemProps5.xml><?xml version="1.0" encoding="utf-8"?>
<ds:datastoreItem xmlns:ds="http://schemas.openxmlformats.org/officeDocument/2006/customXml" ds:itemID="{5580E192-6FC8-46C4-8E80-19D6D1031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8</Pages>
  <Words>3138</Words>
  <Characters>17259</Characters>
  <Application>Microsoft Office Word</Application>
  <DocSecurity>4</DocSecurity>
  <Lines>143</Lines>
  <Paragraphs>40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20357</CharactersWithSpaces>
  <SharedDoc>false</SharedDoc>
  <HLinks>
    <vt:vector size="42" baseType="variant">
      <vt:variant>
        <vt:i4>2687054</vt:i4>
      </vt:variant>
      <vt:variant>
        <vt:i4>24</vt:i4>
      </vt:variant>
      <vt:variant>
        <vt:i4>0</vt:i4>
      </vt:variant>
      <vt:variant>
        <vt:i4>5</vt:i4>
      </vt:variant>
      <vt:variant>
        <vt:lpwstr>mailto:hanna.philipps@henkel.com</vt:lpwstr>
      </vt:variant>
      <vt:variant>
        <vt:lpwstr/>
      </vt:variant>
      <vt:variant>
        <vt:i4>7208970</vt:i4>
      </vt:variant>
      <vt:variant>
        <vt:i4>21</vt:i4>
      </vt:variant>
      <vt:variant>
        <vt:i4>0</vt:i4>
      </vt:variant>
      <vt:variant>
        <vt:i4>5</vt:i4>
      </vt:variant>
      <vt:variant>
        <vt:lpwstr>mailto:dennis.starke@henkel.com</vt:lpwstr>
      </vt:variant>
      <vt:variant>
        <vt:lpwstr/>
      </vt:variant>
      <vt:variant>
        <vt:i4>7667735</vt:i4>
      </vt:variant>
      <vt:variant>
        <vt:i4>18</vt:i4>
      </vt:variant>
      <vt:variant>
        <vt:i4>0</vt:i4>
      </vt:variant>
      <vt:variant>
        <vt:i4>5</vt:i4>
      </vt:variant>
      <vt:variant>
        <vt:lpwstr>mailto:wulf.klueppelholz@henkel.com</vt:lpwstr>
      </vt:variant>
      <vt:variant>
        <vt:lpwstr/>
      </vt:variant>
      <vt:variant>
        <vt:i4>7208970</vt:i4>
      </vt:variant>
      <vt:variant>
        <vt:i4>15</vt:i4>
      </vt:variant>
      <vt:variant>
        <vt:i4>0</vt:i4>
      </vt:variant>
      <vt:variant>
        <vt:i4>5</vt:i4>
      </vt:variant>
      <vt:variant>
        <vt:lpwstr>mailto:dennis.starke@henkel.com</vt:lpwstr>
      </vt:variant>
      <vt:variant>
        <vt:lpwstr/>
      </vt:variant>
      <vt:variant>
        <vt:i4>119</vt:i4>
      </vt:variant>
      <vt:variant>
        <vt:i4>12</vt:i4>
      </vt:variant>
      <vt:variant>
        <vt:i4>0</vt:i4>
      </vt:variant>
      <vt:variant>
        <vt:i4>5</vt:i4>
      </vt:variant>
      <vt:variant>
        <vt:lpwstr>mailto:lars.witteck@henkel.com</vt:lpwstr>
      </vt:variant>
      <vt:variant>
        <vt:lpwstr/>
      </vt:variant>
      <vt:variant>
        <vt:i4>8192031</vt:i4>
      </vt:variant>
      <vt:variant>
        <vt:i4>9</vt:i4>
      </vt:variant>
      <vt:variant>
        <vt:i4>0</vt:i4>
      </vt:variant>
      <vt:variant>
        <vt:i4>5</vt:i4>
      </vt:variant>
      <vt:variant>
        <vt:lpwstr>mailto:leslie.iltgen@henkel.com</vt:lpwstr>
      </vt:variant>
      <vt:variant>
        <vt:lpwstr/>
      </vt:variant>
      <vt:variant>
        <vt:i4>196694</vt:i4>
      </vt:variant>
      <vt:variant>
        <vt:i4>6</vt:i4>
      </vt:variant>
      <vt:variant>
        <vt:i4>0</vt:i4>
      </vt:variant>
      <vt:variant>
        <vt:i4>5</vt:i4>
      </vt:variant>
      <vt:variant>
        <vt:lpwstr>http://www.henkel.de/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Octavie Blandin</cp:lastModifiedBy>
  <cp:revision>2</cp:revision>
  <cp:lastPrinted>2025-07-30T08:03:00Z</cp:lastPrinted>
  <dcterms:created xsi:type="dcterms:W3CDTF">2025-08-07T13:50:00Z</dcterms:created>
  <dcterms:modified xsi:type="dcterms:W3CDTF">2025-08-07T13:50:00Z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y fmtid="{D5CDD505-2E9C-101B-9397-08002B2CF9AE}" pid="3" name="MediaServiceImageTags">
    <vt:lpwstr/>
  </property>
</Properties>
</file>