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03ED4E9A" w:rsidR="00B422EC" w:rsidRPr="00673119" w:rsidRDefault="007F11A3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7</w:t>
      </w:r>
      <w:r w:rsidR="0B9964EC" w:rsidRPr="1481C9FA">
        <w:rPr>
          <w:lang w:val="pl-PL"/>
        </w:rPr>
        <w:t xml:space="preserve"> </w:t>
      </w:r>
      <w:r>
        <w:rPr>
          <w:lang w:val="pl-PL"/>
        </w:rPr>
        <w:t>sierpni</w:t>
      </w:r>
      <w:r w:rsidR="0B9964EC" w:rsidRPr="1481C9FA">
        <w:rPr>
          <w:lang w:val="pl-PL"/>
        </w:rPr>
        <w:t>a</w:t>
      </w:r>
      <w:r w:rsidR="1C2E905C" w:rsidRPr="1481C9FA">
        <w:rPr>
          <w:lang w:val="pl-PL"/>
        </w:rPr>
        <w:t xml:space="preserve"> </w:t>
      </w:r>
      <w:r w:rsidR="0AD9E675" w:rsidRPr="1481C9FA">
        <w:rPr>
          <w:lang w:val="pl-PL"/>
        </w:rPr>
        <w:t>20</w:t>
      </w:r>
      <w:r w:rsidR="7B04B394" w:rsidRPr="1481C9FA">
        <w:rPr>
          <w:lang w:val="pl-PL"/>
        </w:rPr>
        <w:t>2</w:t>
      </w:r>
      <w:r w:rsidR="21A6E3DC" w:rsidRPr="1481C9FA">
        <w:rPr>
          <w:lang w:val="pl-PL"/>
        </w:rPr>
        <w:t>5</w:t>
      </w:r>
      <w:r w:rsidR="6377148D" w:rsidRPr="1481C9FA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E264EE" w14:textId="1330C179" w:rsidR="0107F9B8" w:rsidRDefault="00413F5E" w:rsidP="7D5A668B">
      <w:pPr>
        <w:rPr>
          <w:rStyle w:val="Headline"/>
          <w:b w:val="0"/>
          <w:bCs w:val="0"/>
          <w:sz w:val="22"/>
          <w:szCs w:val="22"/>
          <w:lang w:val="pl-PL"/>
        </w:rPr>
      </w:pPr>
      <w:r w:rsidRPr="00413F5E">
        <w:rPr>
          <w:rStyle w:val="Headline"/>
          <w:b w:val="0"/>
          <w:bCs w:val="0"/>
          <w:sz w:val="22"/>
          <w:szCs w:val="22"/>
          <w:lang w:val="pl-PL"/>
        </w:rPr>
        <w:t xml:space="preserve">Henkel </w:t>
      </w:r>
      <w:r w:rsidR="000F4B45">
        <w:rPr>
          <w:rStyle w:val="Headline"/>
          <w:b w:val="0"/>
          <w:bCs w:val="0"/>
          <w:sz w:val="22"/>
          <w:szCs w:val="22"/>
          <w:lang w:val="pl-PL"/>
        </w:rPr>
        <w:t>spodziewa się</w:t>
      </w:r>
      <w:r w:rsidRPr="00413F5E">
        <w:rPr>
          <w:rStyle w:val="Headline"/>
          <w:b w:val="0"/>
          <w:bCs w:val="0"/>
          <w:sz w:val="22"/>
          <w:szCs w:val="22"/>
          <w:lang w:val="pl-PL"/>
        </w:rPr>
        <w:t xml:space="preserve"> dalszego rentownego wzrostu w roku obrotowym 2025</w:t>
      </w:r>
    </w:p>
    <w:p w14:paraId="4C40951A" w14:textId="77777777" w:rsidR="00FE1833" w:rsidRDefault="00FE1833" w:rsidP="7D5A668B">
      <w:pPr>
        <w:rPr>
          <w:rStyle w:val="Headline"/>
          <w:sz w:val="22"/>
          <w:szCs w:val="22"/>
          <w:lang w:val="pl-PL"/>
        </w:rPr>
      </w:pPr>
      <w:bookmarkStart w:id="0" w:name="_Hlk138170390"/>
      <w:bookmarkEnd w:id="0"/>
    </w:p>
    <w:p w14:paraId="254511CD" w14:textId="5104C2C5" w:rsidR="38D8318A" w:rsidRDefault="005908B4" w:rsidP="7D5A668B">
      <w:pPr>
        <w:rPr>
          <w:rStyle w:val="Headline"/>
          <w:lang w:val="pl-PL"/>
        </w:rPr>
      </w:pPr>
      <w:r w:rsidRPr="005908B4">
        <w:rPr>
          <w:rStyle w:val="Headline"/>
          <w:lang w:val="pl-PL"/>
        </w:rPr>
        <w:t>Henkel z przyspieszeniem wzrostu sprzedaży w pierwszej połowie</w:t>
      </w:r>
      <w:r w:rsidR="00821703">
        <w:rPr>
          <w:rStyle w:val="Headline"/>
          <w:lang w:val="pl-PL"/>
        </w:rPr>
        <w:t xml:space="preserve"> 2025</w:t>
      </w:r>
      <w:r w:rsidRPr="005908B4">
        <w:rPr>
          <w:rStyle w:val="Headline"/>
          <w:lang w:val="pl-PL"/>
        </w:rPr>
        <w:t xml:space="preserve"> roku oraz dobrym wzrostem marży i zysków</w:t>
      </w:r>
    </w:p>
    <w:p w14:paraId="409BDC32" w14:textId="37F44B3F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564A3B66" w14:textId="0533D174" w:rsidR="00285006" w:rsidRDefault="00285006" w:rsidP="00285006">
      <w:pPr>
        <w:pStyle w:val="Akapitzlist"/>
        <w:numPr>
          <w:ilvl w:val="0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00285006">
        <w:rPr>
          <w:rFonts w:ascii="Segoe UI" w:eastAsia="Segoe UI" w:hAnsi="Segoe UI" w:cs="Segoe UI"/>
          <w:b/>
          <w:bCs/>
          <w:lang w:val="pl"/>
        </w:rPr>
        <w:t xml:space="preserve">Sprzedaż Grupy w pierwszej połowie roku w ujęciu organicznym </w:t>
      </w:r>
      <w:r w:rsidR="00E22D04">
        <w:rPr>
          <w:rFonts w:ascii="Segoe UI" w:eastAsia="Segoe UI" w:hAnsi="Segoe UI" w:cs="Segoe UI"/>
          <w:b/>
          <w:bCs/>
          <w:lang w:val="pl"/>
        </w:rPr>
        <w:t xml:space="preserve">pozostaje </w:t>
      </w:r>
      <w:r w:rsidRPr="00285006">
        <w:rPr>
          <w:rFonts w:ascii="Segoe UI" w:eastAsia="Segoe UI" w:hAnsi="Segoe UI" w:cs="Segoe UI"/>
          <w:b/>
          <w:bCs/>
          <w:lang w:val="pl"/>
        </w:rPr>
        <w:t>na poziomie roku poprzedniego: 10,4 mld euro (w ujęciu organicznym -0,1 procent; Q2: +0,9 procent)</w:t>
      </w:r>
    </w:p>
    <w:p w14:paraId="3F72BB6C" w14:textId="384BFD89" w:rsidR="00285006" w:rsidRPr="00285006" w:rsidRDefault="00285006" w:rsidP="00285006">
      <w:pPr>
        <w:pStyle w:val="Akapitzlist"/>
        <w:numPr>
          <w:ilvl w:val="0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00285006">
        <w:rPr>
          <w:rFonts w:ascii="Segoe UI" w:eastAsia="Segoe UI" w:hAnsi="Segoe UI" w:cs="Segoe UI"/>
          <w:b/>
          <w:bCs/>
          <w:lang w:val="pl"/>
        </w:rPr>
        <w:t>Zysk operacyjny (EBIT)* wzrósł do 1 614 mln euro (+0,2 procent)</w:t>
      </w:r>
    </w:p>
    <w:p w14:paraId="146B5D34" w14:textId="02328F35" w:rsidR="00285006" w:rsidRDefault="00285006" w:rsidP="00285006">
      <w:pPr>
        <w:pStyle w:val="Akapitzlist"/>
        <w:numPr>
          <w:ilvl w:val="0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00285006">
        <w:rPr>
          <w:rFonts w:ascii="Segoe UI" w:eastAsia="Segoe UI" w:hAnsi="Segoe UI" w:cs="Segoe UI"/>
          <w:b/>
          <w:bCs/>
          <w:lang w:val="pl"/>
        </w:rPr>
        <w:t>Marża EBIT* wzrosła do 15,5 procent (+60 punktów bazowych)</w:t>
      </w:r>
    </w:p>
    <w:p w14:paraId="1D9695CB" w14:textId="77777777" w:rsidR="00285006" w:rsidRDefault="00285006" w:rsidP="00285006">
      <w:pPr>
        <w:pStyle w:val="Akapitzlist"/>
        <w:numPr>
          <w:ilvl w:val="0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00285006">
        <w:rPr>
          <w:rFonts w:ascii="Segoe UI" w:eastAsia="Segoe UI" w:hAnsi="Segoe UI" w:cs="Segoe UI"/>
          <w:b/>
          <w:bCs/>
          <w:lang w:val="pl"/>
        </w:rPr>
        <w:t>Zysk na akcję uprzywilejowaną (EPS)* wzrósł do 2,81 euro, +5,0 procent przy stałych kursach wymiany</w:t>
      </w:r>
    </w:p>
    <w:p w14:paraId="71F3D42F" w14:textId="1ADCCACC" w:rsidR="00710F54" w:rsidRDefault="00285006" w:rsidP="00285006">
      <w:pPr>
        <w:pStyle w:val="Akapitzlist"/>
        <w:numPr>
          <w:ilvl w:val="0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3FF65B9B">
        <w:rPr>
          <w:rFonts w:ascii="Segoe UI" w:eastAsia="Segoe UI" w:hAnsi="Segoe UI" w:cs="Segoe UI"/>
          <w:b/>
          <w:bCs/>
          <w:lang w:val="pl"/>
        </w:rPr>
        <w:t xml:space="preserve">Dalszy postęp w realizacji </w:t>
      </w:r>
      <w:r w:rsidR="78259274" w:rsidRPr="3FF65B9B">
        <w:rPr>
          <w:rFonts w:ascii="Segoe UI" w:eastAsia="Segoe UI" w:hAnsi="Segoe UI" w:cs="Segoe UI"/>
          <w:b/>
          <w:bCs/>
          <w:lang w:val="pl"/>
        </w:rPr>
        <w:t>Strategii Ukierunkowanego Wzrostu</w:t>
      </w:r>
      <w:r w:rsidR="00647839">
        <w:rPr>
          <w:rFonts w:ascii="Segoe UI" w:eastAsia="Segoe UI" w:hAnsi="Segoe UI" w:cs="Segoe UI"/>
          <w:b/>
          <w:bCs/>
          <w:lang w:val="pl"/>
        </w:rPr>
        <w:t>:</w:t>
      </w:r>
    </w:p>
    <w:p w14:paraId="41142236" w14:textId="523D81BD" w:rsidR="0012274D" w:rsidRDefault="2D3D35BB" w:rsidP="5A045CCD">
      <w:pPr>
        <w:pStyle w:val="Akapitzlist"/>
        <w:numPr>
          <w:ilvl w:val="1"/>
          <w:numId w:val="2"/>
        </w:numPr>
        <w:rPr>
          <w:rFonts w:ascii="Segoe UI" w:eastAsia="Segoe UI" w:hAnsi="Segoe UI" w:cs="Segoe UI"/>
          <w:lang w:val="pl"/>
        </w:rPr>
      </w:pPr>
      <w:r w:rsidRPr="5B88F298">
        <w:rPr>
          <w:rFonts w:ascii="Segoe UI" w:eastAsia="Segoe UI" w:hAnsi="Segoe UI" w:cs="Segoe UI"/>
          <w:lang w:val="pl"/>
        </w:rPr>
        <w:t>Wyraźny nacisk</w:t>
      </w:r>
      <w:r w:rsidR="00285006" w:rsidRPr="5B88F298">
        <w:rPr>
          <w:rFonts w:ascii="Segoe UI" w:eastAsia="Segoe UI" w:hAnsi="Segoe UI" w:cs="Segoe UI"/>
          <w:lang w:val="pl"/>
        </w:rPr>
        <w:t xml:space="preserve"> na globaln</w:t>
      </w:r>
      <w:r w:rsidR="10A61C06" w:rsidRPr="5B88F298">
        <w:rPr>
          <w:rFonts w:ascii="Segoe UI" w:eastAsia="Segoe UI" w:hAnsi="Segoe UI" w:cs="Segoe UI"/>
          <w:lang w:val="pl"/>
        </w:rPr>
        <w:t>e</w:t>
      </w:r>
      <w:r w:rsidR="00285006" w:rsidRPr="5B88F298">
        <w:rPr>
          <w:rFonts w:ascii="Segoe UI" w:eastAsia="Segoe UI" w:hAnsi="Segoe UI" w:cs="Segoe UI"/>
          <w:lang w:val="pl"/>
        </w:rPr>
        <w:t xml:space="preserve"> </w:t>
      </w:r>
      <w:proofErr w:type="spellStart"/>
      <w:r w:rsidR="00285006" w:rsidRPr="5B88F298">
        <w:rPr>
          <w:rFonts w:ascii="Segoe UI" w:eastAsia="Segoe UI" w:hAnsi="Segoe UI" w:cs="Segoe UI"/>
          <w:lang w:val="pl"/>
        </w:rPr>
        <w:t>megatrend</w:t>
      </w:r>
      <w:r w:rsidR="4847634F" w:rsidRPr="5B88F298">
        <w:rPr>
          <w:rFonts w:ascii="Segoe UI" w:eastAsia="Segoe UI" w:hAnsi="Segoe UI" w:cs="Segoe UI"/>
          <w:lang w:val="pl"/>
        </w:rPr>
        <w:t>y</w:t>
      </w:r>
      <w:proofErr w:type="spellEnd"/>
      <w:r w:rsidR="00285006" w:rsidRPr="5B88F298">
        <w:rPr>
          <w:rFonts w:ascii="Segoe UI" w:eastAsia="Segoe UI" w:hAnsi="Segoe UI" w:cs="Segoe UI"/>
          <w:lang w:val="pl"/>
        </w:rPr>
        <w:t xml:space="preserve"> wzmacnia konkurencyjność i odporność sektora </w:t>
      </w:r>
      <w:proofErr w:type="spellStart"/>
      <w:r w:rsidR="00285006" w:rsidRPr="5B88F298">
        <w:rPr>
          <w:rFonts w:ascii="Segoe UI" w:eastAsia="Segoe UI" w:hAnsi="Segoe UI" w:cs="Segoe UI"/>
          <w:lang w:val="pl"/>
        </w:rPr>
        <w:t>Adhesive</w:t>
      </w:r>
      <w:proofErr w:type="spellEnd"/>
      <w:r w:rsidR="00285006" w:rsidRPr="5B88F298">
        <w:rPr>
          <w:rFonts w:ascii="Segoe UI" w:eastAsia="Segoe UI" w:hAnsi="Segoe UI" w:cs="Segoe UI"/>
          <w:lang w:val="pl"/>
        </w:rPr>
        <w:t xml:space="preserve"> Technologies (kleje budowlane i konsumenckie oraz kleje i technologie dla przemysłu) w wymagającym otoczeniu rynkowym</w:t>
      </w:r>
    </w:p>
    <w:p w14:paraId="3D7241C2" w14:textId="77777777" w:rsidR="0012274D" w:rsidRDefault="00285006" w:rsidP="5A045CCD">
      <w:pPr>
        <w:pStyle w:val="Akapitzlist"/>
        <w:numPr>
          <w:ilvl w:val="1"/>
          <w:numId w:val="2"/>
        </w:numPr>
        <w:rPr>
          <w:rFonts w:ascii="Segoe UI" w:eastAsia="Segoe UI" w:hAnsi="Segoe UI" w:cs="Segoe UI"/>
          <w:lang w:val="pl"/>
        </w:rPr>
      </w:pPr>
      <w:r w:rsidRPr="5A045CCD">
        <w:rPr>
          <w:rFonts w:ascii="Segoe UI" w:eastAsia="Segoe UI" w:hAnsi="Segoe UI" w:cs="Segoe UI"/>
          <w:lang w:val="pl"/>
        </w:rPr>
        <w:t xml:space="preserve">Znacząca poprawa wolumenu w sektorze Consumer </w:t>
      </w:r>
      <w:proofErr w:type="spellStart"/>
      <w:r w:rsidRPr="5A045CCD">
        <w:rPr>
          <w:rFonts w:ascii="Segoe UI" w:eastAsia="Segoe UI" w:hAnsi="Segoe UI" w:cs="Segoe UI"/>
          <w:lang w:val="pl"/>
        </w:rPr>
        <w:t>Brands</w:t>
      </w:r>
      <w:proofErr w:type="spellEnd"/>
      <w:r w:rsidRPr="5A045CCD">
        <w:rPr>
          <w:rFonts w:ascii="Segoe UI" w:eastAsia="Segoe UI" w:hAnsi="Segoe UI" w:cs="Segoe UI"/>
          <w:lang w:val="pl"/>
        </w:rPr>
        <w:t xml:space="preserve"> (marki konsumenckie) – Top 10 marek osiąga dobry organiczny wzrost sprzedaży</w:t>
      </w:r>
    </w:p>
    <w:p w14:paraId="2F8CF959" w14:textId="39F314D0" w:rsidR="00285006" w:rsidRPr="00285006" w:rsidRDefault="00285006" w:rsidP="0012274D">
      <w:pPr>
        <w:pStyle w:val="Akapitzlist"/>
        <w:numPr>
          <w:ilvl w:val="0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00285006">
        <w:rPr>
          <w:rFonts w:ascii="Segoe UI" w:eastAsia="Segoe UI" w:hAnsi="Segoe UI" w:cs="Segoe UI"/>
          <w:b/>
          <w:bCs/>
          <w:lang w:val="pl"/>
        </w:rPr>
        <w:t>Aktualizacja prognozy na rok obrotowy 2025:</w:t>
      </w:r>
    </w:p>
    <w:p w14:paraId="068362F0" w14:textId="02CC656A" w:rsidR="00285006" w:rsidRPr="00285006" w:rsidRDefault="00647839" w:rsidP="5A045CCD">
      <w:pPr>
        <w:pStyle w:val="Akapitzlist"/>
        <w:numPr>
          <w:ilvl w:val="1"/>
          <w:numId w:val="2"/>
        </w:numPr>
        <w:rPr>
          <w:rFonts w:ascii="Segoe UI" w:eastAsia="Segoe UI" w:hAnsi="Segoe UI" w:cs="Segoe UI"/>
          <w:lang w:val="pl"/>
        </w:rPr>
      </w:pPr>
      <w:r w:rsidRPr="00647839">
        <w:rPr>
          <w:rFonts w:ascii="Segoe UI" w:eastAsia="Segoe UI" w:hAnsi="Segoe UI" w:cs="Segoe UI"/>
          <w:lang w:val="pl"/>
        </w:rPr>
        <w:t>Wzrost przychodów w ujęciu organicznym:</w:t>
      </w:r>
      <w:r w:rsidR="00285006" w:rsidRPr="5A045CCD">
        <w:rPr>
          <w:rFonts w:ascii="Segoe UI" w:eastAsia="Segoe UI" w:hAnsi="Segoe UI" w:cs="Segoe UI"/>
          <w:lang w:val="pl"/>
        </w:rPr>
        <w:t xml:space="preserve"> 1,0 do 2,0 procent (wcześniej: 1,5 do 3,5 procent)</w:t>
      </w:r>
    </w:p>
    <w:p w14:paraId="79773F6A" w14:textId="77777777" w:rsidR="00285006" w:rsidRPr="00285006" w:rsidRDefault="00285006" w:rsidP="5A045CCD">
      <w:pPr>
        <w:pStyle w:val="Akapitzlist"/>
        <w:numPr>
          <w:ilvl w:val="1"/>
          <w:numId w:val="2"/>
        </w:numPr>
        <w:rPr>
          <w:rFonts w:ascii="Segoe UI" w:eastAsia="Segoe UI" w:hAnsi="Segoe UI" w:cs="Segoe UI"/>
          <w:lang w:val="pl"/>
        </w:rPr>
      </w:pPr>
      <w:r w:rsidRPr="5A045CCD">
        <w:rPr>
          <w:rFonts w:ascii="Segoe UI" w:eastAsia="Segoe UI" w:hAnsi="Segoe UI" w:cs="Segoe UI"/>
          <w:lang w:val="pl"/>
        </w:rPr>
        <w:t>Skorygowana rentowność sprzedaży: 14,5 do 15,5 procent (wcześniej: 14,0 do 15,5 procent)</w:t>
      </w:r>
    </w:p>
    <w:p w14:paraId="44AC3C27" w14:textId="427A7B4F" w:rsidR="00647839" w:rsidRPr="00647839" w:rsidRDefault="00285006" w:rsidP="00647839">
      <w:pPr>
        <w:pStyle w:val="Akapitzlist"/>
        <w:numPr>
          <w:ilvl w:val="1"/>
          <w:numId w:val="2"/>
        </w:numPr>
        <w:rPr>
          <w:rFonts w:ascii="Segoe UI" w:eastAsia="Segoe UI" w:hAnsi="Segoe UI" w:cs="Segoe UI"/>
          <w:lang w:val="pl"/>
        </w:rPr>
      </w:pPr>
      <w:r w:rsidRPr="5B88F298">
        <w:rPr>
          <w:rFonts w:ascii="Segoe UI" w:eastAsia="Segoe UI" w:hAnsi="Segoe UI" w:cs="Segoe UI"/>
          <w:lang w:val="pl"/>
        </w:rPr>
        <w:t xml:space="preserve">Skorygowany zysk na akcję uprzywilejowaną (EPS): wzrost </w:t>
      </w:r>
      <w:r w:rsidR="66EB6309" w:rsidRPr="5B88F298">
        <w:rPr>
          <w:rFonts w:ascii="Segoe UI" w:eastAsia="Segoe UI" w:hAnsi="Segoe UI" w:cs="Segoe UI"/>
          <w:lang w:val="pl"/>
        </w:rPr>
        <w:t>w przedziale procentowym od niskiego do wysokiego jednocyfrowego</w:t>
      </w:r>
      <w:r w:rsidRPr="5B88F298">
        <w:rPr>
          <w:rFonts w:ascii="Segoe UI" w:eastAsia="Segoe UI" w:hAnsi="Segoe UI" w:cs="Segoe UI"/>
          <w:lang w:val="pl"/>
        </w:rPr>
        <w:t xml:space="preserve"> </w:t>
      </w:r>
      <w:r w:rsidR="00647839" w:rsidRPr="00647839">
        <w:rPr>
          <w:rFonts w:ascii="Segoe UI" w:eastAsia="Segoe UI" w:hAnsi="Segoe UI" w:cs="Segoe UI"/>
          <w:lang w:val="pl"/>
        </w:rPr>
        <w:t>(przy niezmienionych kursach walut)</w:t>
      </w:r>
      <w:r w:rsidR="00647839">
        <w:rPr>
          <w:rFonts w:ascii="Segoe UI" w:eastAsia="Segoe UI" w:hAnsi="Segoe UI" w:cs="Segoe UI"/>
          <w:lang w:val="pl"/>
        </w:rPr>
        <w:br/>
      </w:r>
    </w:p>
    <w:p w14:paraId="063CF7EE" w14:textId="07D7EAAE" w:rsidR="00A94B17" w:rsidRDefault="00A94B17" w:rsidP="1481C9FA">
      <w:pPr>
        <w:rPr>
          <w:rFonts w:cs="Segoe UI"/>
          <w:lang w:val="pl"/>
        </w:rPr>
      </w:pPr>
      <w:r w:rsidRPr="5B88F298">
        <w:rPr>
          <w:rFonts w:cs="Segoe UI"/>
          <w:lang w:val="pl"/>
        </w:rPr>
        <w:t xml:space="preserve">Po </w:t>
      </w:r>
      <w:r w:rsidR="550CF8A9" w:rsidRPr="5B88F298">
        <w:rPr>
          <w:rFonts w:cs="Segoe UI"/>
          <w:lang w:val="pl"/>
        </w:rPr>
        <w:t xml:space="preserve">łagodnym </w:t>
      </w:r>
      <w:r w:rsidRPr="5B88F298">
        <w:rPr>
          <w:rFonts w:cs="Segoe UI"/>
          <w:lang w:val="pl"/>
        </w:rPr>
        <w:t xml:space="preserve">początku roku Henkel odnotował przyspieszenie organicznego wzrostu sprzedaży w pierwszej połowie 2025 roku, napędzane wynikami w drugim kwartale. Jednocześnie </w:t>
      </w:r>
      <w:r w:rsidR="2C4C23A7" w:rsidRPr="5B88F298">
        <w:rPr>
          <w:rFonts w:cs="Segoe UI"/>
          <w:lang w:val="pl"/>
        </w:rPr>
        <w:t xml:space="preserve">znacząco wzrosła </w:t>
      </w:r>
      <w:r w:rsidRPr="5B88F298">
        <w:rPr>
          <w:rFonts w:cs="Segoe UI"/>
          <w:lang w:val="pl"/>
        </w:rPr>
        <w:t>rentowność</w:t>
      </w:r>
      <w:r w:rsidR="486D7BAB" w:rsidRPr="5B88F298">
        <w:rPr>
          <w:rFonts w:cs="Segoe UI"/>
          <w:lang w:val="pl"/>
        </w:rPr>
        <w:t xml:space="preserve"> firmy</w:t>
      </w:r>
      <w:r w:rsidRPr="5B88F298">
        <w:rPr>
          <w:rFonts w:cs="Segoe UI"/>
          <w:lang w:val="pl"/>
        </w:rPr>
        <w:t>.</w:t>
      </w:r>
    </w:p>
    <w:p w14:paraId="7A2065B1" w14:textId="77777777" w:rsidR="00AB62AA" w:rsidRDefault="00AB62AA" w:rsidP="1481C9FA">
      <w:pPr>
        <w:rPr>
          <w:rFonts w:cs="Segoe UI"/>
          <w:lang w:val="pl"/>
        </w:rPr>
      </w:pPr>
    </w:p>
    <w:p w14:paraId="70FFF70A" w14:textId="3A72121E" w:rsidR="00A94B17" w:rsidRDefault="00A94B17" w:rsidP="1481C9FA">
      <w:pPr>
        <w:rPr>
          <w:rFonts w:cs="Segoe UI"/>
          <w:lang w:val="pl"/>
        </w:rPr>
      </w:pPr>
      <w:r w:rsidRPr="00AB62AA">
        <w:rPr>
          <w:rFonts w:cs="Segoe UI"/>
          <w:i/>
          <w:iCs/>
          <w:lang w:val="pl"/>
        </w:rPr>
        <w:lastRenderedPageBreak/>
        <w:t xml:space="preserve">– Poprawa organicznego wzrostu sprzedaży była napędzana przez oba sektory biznesowe, przy czym </w:t>
      </w:r>
      <w:r w:rsidR="009800DC" w:rsidRPr="009800DC">
        <w:rPr>
          <w:rFonts w:cs="Segoe UI"/>
          <w:i/>
          <w:iCs/>
          <w:lang w:val="pl"/>
        </w:rPr>
        <w:t xml:space="preserve">na szczególne wyróżnienie zasługuje rosnący wolumen w segmencie </w:t>
      </w:r>
      <w:r w:rsidRPr="00AB62AA">
        <w:rPr>
          <w:rFonts w:cs="Segoe UI"/>
          <w:i/>
          <w:iCs/>
          <w:lang w:val="pl"/>
        </w:rPr>
        <w:t xml:space="preserve">Consumer </w:t>
      </w:r>
      <w:proofErr w:type="spellStart"/>
      <w:r w:rsidRPr="00AB62AA">
        <w:rPr>
          <w:rFonts w:cs="Segoe UI"/>
          <w:i/>
          <w:iCs/>
          <w:lang w:val="pl"/>
        </w:rPr>
        <w:t>Brands</w:t>
      </w:r>
      <w:proofErr w:type="spellEnd"/>
      <w:r w:rsidRPr="00AB62AA">
        <w:rPr>
          <w:rFonts w:cs="Segoe UI"/>
          <w:i/>
          <w:iCs/>
          <w:lang w:val="pl"/>
        </w:rPr>
        <w:t xml:space="preserve"> (marki konsumenckie). Wraz z pozytywnym rozwojem cen doprowadziło to do pozytywnego organicznego wzrostu sprzedaży w drugim kwartale. Sektor biznesowy </w:t>
      </w:r>
      <w:proofErr w:type="spellStart"/>
      <w:r w:rsidRPr="00AB62AA">
        <w:rPr>
          <w:rFonts w:cs="Segoe UI"/>
          <w:i/>
          <w:iCs/>
          <w:lang w:val="pl"/>
        </w:rPr>
        <w:t>Adhesive</w:t>
      </w:r>
      <w:proofErr w:type="spellEnd"/>
      <w:r w:rsidRPr="00AB62AA">
        <w:rPr>
          <w:rFonts w:cs="Segoe UI"/>
          <w:i/>
          <w:iCs/>
          <w:lang w:val="pl"/>
        </w:rPr>
        <w:t xml:space="preserve"> Technologies (kleje budowlane i konsumenckie oraz kleje i technologie dla przemysłu) osiągnął pozytywny organiczny wzrost sprzedaży w pierwszych sześciu miesiącach, napędzany zrównoważonym rozwojem cen i wolumenu</w:t>
      </w:r>
      <w:r w:rsidRPr="00A94B17">
        <w:rPr>
          <w:rFonts w:cs="Segoe UI"/>
          <w:lang w:val="pl"/>
        </w:rPr>
        <w:t xml:space="preserve"> – powiedział prezes zarządu Henkel </w:t>
      </w:r>
      <w:proofErr w:type="spellStart"/>
      <w:r w:rsidRPr="00A94B17">
        <w:rPr>
          <w:rFonts w:cs="Segoe UI"/>
          <w:lang w:val="pl"/>
        </w:rPr>
        <w:t>Carsten</w:t>
      </w:r>
      <w:proofErr w:type="spellEnd"/>
      <w:r w:rsidRPr="00A94B17">
        <w:rPr>
          <w:rFonts w:cs="Segoe UI"/>
          <w:lang w:val="pl"/>
        </w:rPr>
        <w:t xml:space="preserve"> </w:t>
      </w:r>
      <w:proofErr w:type="spellStart"/>
      <w:r w:rsidRPr="00A94B17">
        <w:rPr>
          <w:rFonts w:cs="Segoe UI"/>
          <w:lang w:val="pl"/>
        </w:rPr>
        <w:t>Knobel</w:t>
      </w:r>
      <w:proofErr w:type="spellEnd"/>
      <w:r w:rsidRPr="00A94B17">
        <w:rPr>
          <w:rFonts w:cs="Segoe UI"/>
          <w:lang w:val="pl"/>
        </w:rPr>
        <w:t>.</w:t>
      </w:r>
    </w:p>
    <w:p w14:paraId="6BADA1C3" w14:textId="77777777" w:rsidR="000079DD" w:rsidRDefault="000079DD" w:rsidP="1481C9FA">
      <w:pPr>
        <w:rPr>
          <w:rFonts w:cs="Segoe UI"/>
          <w:lang w:val="pl"/>
        </w:rPr>
      </w:pPr>
    </w:p>
    <w:p w14:paraId="10752219" w14:textId="7A3A6343" w:rsidR="000079DD" w:rsidRPr="00B0385D" w:rsidRDefault="000079DD" w:rsidP="1481C9FA">
      <w:pPr>
        <w:rPr>
          <w:rFonts w:cs="Segoe UI"/>
          <w:lang w:val="pl"/>
        </w:rPr>
      </w:pPr>
      <w:r w:rsidRPr="5B88F298">
        <w:rPr>
          <w:rFonts w:cs="Segoe UI"/>
          <w:i/>
          <w:iCs/>
          <w:lang w:val="pl"/>
        </w:rPr>
        <w:t xml:space="preserve">– Ponadto znacząco zwiększyliśmy naszą marżę EBIT w pierwszej połowie roku. Ten wzrost był napędzany głównie przez bardzo silne marże brutto w obu sektorach biznesowych oraz korzystny </w:t>
      </w:r>
      <w:proofErr w:type="spellStart"/>
      <w:r w:rsidRPr="5B88F298">
        <w:rPr>
          <w:rFonts w:cs="Segoe UI"/>
          <w:i/>
          <w:iCs/>
          <w:lang w:val="pl"/>
        </w:rPr>
        <w:t>miks</w:t>
      </w:r>
      <w:proofErr w:type="spellEnd"/>
      <w:r w:rsidRPr="5B88F298">
        <w:rPr>
          <w:rFonts w:cs="Segoe UI"/>
          <w:i/>
          <w:iCs/>
          <w:lang w:val="pl"/>
        </w:rPr>
        <w:t xml:space="preserve"> biznesowy. Osiągnęliśmy również </w:t>
      </w:r>
      <w:r w:rsidR="2C9E3268" w:rsidRPr="5B88F298">
        <w:rPr>
          <w:rFonts w:cs="Segoe UI"/>
          <w:i/>
          <w:iCs/>
          <w:lang w:val="pl"/>
        </w:rPr>
        <w:t>kolejn</w:t>
      </w:r>
      <w:r w:rsidRPr="5B88F298">
        <w:rPr>
          <w:rFonts w:cs="Segoe UI"/>
          <w:i/>
          <w:iCs/>
          <w:lang w:val="pl"/>
        </w:rPr>
        <w:t xml:space="preserve">e korzyści w zakresie efektywności i jesteśmy na dobrej drodze do osiągnięcia lub nawet przekroczenia oszczędności docelowych w sektorze Consumer </w:t>
      </w:r>
      <w:proofErr w:type="spellStart"/>
      <w:r w:rsidRPr="5B88F298">
        <w:rPr>
          <w:rFonts w:cs="Segoe UI"/>
          <w:i/>
          <w:iCs/>
          <w:lang w:val="pl"/>
        </w:rPr>
        <w:t>Brands</w:t>
      </w:r>
      <w:proofErr w:type="spellEnd"/>
      <w:r w:rsidRPr="5B88F298">
        <w:rPr>
          <w:rFonts w:cs="Segoe UI"/>
          <w:i/>
          <w:iCs/>
          <w:lang w:val="pl"/>
        </w:rPr>
        <w:t xml:space="preserve"> (marki konsumenckie). Jednocześnie kontynuowaliśmy inwestycje w nasze marki i technologie, aby wzmocnić nasz przyszły potencjał wzrostu</w:t>
      </w:r>
      <w:r w:rsidRPr="5B88F298">
        <w:rPr>
          <w:rFonts w:cs="Segoe UI"/>
          <w:lang w:val="pl"/>
        </w:rPr>
        <w:t xml:space="preserve"> – podkreślił </w:t>
      </w:r>
      <w:proofErr w:type="spellStart"/>
      <w:r w:rsidRPr="5B88F298">
        <w:rPr>
          <w:rFonts w:cs="Segoe UI"/>
          <w:lang w:val="pl"/>
        </w:rPr>
        <w:t>Carsten</w:t>
      </w:r>
      <w:proofErr w:type="spellEnd"/>
      <w:r w:rsidRPr="5B88F298">
        <w:rPr>
          <w:rFonts w:cs="Segoe UI"/>
          <w:lang w:val="pl"/>
        </w:rPr>
        <w:t xml:space="preserve"> </w:t>
      </w:r>
      <w:proofErr w:type="spellStart"/>
      <w:r w:rsidRPr="5B88F298">
        <w:rPr>
          <w:rFonts w:cs="Segoe UI"/>
          <w:lang w:val="pl"/>
        </w:rPr>
        <w:t>Knobel</w:t>
      </w:r>
      <w:proofErr w:type="spellEnd"/>
      <w:r w:rsidRPr="5B88F298">
        <w:rPr>
          <w:rFonts w:cs="Segoe UI"/>
          <w:lang w:val="pl"/>
        </w:rPr>
        <w:t>.</w:t>
      </w:r>
    </w:p>
    <w:p w14:paraId="0062A977" w14:textId="4A1D3AB4" w:rsidR="1481C9FA" w:rsidRDefault="1481C9FA" w:rsidP="1481C9FA">
      <w:pPr>
        <w:rPr>
          <w:rFonts w:cs="Segoe UI"/>
          <w:lang w:val="pl"/>
        </w:rPr>
      </w:pPr>
    </w:p>
    <w:p w14:paraId="310AE9C8" w14:textId="77777777" w:rsidR="00AE089D" w:rsidRPr="00AE089D" w:rsidRDefault="00AE089D" w:rsidP="00AE089D">
      <w:pPr>
        <w:rPr>
          <w:b/>
          <w:bCs/>
          <w:lang w:val="pl-PL"/>
        </w:rPr>
      </w:pPr>
      <w:r w:rsidRPr="00AE089D">
        <w:rPr>
          <w:b/>
          <w:bCs/>
          <w:lang w:val="pl-PL"/>
        </w:rPr>
        <w:t>Aktualizacja prognozy na rok obrotowy 2025</w:t>
      </w:r>
    </w:p>
    <w:p w14:paraId="16BA0FD8" w14:textId="77777777" w:rsidR="00AE089D" w:rsidRPr="00AE089D" w:rsidRDefault="00AE089D" w:rsidP="00AE089D">
      <w:pPr>
        <w:rPr>
          <w:lang w:val="pl-PL"/>
        </w:rPr>
      </w:pPr>
      <w:r w:rsidRPr="00AE089D">
        <w:rPr>
          <w:lang w:val="pl-PL"/>
        </w:rPr>
        <w:t>Na podstawie wyników biznesowych osiągniętych w pierwszej połowie 2025 roku oraz założeń dotyczących pozostałej części roku, Henkel zaktualizował swoją prognozę na rok obrotowy 2025.</w:t>
      </w:r>
    </w:p>
    <w:p w14:paraId="7AFE9D5E" w14:textId="77777777" w:rsidR="00AE089D" w:rsidRPr="00AE089D" w:rsidRDefault="00AE089D" w:rsidP="00AE089D">
      <w:pPr>
        <w:rPr>
          <w:lang w:val="pl-PL"/>
        </w:rPr>
      </w:pPr>
    </w:p>
    <w:p w14:paraId="14E81F6E" w14:textId="775B6663" w:rsidR="00AE089D" w:rsidRPr="00AE089D" w:rsidRDefault="00AE089D" w:rsidP="00AE089D">
      <w:pPr>
        <w:rPr>
          <w:lang w:val="pl-PL"/>
        </w:rPr>
      </w:pPr>
      <w:r w:rsidRPr="5B88F298">
        <w:rPr>
          <w:i/>
          <w:iCs/>
          <w:lang w:val="pl-PL"/>
        </w:rPr>
        <w:t xml:space="preserve">– </w:t>
      </w:r>
      <w:r w:rsidR="001104F4">
        <w:rPr>
          <w:i/>
          <w:iCs/>
          <w:lang w:val="pl-PL"/>
        </w:rPr>
        <w:t>Spodziewamy się</w:t>
      </w:r>
      <w:r w:rsidRPr="5B88F298">
        <w:rPr>
          <w:i/>
          <w:iCs/>
          <w:lang w:val="pl-PL"/>
        </w:rPr>
        <w:t xml:space="preserve"> dalszego rentownego wzrostu w roku obrotowym 2025 i </w:t>
      </w:r>
      <w:r w:rsidR="001104F4">
        <w:rPr>
          <w:i/>
          <w:iCs/>
          <w:lang w:val="pl-PL"/>
        </w:rPr>
        <w:t xml:space="preserve">zakładamy  wyraźny </w:t>
      </w:r>
      <w:r w:rsidRPr="5B88F298">
        <w:rPr>
          <w:i/>
          <w:iCs/>
          <w:lang w:val="pl-PL"/>
        </w:rPr>
        <w:t xml:space="preserve">wzrost sprzedaży w drugiej połowie roku. Zaktualizowana prognoza uwzględnia z jednej strony wpływ wymagającego otoczenia makroekonomicznego na organiczny rozwój sprzedaży naszych dwóch sektorów biznesowych. Z drugiej strony podwyższone oczekiwania co do rentowności odzwierciedlają pozytywny rozwój naszej marży brutto, </w:t>
      </w:r>
      <w:r w:rsidR="001104F4">
        <w:rPr>
          <w:i/>
          <w:iCs/>
          <w:lang w:val="pl-PL"/>
        </w:rPr>
        <w:t>k</w:t>
      </w:r>
      <w:r w:rsidR="001104F4" w:rsidRPr="001104F4">
        <w:rPr>
          <w:i/>
          <w:iCs/>
          <w:lang w:val="pl-PL"/>
        </w:rPr>
        <w:t>orzyści płynąc</w:t>
      </w:r>
      <w:r w:rsidR="001104F4">
        <w:rPr>
          <w:i/>
          <w:iCs/>
          <w:lang w:val="pl-PL"/>
        </w:rPr>
        <w:t>e</w:t>
      </w:r>
      <w:r w:rsidR="001104F4" w:rsidRPr="001104F4">
        <w:rPr>
          <w:i/>
          <w:iCs/>
          <w:lang w:val="pl-PL"/>
        </w:rPr>
        <w:t xml:space="preserve"> z optymalizacji portfela oraz dalszych usprawnień efektywności operacyjnej</w:t>
      </w:r>
      <w:r w:rsidRPr="5B88F298">
        <w:rPr>
          <w:i/>
          <w:iCs/>
          <w:lang w:val="pl-PL"/>
        </w:rPr>
        <w:t xml:space="preserve">. </w:t>
      </w:r>
      <w:r w:rsidR="001104F4">
        <w:rPr>
          <w:i/>
          <w:iCs/>
          <w:lang w:val="pl-PL"/>
        </w:rPr>
        <w:t xml:space="preserve">Prognoza ta </w:t>
      </w:r>
      <w:r w:rsidRPr="5B88F298">
        <w:rPr>
          <w:i/>
          <w:iCs/>
          <w:lang w:val="pl-PL"/>
        </w:rPr>
        <w:t xml:space="preserve">uwzględnia </w:t>
      </w:r>
      <w:r w:rsidR="009800DC">
        <w:rPr>
          <w:i/>
          <w:iCs/>
          <w:lang w:val="pl-PL"/>
        </w:rPr>
        <w:t xml:space="preserve">również </w:t>
      </w:r>
      <w:r w:rsidR="001104F4" w:rsidRPr="001104F4">
        <w:rPr>
          <w:i/>
          <w:iCs/>
          <w:lang w:val="pl-PL"/>
        </w:rPr>
        <w:t>przewidywalne na ten moment skutki globalnych porozumień taryfowych i w dużej mierze odpowiada aktualnym oczekiwaniom rynkowym co do rozwoju działalności firmy Henkel w ciągu roku.</w:t>
      </w:r>
      <w:r w:rsidR="001104F4" w:rsidRPr="001104F4">
        <w:rPr>
          <w:i/>
          <w:iCs/>
          <w:lang w:val="pl-PL"/>
        </w:rPr>
        <w:t xml:space="preserve"> </w:t>
      </w:r>
      <w:r w:rsidRPr="5B88F298">
        <w:rPr>
          <w:lang w:val="pl-PL"/>
        </w:rPr>
        <w:t xml:space="preserve">– wyjaśnił </w:t>
      </w:r>
      <w:proofErr w:type="spellStart"/>
      <w:r w:rsidRPr="5B88F298">
        <w:rPr>
          <w:lang w:val="pl-PL"/>
        </w:rPr>
        <w:t>Carsten</w:t>
      </w:r>
      <w:proofErr w:type="spellEnd"/>
      <w:r w:rsidRPr="5B88F298">
        <w:rPr>
          <w:lang w:val="pl-PL"/>
        </w:rPr>
        <w:t xml:space="preserve"> </w:t>
      </w:r>
      <w:proofErr w:type="spellStart"/>
      <w:r w:rsidRPr="5B88F298">
        <w:rPr>
          <w:lang w:val="pl-PL"/>
        </w:rPr>
        <w:t>Knobel</w:t>
      </w:r>
      <w:proofErr w:type="spellEnd"/>
      <w:r w:rsidR="001104F4">
        <w:rPr>
          <w:lang w:val="pl-PL"/>
        </w:rPr>
        <w:t xml:space="preserve"> </w:t>
      </w:r>
      <w:r w:rsidR="001104F4" w:rsidRPr="009800DC">
        <w:rPr>
          <w:lang w:val="pl-PL"/>
        </w:rPr>
        <w:t>odnosząc się do prognoz</w:t>
      </w:r>
      <w:r w:rsidRPr="5B88F298">
        <w:rPr>
          <w:lang w:val="pl-PL"/>
        </w:rPr>
        <w:t>.</w:t>
      </w:r>
    </w:p>
    <w:p w14:paraId="280A713D" w14:textId="77777777" w:rsidR="00AE089D" w:rsidRDefault="00AE089D" w:rsidP="00AE089D">
      <w:pPr>
        <w:rPr>
          <w:lang w:val="pl-PL"/>
        </w:rPr>
      </w:pPr>
    </w:p>
    <w:p w14:paraId="7CB5C462" w14:textId="451527E1" w:rsidR="00AE089D" w:rsidRDefault="001104F4" w:rsidP="5B88F298">
      <w:pPr>
        <w:rPr>
          <w:lang w:val="pl-PL"/>
        </w:rPr>
      </w:pPr>
      <w:r>
        <w:rPr>
          <w:lang w:val="pl-PL"/>
        </w:rPr>
        <w:t>N</w:t>
      </w:r>
      <w:r w:rsidR="00AE089D" w:rsidRPr="5B88F298">
        <w:rPr>
          <w:lang w:val="pl-PL"/>
        </w:rPr>
        <w:t xml:space="preserve">a </w:t>
      </w:r>
      <w:r>
        <w:rPr>
          <w:lang w:val="pl-PL"/>
        </w:rPr>
        <w:t>bieżący</w:t>
      </w:r>
      <w:r w:rsidR="00AE089D" w:rsidRPr="5B88F298">
        <w:rPr>
          <w:lang w:val="pl-PL"/>
        </w:rPr>
        <w:t xml:space="preserve"> rok obrotowy Henkel </w:t>
      </w:r>
      <w:r w:rsidR="73713B0A" w:rsidRPr="5B88F298">
        <w:rPr>
          <w:lang w:val="pl-PL"/>
        </w:rPr>
        <w:t>p</w:t>
      </w:r>
      <w:r>
        <w:rPr>
          <w:lang w:val="pl-PL"/>
        </w:rPr>
        <w:t>rognozuje</w:t>
      </w:r>
      <w:r w:rsidR="73713B0A" w:rsidRPr="5B88F298">
        <w:rPr>
          <w:lang w:val="pl-PL"/>
        </w:rPr>
        <w:t xml:space="preserve"> </w:t>
      </w:r>
      <w:r w:rsidR="00AE089D" w:rsidRPr="5B88F298">
        <w:rPr>
          <w:lang w:val="pl-PL"/>
        </w:rPr>
        <w:t>obecnie organiczn</w:t>
      </w:r>
      <w:r w:rsidR="42F8F1F5" w:rsidRPr="5B88F298">
        <w:rPr>
          <w:lang w:val="pl-PL"/>
        </w:rPr>
        <w:t>y</w:t>
      </w:r>
      <w:r w:rsidR="00AE089D" w:rsidRPr="5B88F298">
        <w:rPr>
          <w:lang w:val="pl-PL"/>
        </w:rPr>
        <w:t xml:space="preserve"> wzrost sprzedaży między 1,0 a 2,0 procent (wcześniej: 1,5 do 3,5 procent). Dla sektora biznesowego </w:t>
      </w:r>
      <w:proofErr w:type="spellStart"/>
      <w:r w:rsidR="00AE089D" w:rsidRPr="5B88F298">
        <w:rPr>
          <w:lang w:val="pl-PL"/>
        </w:rPr>
        <w:t>Adhesive</w:t>
      </w:r>
      <w:proofErr w:type="spellEnd"/>
      <w:r w:rsidR="00AE089D" w:rsidRPr="5B88F298">
        <w:rPr>
          <w:lang w:val="pl-PL"/>
        </w:rPr>
        <w:t xml:space="preserve"> Technologies (kleje budowlane i konsumenckie oraz kleje i technologie dla przemysłu) obecnie oczekuje się organicznego wzrostu sprzedaży w zakresie od 2,0 do 3,0 procent (wcześniej: 2,0 do 4,0 procent). Dla sektora Consumer </w:t>
      </w:r>
      <w:proofErr w:type="spellStart"/>
      <w:r w:rsidR="00AE089D" w:rsidRPr="5B88F298">
        <w:rPr>
          <w:lang w:val="pl-PL"/>
        </w:rPr>
        <w:t>Brands</w:t>
      </w:r>
      <w:proofErr w:type="spellEnd"/>
      <w:r w:rsidR="00AE089D" w:rsidRPr="5B88F298">
        <w:rPr>
          <w:lang w:val="pl-PL"/>
        </w:rPr>
        <w:t xml:space="preserve"> (marki konsumenckie) przewiduje się obecnie organiczny wzrost sprzedaży od 0,5 do 1,5 procent (wcześniej: 1,0 do 3,0 procent). Jednocześnie oczekiwania dotyczące </w:t>
      </w:r>
      <w:r w:rsidR="00AE089D" w:rsidRPr="5B88F298">
        <w:rPr>
          <w:b/>
          <w:bCs/>
          <w:lang w:val="pl-PL"/>
        </w:rPr>
        <w:t>skorygowanej rentowności sprzedaży</w:t>
      </w:r>
      <w:r w:rsidR="00AE089D" w:rsidRPr="5B88F298">
        <w:rPr>
          <w:lang w:val="pl-PL"/>
        </w:rPr>
        <w:t xml:space="preserve"> (skorygowanej marży EBIT) zostały podniesione do zakresu między 14,5 a 15,5 procent (wcześniej: 14,0 do 15,5 procent). </w:t>
      </w:r>
      <w:r w:rsidR="00AE089D" w:rsidRPr="5B88F298">
        <w:rPr>
          <w:lang w:val="pl-PL"/>
        </w:rPr>
        <w:lastRenderedPageBreak/>
        <w:t xml:space="preserve">Dla sektora </w:t>
      </w:r>
      <w:proofErr w:type="spellStart"/>
      <w:r w:rsidR="00AE089D" w:rsidRPr="5B88F298">
        <w:rPr>
          <w:lang w:val="pl-PL"/>
        </w:rPr>
        <w:t>Adhesive</w:t>
      </w:r>
      <w:proofErr w:type="spellEnd"/>
      <w:r w:rsidR="00AE089D" w:rsidRPr="5B88F298">
        <w:rPr>
          <w:lang w:val="pl-PL"/>
        </w:rPr>
        <w:t xml:space="preserve"> Technologies (kleje budowlane i konsumenckie oraz kleje i technologie dla przemysłu) przewiduje się obecnie skorygowaną rentowność sprzedaży między 16,5 a 17,5 procent (wcześniej: 16,0 i 17,5 procent), a dla sektora Consumer </w:t>
      </w:r>
      <w:proofErr w:type="spellStart"/>
      <w:r w:rsidR="00AE089D" w:rsidRPr="5B88F298">
        <w:rPr>
          <w:lang w:val="pl-PL"/>
        </w:rPr>
        <w:t>Brands</w:t>
      </w:r>
      <w:proofErr w:type="spellEnd"/>
      <w:r w:rsidR="00AE089D" w:rsidRPr="5B88F298">
        <w:rPr>
          <w:lang w:val="pl-PL"/>
        </w:rPr>
        <w:t xml:space="preserve"> (marki konsumenckie) między 14,0 a 15,0 procent (wcześniej: 13,5 i 15,0 procent). </w:t>
      </w:r>
      <w:r w:rsidR="3097786A" w:rsidRPr="5B88F298">
        <w:rPr>
          <w:lang w:val="pl-PL"/>
        </w:rPr>
        <w:t>Nadal o</w:t>
      </w:r>
      <w:r w:rsidR="30841B9E" w:rsidRPr="5B88F298">
        <w:rPr>
          <w:lang w:val="pl-PL"/>
        </w:rPr>
        <w:t>czekuje się</w:t>
      </w:r>
      <w:r w:rsidR="35C5F1C9" w:rsidRPr="5B88F298">
        <w:rPr>
          <w:lang w:val="pl-PL"/>
        </w:rPr>
        <w:t xml:space="preserve"> wzrostu</w:t>
      </w:r>
      <w:r w:rsidR="30841B9E" w:rsidRPr="5B88F298">
        <w:rPr>
          <w:lang w:val="pl-PL"/>
        </w:rPr>
        <w:t xml:space="preserve"> </w:t>
      </w:r>
      <w:r w:rsidR="4E794A08" w:rsidRPr="5B88F298">
        <w:rPr>
          <w:b/>
          <w:bCs/>
          <w:lang w:val="pl-PL"/>
        </w:rPr>
        <w:t>s</w:t>
      </w:r>
      <w:r w:rsidR="00AE089D" w:rsidRPr="5B88F298">
        <w:rPr>
          <w:b/>
          <w:bCs/>
          <w:lang w:val="pl-PL"/>
        </w:rPr>
        <w:t>korygowan</w:t>
      </w:r>
      <w:r w:rsidR="3482411A" w:rsidRPr="5B88F298">
        <w:rPr>
          <w:b/>
          <w:bCs/>
          <w:lang w:val="pl-PL"/>
        </w:rPr>
        <w:t>ego</w:t>
      </w:r>
      <w:r w:rsidR="00AE089D" w:rsidRPr="5B88F298">
        <w:rPr>
          <w:b/>
          <w:bCs/>
          <w:lang w:val="pl-PL"/>
        </w:rPr>
        <w:t xml:space="preserve"> zysk</w:t>
      </w:r>
      <w:r w:rsidR="0AC995CB" w:rsidRPr="5B88F298">
        <w:rPr>
          <w:b/>
          <w:bCs/>
          <w:lang w:val="pl-PL"/>
        </w:rPr>
        <w:t>u</w:t>
      </w:r>
      <w:r w:rsidR="00AE089D" w:rsidRPr="5B88F298">
        <w:rPr>
          <w:b/>
          <w:bCs/>
          <w:lang w:val="pl-PL"/>
        </w:rPr>
        <w:t xml:space="preserve"> na akcję uprzywilejowaną</w:t>
      </w:r>
      <w:r w:rsidR="00AE089D" w:rsidRPr="5B88F298">
        <w:rPr>
          <w:lang w:val="pl-PL"/>
        </w:rPr>
        <w:t xml:space="preserve"> (EPS) przy stałych kursach wymiany </w:t>
      </w:r>
      <w:r w:rsidRPr="000025F8">
        <w:rPr>
          <w:lang w:val="pl-PL"/>
        </w:rPr>
        <w:t>od niskiego do wysokiego jednocyfrowego procent</w:t>
      </w:r>
      <w:r w:rsidR="000025F8">
        <w:rPr>
          <w:lang w:val="pl-PL"/>
        </w:rPr>
        <w:t>a</w:t>
      </w:r>
      <w:r w:rsidR="684B8BAD" w:rsidRPr="5B88F298">
        <w:rPr>
          <w:lang w:val="pl-PL"/>
        </w:rPr>
        <w:t>.</w:t>
      </w:r>
    </w:p>
    <w:p w14:paraId="2BAE0019" w14:textId="77777777" w:rsidR="00AE089D" w:rsidRDefault="00AE089D" w:rsidP="00AE089D">
      <w:pPr>
        <w:rPr>
          <w:lang w:val="pl-PL"/>
        </w:rPr>
      </w:pPr>
    </w:p>
    <w:p w14:paraId="749B96A1" w14:textId="77777777" w:rsidR="008D5426" w:rsidRPr="007341FC" w:rsidRDefault="008D5426" w:rsidP="008D5426">
      <w:pPr>
        <w:rPr>
          <w:b/>
          <w:bCs/>
          <w:lang w:val="pl-PL"/>
        </w:rPr>
      </w:pPr>
      <w:r w:rsidRPr="007341FC">
        <w:rPr>
          <w:b/>
          <w:bCs/>
          <w:lang w:val="pl-PL"/>
        </w:rPr>
        <w:t>Rozwój sprzedaży i zysków w pierwszej połowie roku obrotowego 2025</w:t>
      </w:r>
    </w:p>
    <w:p w14:paraId="18CFCF66" w14:textId="0F922A87" w:rsidR="000025F8" w:rsidRPr="000025F8" w:rsidRDefault="000025F8" w:rsidP="008D5426">
      <w:pPr>
        <w:rPr>
          <w:lang w:val="pl-PL"/>
        </w:rPr>
      </w:pPr>
      <w:r w:rsidRPr="000025F8">
        <w:rPr>
          <w:b/>
          <w:bCs/>
          <w:lang w:val="pl-PL"/>
        </w:rPr>
        <w:t>Przychody ze sprzedaży Grupy</w:t>
      </w:r>
      <w:r w:rsidR="008D5426" w:rsidRPr="5B88F298">
        <w:rPr>
          <w:lang w:val="pl-PL"/>
        </w:rPr>
        <w:t xml:space="preserve"> w pierwszej połowie 2025 roku</w:t>
      </w:r>
      <w:r>
        <w:rPr>
          <w:lang w:val="pl-PL"/>
        </w:rPr>
        <w:t xml:space="preserve"> wyniosły </w:t>
      </w:r>
      <w:r w:rsidRPr="5B88F298">
        <w:rPr>
          <w:lang w:val="pl-PL"/>
        </w:rPr>
        <w:t>10 402 mln euro</w:t>
      </w:r>
      <w:r w:rsidR="008D5426" w:rsidRPr="5B88F298">
        <w:rPr>
          <w:lang w:val="pl-PL"/>
        </w:rPr>
        <w:t xml:space="preserve">, co odpowiada nominalnemu rozwojowi -3,8 procent (Q2: 5 160 mln euro, -6,1 procent). </w:t>
      </w:r>
      <w:r w:rsidR="734C4622" w:rsidRPr="5B88F298">
        <w:rPr>
          <w:lang w:val="pl-PL"/>
        </w:rPr>
        <w:t>Różnice kursowe</w:t>
      </w:r>
      <w:r w:rsidR="008D5426" w:rsidRPr="5B88F298">
        <w:rPr>
          <w:lang w:val="pl-PL"/>
        </w:rPr>
        <w:t xml:space="preserve"> obniżyły sprzedaż o -2,8 procent (Q2: -4,1 procent). Przejęcia i zbycia obniżyły sprzedaż o -0,9 procent (Q2: -2,9 procent). </w:t>
      </w:r>
      <w:r w:rsidRPr="000025F8">
        <w:rPr>
          <w:lang w:val="pl-PL"/>
        </w:rPr>
        <w:t xml:space="preserve">Negatywny wpływ miała sprzedaż segmentu marek detalicznych w Ameryce Północnej w kwietniu 2025 roku, natomiast pozytywnie wpłynęły zeszłoroczne przejęcia w obu sektorach biznesowych – </w:t>
      </w:r>
      <w:proofErr w:type="spellStart"/>
      <w:r w:rsidRPr="000025F8">
        <w:rPr>
          <w:lang w:val="pl-PL"/>
        </w:rPr>
        <w:t>Seal</w:t>
      </w:r>
      <w:proofErr w:type="spellEnd"/>
      <w:r w:rsidRPr="000025F8">
        <w:rPr>
          <w:lang w:val="pl-PL"/>
        </w:rPr>
        <w:t xml:space="preserve"> for Life oraz Vidal </w:t>
      </w:r>
      <w:proofErr w:type="spellStart"/>
      <w:r w:rsidRPr="000025F8">
        <w:rPr>
          <w:lang w:val="pl-PL"/>
        </w:rPr>
        <w:t>Sassoon</w:t>
      </w:r>
      <w:proofErr w:type="spellEnd"/>
      <w:r w:rsidRPr="000025F8">
        <w:rPr>
          <w:lang w:val="pl-PL"/>
        </w:rPr>
        <w:t>.</w:t>
      </w:r>
      <w:r>
        <w:rPr>
          <w:b/>
          <w:bCs/>
          <w:lang w:val="pl-PL"/>
        </w:rPr>
        <w:t xml:space="preserve"> </w:t>
      </w:r>
      <w:r w:rsidR="008D5426" w:rsidRPr="5B88F298">
        <w:rPr>
          <w:b/>
          <w:bCs/>
          <w:lang w:val="pl-PL"/>
        </w:rPr>
        <w:t>W ujęciu organicznym</w:t>
      </w:r>
      <w:r w:rsidR="008D5426" w:rsidRPr="5B88F298">
        <w:rPr>
          <w:lang w:val="pl-PL"/>
        </w:rPr>
        <w:t xml:space="preserve"> (tj. skorygowanym o </w:t>
      </w:r>
      <w:r w:rsidR="02781494" w:rsidRPr="5B88F298">
        <w:rPr>
          <w:lang w:val="pl-PL"/>
        </w:rPr>
        <w:t>wymianę walut</w:t>
      </w:r>
      <w:r w:rsidR="008D5426" w:rsidRPr="5B88F298">
        <w:rPr>
          <w:lang w:val="pl-PL"/>
        </w:rPr>
        <w:t xml:space="preserve"> i przejęcia/zbycia) sprzedaż była na poziomie roku poprzedniego przy -0,1 procent (Q2: +0,9 procent). </w:t>
      </w:r>
      <w:r w:rsidRPr="000025F8">
        <w:rPr>
          <w:lang w:val="pl-PL"/>
        </w:rPr>
        <w:t xml:space="preserve">Na ten wynik wpłynął korzystny rozwój cen w obu </w:t>
      </w:r>
      <w:r>
        <w:rPr>
          <w:lang w:val="pl-PL"/>
        </w:rPr>
        <w:t>sektorach</w:t>
      </w:r>
      <w:r w:rsidRPr="000025F8">
        <w:rPr>
          <w:lang w:val="pl-PL"/>
        </w:rPr>
        <w:t xml:space="preserve"> biznesowych. Wolumen sprzedaży na poziomie całej Grupy nieznacznie się obniżył w pierwszej połowie roku, głównie ze względu na trudną sytuację geopolityczną i makroekonomiczną, która wpłynęła zarówno na popyt przemysłowy, jak i nastroje konsumenckie – szczególnie w pierwszym kwartale w Ameryce Północnej.</w:t>
      </w:r>
    </w:p>
    <w:p w14:paraId="2FA96B5A" w14:textId="77777777" w:rsidR="008D5426" w:rsidRPr="008D5426" w:rsidRDefault="008D5426" w:rsidP="008D5426">
      <w:pPr>
        <w:rPr>
          <w:lang w:val="pl-PL"/>
        </w:rPr>
      </w:pPr>
    </w:p>
    <w:p w14:paraId="1188347D" w14:textId="77777777" w:rsidR="008D5426" w:rsidRPr="008D5426" w:rsidRDefault="008D5426" w:rsidP="008D5426">
      <w:pPr>
        <w:rPr>
          <w:lang w:val="pl-PL"/>
        </w:rPr>
      </w:pPr>
      <w:r w:rsidRPr="00F42AD2">
        <w:rPr>
          <w:b/>
          <w:bCs/>
          <w:lang w:val="pl-PL"/>
        </w:rPr>
        <w:t xml:space="preserve">Sektor biznesowy </w:t>
      </w:r>
      <w:proofErr w:type="spellStart"/>
      <w:r w:rsidRPr="00F42AD2">
        <w:rPr>
          <w:b/>
          <w:bCs/>
          <w:lang w:val="pl-PL"/>
        </w:rPr>
        <w:t>Adhesive</w:t>
      </w:r>
      <w:proofErr w:type="spellEnd"/>
      <w:r w:rsidRPr="00F42AD2">
        <w:rPr>
          <w:b/>
          <w:bCs/>
          <w:lang w:val="pl-PL"/>
        </w:rPr>
        <w:t xml:space="preserve"> Technologies</w:t>
      </w:r>
      <w:r w:rsidRPr="008D5426">
        <w:rPr>
          <w:lang w:val="pl-PL"/>
        </w:rPr>
        <w:t xml:space="preserve"> (kleje budowlane i konsumenckie oraz kleje i technologie dla przemysłu) osiągnął pozytywny organiczny wzrost sprzedaży na poziomie 1,2 procent w pierwszej połowie 2025 roku, napędzany głównie przez obszar biznesowy </w:t>
      </w:r>
      <w:proofErr w:type="spellStart"/>
      <w:r w:rsidRPr="008D5426">
        <w:rPr>
          <w:lang w:val="pl-PL"/>
        </w:rPr>
        <w:t>Mobility</w:t>
      </w:r>
      <w:proofErr w:type="spellEnd"/>
      <w:r w:rsidRPr="008D5426">
        <w:rPr>
          <w:lang w:val="pl-PL"/>
        </w:rPr>
        <w:t xml:space="preserve"> &amp; Electronics (produkty dla branży mobilności i branży elektronicznej) (Q2: +1,3 procent). </w:t>
      </w:r>
      <w:r w:rsidRPr="00F42AD2">
        <w:rPr>
          <w:b/>
          <w:bCs/>
          <w:lang w:val="pl-PL"/>
        </w:rPr>
        <w:t xml:space="preserve">Sektor biznesowy Consumer </w:t>
      </w:r>
      <w:proofErr w:type="spellStart"/>
      <w:r w:rsidRPr="00F42AD2">
        <w:rPr>
          <w:b/>
          <w:bCs/>
          <w:lang w:val="pl-PL"/>
        </w:rPr>
        <w:t>Brands</w:t>
      </w:r>
      <w:proofErr w:type="spellEnd"/>
      <w:r w:rsidRPr="008D5426">
        <w:rPr>
          <w:lang w:val="pl-PL"/>
        </w:rPr>
        <w:t xml:space="preserve"> (marki konsumenckie) odnotował spadek organicznej sprzedaży o -1,6 procent (Q2: +0,4 procent). Podczas gdy obszar biznesowy </w:t>
      </w:r>
      <w:proofErr w:type="spellStart"/>
      <w:r w:rsidRPr="008D5426">
        <w:rPr>
          <w:lang w:val="pl-PL"/>
        </w:rPr>
        <w:t>Hair</w:t>
      </w:r>
      <w:proofErr w:type="spellEnd"/>
      <w:r w:rsidRPr="008D5426">
        <w:rPr>
          <w:lang w:val="pl-PL"/>
        </w:rPr>
        <w:t xml:space="preserve"> (produkty do pielęgnacji włosów) osiągnął pozytywny organiczny wzrost sprzedaży, oba obszary biznesowe </w:t>
      </w:r>
      <w:proofErr w:type="spellStart"/>
      <w:r w:rsidRPr="008D5426">
        <w:rPr>
          <w:lang w:val="pl-PL"/>
        </w:rPr>
        <w:t>Laundry</w:t>
      </w:r>
      <w:proofErr w:type="spellEnd"/>
      <w:r w:rsidRPr="008D5426">
        <w:rPr>
          <w:lang w:val="pl-PL"/>
        </w:rPr>
        <w:t xml:space="preserve"> &amp; Home </w:t>
      </w:r>
      <w:proofErr w:type="spellStart"/>
      <w:r w:rsidRPr="008D5426">
        <w:rPr>
          <w:lang w:val="pl-PL"/>
        </w:rPr>
        <w:t>Care</w:t>
      </w:r>
      <w:proofErr w:type="spellEnd"/>
      <w:r w:rsidRPr="008D5426">
        <w:rPr>
          <w:lang w:val="pl-PL"/>
        </w:rPr>
        <w:t xml:space="preserve"> (środki piorące i środki czystości) oraz </w:t>
      </w:r>
      <w:proofErr w:type="spellStart"/>
      <w:r w:rsidRPr="008D5426">
        <w:rPr>
          <w:lang w:val="pl-PL"/>
        </w:rPr>
        <w:t>Other</w:t>
      </w:r>
      <w:proofErr w:type="spellEnd"/>
      <w:r w:rsidRPr="008D5426">
        <w:rPr>
          <w:lang w:val="pl-PL"/>
        </w:rPr>
        <w:t xml:space="preserve"> Consumer </w:t>
      </w:r>
      <w:proofErr w:type="spellStart"/>
      <w:r w:rsidRPr="008D5426">
        <w:rPr>
          <w:lang w:val="pl-PL"/>
        </w:rPr>
        <w:t>Businesses</w:t>
      </w:r>
      <w:proofErr w:type="spellEnd"/>
      <w:r w:rsidRPr="008D5426">
        <w:rPr>
          <w:lang w:val="pl-PL"/>
        </w:rPr>
        <w:t xml:space="preserve"> (pozostałe obszary biznesowe Consumer </w:t>
      </w:r>
      <w:proofErr w:type="spellStart"/>
      <w:r w:rsidRPr="008D5426">
        <w:rPr>
          <w:lang w:val="pl-PL"/>
        </w:rPr>
        <w:t>Brands</w:t>
      </w:r>
      <w:proofErr w:type="spellEnd"/>
      <w:r w:rsidRPr="008D5426">
        <w:rPr>
          <w:lang w:val="pl-PL"/>
        </w:rPr>
        <w:t>) odnotowały spadek organicznego wzrostu sprzedaży.</w:t>
      </w:r>
    </w:p>
    <w:p w14:paraId="31525C41" w14:textId="77777777" w:rsidR="008D5426" w:rsidRPr="008D5426" w:rsidRDefault="008D5426" w:rsidP="008D5426">
      <w:pPr>
        <w:rPr>
          <w:lang w:val="pl-PL"/>
        </w:rPr>
      </w:pPr>
    </w:p>
    <w:p w14:paraId="3FA9EFF9" w14:textId="77777777" w:rsidR="008D5426" w:rsidRPr="008D5426" w:rsidRDefault="008D5426" w:rsidP="008D5426">
      <w:pPr>
        <w:rPr>
          <w:lang w:val="pl-PL"/>
        </w:rPr>
      </w:pPr>
      <w:r w:rsidRPr="00B47B00">
        <w:rPr>
          <w:b/>
          <w:bCs/>
          <w:lang w:val="pl-PL"/>
        </w:rPr>
        <w:t>Regiony Europa i Ameryka Północna</w:t>
      </w:r>
      <w:r w:rsidRPr="008D5426">
        <w:rPr>
          <w:lang w:val="pl-PL"/>
        </w:rPr>
        <w:t xml:space="preserve"> odnotowały spadek organicznej sprzedaży odpowiednio o -1,9 procent (Q2: -1,8 procent) i -3,4 procent (Q2: -1,2 procent), głównie z powodu trudnego otoczenia geopolitycznego i makroekonomicznego. </w:t>
      </w:r>
      <w:r w:rsidRPr="00B47B00">
        <w:rPr>
          <w:b/>
          <w:bCs/>
          <w:lang w:val="pl-PL"/>
        </w:rPr>
        <w:t>W regionie IMEA</w:t>
      </w:r>
      <w:r w:rsidRPr="008D5426">
        <w:rPr>
          <w:lang w:val="pl-PL"/>
        </w:rPr>
        <w:t xml:space="preserve"> (Indie, Bliski Wschód i Afryka) Henkel wygenerował natomiast znaczący organiczny wzrost sprzedaży na poziomie 9,1 procent (Q2: +13,9 procent). </w:t>
      </w:r>
      <w:r w:rsidRPr="00EC2C3E">
        <w:rPr>
          <w:b/>
          <w:bCs/>
          <w:lang w:val="pl-PL"/>
        </w:rPr>
        <w:t>Region Ameryki Łacińskiej</w:t>
      </w:r>
      <w:r w:rsidRPr="008D5426">
        <w:rPr>
          <w:lang w:val="pl-PL"/>
        </w:rPr>
        <w:t xml:space="preserve"> osiągnął pozytywny organiczny wzrost sprzedaży na poziomie 0,4 procent (Q2: -0,6 procent). </w:t>
      </w:r>
      <w:r w:rsidRPr="00EC2C3E">
        <w:rPr>
          <w:b/>
          <w:bCs/>
          <w:lang w:val="pl-PL"/>
        </w:rPr>
        <w:t xml:space="preserve">Region </w:t>
      </w:r>
      <w:r w:rsidRPr="00EC2C3E">
        <w:rPr>
          <w:b/>
          <w:bCs/>
          <w:lang w:val="pl-PL"/>
        </w:rPr>
        <w:lastRenderedPageBreak/>
        <w:t>Azji i Pacyfiku</w:t>
      </w:r>
      <w:r w:rsidRPr="008D5426">
        <w:rPr>
          <w:lang w:val="pl-PL"/>
        </w:rPr>
        <w:t xml:space="preserve"> osiągnął silny organiczny wzrost sprzedaży na poziomie 3,4 procent (Q2: +3,1 procent).</w:t>
      </w:r>
    </w:p>
    <w:p w14:paraId="7567EC6F" w14:textId="77777777" w:rsidR="008D5426" w:rsidRPr="008D5426" w:rsidRDefault="008D5426" w:rsidP="008D5426">
      <w:pPr>
        <w:rPr>
          <w:lang w:val="pl-PL"/>
        </w:rPr>
      </w:pPr>
    </w:p>
    <w:p w14:paraId="2EE65B62" w14:textId="77777777" w:rsidR="008D5426" w:rsidRPr="008D5426" w:rsidRDefault="008D5426" w:rsidP="008D5426">
      <w:pPr>
        <w:rPr>
          <w:lang w:val="pl-PL"/>
        </w:rPr>
      </w:pPr>
      <w:r w:rsidRPr="00EC2C3E">
        <w:rPr>
          <w:b/>
          <w:bCs/>
          <w:lang w:val="pl-PL"/>
        </w:rPr>
        <w:t>Skorygowany zysk operacyjny</w:t>
      </w:r>
      <w:r w:rsidRPr="008D5426">
        <w:rPr>
          <w:lang w:val="pl-PL"/>
        </w:rPr>
        <w:t xml:space="preserve"> (skorygowany EBIT) nieznacznie wzrósł z 1 610 mln euro w pierwszej połowie 2024 roku do 1 614 mln euro.</w:t>
      </w:r>
    </w:p>
    <w:p w14:paraId="564C7838" w14:textId="77777777" w:rsidR="008D5426" w:rsidRPr="008D5426" w:rsidRDefault="008D5426" w:rsidP="008D5426">
      <w:pPr>
        <w:rPr>
          <w:lang w:val="pl-PL"/>
        </w:rPr>
      </w:pPr>
    </w:p>
    <w:p w14:paraId="4EACF055" w14:textId="77777777" w:rsidR="008D5426" w:rsidRPr="008D5426" w:rsidRDefault="008D5426" w:rsidP="008D5426">
      <w:pPr>
        <w:rPr>
          <w:lang w:val="pl-PL"/>
        </w:rPr>
      </w:pPr>
      <w:r w:rsidRPr="00EC2C3E">
        <w:rPr>
          <w:b/>
          <w:bCs/>
          <w:lang w:val="pl-PL"/>
        </w:rPr>
        <w:t>Skorygowana rentowność sprzedaży</w:t>
      </w:r>
      <w:r w:rsidRPr="008D5426">
        <w:rPr>
          <w:lang w:val="pl-PL"/>
        </w:rPr>
        <w:t xml:space="preserve"> (skorygowana marża EBIT) Grupy Henkel odnotowała wzrost o 60 punktów bazowych z 14,9 procent do 15,5 procent.</w:t>
      </w:r>
    </w:p>
    <w:p w14:paraId="5B8CCD9C" w14:textId="77777777" w:rsidR="008D5426" w:rsidRPr="008D5426" w:rsidRDefault="008D5426" w:rsidP="008D5426">
      <w:pPr>
        <w:rPr>
          <w:lang w:val="pl-PL"/>
        </w:rPr>
      </w:pPr>
    </w:p>
    <w:p w14:paraId="43B8C69E" w14:textId="77777777" w:rsidR="008D5426" w:rsidRPr="008D5426" w:rsidRDefault="008D5426" w:rsidP="008D5426">
      <w:pPr>
        <w:rPr>
          <w:lang w:val="pl-PL"/>
        </w:rPr>
      </w:pPr>
      <w:r w:rsidRPr="00EC2C3E">
        <w:rPr>
          <w:b/>
          <w:bCs/>
          <w:lang w:val="pl-PL"/>
        </w:rPr>
        <w:t>Zysk na akcję uprzywilejowaną</w:t>
      </w:r>
      <w:r w:rsidRPr="008D5426">
        <w:rPr>
          <w:lang w:val="pl-PL"/>
        </w:rPr>
        <w:t xml:space="preserve"> wzrósł do 2,66 euro (poprzedni rok: 2,46 euro). Skorygowany zysk na akcję uprzywilejowaną wzrósł o 1,1 procent do 2,81 euro w porównaniu z 2,78 euro w analogicznym okresie poprzedniego roku. Przy stałych kursach wymiany skorygowany zysk na akcję uprzywilejowaną wzrósł o 5,0 procent.</w:t>
      </w:r>
    </w:p>
    <w:p w14:paraId="22A87949" w14:textId="77777777" w:rsidR="008D5426" w:rsidRPr="008D5426" w:rsidRDefault="008D5426" w:rsidP="008D5426">
      <w:pPr>
        <w:rPr>
          <w:lang w:val="pl-PL"/>
        </w:rPr>
      </w:pPr>
    </w:p>
    <w:p w14:paraId="3441AFD9" w14:textId="4671392C" w:rsidR="008D5426" w:rsidRPr="008D5426" w:rsidRDefault="008D5426" w:rsidP="008D5426">
      <w:pPr>
        <w:rPr>
          <w:lang w:val="pl-PL"/>
        </w:rPr>
      </w:pPr>
      <w:r w:rsidRPr="5B88F298">
        <w:rPr>
          <w:lang w:val="pl-PL"/>
        </w:rPr>
        <w:t xml:space="preserve">Wskaźnik </w:t>
      </w:r>
      <w:r w:rsidRPr="5B88F298">
        <w:rPr>
          <w:b/>
          <w:bCs/>
          <w:lang w:val="pl-PL"/>
        </w:rPr>
        <w:t>kapitału obrotowego netto</w:t>
      </w:r>
      <w:r w:rsidRPr="5B88F298">
        <w:rPr>
          <w:lang w:val="pl-PL"/>
        </w:rPr>
        <w:t xml:space="preserve"> w stosunku do sprzedaży w drugim kwartale wzrósł o 0,8 punktu procentowego w porównaniu z analogicznym okresem poprzedniego roku</w:t>
      </w:r>
      <w:r w:rsidR="4EAD9491" w:rsidRPr="5B88F298">
        <w:rPr>
          <w:lang w:val="pl-PL"/>
        </w:rPr>
        <w:t xml:space="preserve"> -</w:t>
      </w:r>
      <w:r w:rsidRPr="5B88F298">
        <w:rPr>
          <w:lang w:val="pl-PL"/>
        </w:rPr>
        <w:t xml:space="preserve"> z 5,2 procent do 6,0 procent.</w:t>
      </w:r>
    </w:p>
    <w:p w14:paraId="5703F8DD" w14:textId="77777777" w:rsidR="008D5426" w:rsidRPr="008D5426" w:rsidRDefault="008D5426" w:rsidP="008D5426">
      <w:pPr>
        <w:rPr>
          <w:lang w:val="pl-PL"/>
        </w:rPr>
      </w:pPr>
    </w:p>
    <w:p w14:paraId="4E6F18BE" w14:textId="77777777" w:rsidR="008D5426" w:rsidRPr="008D5426" w:rsidRDefault="008D5426" w:rsidP="008D5426">
      <w:pPr>
        <w:rPr>
          <w:lang w:val="pl-PL"/>
        </w:rPr>
      </w:pPr>
      <w:r w:rsidRPr="00A525B9">
        <w:rPr>
          <w:b/>
          <w:bCs/>
          <w:lang w:val="pl-PL"/>
        </w:rPr>
        <w:t>Wolne przepływy pieniężne</w:t>
      </w:r>
      <w:r w:rsidRPr="008D5426">
        <w:rPr>
          <w:lang w:val="pl-PL"/>
        </w:rPr>
        <w:t xml:space="preserve"> w wysokości 485 mln euro były niższe niż w pierwszej połowie 2024 roku (772 mln euro), między innymi z powodu wyższego kapitału obrotowego netto i wyższych płatności za inwestycje w rzeczowe aktywa trwałe i wartości niematerialne.</w:t>
      </w:r>
    </w:p>
    <w:p w14:paraId="1714FE6D" w14:textId="77777777" w:rsidR="008D5426" w:rsidRPr="008D5426" w:rsidRDefault="008D5426" w:rsidP="008D5426">
      <w:pPr>
        <w:rPr>
          <w:lang w:val="pl-PL"/>
        </w:rPr>
      </w:pPr>
    </w:p>
    <w:p w14:paraId="1B71676D" w14:textId="77777777" w:rsidR="008D5426" w:rsidRPr="008D5426" w:rsidRDefault="008D5426" w:rsidP="008D5426">
      <w:pPr>
        <w:rPr>
          <w:lang w:val="pl-PL"/>
        </w:rPr>
      </w:pPr>
      <w:r w:rsidRPr="008D5426">
        <w:rPr>
          <w:lang w:val="pl-PL"/>
        </w:rPr>
        <w:t xml:space="preserve">Na dzień 30 czerwca 2025 roku </w:t>
      </w:r>
      <w:r w:rsidRPr="00A525B9">
        <w:rPr>
          <w:b/>
          <w:bCs/>
          <w:lang w:val="pl-PL"/>
        </w:rPr>
        <w:t>pozycja finansowa netto</w:t>
      </w:r>
      <w:r w:rsidRPr="008D5426">
        <w:rPr>
          <w:lang w:val="pl-PL"/>
        </w:rPr>
        <w:t xml:space="preserve"> wyniosła -494 mln euro (31 grudnia 2024 roku: -93 mln euro).</w:t>
      </w:r>
    </w:p>
    <w:p w14:paraId="6899938B" w14:textId="77777777" w:rsidR="008D5426" w:rsidRPr="008D5426" w:rsidRDefault="008D5426" w:rsidP="008D5426">
      <w:pPr>
        <w:rPr>
          <w:lang w:val="pl-PL"/>
        </w:rPr>
      </w:pPr>
    </w:p>
    <w:p w14:paraId="66BE1841" w14:textId="77777777" w:rsidR="008D5426" w:rsidRPr="007341FC" w:rsidRDefault="008D5426" w:rsidP="008D5426">
      <w:pPr>
        <w:rPr>
          <w:b/>
          <w:bCs/>
          <w:lang w:val="pl-PL"/>
        </w:rPr>
      </w:pPr>
      <w:r w:rsidRPr="007341FC">
        <w:rPr>
          <w:b/>
          <w:bCs/>
          <w:lang w:val="pl-PL"/>
        </w:rPr>
        <w:t>Rozwój sektorów biznesowych w pierwszej połowie 2025 roku</w:t>
      </w:r>
    </w:p>
    <w:p w14:paraId="3CB7ED22" w14:textId="77777777" w:rsidR="008D5426" w:rsidRPr="008D5426" w:rsidRDefault="008D5426" w:rsidP="008D5426">
      <w:pPr>
        <w:rPr>
          <w:lang w:val="pl-PL"/>
        </w:rPr>
      </w:pPr>
      <w:r w:rsidRPr="00AD1959">
        <w:rPr>
          <w:b/>
          <w:bCs/>
          <w:lang w:val="pl-PL"/>
        </w:rPr>
        <w:t>Sprzedaż</w:t>
      </w:r>
      <w:r w:rsidRPr="008D5426">
        <w:rPr>
          <w:lang w:val="pl-PL"/>
        </w:rPr>
        <w:t xml:space="preserve"> w sektorze biznesowym </w:t>
      </w:r>
      <w:proofErr w:type="spellStart"/>
      <w:r w:rsidRPr="008D5426">
        <w:rPr>
          <w:lang w:val="pl-PL"/>
        </w:rPr>
        <w:t>Adhesive</w:t>
      </w:r>
      <w:proofErr w:type="spellEnd"/>
      <w:r w:rsidRPr="008D5426">
        <w:rPr>
          <w:lang w:val="pl-PL"/>
        </w:rPr>
        <w:t xml:space="preserve"> Technologies (kleje budowlane i konsumenckie oraz kleje i technologie dla przemysłu) wzrosła </w:t>
      </w:r>
      <w:r w:rsidRPr="00AD1959">
        <w:rPr>
          <w:b/>
          <w:bCs/>
          <w:lang w:val="pl-PL"/>
        </w:rPr>
        <w:t>organicznie</w:t>
      </w:r>
      <w:r w:rsidRPr="008D5426">
        <w:rPr>
          <w:lang w:val="pl-PL"/>
        </w:rPr>
        <w:t xml:space="preserve"> o 1,2 procent w pierwszej połowie 2025 roku (Q2: 1,3 procent). Ten wzrost był napędzany zrównoważonym pozytywnym rozwojem cen i wolumenu. W ujęciu nominalnym sprzedaż osiągnęła 5 416 mln euro, co jest nieznacznie poniżej analogicznego okresu poprzedniego roku o -1,1 procent (Q2: 2 701 mln euro).</w:t>
      </w:r>
    </w:p>
    <w:p w14:paraId="77110E2F" w14:textId="77777777" w:rsidR="008D5426" w:rsidRPr="008D5426" w:rsidRDefault="008D5426" w:rsidP="008D5426">
      <w:pPr>
        <w:rPr>
          <w:lang w:val="pl-PL"/>
        </w:rPr>
      </w:pPr>
    </w:p>
    <w:p w14:paraId="645A234C" w14:textId="4D256F43" w:rsidR="008D5426" w:rsidRPr="008D5426" w:rsidRDefault="008D5426" w:rsidP="008D5426">
      <w:pPr>
        <w:rPr>
          <w:lang w:val="pl-PL"/>
        </w:rPr>
      </w:pPr>
      <w:r w:rsidRPr="5B88F298">
        <w:rPr>
          <w:lang w:val="pl-PL"/>
        </w:rPr>
        <w:t xml:space="preserve">Pozytywny organiczny wzrost sprzedaży sektora biznesowego </w:t>
      </w:r>
      <w:proofErr w:type="spellStart"/>
      <w:r w:rsidRPr="5B88F298">
        <w:rPr>
          <w:lang w:val="pl-PL"/>
        </w:rPr>
        <w:t>Adhesive</w:t>
      </w:r>
      <w:proofErr w:type="spellEnd"/>
      <w:r w:rsidRPr="5B88F298">
        <w:rPr>
          <w:lang w:val="pl-PL"/>
        </w:rPr>
        <w:t xml:space="preserve"> Technologies (kleje budowlane i konsumenckie oraz kleje i technologie dla przemysłu) w pierwszej połowie roku był napędzany w szczególności przez </w:t>
      </w:r>
      <w:r w:rsidRPr="5B88F298">
        <w:rPr>
          <w:b/>
          <w:bCs/>
          <w:lang w:val="pl-PL"/>
        </w:rPr>
        <w:t xml:space="preserve">obszar biznesowy </w:t>
      </w:r>
      <w:proofErr w:type="spellStart"/>
      <w:r w:rsidRPr="5B88F298">
        <w:rPr>
          <w:b/>
          <w:bCs/>
          <w:lang w:val="pl-PL"/>
        </w:rPr>
        <w:t>Mobility</w:t>
      </w:r>
      <w:proofErr w:type="spellEnd"/>
      <w:r w:rsidRPr="5B88F298">
        <w:rPr>
          <w:b/>
          <w:bCs/>
          <w:lang w:val="pl-PL"/>
        </w:rPr>
        <w:t xml:space="preserve"> &amp; Electronics</w:t>
      </w:r>
      <w:r w:rsidRPr="5B88F298">
        <w:rPr>
          <w:lang w:val="pl-PL"/>
        </w:rPr>
        <w:t xml:space="preserve"> (produkty dla branży mobilności i branży elektronicznej), który osiągnął dobry organiczny wzrost sprzedaży na poziomie 2,8 procent (Q2: +2,5 procent). Ten wzrost był </w:t>
      </w:r>
      <w:r w:rsidR="6EE1A286" w:rsidRPr="5B88F298">
        <w:rPr>
          <w:lang w:val="pl-PL"/>
        </w:rPr>
        <w:t xml:space="preserve">podyktowany </w:t>
      </w:r>
      <w:r w:rsidRPr="5B88F298">
        <w:rPr>
          <w:lang w:val="pl-PL"/>
        </w:rPr>
        <w:t xml:space="preserve">dwucyfrowym </w:t>
      </w:r>
      <w:r w:rsidRPr="5B88F298">
        <w:rPr>
          <w:lang w:val="pl-PL"/>
        </w:rPr>
        <w:lastRenderedPageBreak/>
        <w:t xml:space="preserve">organicznym wzrostem sprzedaży w działalności Electronics (elektronika) oraz bardzo silnym organicznym wzrostem sprzedaży w działalności </w:t>
      </w:r>
      <w:proofErr w:type="spellStart"/>
      <w:r w:rsidRPr="5B88F298">
        <w:rPr>
          <w:lang w:val="pl-PL"/>
        </w:rPr>
        <w:t>Industrial</w:t>
      </w:r>
      <w:proofErr w:type="spellEnd"/>
      <w:r w:rsidRPr="5B88F298">
        <w:rPr>
          <w:lang w:val="pl-PL"/>
        </w:rPr>
        <w:t xml:space="preserve"> (przemysł). W przeciwieństwie do tego działalność Automotive (motoryzacja) odnotowała spadek z powodu wymagającego otoczenia rynkowego. </w:t>
      </w:r>
      <w:r w:rsidRPr="5B88F298">
        <w:rPr>
          <w:b/>
          <w:bCs/>
          <w:lang w:val="pl-PL"/>
        </w:rPr>
        <w:t xml:space="preserve">Obszar biznesowy </w:t>
      </w:r>
      <w:proofErr w:type="spellStart"/>
      <w:r w:rsidRPr="5B88F298">
        <w:rPr>
          <w:b/>
          <w:bCs/>
          <w:lang w:val="pl-PL"/>
        </w:rPr>
        <w:t>Packaging</w:t>
      </w:r>
      <w:proofErr w:type="spellEnd"/>
      <w:r w:rsidRPr="5B88F298">
        <w:rPr>
          <w:b/>
          <w:bCs/>
          <w:lang w:val="pl-PL"/>
        </w:rPr>
        <w:t xml:space="preserve"> &amp; Consumer </w:t>
      </w:r>
      <w:proofErr w:type="spellStart"/>
      <w:r w:rsidRPr="5B88F298">
        <w:rPr>
          <w:b/>
          <w:bCs/>
          <w:lang w:val="pl-PL"/>
        </w:rPr>
        <w:t>Goods</w:t>
      </w:r>
      <w:proofErr w:type="spellEnd"/>
      <w:r w:rsidRPr="5B88F298">
        <w:rPr>
          <w:lang w:val="pl-PL"/>
        </w:rPr>
        <w:t xml:space="preserve"> (produkty dla branży opakowań i towarów konsumpcyjnych) odnotował stabilny organiczny wzrost sprzedaży (Q2: +0,4 procent). Podczas gdy działalność </w:t>
      </w:r>
      <w:proofErr w:type="spellStart"/>
      <w:r w:rsidRPr="5B88F298">
        <w:rPr>
          <w:lang w:val="pl-PL"/>
        </w:rPr>
        <w:t>Packaging</w:t>
      </w:r>
      <w:proofErr w:type="spellEnd"/>
      <w:r w:rsidRPr="5B88F298">
        <w:rPr>
          <w:lang w:val="pl-PL"/>
        </w:rPr>
        <w:t xml:space="preserve"> (opakowania) odnotowała niewielki spadek organicznej sprzedaży, zostało to zrównoważone pozytywnym wzrostem organicznej sprzedaży w działalności Consumer </w:t>
      </w:r>
      <w:proofErr w:type="spellStart"/>
      <w:r w:rsidRPr="5B88F298">
        <w:rPr>
          <w:lang w:val="pl-PL"/>
        </w:rPr>
        <w:t>Goods</w:t>
      </w:r>
      <w:proofErr w:type="spellEnd"/>
      <w:r w:rsidRPr="5B88F298">
        <w:rPr>
          <w:lang w:val="pl-PL"/>
        </w:rPr>
        <w:t xml:space="preserve"> (towary konsumpcyjne). </w:t>
      </w:r>
      <w:r w:rsidRPr="5B88F298">
        <w:rPr>
          <w:b/>
          <w:bCs/>
          <w:lang w:val="pl-PL"/>
        </w:rPr>
        <w:t xml:space="preserve">Obszar biznesowy </w:t>
      </w:r>
      <w:proofErr w:type="spellStart"/>
      <w:r w:rsidRPr="5B88F298">
        <w:rPr>
          <w:b/>
          <w:bCs/>
          <w:lang w:val="pl-PL"/>
        </w:rPr>
        <w:t>Craftsmen</w:t>
      </w:r>
      <w:proofErr w:type="spellEnd"/>
      <w:r w:rsidRPr="5B88F298">
        <w:rPr>
          <w:b/>
          <w:bCs/>
          <w:lang w:val="pl-PL"/>
        </w:rPr>
        <w:t>, Construction &amp; Professional</w:t>
      </w:r>
      <w:r w:rsidRPr="5B88F298">
        <w:rPr>
          <w:lang w:val="pl-PL"/>
        </w:rPr>
        <w:t xml:space="preserve"> (produkty dla branży rzemieślniczej, budowlanej i klientów profesjonalnych) osiągnął organiczny wzrost sprzedaży na poziomie 0,6 procent (Q2: +0,8 procent). Ten wzrost był napędzany w szczególności dobrym organicznym wzrostem sprzedaży w działalności Construction (produkty dla branży budowlanej). Działalności Consumer &amp; </w:t>
      </w:r>
      <w:proofErr w:type="spellStart"/>
      <w:r w:rsidRPr="5B88F298">
        <w:rPr>
          <w:lang w:val="pl-PL"/>
        </w:rPr>
        <w:t>Craftsmen</w:t>
      </w:r>
      <w:proofErr w:type="spellEnd"/>
      <w:r w:rsidRPr="5B88F298">
        <w:rPr>
          <w:lang w:val="pl-PL"/>
        </w:rPr>
        <w:t xml:space="preserve"> (produkty dla konsumentów i branży rzemieślniczej) oraz General Manufacturing &amp; </w:t>
      </w:r>
      <w:proofErr w:type="spellStart"/>
      <w:r w:rsidRPr="5B88F298">
        <w:rPr>
          <w:lang w:val="pl-PL"/>
        </w:rPr>
        <w:t>Maintenance</w:t>
      </w:r>
      <w:proofErr w:type="spellEnd"/>
      <w:r w:rsidRPr="5B88F298">
        <w:rPr>
          <w:lang w:val="pl-PL"/>
        </w:rPr>
        <w:t xml:space="preserve"> (produkcja ogólna i utrzymanie) odnotowały stabilny rozwój w porównaniu z analogicznym okresem poprzedniego roku.</w:t>
      </w:r>
    </w:p>
    <w:p w14:paraId="71090F1F" w14:textId="77777777" w:rsidR="008D5426" w:rsidRPr="008D5426" w:rsidRDefault="008D5426" w:rsidP="008D5426">
      <w:pPr>
        <w:rPr>
          <w:lang w:val="pl-PL"/>
        </w:rPr>
      </w:pPr>
    </w:p>
    <w:p w14:paraId="0396036A" w14:textId="77777777" w:rsidR="008D5426" w:rsidRPr="008D5426" w:rsidRDefault="008D5426" w:rsidP="008D5426">
      <w:pPr>
        <w:rPr>
          <w:lang w:val="pl-PL"/>
        </w:rPr>
      </w:pPr>
      <w:r w:rsidRPr="00CF7FF3">
        <w:rPr>
          <w:b/>
          <w:bCs/>
          <w:lang w:val="pl-PL"/>
        </w:rPr>
        <w:t>Skorygowany zysk operacyjny</w:t>
      </w:r>
      <w:r w:rsidRPr="008D5426">
        <w:rPr>
          <w:lang w:val="pl-PL"/>
        </w:rPr>
        <w:t xml:space="preserve"> był nieznacznie poniżej poziomu z poprzedniego roku na poziomie 931 mln euro. Jednak </w:t>
      </w:r>
      <w:r w:rsidRPr="00C726A9">
        <w:rPr>
          <w:b/>
          <w:bCs/>
          <w:lang w:val="pl-PL"/>
        </w:rPr>
        <w:t>skorygowana rentowność sprzedaży</w:t>
      </w:r>
      <w:r w:rsidRPr="008D5426">
        <w:rPr>
          <w:lang w:val="pl-PL"/>
        </w:rPr>
        <w:t xml:space="preserve"> (skorygowana marża EBIT) wzrosła do 17,2 procent w porównaniu z 17,0 procent w analogicznym okresie poprzedniego roku. Było to głównie spowodowane korzystnym </w:t>
      </w:r>
      <w:proofErr w:type="spellStart"/>
      <w:r w:rsidRPr="008D5426">
        <w:rPr>
          <w:lang w:val="pl-PL"/>
        </w:rPr>
        <w:t>miksem</w:t>
      </w:r>
      <w:proofErr w:type="spellEnd"/>
      <w:r w:rsidRPr="008D5426">
        <w:rPr>
          <w:lang w:val="pl-PL"/>
        </w:rPr>
        <w:t xml:space="preserve"> biznesowym.</w:t>
      </w:r>
    </w:p>
    <w:p w14:paraId="2D0DA365" w14:textId="77777777" w:rsidR="008D5426" w:rsidRPr="008D5426" w:rsidRDefault="008D5426" w:rsidP="008D5426">
      <w:pPr>
        <w:rPr>
          <w:lang w:val="pl-PL"/>
        </w:rPr>
      </w:pPr>
    </w:p>
    <w:p w14:paraId="7F4221C5" w14:textId="77777777" w:rsidR="008D5426" w:rsidRPr="008D5426" w:rsidRDefault="008D5426" w:rsidP="008D5426">
      <w:pPr>
        <w:rPr>
          <w:lang w:val="pl-PL"/>
        </w:rPr>
      </w:pPr>
      <w:r w:rsidRPr="00C726A9">
        <w:rPr>
          <w:b/>
          <w:bCs/>
          <w:lang w:val="pl-PL"/>
        </w:rPr>
        <w:t>Organiczny</w:t>
      </w:r>
      <w:r w:rsidRPr="00C726A9">
        <w:rPr>
          <w:lang w:val="pl-PL"/>
        </w:rPr>
        <w:t xml:space="preserve"> wzrost sprzedaży</w:t>
      </w:r>
      <w:r w:rsidRPr="008D5426">
        <w:rPr>
          <w:lang w:val="pl-PL"/>
        </w:rPr>
        <w:t xml:space="preserve"> </w:t>
      </w:r>
      <w:r w:rsidRPr="00C726A9">
        <w:rPr>
          <w:b/>
          <w:bCs/>
          <w:lang w:val="pl-PL"/>
        </w:rPr>
        <w:t xml:space="preserve">w sektorze biznesowym Consumer </w:t>
      </w:r>
      <w:proofErr w:type="spellStart"/>
      <w:r w:rsidRPr="00C726A9">
        <w:rPr>
          <w:b/>
          <w:bCs/>
          <w:lang w:val="pl-PL"/>
        </w:rPr>
        <w:t>Brands</w:t>
      </w:r>
      <w:proofErr w:type="spellEnd"/>
      <w:r w:rsidRPr="008D5426">
        <w:rPr>
          <w:lang w:val="pl-PL"/>
        </w:rPr>
        <w:t xml:space="preserve"> (marki konsumenckie) wyniósł -1,6 procent w porównaniu z analogicznym okresem poprzedniego roku (Q2: +0,4 procent). </w:t>
      </w:r>
      <w:r w:rsidRPr="004863E1">
        <w:rPr>
          <w:lang w:val="pl-PL"/>
        </w:rPr>
        <w:t>W ujęciu nominalnym</w:t>
      </w:r>
      <w:r w:rsidRPr="008D5426">
        <w:rPr>
          <w:lang w:val="pl-PL"/>
        </w:rPr>
        <w:t xml:space="preserve"> </w:t>
      </w:r>
      <w:r w:rsidRPr="004863E1">
        <w:rPr>
          <w:b/>
          <w:bCs/>
          <w:lang w:val="pl-PL"/>
        </w:rPr>
        <w:t>sprzedaż</w:t>
      </w:r>
      <w:r w:rsidRPr="008D5426">
        <w:rPr>
          <w:lang w:val="pl-PL"/>
        </w:rPr>
        <w:t xml:space="preserve"> osiągnęła 4 907 mln euro (Q2: 2 422 mln euro), co oznacza spadek o -6,8 procent w porównaniu z analogicznym okresem poprzedniego roku. Sektor biznesowy odnotował dobry rozwój cen w porównaniu z pierwszą połową 2024 roku. W przeciwieństwie do tego wolumeny spadły, głównie z powodu wymagającego otoczenia konsumenckiego na kluczowych rynkach, takich jak Ameryka Północna i Europa.</w:t>
      </w:r>
    </w:p>
    <w:p w14:paraId="271678BB" w14:textId="77777777" w:rsidR="008D5426" w:rsidRPr="008D5426" w:rsidRDefault="008D5426" w:rsidP="008D5426">
      <w:pPr>
        <w:rPr>
          <w:lang w:val="pl-PL"/>
        </w:rPr>
      </w:pPr>
    </w:p>
    <w:p w14:paraId="242262A5" w14:textId="01041DC5" w:rsidR="008D5426" w:rsidRPr="008D5426" w:rsidRDefault="008D5426" w:rsidP="008D5426">
      <w:pPr>
        <w:rPr>
          <w:lang w:val="pl-PL"/>
        </w:rPr>
      </w:pPr>
      <w:r w:rsidRPr="5B88F298">
        <w:rPr>
          <w:lang w:val="pl-PL"/>
        </w:rPr>
        <w:t xml:space="preserve">W pierwszej połowie roku </w:t>
      </w:r>
      <w:r w:rsidRPr="5B88F298">
        <w:rPr>
          <w:b/>
          <w:bCs/>
          <w:lang w:val="pl-PL"/>
        </w:rPr>
        <w:t xml:space="preserve">obszar biznesowy </w:t>
      </w:r>
      <w:proofErr w:type="spellStart"/>
      <w:r w:rsidRPr="5B88F298">
        <w:rPr>
          <w:b/>
          <w:bCs/>
          <w:lang w:val="pl-PL"/>
        </w:rPr>
        <w:t>Laundry</w:t>
      </w:r>
      <w:proofErr w:type="spellEnd"/>
      <w:r w:rsidRPr="5B88F298">
        <w:rPr>
          <w:b/>
          <w:bCs/>
          <w:lang w:val="pl-PL"/>
        </w:rPr>
        <w:t xml:space="preserve"> &amp; Home </w:t>
      </w:r>
      <w:proofErr w:type="spellStart"/>
      <w:r w:rsidRPr="5B88F298">
        <w:rPr>
          <w:b/>
          <w:bCs/>
          <w:lang w:val="pl-PL"/>
        </w:rPr>
        <w:t>Care</w:t>
      </w:r>
      <w:proofErr w:type="spellEnd"/>
      <w:r w:rsidRPr="5B88F298">
        <w:rPr>
          <w:lang w:val="pl-PL"/>
        </w:rPr>
        <w:t xml:space="preserve"> (środki piorące i środki czystości) odnotował spadek organicznej sprzedaży o -2,6 procent (Q2: -0,9 procent). Działalność Home </w:t>
      </w:r>
      <w:proofErr w:type="spellStart"/>
      <w:r w:rsidRPr="5B88F298">
        <w:rPr>
          <w:lang w:val="pl-PL"/>
        </w:rPr>
        <w:t>Care</w:t>
      </w:r>
      <w:proofErr w:type="spellEnd"/>
      <w:r w:rsidRPr="5B88F298">
        <w:rPr>
          <w:lang w:val="pl-PL"/>
        </w:rPr>
        <w:t xml:space="preserve"> (środki czystości) wygenerowała pozytywny organiczny wzrost sprzedaży, napędzany głównie bardzo silnym organicznym wzrostem sprzedaży w kategorii </w:t>
      </w:r>
      <w:proofErr w:type="spellStart"/>
      <w:r w:rsidRPr="5B88F298">
        <w:rPr>
          <w:lang w:val="pl-PL"/>
        </w:rPr>
        <w:t>Dishwashing</w:t>
      </w:r>
      <w:proofErr w:type="spellEnd"/>
      <w:r w:rsidRPr="5B88F298">
        <w:rPr>
          <w:lang w:val="pl-PL"/>
        </w:rPr>
        <w:t xml:space="preserve"> (środki do zmywania naczyń). W przeciwieństwie do tego działalność </w:t>
      </w:r>
      <w:proofErr w:type="spellStart"/>
      <w:r w:rsidRPr="5B88F298">
        <w:rPr>
          <w:lang w:val="pl-PL"/>
        </w:rPr>
        <w:t>Laundry</w:t>
      </w:r>
      <w:proofErr w:type="spellEnd"/>
      <w:r w:rsidRPr="5B88F298">
        <w:rPr>
          <w:lang w:val="pl-PL"/>
        </w:rPr>
        <w:t xml:space="preserve"> </w:t>
      </w:r>
      <w:proofErr w:type="spellStart"/>
      <w:r w:rsidRPr="5B88F298">
        <w:rPr>
          <w:lang w:val="pl-PL"/>
        </w:rPr>
        <w:t>Care</w:t>
      </w:r>
      <w:proofErr w:type="spellEnd"/>
      <w:r w:rsidRPr="5B88F298">
        <w:rPr>
          <w:lang w:val="pl-PL"/>
        </w:rPr>
        <w:t xml:space="preserve"> (środki piorące) odnotowała spadek organicznej sprzedaży. </w:t>
      </w:r>
      <w:r w:rsidRPr="5B88F298">
        <w:rPr>
          <w:b/>
          <w:bCs/>
          <w:lang w:val="pl-PL"/>
        </w:rPr>
        <w:t xml:space="preserve">Obszar biznesowy </w:t>
      </w:r>
      <w:proofErr w:type="spellStart"/>
      <w:r w:rsidRPr="5B88F298">
        <w:rPr>
          <w:b/>
          <w:bCs/>
          <w:lang w:val="pl-PL"/>
        </w:rPr>
        <w:t>Hair</w:t>
      </w:r>
      <w:proofErr w:type="spellEnd"/>
      <w:r w:rsidRPr="5B88F298">
        <w:rPr>
          <w:lang w:val="pl-PL"/>
        </w:rPr>
        <w:t xml:space="preserve"> (produkty do pielęgnacji włosów) osiągnął pozytywny organiczny wzrost sprzedaży na poziomie 0,9 procent w pierwszych sześciu miesiącach roku (Q2: +3,2 procent). Działalność </w:t>
      </w:r>
      <w:r w:rsidRPr="5B88F298">
        <w:rPr>
          <w:lang w:val="pl-PL"/>
        </w:rPr>
        <w:lastRenderedPageBreak/>
        <w:t xml:space="preserve">Consumer (konsumencka) osiągnęła dobry organiczny wzrost sprzedaży, </w:t>
      </w:r>
      <w:r w:rsidR="3A90BCE4" w:rsidRPr="5B88F298">
        <w:rPr>
          <w:lang w:val="pl-PL"/>
        </w:rPr>
        <w:t xml:space="preserve">podyktowany </w:t>
      </w:r>
      <w:r w:rsidRPr="5B88F298">
        <w:rPr>
          <w:lang w:val="pl-PL"/>
        </w:rPr>
        <w:t xml:space="preserve">głównie bardzo silnym rozwojem kategorii </w:t>
      </w:r>
      <w:proofErr w:type="spellStart"/>
      <w:r w:rsidRPr="5B88F298">
        <w:rPr>
          <w:lang w:val="pl-PL"/>
        </w:rPr>
        <w:t>Hair</w:t>
      </w:r>
      <w:proofErr w:type="spellEnd"/>
      <w:r w:rsidRPr="5B88F298">
        <w:rPr>
          <w:lang w:val="pl-PL"/>
        </w:rPr>
        <w:t xml:space="preserve"> </w:t>
      </w:r>
      <w:proofErr w:type="spellStart"/>
      <w:r w:rsidRPr="5B88F298">
        <w:rPr>
          <w:lang w:val="pl-PL"/>
        </w:rPr>
        <w:t>Colorants</w:t>
      </w:r>
      <w:proofErr w:type="spellEnd"/>
      <w:r w:rsidRPr="5B88F298">
        <w:rPr>
          <w:lang w:val="pl-PL"/>
        </w:rPr>
        <w:t xml:space="preserve"> (środki do koloryzacji włosów) oraz dobrym rozwojem kategorii </w:t>
      </w:r>
      <w:proofErr w:type="spellStart"/>
      <w:r w:rsidRPr="5B88F298">
        <w:rPr>
          <w:lang w:val="pl-PL"/>
        </w:rPr>
        <w:t>Hair</w:t>
      </w:r>
      <w:proofErr w:type="spellEnd"/>
      <w:r w:rsidRPr="5B88F298">
        <w:rPr>
          <w:lang w:val="pl-PL"/>
        </w:rPr>
        <w:t xml:space="preserve"> Styling (produkty do stylizacji włosów). Działalność Professional (profesjonalna) odnotowała niewielki spadek organicznej sprzedaży z powodu wymagającego otoczenia konsumenckiego, szczególnie w regionie Ameryki Północnej. </w:t>
      </w:r>
      <w:r w:rsidRPr="5B88F298">
        <w:rPr>
          <w:b/>
          <w:bCs/>
          <w:lang w:val="pl-PL"/>
        </w:rPr>
        <w:t xml:space="preserve">Obszar biznesowy </w:t>
      </w:r>
      <w:proofErr w:type="spellStart"/>
      <w:r w:rsidRPr="5B88F298">
        <w:rPr>
          <w:b/>
          <w:bCs/>
          <w:lang w:val="pl-PL"/>
        </w:rPr>
        <w:t>Other</w:t>
      </w:r>
      <w:proofErr w:type="spellEnd"/>
      <w:r w:rsidRPr="5B88F298">
        <w:rPr>
          <w:b/>
          <w:bCs/>
          <w:lang w:val="pl-PL"/>
        </w:rPr>
        <w:t xml:space="preserve"> Consumer </w:t>
      </w:r>
      <w:proofErr w:type="spellStart"/>
      <w:r w:rsidRPr="5B88F298">
        <w:rPr>
          <w:b/>
          <w:bCs/>
          <w:lang w:val="pl-PL"/>
        </w:rPr>
        <w:t>Businesses</w:t>
      </w:r>
      <w:proofErr w:type="spellEnd"/>
      <w:r w:rsidRPr="5B88F298">
        <w:rPr>
          <w:lang w:val="pl-PL"/>
        </w:rPr>
        <w:t xml:space="preserve"> (pozostałe obszary biznesowe Consumer </w:t>
      </w:r>
      <w:proofErr w:type="spellStart"/>
      <w:r w:rsidRPr="5B88F298">
        <w:rPr>
          <w:lang w:val="pl-PL"/>
        </w:rPr>
        <w:t>Brands</w:t>
      </w:r>
      <w:proofErr w:type="spellEnd"/>
      <w:r w:rsidRPr="5B88F298">
        <w:rPr>
          <w:lang w:val="pl-PL"/>
        </w:rPr>
        <w:t xml:space="preserve">) odnotował spadek organicznej sprzedaży o -4,2 procent w pierwszej połowie roku (Q2: -1,7 procent), napędzany głównie negatywnym rozwojem w działalności Body </w:t>
      </w:r>
      <w:proofErr w:type="spellStart"/>
      <w:r w:rsidRPr="5B88F298">
        <w:rPr>
          <w:lang w:val="pl-PL"/>
        </w:rPr>
        <w:t>Care</w:t>
      </w:r>
      <w:proofErr w:type="spellEnd"/>
      <w:r w:rsidRPr="5B88F298">
        <w:rPr>
          <w:lang w:val="pl-PL"/>
        </w:rPr>
        <w:t xml:space="preserve"> (produkty do pielęgnacji ciała) w regionach Ameryki Północnej i Europy.</w:t>
      </w:r>
    </w:p>
    <w:p w14:paraId="562F1D12" w14:textId="77777777" w:rsidR="008D5426" w:rsidRPr="008D5426" w:rsidRDefault="008D5426" w:rsidP="008D5426">
      <w:pPr>
        <w:rPr>
          <w:lang w:val="pl-PL"/>
        </w:rPr>
      </w:pPr>
    </w:p>
    <w:p w14:paraId="687B202A" w14:textId="77777777" w:rsidR="008D5426" w:rsidRPr="008D5426" w:rsidRDefault="008D5426" w:rsidP="008D5426">
      <w:pPr>
        <w:rPr>
          <w:lang w:val="pl-PL"/>
        </w:rPr>
      </w:pPr>
      <w:r w:rsidRPr="001C10D3">
        <w:rPr>
          <w:b/>
          <w:bCs/>
          <w:lang w:val="pl-PL"/>
        </w:rPr>
        <w:t xml:space="preserve">Skorygowany zysk operacyjny </w:t>
      </w:r>
      <w:r w:rsidRPr="008D5426">
        <w:rPr>
          <w:lang w:val="pl-PL"/>
        </w:rPr>
        <w:t xml:space="preserve">na poziomie 748 mln euro był nieznacznie poniżej poziomu z analogicznego okresu poprzedniego roku. </w:t>
      </w:r>
      <w:r w:rsidRPr="001C10D3">
        <w:rPr>
          <w:b/>
          <w:bCs/>
          <w:lang w:val="pl-PL"/>
        </w:rPr>
        <w:t>Skorygowana rentowność sprzedaży</w:t>
      </w:r>
      <w:r w:rsidRPr="008D5426">
        <w:rPr>
          <w:lang w:val="pl-PL"/>
        </w:rPr>
        <w:t xml:space="preserve"> (skorygowana marża EBIT) wzrosła znacząco do 15,3 procent w porównaniu z 14,3 procent w analogicznym okresie poprzedniego roku. Ten rozwój był napędzany głównie przez trwającą waloryzację portfela oraz oszczędności osiągnięte dzięki optymalizacji łańcucha dostaw.</w:t>
      </w:r>
    </w:p>
    <w:p w14:paraId="568DE949" w14:textId="77777777" w:rsidR="008D5426" w:rsidRPr="008D5426" w:rsidRDefault="008D5426" w:rsidP="008D5426">
      <w:pPr>
        <w:rPr>
          <w:lang w:val="pl-PL"/>
        </w:rPr>
      </w:pPr>
    </w:p>
    <w:p w14:paraId="1D3B834B" w14:textId="2A6A48F0" w:rsidR="008D5426" w:rsidRPr="007341FC" w:rsidRDefault="008D5426" w:rsidP="008D5426">
      <w:pPr>
        <w:rPr>
          <w:b/>
          <w:bCs/>
          <w:lang w:val="pl-PL"/>
        </w:rPr>
      </w:pPr>
      <w:r w:rsidRPr="5B88F298">
        <w:rPr>
          <w:b/>
          <w:bCs/>
          <w:lang w:val="pl-PL"/>
        </w:rPr>
        <w:t xml:space="preserve">Dalszy postęp w realizacji </w:t>
      </w:r>
      <w:r w:rsidR="269A2AE6" w:rsidRPr="5B88F298">
        <w:rPr>
          <w:b/>
          <w:bCs/>
          <w:lang w:val="pl-PL"/>
        </w:rPr>
        <w:t>Strategii U</w:t>
      </w:r>
      <w:r w:rsidRPr="5B88F298">
        <w:rPr>
          <w:b/>
          <w:bCs/>
          <w:lang w:val="pl-PL"/>
        </w:rPr>
        <w:t>kierunkowanego</w:t>
      </w:r>
      <w:r w:rsidR="55BFD074" w:rsidRPr="5B88F298">
        <w:rPr>
          <w:b/>
          <w:bCs/>
          <w:lang w:val="pl-PL"/>
        </w:rPr>
        <w:t xml:space="preserve"> </w:t>
      </w:r>
      <w:r w:rsidR="007B3B3F">
        <w:rPr>
          <w:b/>
          <w:bCs/>
          <w:lang w:val="pl-PL"/>
        </w:rPr>
        <w:t>Wzrostu</w:t>
      </w:r>
    </w:p>
    <w:p w14:paraId="2183EF07" w14:textId="5F554048" w:rsidR="008D5426" w:rsidRPr="008D5426" w:rsidRDefault="008D5426" w:rsidP="008D5426">
      <w:pPr>
        <w:rPr>
          <w:lang w:val="pl-PL"/>
        </w:rPr>
      </w:pPr>
      <w:r w:rsidRPr="008D5426">
        <w:rPr>
          <w:lang w:val="pl-PL"/>
        </w:rPr>
        <w:t xml:space="preserve">W pierwszej połowie 2025 roku Henkel kontynuował skuteczne wdrażanie strategicznych priorytetów swojego programu ukierunkowanego </w:t>
      </w:r>
      <w:r w:rsidR="007B3B3F">
        <w:rPr>
          <w:lang w:val="pl-PL"/>
        </w:rPr>
        <w:t>wzrostu</w:t>
      </w:r>
      <w:r w:rsidRPr="008D5426">
        <w:rPr>
          <w:lang w:val="pl-PL"/>
        </w:rPr>
        <w:t xml:space="preserve"> i poczynił dobre postępy.</w:t>
      </w:r>
    </w:p>
    <w:p w14:paraId="5D759E55" w14:textId="77777777" w:rsidR="008D5426" w:rsidRPr="008D5426" w:rsidRDefault="008D5426" w:rsidP="008D5426">
      <w:pPr>
        <w:rPr>
          <w:lang w:val="pl-PL"/>
        </w:rPr>
      </w:pPr>
    </w:p>
    <w:p w14:paraId="044804F7" w14:textId="1334CF03" w:rsidR="008D5426" w:rsidRPr="008D5426" w:rsidRDefault="008D5426" w:rsidP="5B88F298">
      <w:pPr>
        <w:rPr>
          <w:lang w:val="pl-PL"/>
        </w:rPr>
      </w:pPr>
      <w:r w:rsidRPr="5B88F298">
        <w:rPr>
          <w:lang w:val="pl-PL"/>
        </w:rPr>
        <w:t xml:space="preserve">W swojej działalności </w:t>
      </w:r>
      <w:proofErr w:type="spellStart"/>
      <w:r w:rsidRPr="5B88F298">
        <w:rPr>
          <w:b/>
          <w:bCs/>
          <w:lang w:val="pl-PL"/>
        </w:rPr>
        <w:t>Adhesive</w:t>
      </w:r>
      <w:proofErr w:type="spellEnd"/>
      <w:r w:rsidRPr="5B88F298">
        <w:rPr>
          <w:b/>
          <w:bCs/>
          <w:lang w:val="pl-PL"/>
        </w:rPr>
        <w:t xml:space="preserve"> Technologies</w:t>
      </w:r>
      <w:r w:rsidRPr="5B88F298">
        <w:rPr>
          <w:lang w:val="pl-PL"/>
        </w:rPr>
        <w:t xml:space="preserve"> (kleje budowlane i konsumenckie oraz kleje i technologie dla przemysłu) </w:t>
      </w:r>
      <w:r w:rsidR="007B3B3F" w:rsidRPr="007B3B3F">
        <w:rPr>
          <w:lang w:val="pl-PL"/>
        </w:rPr>
        <w:t xml:space="preserve">wyraźne ukierunkowanie firmy Henkel na globalne </w:t>
      </w:r>
      <w:proofErr w:type="spellStart"/>
      <w:r w:rsidR="007B3B3F" w:rsidRPr="007B3B3F">
        <w:rPr>
          <w:lang w:val="pl-PL"/>
        </w:rPr>
        <w:t>megatrendy</w:t>
      </w:r>
      <w:proofErr w:type="spellEnd"/>
      <w:r w:rsidR="007B3B3F" w:rsidRPr="007B3B3F">
        <w:rPr>
          <w:lang w:val="pl-PL"/>
        </w:rPr>
        <w:t>, takie jak</w:t>
      </w:r>
      <w:r w:rsidR="007B3B3F">
        <w:rPr>
          <w:lang w:val="pl-PL"/>
        </w:rPr>
        <w:t xml:space="preserve"> </w:t>
      </w:r>
      <w:r w:rsidR="007B3B3F" w:rsidRPr="007B3B3F">
        <w:rPr>
          <w:lang w:val="pl-PL"/>
        </w:rPr>
        <w:t>mobilność, łączność, cyfryzacja, urbanizacja i zrównoważony rozwój,</w:t>
      </w:r>
      <w:r w:rsidR="007B3B3F">
        <w:rPr>
          <w:lang w:val="pl-PL"/>
        </w:rPr>
        <w:t xml:space="preserve"> </w:t>
      </w:r>
      <w:r w:rsidR="007B3B3F" w:rsidRPr="007B3B3F">
        <w:rPr>
          <w:lang w:val="pl-PL"/>
        </w:rPr>
        <w:t>przyczynia się do wzmocnienia jej konkurencyjności i odporności w wymagającym otoczeniu rynkowym.</w:t>
      </w:r>
      <w:r w:rsidR="007B3B3F">
        <w:rPr>
          <w:lang w:val="pl-PL"/>
        </w:rPr>
        <w:t xml:space="preserve"> </w:t>
      </w:r>
      <w:r w:rsidR="408721C2" w:rsidRPr="5B88F298">
        <w:rPr>
          <w:lang w:val="pl-PL"/>
        </w:rPr>
        <w:t>Na przykład, w</w:t>
      </w:r>
      <w:r w:rsidRPr="5B88F298">
        <w:rPr>
          <w:lang w:val="pl-PL"/>
        </w:rPr>
        <w:t xml:space="preserve"> obszarze zrównoważonego rozwoju Henkel wspiera swoich klientów w różnych branżach w osiąganiu ich celów zrównoważonego rozwoju poprzez skuteczne, efektywne środowiskowo rozwiązania. W </w:t>
      </w:r>
      <w:r w:rsidRPr="5B88F298">
        <w:rPr>
          <w:b/>
          <w:bCs/>
          <w:lang w:val="pl-PL"/>
        </w:rPr>
        <w:t xml:space="preserve">sektorze biznesowym Consumer </w:t>
      </w:r>
      <w:proofErr w:type="spellStart"/>
      <w:r w:rsidRPr="5B88F298">
        <w:rPr>
          <w:b/>
          <w:bCs/>
          <w:lang w:val="pl-PL"/>
        </w:rPr>
        <w:t>Brands</w:t>
      </w:r>
      <w:proofErr w:type="spellEnd"/>
      <w:r w:rsidRPr="5B88F298">
        <w:rPr>
          <w:lang w:val="pl-PL"/>
        </w:rPr>
        <w:t xml:space="preserve"> (marki konsumenckie) Henkel </w:t>
      </w:r>
      <w:r w:rsidR="6A062D87" w:rsidRPr="5B88F298">
        <w:rPr>
          <w:lang w:val="pl-PL"/>
        </w:rPr>
        <w:t>jeszcze bardziej wzmocni</w:t>
      </w:r>
      <w:r w:rsidRPr="5B88F298">
        <w:rPr>
          <w:lang w:val="pl-PL"/>
        </w:rPr>
        <w:t xml:space="preserve">ł swoje portfolio. 10 </w:t>
      </w:r>
      <w:r w:rsidR="61EDBD00" w:rsidRPr="5B88F298">
        <w:rPr>
          <w:lang w:val="pl-PL"/>
        </w:rPr>
        <w:t xml:space="preserve">najlepszych </w:t>
      </w:r>
      <w:r w:rsidRPr="5B88F298">
        <w:rPr>
          <w:lang w:val="pl-PL"/>
        </w:rPr>
        <w:t xml:space="preserve">marek stanowi obecnie około 60 procent sprzedaży. W drugim kwartale te </w:t>
      </w:r>
      <w:r w:rsidR="238B0B78" w:rsidRPr="5B88F298">
        <w:rPr>
          <w:lang w:val="pl-PL"/>
        </w:rPr>
        <w:t xml:space="preserve">same </w:t>
      </w:r>
      <w:r w:rsidRPr="5B88F298">
        <w:rPr>
          <w:lang w:val="pl-PL"/>
        </w:rPr>
        <w:t xml:space="preserve">10 </w:t>
      </w:r>
      <w:r w:rsidR="612F8B42" w:rsidRPr="5B88F298">
        <w:rPr>
          <w:lang w:val="pl-PL"/>
        </w:rPr>
        <w:t xml:space="preserve">najlepszych </w:t>
      </w:r>
      <w:r w:rsidRPr="5B88F298">
        <w:rPr>
          <w:lang w:val="pl-PL"/>
        </w:rPr>
        <w:t>marek odnotowało organiczny wzrost sprzedaży na poziomie ponad 3 procent, napędzany zrównoważonym pozytywnym rozwojem cen i wolumenu.</w:t>
      </w:r>
    </w:p>
    <w:p w14:paraId="59F3224A" w14:textId="77777777" w:rsidR="008D5426" w:rsidRPr="008D5426" w:rsidRDefault="008D5426" w:rsidP="008D5426">
      <w:pPr>
        <w:rPr>
          <w:lang w:val="pl-PL"/>
        </w:rPr>
      </w:pPr>
    </w:p>
    <w:p w14:paraId="5F775150" w14:textId="00FA268D" w:rsidR="008D5426" w:rsidRPr="008D5426" w:rsidRDefault="008D5426" w:rsidP="008D5426">
      <w:pPr>
        <w:rPr>
          <w:lang w:val="pl-PL"/>
        </w:rPr>
      </w:pPr>
      <w:r w:rsidRPr="641E48E3">
        <w:rPr>
          <w:lang w:val="pl-PL"/>
        </w:rPr>
        <w:t xml:space="preserve">Aby dalej wzmacniać swoją </w:t>
      </w:r>
      <w:r w:rsidRPr="641E48E3">
        <w:rPr>
          <w:b/>
          <w:bCs/>
          <w:lang w:val="pl-PL"/>
        </w:rPr>
        <w:t>konkurencyjność</w:t>
      </w:r>
      <w:r w:rsidRPr="641E48E3">
        <w:rPr>
          <w:lang w:val="pl-PL"/>
        </w:rPr>
        <w:t xml:space="preserve">, Henkel koncentruje się na silnych </w:t>
      </w:r>
      <w:r w:rsidRPr="641E48E3">
        <w:rPr>
          <w:b/>
          <w:bCs/>
          <w:lang w:val="pl-PL"/>
        </w:rPr>
        <w:t>innowacjach</w:t>
      </w:r>
      <w:r w:rsidRPr="641E48E3">
        <w:rPr>
          <w:lang w:val="pl-PL"/>
        </w:rPr>
        <w:t xml:space="preserve"> w atrakcyjnych obszarach biznesowych. Te ponownie przyczyniły się do wzrostu w obu sektorach biznesowych w pierwszej połowie 2025 roku. W działalności </w:t>
      </w:r>
      <w:proofErr w:type="spellStart"/>
      <w:r w:rsidRPr="641E48E3">
        <w:rPr>
          <w:b/>
          <w:bCs/>
          <w:lang w:val="pl-PL"/>
        </w:rPr>
        <w:t>Adhesive</w:t>
      </w:r>
      <w:proofErr w:type="spellEnd"/>
      <w:r w:rsidRPr="641E48E3">
        <w:rPr>
          <w:b/>
          <w:bCs/>
          <w:lang w:val="pl-PL"/>
        </w:rPr>
        <w:t xml:space="preserve"> Technologies</w:t>
      </w:r>
      <w:r w:rsidRPr="641E48E3">
        <w:rPr>
          <w:lang w:val="pl-PL"/>
        </w:rPr>
        <w:t xml:space="preserve"> (kleje budowlane i konsumenckie oraz kleje i technologie dla przemysłu) Henkel osiąga wysoki jednocyfrowy wzrost w działalności metalowych opakowań </w:t>
      </w:r>
      <w:r w:rsidR="3C9B649B" w:rsidRPr="641E48E3">
        <w:rPr>
          <w:lang w:val="pl-PL"/>
        </w:rPr>
        <w:t xml:space="preserve">skupiając się wyraźnie </w:t>
      </w:r>
      <w:r w:rsidRPr="641E48E3">
        <w:rPr>
          <w:lang w:val="pl-PL"/>
        </w:rPr>
        <w:t xml:space="preserve">na zrównoważonych i zorientowanych na klienta innowacjach, tym samym przewyższając rynek. </w:t>
      </w:r>
      <w:r w:rsidRPr="641E48E3">
        <w:rPr>
          <w:lang w:val="pl-PL"/>
        </w:rPr>
        <w:lastRenderedPageBreak/>
        <w:t xml:space="preserve">Przykładem z tego segmentu jest pierwszy na rynku niskoprocentowy i </w:t>
      </w:r>
      <w:proofErr w:type="spellStart"/>
      <w:r w:rsidRPr="641E48E3">
        <w:rPr>
          <w:lang w:val="pl-PL"/>
        </w:rPr>
        <w:t>niskopien</w:t>
      </w:r>
      <w:r w:rsidR="009677D8" w:rsidRPr="641E48E3">
        <w:rPr>
          <w:lang w:val="pl-PL"/>
        </w:rPr>
        <w:t>iąc</w:t>
      </w:r>
      <w:r w:rsidRPr="641E48E3">
        <w:rPr>
          <w:lang w:val="pl-PL"/>
        </w:rPr>
        <w:t>y</w:t>
      </w:r>
      <w:proofErr w:type="spellEnd"/>
      <w:r w:rsidRPr="641E48E3">
        <w:rPr>
          <w:lang w:val="pl-PL"/>
        </w:rPr>
        <w:t xml:space="preserve"> środek czyszczący do puszek. Ta innowacja umożliwia efektywną i zrównoważoną produkcję puszek napojów poprzez znaczące oszczędności energii i do 25 procent mniejsze zużycie wody. Henkel potroił wielkość swojej działalności w tym obszarze w ciągu ostatnich trzech lat. </w:t>
      </w:r>
      <w:r w:rsidRPr="641E48E3">
        <w:rPr>
          <w:b/>
          <w:bCs/>
          <w:lang w:val="pl-PL"/>
        </w:rPr>
        <w:t xml:space="preserve">W sektorze biznesowym Consumer </w:t>
      </w:r>
      <w:proofErr w:type="spellStart"/>
      <w:r w:rsidRPr="641E48E3">
        <w:rPr>
          <w:b/>
          <w:bCs/>
          <w:lang w:val="pl-PL"/>
        </w:rPr>
        <w:t>Brands</w:t>
      </w:r>
      <w:proofErr w:type="spellEnd"/>
      <w:r w:rsidRPr="641E48E3">
        <w:rPr>
          <w:lang w:val="pl-PL"/>
        </w:rPr>
        <w:t xml:space="preserve"> (marki konsumenckie) trwające wprowadzanie nowej marki </w:t>
      </w:r>
      <w:proofErr w:type="spellStart"/>
      <w:r w:rsidRPr="641E48E3">
        <w:rPr>
          <w:lang w:val="pl-PL"/>
        </w:rPr>
        <w:t>Creme</w:t>
      </w:r>
      <w:proofErr w:type="spellEnd"/>
      <w:r w:rsidRPr="641E48E3">
        <w:rPr>
          <w:lang w:val="pl-PL"/>
        </w:rPr>
        <w:t xml:space="preserve"> </w:t>
      </w:r>
      <w:proofErr w:type="spellStart"/>
      <w:r w:rsidRPr="641E48E3">
        <w:rPr>
          <w:lang w:val="pl-PL"/>
        </w:rPr>
        <w:t>Supreme</w:t>
      </w:r>
      <w:proofErr w:type="spellEnd"/>
      <w:r w:rsidRPr="641E48E3">
        <w:rPr>
          <w:lang w:val="pl-PL"/>
        </w:rPr>
        <w:t xml:space="preserve"> na dodatkowych rynkach przyczyniło się do znaczącego wzrostu kategorii Consumer </w:t>
      </w:r>
      <w:proofErr w:type="spellStart"/>
      <w:r w:rsidRPr="641E48E3">
        <w:rPr>
          <w:lang w:val="pl-PL"/>
        </w:rPr>
        <w:t>Coloration</w:t>
      </w:r>
      <w:proofErr w:type="spellEnd"/>
      <w:r w:rsidRPr="641E48E3">
        <w:rPr>
          <w:lang w:val="pl-PL"/>
        </w:rPr>
        <w:t xml:space="preserve"> (koloryzacja konsumencka) w drugim kwartale. </w:t>
      </w:r>
      <w:proofErr w:type="spellStart"/>
      <w:r w:rsidRPr="641E48E3">
        <w:rPr>
          <w:lang w:val="pl-PL"/>
        </w:rPr>
        <w:t>Creme</w:t>
      </w:r>
      <w:proofErr w:type="spellEnd"/>
      <w:r w:rsidRPr="641E48E3">
        <w:rPr>
          <w:lang w:val="pl-PL"/>
        </w:rPr>
        <w:t xml:space="preserve"> </w:t>
      </w:r>
      <w:proofErr w:type="spellStart"/>
      <w:r w:rsidRPr="641E48E3">
        <w:rPr>
          <w:lang w:val="pl-PL"/>
        </w:rPr>
        <w:t>Supreme</w:t>
      </w:r>
      <w:proofErr w:type="spellEnd"/>
      <w:r w:rsidRPr="641E48E3">
        <w:rPr>
          <w:lang w:val="pl-PL"/>
        </w:rPr>
        <w:t xml:space="preserve"> to pierwsz</w:t>
      </w:r>
      <w:r w:rsidR="711E6C1E" w:rsidRPr="641E48E3">
        <w:rPr>
          <w:lang w:val="pl-PL"/>
        </w:rPr>
        <w:t xml:space="preserve">y pielęgnacyjny produkt do </w:t>
      </w:r>
      <w:r w:rsidRPr="641E48E3">
        <w:rPr>
          <w:lang w:val="pl-PL"/>
        </w:rPr>
        <w:t>koloryzacj</w:t>
      </w:r>
      <w:r w:rsidR="330A3FA4" w:rsidRPr="641E48E3">
        <w:rPr>
          <w:lang w:val="pl-PL"/>
        </w:rPr>
        <w:t>i</w:t>
      </w:r>
      <w:r w:rsidRPr="641E48E3">
        <w:rPr>
          <w:lang w:val="pl-PL"/>
        </w:rPr>
        <w:t xml:space="preserve"> włosów z innowacyjną technologią wiązania. Wzmacnia strukturę włosów poprzez mikro-połączenia i lepiej utrzymuje włókna włosów razem. Tworzy również warstwę ochronną, która otacza włosy, zapobiegając ich łamaniu.</w:t>
      </w:r>
    </w:p>
    <w:p w14:paraId="7F77617F" w14:textId="77777777" w:rsidR="008D5426" w:rsidRPr="008D5426" w:rsidRDefault="008D5426" w:rsidP="008D5426">
      <w:pPr>
        <w:rPr>
          <w:lang w:val="pl-PL"/>
        </w:rPr>
      </w:pPr>
    </w:p>
    <w:p w14:paraId="27A3497F" w14:textId="540E0DDB" w:rsidR="007B3B3F" w:rsidRDefault="008D5426" w:rsidP="5B88F298">
      <w:pPr>
        <w:rPr>
          <w:i/>
          <w:iCs/>
          <w:lang w:val="pl-PL"/>
        </w:rPr>
      </w:pPr>
      <w:r w:rsidRPr="5B88F298">
        <w:rPr>
          <w:i/>
          <w:iCs/>
          <w:lang w:val="pl-PL"/>
        </w:rPr>
        <w:t>– Po powolnym początku roku obrotowego 2025 udało nam się osiągnąć znaczącą poprawę sprzedaży w drugim kwartale – szczególnie w odniesieniu do naszej działalności konsumenckiej. Jednocześnie nadal silnie zwiększaliśmy rentowność w obu sektorach biznesowych</w:t>
      </w:r>
      <w:r w:rsidRPr="5B88F298">
        <w:rPr>
          <w:lang w:val="pl-PL"/>
        </w:rPr>
        <w:t xml:space="preserve"> – powiedział </w:t>
      </w:r>
      <w:proofErr w:type="spellStart"/>
      <w:r w:rsidRPr="5B88F298">
        <w:rPr>
          <w:lang w:val="pl-PL"/>
        </w:rPr>
        <w:t>Carsten</w:t>
      </w:r>
      <w:proofErr w:type="spellEnd"/>
      <w:r w:rsidRPr="5B88F298">
        <w:rPr>
          <w:lang w:val="pl-PL"/>
        </w:rPr>
        <w:t xml:space="preserve"> </w:t>
      </w:r>
      <w:proofErr w:type="spellStart"/>
      <w:r w:rsidRPr="5B88F298">
        <w:rPr>
          <w:lang w:val="pl-PL"/>
        </w:rPr>
        <w:t>Knobel</w:t>
      </w:r>
      <w:proofErr w:type="spellEnd"/>
      <w:r w:rsidRPr="5B88F298">
        <w:rPr>
          <w:lang w:val="pl-PL"/>
        </w:rPr>
        <w:t xml:space="preserve">. </w:t>
      </w:r>
      <w:r w:rsidRPr="5B88F298">
        <w:rPr>
          <w:i/>
          <w:iCs/>
          <w:lang w:val="pl-PL"/>
        </w:rPr>
        <w:t xml:space="preserve">– To wyraźnie </w:t>
      </w:r>
      <w:r w:rsidR="007B3B3F">
        <w:rPr>
          <w:i/>
          <w:iCs/>
          <w:lang w:val="pl-PL"/>
        </w:rPr>
        <w:t>po</w:t>
      </w:r>
      <w:r w:rsidRPr="5B88F298">
        <w:rPr>
          <w:i/>
          <w:iCs/>
          <w:lang w:val="pl-PL"/>
        </w:rPr>
        <w:t>kazuje</w:t>
      </w:r>
      <w:r w:rsidR="00F4516A">
        <w:rPr>
          <w:i/>
          <w:iCs/>
          <w:lang w:val="pl-PL"/>
        </w:rPr>
        <w:t>, że</w:t>
      </w:r>
      <w:r w:rsidR="2E448542" w:rsidRPr="5B88F298">
        <w:rPr>
          <w:i/>
          <w:iCs/>
          <w:lang w:val="pl-PL"/>
        </w:rPr>
        <w:t xml:space="preserve"> </w:t>
      </w:r>
      <w:r w:rsidR="00F4516A" w:rsidRPr="007B3B3F">
        <w:rPr>
          <w:i/>
          <w:iCs/>
          <w:lang w:val="pl-PL"/>
        </w:rPr>
        <w:t>transformacja Henkel już przynosi efekt.</w:t>
      </w:r>
      <w:r w:rsidR="00F4516A" w:rsidRPr="00F4516A">
        <w:rPr>
          <w:i/>
          <w:iCs/>
          <w:lang w:val="pl-PL"/>
        </w:rPr>
        <w:t xml:space="preserve"> </w:t>
      </w:r>
      <w:r w:rsidR="00F4516A" w:rsidRPr="007B3B3F">
        <w:rPr>
          <w:i/>
          <w:iCs/>
          <w:lang w:val="pl-PL"/>
        </w:rPr>
        <w:t>Będziemy nadal konsekwentnie ją realizować, aby w dłuższej perspektywie być jeszcze lepiej przygotowanymi i bardziej konkurencyjnym</w:t>
      </w:r>
      <w:r w:rsidR="00F4516A">
        <w:rPr>
          <w:i/>
          <w:iCs/>
          <w:lang w:val="pl-PL"/>
        </w:rPr>
        <w:t>i. Rozwijajmy firmę Henkel</w:t>
      </w:r>
      <w:r w:rsidR="00F4516A" w:rsidRPr="007B3B3F">
        <w:rPr>
          <w:i/>
          <w:iCs/>
          <w:lang w:val="pl-PL"/>
        </w:rPr>
        <w:t xml:space="preserve"> z myślą o sukcesie w przyszłości, a dzięki jasno określonej strategii jesteśmy na dobrej drodze do dalszego rentownego wzrostu</w:t>
      </w:r>
      <w:r w:rsidR="00F4516A">
        <w:rPr>
          <w:i/>
          <w:iCs/>
          <w:lang w:val="pl-PL"/>
        </w:rPr>
        <w:t>.</w:t>
      </w:r>
    </w:p>
    <w:p w14:paraId="2DC33F6C" w14:textId="77777777" w:rsidR="00CE0706" w:rsidRDefault="00CE0706" w:rsidP="008D5426">
      <w:pPr>
        <w:rPr>
          <w:lang w:val="pl-PL"/>
        </w:rPr>
      </w:pPr>
    </w:p>
    <w:p w14:paraId="57D5B12E" w14:textId="22B9E015" w:rsidR="00CE0706" w:rsidRPr="00CE0706" w:rsidRDefault="00CE0706" w:rsidP="008D5426">
      <w:pPr>
        <w:rPr>
          <w:i/>
          <w:iCs/>
          <w:lang w:val="pl-PL"/>
        </w:rPr>
      </w:pPr>
      <w:r w:rsidRPr="00CE0706">
        <w:rPr>
          <w:i/>
          <w:iCs/>
          <w:lang w:val="pl-PL"/>
        </w:rPr>
        <w:t>* Po uwzględnieniu kosztów i przychodów o charakterze jednorazowym oraz kosztów restrukturyzacji.</w:t>
      </w:r>
    </w:p>
    <w:p w14:paraId="23E79B23" w14:textId="77777777" w:rsidR="00AE089D" w:rsidRPr="00A36941" w:rsidRDefault="00AE089D" w:rsidP="00AE089D">
      <w:pPr>
        <w:rPr>
          <w:lang w:val="pl-PL"/>
        </w:rPr>
      </w:pPr>
    </w:p>
    <w:p w14:paraId="3F4A5D51" w14:textId="42F9AB61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Niniejszy dokument zawiera stwierdzenia dotyczące przyszłego rozwoju działalności, wyników finansowych i innych zdarzeń mających znaczenie dla Henkel, które mogą stanowić stwierdzenia dotyczące przyszłości. Stwierdzenia odnoszące się do przyszłości charakteryzują się użyciem słów takich, jak „oczekiwać”, „zamierzać”, „planować”, „przewidywać”, „uważać”, „szacować" i podobnych wyrażeń. Stwierdzenia te sformułowane są na podstawie aktualnych założeń i szacunków zarządu Henkel AG &amp; Co. </w:t>
      </w:r>
      <w:proofErr w:type="spellStart"/>
      <w:r w:rsidRPr="7D5A668B">
        <w:rPr>
          <w:rFonts w:cs="Segoe UI"/>
          <w:lang w:val="pl"/>
        </w:rPr>
        <w:t>KGaA</w:t>
      </w:r>
      <w:proofErr w:type="spellEnd"/>
      <w:r w:rsidRPr="7D5A668B">
        <w:rPr>
          <w:rFonts w:cs="Segoe UI"/>
          <w:lang w:val="pl"/>
        </w:rPr>
        <w:t xml:space="preserve">. Stwierdzeń dotyczących przyszłości nie należy jednak traktować jako gwarancji, że określone założenia czy oczekiwania okażą się trafne. Faktyczne przyszłe wyniki spółki Henkel AG &amp; Co. </w:t>
      </w:r>
      <w:proofErr w:type="spellStart"/>
      <w:r w:rsidRPr="7D5A668B">
        <w:rPr>
          <w:rFonts w:cs="Segoe UI"/>
          <w:lang w:val="pl"/>
        </w:rPr>
        <w:t>KGaA</w:t>
      </w:r>
      <w:proofErr w:type="spellEnd"/>
      <w:r w:rsidRPr="7D5A668B">
        <w:rPr>
          <w:rFonts w:cs="Segoe UI"/>
          <w:lang w:val="pl"/>
        </w:rPr>
        <w:t xml:space="preserve"> i jej podmiotów powiązanych uzależnione są od szeregu czynników ryzyka i niepewności, w związku z czym mogą one istotnie odbiegać (in plus lub in minus) od wyników wskazanych w stwierdzeniach dotyczących przyszłości. Na wiele z tych czynników, np. przyszłą sytuację gospodarczą czy działania konkurencji i innych uczestników rynku, Henkel nie ma wpływu, a ich dokładne przewidzenie nie jest możliwe. Henkel nie zamierza ani nie podejmuje się aktualizować stwierdzeń dotyczących przyszłości.</w:t>
      </w:r>
    </w:p>
    <w:p w14:paraId="04270826" w14:textId="12AFA063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6A587D4B" w14:textId="4BE88668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lastRenderedPageBreak/>
        <w:t>Niniejszy dokument zawiera dodatkowe wskaźniki finansowe, które nie zostały zdefiniowane wyraźnie w obowiązujących zasadach sprawozdawczości finansowej i które stanowią lub mogą stanowić alternatywne mierniki wyników. Takie dodatkowe wskaźniki finansowe nie powinny być analizowane w oderwaniu od wskaźników prezentujących aktywa netto, sytuację finansową lub wyniki działalności Henkel, które zostały przedstawione zgodnie z obowiązującymi zasadami sprawozdawczości finansowej w skonsolidowanym sprawozdaniu finansowym spółki, ani traktowane jako alternatywa dla tych wskaźników. Podobnie nazwane Alternatywne Pomiary Wyników podawane lub opisywane przez inne spółki mogą być obliczane w inny sposób.</w:t>
      </w:r>
    </w:p>
    <w:p w14:paraId="029DE615" w14:textId="59D272BD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5CBADECD" w14:textId="68AE90A1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>Niniejszy dokument ma charakter wyłącznie informacyjny i nie stanowi porady inwestycyjnej ani oferty sprzedaży lub zaproszenia do składania ofert nabycia jakichkolwiek papierów wartościowych.</w:t>
      </w:r>
    </w:p>
    <w:p w14:paraId="5B102E2F" w14:textId="63C0C134" w:rsidR="4C31A228" w:rsidRDefault="4C31A228" w:rsidP="4C31A228">
      <w:pPr>
        <w:rPr>
          <w:rFonts w:cs="Segoe UI"/>
          <w:i/>
          <w:iCs/>
          <w:lang w:val="pl"/>
        </w:rPr>
      </w:pPr>
    </w:p>
    <w:p w14:paraId="4BAEBAB0" w14:textId="418FCE0F" w:rsidR="4C31A228" w:rsidRDefault="4C31A228" w:rsidP="4C31A228">
      <w:pPr>
        <w:rPr>
          <w:rFonts w:cs="Segoe UI"/>
          <w:lang w:val="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7282FC86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oraz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produktów do pielęgnacji włosów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, Persil i Schwarzkopf. W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202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2,1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47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1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ipercze"/>
        </w:rPr>
      </w:pPr>
      <w:hyperlink r:id="rId12" w:history="1">
        <w:r w:rsidRPr="001E51B6">
          <w:rPr>
            <w:rStyle w:val="Hipercze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ipercze"/>
        </w:rPr>
        <w:fldChar w:fldCharType="begin"/>
      </w:r>
      <w:r w:rsidR="002F5028">
        <w:rPr>
          <w:rStyle w:val="Hipercze"/>
        </w:rPr>
        <w:instrText>HYPERLINK "mailto:</w:instrText>
      </w:r>
      <w:r w:rsidR="002F5028" w:rsidRPr="002F5028">
        <w:rPr>
          <w:rStyle w:val="Hipercze"/>
        </w:rPr>
        <w:instrText>kmencina@solskipr.pl</w:instrText>
      </w:r>
      <w:r w:rsidR="002F5028">
        <w:rPr>
          <w:rStyle w:val="Hipercze"/>
        </w:rPr>
        <w:instrText>"</w:instrText>
      </w:r>
      <w:r w:rsidR="002F5028">
        <w:rPr>
          <w:rStyle w:val="Hipercze"/>
        </w:rPr>
      </w:r>
      <w:r w:rsidR="002F5028">
        <w:rPr>
          <w:rStyle w:val="Hipercze"/>
        </w:rPr>
        <w:fldChar w:fldCharType="separate"/>
      </w:r>
      <w:hyperlink r:id="rId13">
        <w:r w:rsidR="121740EF" w:rsidRPr="4C31A228">
          <w:rPr>
            <w:rStyle w:val="Hipercze"/>
          </w:rPr>
          <w:t>marta.wasilak@bursonglobal.com</w:t>
        </w:r>
      </w:hyperlink>
      <w:r w:rsidR="002F5028">
        <w:rPr>
          <w:rStyle w:val="Hipercze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B920" w14:textId="77777777" w:rsidR="003A1FF8" w:rsidRDefault="003A1FF8">
      <w:r>
        <w:separator/>
      </w:r>
    </w:p>
  </w:endnote>
  <w:endnote w:type="continuationSeparator" w:id="0">
    <w:p w14:paraId="31BCCE72" w14:textId="77777777" w:rsidR="003A1FF8" w:rsidRDefault="003A1FF8">
      <w:r>
        <w:continuationSeparator/>
      </w:r>
    </w:p>
  </w:endnote>
  <w:endnote w:type="continuationNotice" w:id="1">
    <w:p w14:paraId="06AAC3FC" w14:textId="77777777" w:rsidR="003A1FF8" w:rsidRDefault="003A1F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F6AE" w14:textId="77777777" w:rsidR="003A1FF8" w:rsidRDefault="003A1FF8">
      <w:r>
        <w:separator/>
      </w:r>
    </w:p>
  </w:footnote>
  <w:footnote w:type="continuationSeparator" w:id="0">
    <w:p w14:paraId="46CEE00C" w14:textId="77777777" w:rsidR="003A1FF8" w:rsidRDefault="003A1FF8">
      <w:r>
        <w:continuationSeparator/>
      </w:r>
    </w:p>
  </w:footnote>
  <w:footnote w:type="continuationNotice" w:id="1">
    <w:p w14:paraId="11FACBA1" w14:textId="77777777" w:rsidR="003A1FF8" w:rsidRDefault="003A1F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1C6488CE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549B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1C100376"/>
    <w:lvl w:ilvl="0" w:tplc="0D74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9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EB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6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6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3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2F4821"/>
    <w:multiLevelType w:val="multilevel"/>
    <w:tmpl w:val="D1E01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BD0CB7"/>
    <w:multiLevelType w:val="hybridMultilevel"/>
    <w:tmpl w:val="816C95B8"/>
    <w:lvl w:ilvl="0" w:tplc="562A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B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84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2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2A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B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8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7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9729E"/>
    <w:multiLevelType w:val="multilevel"/>
    <w:tmpl w:val="E1900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11370">
    <w:abstractNumId w:val="10"/>
  </w:num>
  <w:num w:numId="2" w16cid:durableId="780493874">
    <w:abstractNumId w:val="0"/>
  </w:num>
  <w:num w:numId="3" w16cid:durableId="694697967">
    <w:abstractNumId w:val="2"/>
  </w:num>
  <w:num w:numId="4" w16cid:durableId="1563175876">
    <w:abstractNumId w:val="1"/>
  </w:num>
  <w:num w:numId="5" w16cid:durableId="1141115785">
    <w:abstractNumId w:val="12"/>
  </w:num>
  <w:num w:numId="6" w16cid:durableId="1658344630">
    <w:abstractNumId w:val="6"/>
  </w:num>
  <w:num w:numId="7" w16cid:durableId="2132553883">
    <w:abstractNumId w:val="4"/>
  </w:num>
  <w:num w:numId="8" w16cid:durableId="545726518">
    <w:abstractNumId w:val="8"/>
  </w:num>
  <w:num w:numId="9" w16cid:durableId="541023174">
    <w:abstractNumId w:val="9"/>
  </w:num>
  <w:num w:numId="10" w16cid:durableId="930283955">
    <w:abstractNumId w:val="5"/>
  </w:num>
  <w:num w:numId="11" w16cid:durableId="1350178876">
    <w:abstractNumId w:val="3"/>
  </w:num>
  <w:num w:numId="12" w16cid:durableId="105317337">
    <w:abstractNumId w:val="7"/>
  </w:num>
  <w:num w:numId="13" w16cid:durableId="143910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5F8"/>
    <w:rsid w:val="00002AA4"/>
    <w:rsid w:val="000033E5"/>
    <w:rsid w:val="00005267"/>
    <w:rsid w:val="00006346"/>
    <w:rsid w:val="00006790"/>
    <w:rsid w:val="000079DD"/>
    <w:rsid w:val="000121F1"/>
    <w:rsid w:val="00014DA9"/>
    <w:rsid w:val="00015CB4"/>
    <w:rsid w:val="00020C93"/>
    <w:rsid w:val="00021C67"/>
    <w:rsid w:val="000254BA"/>
    <w:rsid w:val="00030150"/>
    <w:rsid w:val="00030557"/>
    <w:rsid w:val="00030F51"/>
    <w:rsid w:val="00031821"/>
    <w:rsid w:val="00033320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4E71"/>
    <w:rsid w:val="00055F54"/>
    <w:rsid w:val="000575F9"/>
    <w:rsid w:val="00057EC2"/>
    <w:rsid w:val="000618FC"/>
    <w:rsid w:val="00061B78"/>
    <w:rsid w:val="0006344D"/>
    <w:rsid w:val="000642D9"/>
    <w:rsid w:val="00067071"/>
    <w:rsid w:val="00067CC8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976B7"/>
    <w:rsid w:val="000A08EB"/>
    <w:rsid w:val="000A374F"/>
    <w:rsid w:val="000A4B25"/>
    <w:rsid w:val="000A5703"/>
    <w:rsid w:val="000A6233"/>
    <w:rsid w:val="000B1E5A"/>
    <w:rsid w:val="000B695A"/>
    <w:rsid w:val="000C210A"/>
    <w:rsid w:val="000C2722"/>
    <w:rsid w:val="000C4766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4B45"/>
    <w:rsid w:val="000F7E19"/>
    <w:rsid w:val="000F7F8A"/>
    <w:rsid w:val="000F7FAF"/>
    <w:rsid w:val="00101401"/>
    <w:rsid w:val="00102014"/>
    <w:rsid w:val="001034CC"/>
    <w:rsid w:val="00104983"/>
    <w:rsid w:val="00105975"/>
    <w:rsid w:val="001104F4"/>
    <w:rsid w:val="00111F4D"/>
    <w:rsid w:val="001120FC"/>
    <w:rsid w:val="00112A28"/>
    <w:rsid w:val="00115230"/>
    <w:rsid w:val="0011587F"/>
    <w:rsid w:val="00115B5F"/>
    <w:rsid w:val="00115E0A"/>
    <w:rsid w:val="001162B4"/>
    <w:rsid w:val="00117621"/>
    <w:rsid w:val="0012274D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65F40"/>
    <w:rsid w:val="0017170F"/>
    <w:rsid w:val="001731CE"/>
    <w:rsid w:val="0017332D"/>
    <w:rsid w:val="001747EE"/>
    <w:rsid w:val="00181F01"/>
    <w:rsid w:val="00185770"/>
    <w:rsid w:val="00185F86"/>
    <w:rsid w:val="00191460"/>
    <w:rsid w:val="001948C3"/>
    <w:rsid w:val="001A09CC"/>
    <w:rsid w:val="001A591E"/>
    <w:rsid w:val="001A5A0D"/>
    <w:rsid w:val="001A61A7"/>
    <w:rsid w:val="001A65B3"/>
    <w:rsid w:val="001B10F9"/>
    <w:rsid w:val="001B7C20"/>
    <w:rsid w:val="001C0B32"/>
    <w:rsid w:val="001C10D3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31B1"/>
    <w:rsid w:val="002169BB"/>
    <w:rsid w:val="00220628"/>
    <w:rsid w:val="00222D99"/>
    <w:rsid w:val="002248BC"/>
    <w:rsid w:val="002249D5"/>
    <w:rsid w:val="002257E4"/>
    <w:rsid w:val="002304D2"/>
    <w:rsid w:val="00234ABD"/>
    <w:rsid w:val="00236E2A"/>
    <w:rsid w:val="00237F62"/>
    <w:rsid w:val="0024103B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5006"/>
    <w:rsid w:val="00287305"/>
    <w:rsid w:val="00290ECE"/>
    <w:rsid w:val="00292774"/>
    <w:rsid w:val="0029796C"/>
    <w:rsid w:val="00297C4B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1C3"/>
    <w:rsid w:val="002C059F"/>
    <w:rsid w:val="002C1344"/>
    <w:rsid w:val="002C252E"/>
    <w:rsid w:val="002C2E32"/>
    <w:rsid w:val="002C3681"/>
    <w:rsid w:val="002C40BB"/>
    <w:rsid w:val="002C6773"/>
    <w:rsid w:val="002D026C"/>
    <w:rsid w:val="002D12ED"/>
    <w:rsid w:val="002D2A3D"/>
    <w:rsid w:val="002D355C"/>
    <w:rsid w:val="002E0B17"/>
    <w:rsid w:val="002E1EEF"/>
    <w:rsid w:val="002E4FFB"/>
    <w:rsid w:val="002E6909"/>
    <w:rsid w:val="002E7DED"/>
    <w:rsid w:val="002F5028"/>
    <w:rsid w:val="002F6C47"/>
    <w:rsid w:val="002F7E11"/>
    <w:rsid w:val="00301E7C"/>
    <w:rsid w:val="00304087"/>
    <w:rsid w:val="00305A0E"/>
    <w:rsid w:val="00307A06"/>
    <w:rsid w:val="00310ACD"/>
    <w:rsid w:val="0031379F"/>
    <w:rsid w:val="0031688F"/>
    <w:rsid w:val="003175D4"/>
    <w:rsid w:val="00320A26"/>
    <w:rsid w:val="00321344"/>
    <w:rsid w:val="00325518"/>
    <w:rsid w:val="00325E5D"/>
    <w:rsid w:val="00326E3D"/>
    <w:rsid w:val="00334133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6DE1"/>
    <w:rsid w:val="00367AA1"/>
    <w:rsid w:val="00372E36"/>
    <w:rsid w:val="00376EE9"/>
    <w:rsid w:val="00377CBB"/>
    <w:rsid w:val="003803E8"/>
    <w:rsid w:val="003839C6"/>
    <w:rsid w:val="00384EB6"/>
    <w:rsid w:val="00385185"/>
    <w:rsid w:val="003877B6"/>
    <w:rsid w:val="00393887"/>
    <w:rsid w:val="00394C6B"/>
    <w:rsid w:val="003954CB"/>
    <w:rsid w:val="003962BE"/>
    <w:rsid w:val="003977DD"/>
    <w:rsid w:val="00397BB2"/>
    <w:rsid w:val="00397F9A"/>
    <w:rsid w:val="003A192D"/>
    <w:rsid w:val="003A1FF8"/>
    <w:rsid w:val="003A4E62"/>
    <w:rsid w:val="003A534B"/>
    <w:rsid w:val="003B1069"/>
    <w:rsid w:val="003B390A"/>
    <w:rsid w:val="003B4563"/>
    <w:rsid w:val="003B55CC"/>
    <w:rsid w:val="003B734D"/>
    <w:rsid w:val="003C15DE"/>
    <w:rsid w:val="003C4EB2"/>
    <w:rsid w:val="003C5573"/>
    <w:rsid w:val="003C7A7F"/>
    <w:rsid w:val="003C7E6C"/>
    <w:rsid w:val="003D1D6F"/>
    <w:rsid w:val="003D3C4E"/>
    <w:rsid w:val="003E1FF2"/>
    <w:rsid w:val="003F0855"/>
    <w:rsid w:val="003F1AF3"/>
    <w:rsid w:val="003F4227"/>
    <w:rsid w:val="003F4D8D"/>
    <w:rsid w:val="003F53C8"/>
    <w:rsid w:val="003F630D"/>
    <w:rsid w:val="00400F3F"/>
    <w:rsid w:val="0040105E"/>
    <w:rsid w:val="0040199E"/>
    <w:rsid w:val="00405C2B"/>
    <w:rsid w:val="00411C0F"/>
    <w:rsid w:val="00413F5E"/>
    <w:rsid w:val="00414DC2"/>
    <w:rsid w:val="00417133"/>
    <w:rsid w:val="00422AB2"/>
    <w:rsid w:val="004237BB"/>
    <w:rsid w:val="00423BDD"/>
    <w:rsid w:val="004313E7"/>
    <w:rsid w:val="00432531"/>
    <w:rsid w:val="00433826"/>
    <w:rsid w:val="00441224"/>
    <w:rsid w:val="00442FC6"/>
    <w:rsid w:val="004431AF"/>
    <w:rsid w:val="0044763B"/>
    <w:rsid w:val="00451F34"/>
    <w:rsid w:val="00456851"/>
    <w:rsid w:val="00457938"/>
    <w:rsid w:val="004629B3"/>
    <w:rsid w:val="0046376E"/>
    <w:rsid w:val="004637A2"/>
    <w:rsid w:val="0046690F"/>
    <w:rsid w:val="00466991"/>
    <w:rsid w:val="00466E8F"/>
    <w:rsid w:val="00472568"/>
    <w:rsid w:val="00472F02"/>
    <w:rsid w:val="00472FEC"/>
    <w:rsid w:val="00475196"/>
    <w:rsid w:val="004863E1"/>
    <w:rsid w:val="00490A03"/>
    <w:rsid w:val="00492BEF"/>
    <w:rsid w:val="00493327"/>
    <w:rsid w:val="00494DBE"/>
    <w:rsid w:val="00495CE6"/>
    <w:rsid w:val="004A323C"/>
    <w:rsid w:val="004B408E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003B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2667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8B4"/>
    <w:rsid w:val="00590A54"/>
    <w:rsid w:val="005910C8"/>
    <w:rsid w:val="00591180"/>
    <w:rsid w:val="00594841"/>
    <w:rsid w:val="00596C5C"/>
    <w:rsid w:val="0059722C"/>
    <w:rsid w:val="00597D07"/>
    <w:rsid w:val="005A208B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E7CB2"/>
    <w:rsid w:val="005F0F92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23B92"/>
    <w:rsid w:val="0063067F"/>
    <w:rsid w:val="006335F1"/>
    <w:rsid w:val="006345B6"/>
    <w:rsid w:val="00635712"/>
    <w:rsid w:val="00635825"/>
    <w:rsid w:val="0063762D"/>
    <w:rsid w:val="00643726"/>
    <w:rsid w:val="00643D8A"/>
    <w:rsid w:val="00647839"/>
    <w:rsid w:val="006513EB"/>
    <w:rsid w:val="00652229"/>
    <w:rsid w:val="00652434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6750"/>
    <w:rsid w:val="00690999"/>
    <w:rsid w:val="00690B19"/>
    <w:rsid w:val="00695F01"/>
    <w:rsid w:val="006A0A3C"/>
    <w:rsid w:val="006A5343"/>
    <w:rsid w:val="006A5A5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08CE"/>
    <w:rsid w:val="006E2EE6"/>
    <w:rsid w:val="006E3006"/>
    <w:rsid w:val="006E5032"/>
    <w:rsid w:val="006E52D2"/>
    <w:rsid w:val="006E5BDA"/>
    <w:rsid w:val="006F0FA6"/>
    <w:rsid w:val="006F0FC7"/>
    <w:rsid w:val="006F39A9"/>
    <w:rsid w:val="006F62C8"/>
    <w:rsid w:val="006F670F"/>
    <w:rsid w:val="00700ECB"/>
    <w:rsid w:val="00702028"/>
    <w:rsid w:val="00703272"/>
    <w:rsid w:val="00704EAE"/>
    <w:rsid w:val="0070733C"/>
    <w:rsid w:val="00710C5D"/>
    <w:rsid w:val="00710F54"/>
    <w:rsid w:val="0071152A"/>
    <w:rsid w:val="00712ED3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41FC"/>
    <w:rsid w:val="0073709E"/>
    <w:rsid w:val="00740683"/>
    <w:rsid w:val="00742398"/>
    <w:rsid w:val="007507B5"/>
    <w:rsid w:val="0075091D"/>
    <w:rsid w:val="00753A24"/>
    <w:rsid w:val="00753F32"/>
    <w:rsid w:val="007577CB"/>
    <w:rsid w:val="0076348D"/>
    <w:rsid w:val="00767327"/>
    <w:rsid w:val="00772188"/>
    <w:rsid w:val="007725C0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3B3F"/>
    <w:rsid w:val="007B499C"/>
    <w:rsid w:val="007B4D4B"/>
    <w:rsid w:val="007B553E"/>
    <w:rsid w:val="007B69F9"/>
    <w:rsid w:val="007C0085"/>
    <w:rsid w:val="007C4963"/>
    <w:rsid w:val="007C6D1A"/>
    <w:rsid w:val="007D065A"/>
    <w:rsid w:val="007D2A02"/>
    <w:rsid w:val="007D2C3F"/>
    <w:rsid w:val="007E6EA1"/>
    <w:rsid w:val="007F0F63"/>
    <w:rsid w:val="007F11A3"/>
    <w:rsid w:val="007F2B1E"/>
    <w:rsid w:val="007F62B4"/>
    <w:rsid w:val="007F7CC8"/>
    <w:rsid w:val="00801517"/>
    <w:rsid w:val="00807FA4"/>
    <w:rsid w:val="008174D6"/>
    <w:rsid w:val="00817AE8"/>
    <w:rsid w:val="00817DE8"/>
    <w:rsid w:val="00821703"/>
    <w:rsid w:val="00822876"/>
    <w:rsid w:val="008229F5"/>
    <w:rsid w:val="0082307B"/>
    <w:rsid w:val="00824C3B"/>
    <w:rsid w:val="0082699A"/>
    <w:rsid w:val="00832C4C"/>
    <w:rsid w:val="00833CEB"/>
    <w:rsid w:val="00833EA1"/>
    <w:rsid w:val="008359DB"/>
    <w:rsid w:val="008372D2"/>
    <w:rsid w:val="008377BC"/>
    <w:rsid w:val="00842819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5F88"/>
    <w:rsid w:val="0087685C"/>
    <w:rsid w:val="00876DD3"/>
    <w:rsid w:val="00880E72"/>
    <w:rsid w:val="00880EB2"/>
    <w:rsid w:val="008825EE"/>
    <w:rsid w:val="008855B7"/>
    <w:rsid w:val="0088596E"/>
    <w:rsid w:val="00890B5C"/>
    <w:rsid w:val="00891DFE"/>
    <w:rsid w:val="008960D7"/>
    <w:rsid w:val="00896DBA"/>
    <w:rsid w:val="00896ED7"/>
    <w:rsid w:val="0089796A"/>
    <w:rsid w:val="008A2375"/>
    <w:rsid w:val="008C1114"/>
    <w:rsid w:val="008C17F1"/>
    <w:rsid w:val="008D14B0"/>
    <w:rsid w:val="008D3BA4"/>
    <w:rsid w:val="008D5426"/>
    <w:rsid w:val="008D5BDB"/>
    <w:rsid w:val="008D76C5"/>
    <w:rsid w:val="008E0AFA"/>
    <w:rsid w:val="008E4EE9"/>
    <w:rsid w:val="008E75D3"/>
    <w:rsid w:val="008F125E"/>
    <w:rsid w:val="008F4D2F"/>
    <w:rsid w:val="0090551C"/>
    <w:rsid w:val="00906292"/>
    <w:rsid w:val="009076AF"/>
    <w:rsid w:val="009108E1"/>
    <w:rsid w:val="00915D62"/>
    <w:rsid w:val="00916F64"/>
    <w:rsid w:val="00917162"/>
    <w:rsid w:val="009251CC"/>
    <w:rsid w:val="0092714E"/>
    <w:rsid w:val="00932213"/>
    <w:rsid w:val="009375E7"/>
    <w:rsid w:val="00940A13"/>
    <w:rsid w:val="00941ABB"/>
    <w:rsid w:val="00941C5D"/>
    <w:rsid w:val="00942002"/>
    <w:rsid w:val="00945634"/>
    <w:rsid w:val="00947885"/>
    <w:rsid w:val="009513C5"/>
    <w:rsid w:val="00952168"/>
    <w:rsid w:val="009527FE"/>
    <w:rsid w:val="00957346"/>
    <w:rsid w:val="00960AAE"/>
    <w:rsid w:val="00962D7B"/>
    <w:rsid w:val="009677D8"/>
    <w:rsid w:val="00967A64"/>
    <w:rsid w:val="009739A0"/>
    <w:rsid w:val="00974695"/>
    <w:rsid w:val="00974F84"/>
    <w:rsid w:val="009767C7"/>
    <w:rsid w:val="009800DC"/>
    <w:rsid w:val="00981DE9"/>
    <w:rsid w:val="009827BF"/>
    <w:rsid w:val="0098549A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2EB5"/>
    <w:rsid w:val="009D5983"/>
    <w:rsid w:val="009D7252"/>
    <w:rsid w:val="009E2D0F"/>
    <w:rsid w:val="009E3582"/>
    <w:rsid w:val="009E5EB4"/>
    <w:rsid w:val="009F0683"/>
    <w:rsid w:val="009F3ABA"/>
    <w:rsid w:val="009F55D5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6941"/>
    <w:rsid w:val="00A3756F"/>
    <w:rsid w:val="00A4054D"/>
    <w:rsid w:val="00A42D6F"/>
    <w:rsid w:val="00A44946"/>
    <w:rsid w:val="00A45A62"/>
    <w:rsid w:val="00A51CAA"/>
    <w:rsid w:val="00A525B9"/>
    <w:rsid w:val="00A54AC5"/>
    <w:rsid w:val="00A55DC3"/>
    <w:rsid w:val="00A56D41"/>
    <w:rsid w:val="00A60F67"/>
    <w:rsid w:val="00A61353"/>
    <w:rsid w:val="00A64A2B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4B17"/>
    <w:rsid w:val="00A95032"/>
    <w:rsid w:val="00AA1B85"/>
    <w:rsid w:val="00AA354B"/>
    <w:rsid w:val="00AA60E1"/>
    <w:rsid w:val="00AA6716"/>
    <w:rsid w:val="00AB1CB6"/>
    <w:rsid w:val="00AB1D9A"/>
    <w:rsid w:val="00AB62AA"/>
    <w:rsid w:val="00AC10A7"/>
    <w:rsid w:val="00AC4183"/>
    <w:rsid w:val="00AC6AB3"/>
    <w:rsid w:val="00AC7055"/>
    <w:rsid w:val="00AD0E55"/>
    <w:rsid w:val="00AD1959"/>
    <w:rsid w:val="00AD2568"/>
    <w:rsid w:val="00AD44FE"/>
    <w:rsid w:val="00AD46B6"/>
    <w:rsid w:val="00AD5302"/>
    <w:rsid w:val="00AE089D"/>
    <w:rsid w:val="00AE0B3C"/>
    <w:rsid w:val="00AE49F1"/>
    <w:rsid w:val="00AE640C"/>
    <w:rsid w:val="00AF1F75"/>
    <w:rsid w:val="00AF580B"/>
    <w:rsid w:val="00B00491"/>
    <w:rsid w:val="00B01C85"/>
    <w:rsid w:val="00B0385D"/>
    <w:rsid w:val="00B03F50"/>
    <w:rsid w:val="00B05CCA"/>
    <w:rsid w:val="00B11293"/>
    <w:rsid w:val="00B13048"/>
    <w:rsid w:val="00B1339C"/>
    <w:rsid w:val="00B1351A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1DA4"/>
    <w:rsid w:val="00B33C2A"/>
    <w:rsid w:val="00B34F4C"/>
    <w:rsid w:val="00B362FB"/>
    <w:rsid w:val="00B422EC"/>
    <w:rsid w:val="00B47A46"/>
    <w:rsid w:val="00B47B00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97EC3"/>
    <w:rsid w:val="00BA09B2"/>
    <w:rsid w:val="00BA44D4"/>
    <w:rsid w:val="00BA5B46"/>
    <w:rsid w:val="00BB03EC"/>
    <w:rsid w:val="00BB5D0B"/>
    <w:rsid w:val="00BB7861"/>
    <w:rsid w:val="00BC0995"/>
    <w:rsid w:val="00BC1BDC"/>
    <w:rsid w:val="00BC34D9"/>
    <w:rsid w:val="00BC4F1D"/>
    <w:rsid w:val="00BC5F48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6F8D"/>
    <w:rsid w:val="00BF708F"/>
    <w:rsid w:val="00BF751D"/>
    <w:rsid w:val="00C015A3"/>
    <w:rsid w:val="00C056D0"/>
    <w:rsid w:val="00C060C7"/>
    <w:rsid w:val="00C06CD0"/>
    <w:rsid w:val="00C13BE7"/>
    <w:rsid w:val="00C20BD6"/>
    <w:rsid w:val="00C21F24"/>
    <w:rsid w:val="00C228CF"/>
    <w:rsid w:val="00C2347E"/>
    <w:rsid w:val="00C24C17"/>
    <w:rsid w:val="00C24C5E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62A"/>
    <w:rsid w:val="00C65BCD"/>
    <w:rsid w:val="00C726A9"/>
    <w:rsid w:val="00C7414B"/>
    <w:rsid w:val="00C77A50"/>
    <w:rsid w:val="00C808A6"/>
    <w:rsid w:val="00C82E7A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0706"/>
    <w:rsid w:val="00CE14C0"/>
    <w:rsid w:val="00CE33D5"/>
    <w:rsid w:val="00CE41A0"/>
    <w:rsid w:val="00CE6A10"/>
    <w:rsid w:val="00CF1324"/>
    <w:rsid w:val="00CF5D37"/>
    <w:rsid w:val="00CF6F33"/>
    <w:rsid w:val="00CF71A9"/>
    <w:rsid w:val="00CF7440"/>
    <w:rsid w:val="00CF7FF3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1BA1"/>
    <w:rsid w:val="00D429EF"/>
    <w:rsid w:val="00D42A97"/>
    <w:rsid w:val="00D42DCB"/>
    <w:rsid w:val="00D44240"/>
    <w:rsid w:val="00D466B5"/>
    <w:rsid w:val="00D5653B"/>
    <w:rsid w:val="00D577AA"/>
    <w:rsid w:val="00D6295A"/>
    <w:rsid w:val="00D62EF1"/>
    <w:rsid w:val="00D6309D"/>
    <w:rsid w:val="00D644CA"/>
    <w:rsid w:val="00D66FC2"/>
    <w:rsid w:val="00D70B50"/>
    <w:rsid w:val="00D76C7E"/>
    <w:rsid w:val="00D771DE"/>
    <w:rsid w:val="00D7776D"/>
    <w:rsid w:val="00D82CDE"/>
    <w:rsid w:val="00D90BCD"/>
    <w:rsid w:val="00D91699"/>
    <w:rsid w:val="00D9293F"/>
    <w:rsid w:val="00D93598"/>
    <w:rsid w:val="00D95CDF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C2BFA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01415"/>
    <w:rsid w:val="00E12255"/>
    <w:rsid w:val="00E13747"/>
    <w:rsid w:val="00E14579"/>
    <w:rsid w:val="00E16AC9"/>
    <w:rsid w:val="00E22D04"/>
    <w:rsid w:val="00E25AEA"/>
    <w:rsid w:val="00E30DEF"/>
    <w:rsid w:val="00E30ED2"/>
    <w:rsid w:val="00E31276"/>
    <w:rsid w:val="00E37F17"/>
    <w:rsid w:val="00E37F70"/>
    <w:rsid w:val="00E42743"/>
    <w:rsid w:val="00E438F1"/>
    <w:rsid w:val="00E446C1"/>
    <w:rsid w:val="00E4470E"/>
    <w:rsid w:val="00E51665"/>
    <w:rsid w:val="00E52A54"/>
    <w:rsid w:val="00E54F04"/>
    <w:rsid w:val="00E64CB1"/>
    <w:rsid w:val="00E70866"/>
    <w:rsid w:val="00E72E7D"/>
    <w:rsid w:val="00E758B9"/>
    <w:rsid w:val="00E8247E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B9B"/>
    <w:rsid w:val="00EA1D45"/>
    <w:rsid w:val="00EA55FC"/>
    <w:rsid w:val="00EA5A89"/>
    <w:rsid w:val="00EA5BDB"/>
    <w:rsid w:val="00EA7711"/>
    <w:rsid w:val="00EB0DBE"/>
    <w:rsid w:val="00EB1917"/>
    <w:rsid w:val="00EB46D9"/>
    <w:rsid w:val="00EC001D"/>
    <w:rsid w:val="00EC142D"/>
    <w:rsid w:val="00EC1E16"/>
    <w:rsid w:val="00EC27FF"/>
    <w:rsid w:val="00EC2C3E"/>
    <w:rsid w:val="00EC76E7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0AD5"/>
    <w:rsid w:val="00F128CD"/>
    <w:rsid w:val="00F207D1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2AD2"/>
    <w:rsid w:val="00F43729"/>
    <w:rsid w:val="00F44935"/>
    <w:rsid w:val="00F4516A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77CC4"/>
    <w:rsid w:val="00F8309B"/>
    <w:rsid w:val="00F833C9"/>
    <w:rsid w:val="00F86E0F"/>
    <w:rsid w:val="00F90064"/>
    <w:rsid w:val="00F9582F"/>
    <w:rsid w:val="00F96AFD"/>
    <w:rsid w:val="00F96B03"/>
    <w:rsid w:val="00F97D35"/>
    <w:rsid w:val="00FA1398"/>
    <w:rsid w:val="00FA1D7C"/>
    <w:rsid w:val="00FA2E19"/>
    <w:rsid w:val="00FA2EE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  <w:rsid w:val="0107F9B8"/>
    <w:rsid w:val="01548119"/>
    <w:rsid w:val="019466D9"/>
    <w:rsid w:val="01E3F93F"/>
    <w:rsid w:val="020EF41B"/>
    <w:rsid w:val="02781494"/>
    <w:rsid w:val="039392D1"/>
    <w:rsid w:val="0401C25A"/>
    <w:rsid w:val="042D9368"/>
    <w:rsid w:val="04BB5ABF"/>
    <w:rsid w:val="053F22DF"/>
    <w:rsid w:val="068517FD"/>
    <w:rsid w:val="06E92406"/>
    <w:rsid w:val="07273AAF"/>
    <w:rsid w:val="072E6118"/>
    <w:rsid w:val="07A89F4D"/>
    <w:rsid w:val="086BC535"/>
    <w:rsid w:val="0878060A"/>
    <w:rsid w:val="088D7CC2"/>
    <w:rsid w:val="09F4F1D0"/>
    <w:rsid w:val="0A1FC079"/>
    <w:rsid w:val="0A789B3D"/>
    <w:rsid w:val="0AC2E338"/>
    <w:rsid w:val="0AC995CB"/>
    <w:rsid w:val="0ACCF3F0"/>
    <w:rsid w:val="0AD9E675"/>
    <w:rsid w:val="0B8257DA"/>
    <w:rsid w:val="0B9964EC"/>
    <w:rsid w:val="0BEA15BE"/>
    <w:rsid w:val="0C928055"/>
    <w:rsid w:val="0D180C42"/>
    <w:rsid w:val="0D88F564"/>
    <w:rsid w:val="0DB42ADB"/>
    <w:rsid w:val="0E71BB41"/>
    <w:rsid w:val="0E89333A"/>
    <w:rsid w:val="0EF08563"/>
    <w:rsid w:val="0F019AE8"/>
    <w:rsid w:val="0F5A9F37"/>
    <w:rsid w:val="0FA7486A"/>
    <w:rsid w:val="102947FD"/>
    <w:rsid w:val="10361117"/>
    <w:rsid w:val="1084FDD4"/>
    <w:rsid w:val="10A61C06"/>
    <w:rsid w:val="10FC7B4D"/>
    <w:rsid w:val="1129C073"/>
    <w:rsid w:val="11EA9782"/>
    <w:rsid w:val="121740EF"/>
    <w:rsid w:val="12B6B9FC"/>
    <w:rsid w:val="13056159"/>
    <w:rsid w:val="132F85C6"/>
    <w:rsid w:val="1347D74F"/>
    <w:rsid w:val="13E06C38"/>
    <w:rsid w:val="1410B3BD"/>
    <w:rsid w:val="1415B4B2"/>
    <w:rsid w:val="142C3333"/>
    <w:rsid w:val="144A802A"/>
    <w:rsid w:val="1481C9FA"/>
    <w:rsid w:val="1501559A"/>
    <w:rsid w:val="160EBB8D"/>
    <w:rsid w:val="162B8799"/>
    <w:rsid w:val="172923FA"/>
    <w:rsid w:val="177384B2"/>
    <w:rsid w:val="178D625B"/>
    <w:rsid w:val="17D334ED"/>
    <w:rsid w:val="1859313D"/>
    <w:rsid w:val="189CBADC"/>
    <w:rsid w:val="191EB88B"/>
    <w:rsid w:val="19E00FD8"/>
    <w:rsid w:val="19E13607"/>
    <w:rsid w:val="1A6DAC97"/>
    <w:rsid w:val="1C2E905C"/>
    <w:rsid w:val="1C8FD530"/>
    <w:rsid w:val="1CCEE31C"/>
    <w:rsid w:val="1DED26F8"/>
    <w:rsid w:val="1E7DD84B"/>
    <w:rsid w:val="1EB2A56A"/>
    <w:rsid w:val="1EC13B85"/>
    <w:rsid w:val="1FF20659"/>
    <w:rsid w:val="2059DA08"/>
    <w:rsid w:val="206671B9"/>
    <w:rsid w:val="206F9F88"/>
    <w:rsid w:val="20708319"/>
    <w:rsid w:val="208D8F8B"/>
    <w:rsid w:val="2092CB9E"/>
    <w:rsid w:val="212DCA59"/>
    <w:rsid w:val="21A6E3DC"/>
    <w:rsid w:val="21E3EA95"/>
    <w:rsid w:val="22E0C31D"/>
    <w:rsid w:val="23108B95"/>
    <w:rsid w:val="238B0B78"/>
    <w:rsid w:val="238B4D02"/>
    <w:rsid w:val="23B6AEE1"/>
    <w:rsid w:val="23E52F96"/>
    <w:rsid w:val="248AA3FD"/>
    <w:rsid w:val="24B5AED3"/>
    <w:rsid w:val="24C18B7E"/>
    <w:rsid w:val="25086F92"/>
    <w:rsid w:val="257B562E"/>
    <w:rsid w:val="259D5350"/>
    <w:rsid w:val="269A2AE6"/>
    <w:rsid w:val="2766A8E6"/>
    <w:rsid w:val="27B4680F"/>
    <w:rsid w:val="27D69826"/>
    <w:rsid w:val="2827CAA3"/>
    <w:rsid w:val="283A458F"/>
    <w:rsid w:val="28526A91"/>
    <w:rsid w:val="288ED514"/>
    <w:rsid w:val="28E0ED72"/>
    <w:rsid w:val="29811041"/>
    <w:rsid w:val="298FA6FE"/>
    <w:rsid w:val="29A1DFE8"/>
    <w:rsid w:val="29B733B4"/>
    <w:rsid w:val="2A0E4098"/>
    <w:rsid w:val="2A5E9C8D"/>
    <w:rsid w:val="2A61851B"/>
    <w:rsid w:val="2B10605B"/>
    <w:rsid w:val="2B2F4426"/>
    <w:rsid w:val="2B557F39"/>
    <w:rsid w:val="2C39236E"/>
    <w:rsid w:val="2C4C23A7"/>
    <w:rsid w:val="2C9E3268"/>
    <w:rsid w:val="2D3D35BB"/>
    <w:rsid w:val="2E39445B"/>
    <w:rsid w:val="2E448542"/>
    <w:rsid w:val="2ED201EA"/>
    <w:rsid w:val="2F3EDD3F"/>
    <w:rsid w:val="2F99C0B9"/>
    <w:rsid w:val="30841B9E"/>
    <w:rsid w:val="30880BB8"/>
    <w:rsid w:val="3097786A"/>
    <w:rsid w:val="32132E28"/>
    <w:rsid w:val="327200A6"/>
    <w:rsid w:val="327CC0CF"/>
    <w:rsid w:val="32F9C911"/>
    <w:rsid w:val="330A3FA4"/>
    <w:rsid w:val="335E6FAF"/>
    <w:rsid w:val="3391F580"/>
    <w:rsid w:val="339EDE50"/>
    <w:rsid w:val="33B0CDDB"/>
    <w:rsid w:val="34252460"/>
    <w:rsid w:val="3438AEB8"/>
    <w:rsid w:val="3482411A"/>
    <w:rsid w:val="35C5F1C9"/>
    <w:rsid w:val="35CDD2FD"/>
    <w:rsid w:val="36197137"/>
    <w:rsid w:val="36B21B9A"/>
    <w:rsid w:val="37597904"/>
    <w:rsid w:val="37755E61"/>
    <w:rsid w:val="38D8318A"/>
    <w:rsid w:val="395C9180"/>
    <w:rsid w:val="3975CED5"/>
    <w:rsid w:val="399DA2AE"/>
    <w:rsid w:val="3A0B8C96"/>
    <w:rsid w:val="3A4A9B31"/>
    <w:rsid w:val="3A90BCE4"/>
    <w:rsid w:val="3ADF12AC"/>
    <w:rsid w:val="3AE1AFF7"/>
    <w:rsid w:val="3AEC8EE6"/>
    <w:rsid w:val="3B0F1066"/>
    <w:rsid w:val="3BC4F25A"/>
    <w:rsid w:val="3C33D4E8"/>
    <w:rsid w:val="3C9B649B"/>
    <w:rsid w:val="3D411AFD"/>
    <w:rsid w:val="3E08417A"/>
    <w:rsid w:val="3FF65B9B"/>
    <w:rsid w:val="4057FF5E"/>
    <w:rsid w:val="408721C2"/>
    <w:rsid w:val="4095D326"/>
    <w:rsid w:val="40C6A802"/>
    <w:rsid w:val="40E645E6"/>
    <w:rsid w:val="416009A9"/>
    <w:rsid w:val="41E0CA84"/>
    <w:rsid w:val="41E333E5"/>
    <w:rsid w:val="424763D8"/>
    <w:rsid w:val="42F8F1F5"/>
    <w:rsid w:val="44155BF9"/>
    <w:rsid w:val="446838AA"/>
    <w:rsid w:val="45554CA7"/>
    <w:rsid w:val="45EA2406"/>
    <w:rsid w:val="47234417"/>
    <w:rsid w:val="47646CCD"/>
    <w:rsid w:val="4847634F"/>
    <w:rsid w:val="486D7BAB"/>
    <w:rsid w:val="49858079"/>
    <w:rsid w:val="49E0C53E"/>
    <w:rsid w:val="4A739AC3"/>
    <w:rsid w:val="4B115925"/>
    <w:rsid w:val="4B323FBB"/>
    <w:rsid w:val="4B572453"/>
    <w:rsid w:val="4C065B7A"/>
    <w:rsid w:val="4C31A228"/>
    <w:rsid w:val="4CCDE36A"/>
    <w:rsid w:val="4CDB0165"/>
    <w:rsid w:val="4D265F2B"/>
    <w:rsid w:val="4DEDB40E"/>
    <w:rsid w:val="4E290017"/>
    <w:rsid w:val="4E794A08"/>
    <w:rsid w:val="4EAD9491"/>
    <w:rsid w:val="4F9D8B6A"/>
    <w:rsid w:val="4FF35397"/>
    <w:rsid w:val="50129630"/>
    <w:rsid w:val="517D2719"/>
    <w:rsid w:val="51E4ACFA"/>
    <w:rsid w:val="521DE73B"/>
    <w:rsid w:val="53A16AA9"/>
    <w:rsid w:val="541BE57F"/>
    <w:rsid w:val="54C63111"/>
    <w:rsid w:val="54F5F74D"/>
    <w:rsid w:val="550CF8A9"/>
    <w:rsid w:val="55288870"/>
    <w:rsid w:val="55BFD074"/>
    <w:rsid w:val="564A92D7"/>
    <w:rsid w:val="568B1371"/>
    <w:rsid w:val="56CCC460"/>
    <w:rsid w:val="57885653"/>
    <w:rsid w:val="57A377F9"/>
    <w:rsid w:val="57BFBA78"/>
    <w:rsid w:val="589170CC"/>
    <w:rsid w:val="59359609"/>
    <w:rsid w:val="59553DF8"/>
    <w:rsid w:val="5A045CCD"/>
    <w:rsid w:val="5AE5FC68"/>
    <w:rsid w:val="5AF038C4"/>
    <w:rsid w:val="5B88A428"/>
    <w:rsid w:val="5B88F298"/>
    <w:rsid w:val="5B913041"/>
    <w:rsid w:val="5BE14586"/>
    <w:rsid w:val="5C324C82"/>
    <w:rsid w:val="5D4C5861"/>
    <w:rsid w:val="5DAA9CA6"/>
    <w:rsid w:val="5ECCD384"/>
    <w:rsid w:val="5F0181B1"/>
    <w:rsid w:val="5F798B5A"/>
    <w:rsid w:val="60B1123E"/>
    <w:rsid w:val="60BA148B"/>
    <w:rsid w:val="60FE9143"/>
    <w:rsid w:val="612F8B42"/>
    <w:rsid w:val="616EDED9"/>
    <w:rsid w:val="6198A2C2"/>
    <w:rsid w:val="61EDBD00"/>
    <w:rsid w:val="61FA185B"/>
    <w:rsid w:val="6314A091"/>
    <w:rsid w:val="6377148D"/>
    <w:rsid w:val="63EA411A"/>
    <w:rsid w:val="6416803A"/>
    <w:rsid w:val="641E48E3"/>
    <w:rsid w:val="64411983"/>
    <w:rsid w:val="64CA0162"/>
    <w:rsid w:val="65C97725"/>
    <w:rsid w:val="6605D6A7"/>
    <w:rsid w:val="66EB6309"/>
    <w:rsid w:val="67F117BF"/>
    <w:rsid w:val="684651DC"/>
    <w:rsid w:val="684B8BAD"/>
    <w:rsid w:val="68528F27"/>
    <w:rsid w:val="6887BB56"/>
    <w:rsid w:val="696DD782"/>
    <w:rsid w:val="6993DBDC"/>
    <w:rsid w:val="6A062D87"/>
    <w:rsid w:val="6A31B8DA"/>
    <w:rsid w:val="6A3393BB"/>
    <w:rsid w:val="6AC60696"/>
    <w:rsid w:val="6AEB2019"/>
    <w:rsid w:val="6B3F0184"/>
    <w:rsid w:val="6B420393"/>
    <w:rsid w:val="6B831CB7"/>
    <w:rsid w:val="6B8341CC"/>
    <w:rsid w:val="6BB0A76F"/>
    <w:rsid w:val="6CAF65F6"/>
    <w:rsid w:val="6ED8C2AA"/>
    <w:rsid w:val="6EE1A286"/>
    <w:rsid w:val="6EEAAB4B"/>
    <w:rsid w:val="6EF73E63"/>
    <w:rsid w:val="6F5A8366"/>
    <w:rsid w:val="6F72E8F6"/>
    <w:rsid w:val="711E6C1E"/>
    <w:rsid w:val="712C8449"/>
    <w:rsid w:val="723924B6"/>
    <w:rsid w:val="7260F64F"/>
    <w:rsid w:val="728845E9"/>
    <w:rsid w:val="72A4CE0A"/>
    <w:rsid w:val="733DB0F8"/>
    <w:rsid w:val="734C4622"/>
    <w:rsid w:val="73713B0A"/>
    <w:rsid w:val="75DFB438"/>
    <w:rsid w:val="75F20CE9"/>
    <w:rsid w:val="763FE6E2"/>
    <w:rsid w:val="766A2322"/>
    <w:rsid w:val="768C5AB9"/>
    <w:rsid w:val="76A7FD6C"/>
    <w:rsid w:val="774982D6"/>
    <w:rsid w:val="774FBF71"/>
    <w:rsid w:val="777D5985"/>
    <w:rsid w:val="77A526E8"/>
    <w:rsid w:val="78259274"/>
    <w:rsid w:val="787C2DE5"/>
    <w:rsid w:val="78C9C67A"/>
    <w:rsid w:val="79BAB00C"/>
    <w:rsid w:val="79BC109B"/>
    <w:rsid w:val="79CC1F36"/>
    <w:rsid w:val="79EEB453"/>
    <w:rsid w:val="7A8D7EBE"/>
    <w:rsid w:val="7B04B394"/>
    <w:rsid w:val="7C05DB7B"/>
    <w:rsid w:val="7C5C98B0"/>
    <w:rsid w:val="7C6A9EDD"/>
    <w:rsid w:val="7CA3AC49"/>
    <w:rsid w:val="7D5A668B"/>
    <w:rsid w:val="7E1F6F75"/>
    <w:rsid w:val="7E64C4A2"/>
    <w:rsid w:val="7EC1F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B6BC11F0-AC28-44D2-BFC8-B1129DBC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3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wasilak@hillandknowlt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350BBEB1614B834058CC950DD18B" ma:contentTypeVersion="22" ma:contentTypeDescription="Create a new document." ma:contentTypeScope="" ma:versionID="b4f01eec74a765480b9e2bbf311e42b6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f29096b4ef1ab15d2620e3e4a15742b1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customXml/itemProps4.xml><?xml version="1.0" encoding="utf-8"?>
<ds:datastoreItem xmlns:ds="http://schemas.openxmlformats.org/officeDocument/2006/customXml" ds:itemID="{2FA598CE-4BE2-4F65-92B1-CA274CA4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2677</Words>
  <Characters>17908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2024-06-07T22:51:00Z</cp:lastPrinted>
  <dcterms:created xsi:type="dcterms:W3CDTF">2025-08-07T14:16:00Z</dcterms:created>
  <dcterms:modified xsi:type="dcterms:W3CDTF">2025-08-07T14:16:00Z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48597700</vt:r8>
  </property>
  <property fmtid="{D5CDD505-2E9C-101B-9397-08002B2CF9AE}" pid="5" name="GUID">
    <vt:lpwstr>05427b9b-5d5d-4842-bbbf-0111b0b28258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