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0A7B3" w14:textId="1FA7D838" w:rsidR="00A5420E" w:rsidRPr="000C16C0" w:rsidRDefault="00DE67A4" w:rsidP="000C16C0">
      <w:pPr>
        <w:pStyle w:val="MonthDayYear"/>
        <w:ind w:right="-510"/>
        <w:rPr>
          <w:rStyle w:val="Headline"/>
          <w:b w:val="0"/>
          <w:bCs w:val="0"/>
          <w:sz w:val="22"/>
        </w:rPr>
      </w:pPr>
      <w:r>
        <w:t>7</w:t>
      </w:r>
      <w:r w:rsidR="00840C0D">
        <w:t xml:space="preserve">. </w:t>
      </w:r>
      <w:r>
        <w:t>avgust</w:t>
      </w:r>
      <w:r w:rsidR="00840C0D">
        <w:t xml:space="preserve"> 2025.</w:t>
      </w:r>
    </w:p>
    <w:p w14:paraId="73F1A67E" w14:textId="77777777" w:rsidR="000C16C0" w:rsidRDefault="000C16C0" w:rsidP="00B818A3">
      <w:pPr>
        <w:pStyle w:val="He01Flietext"/>
      </w:pPr>
    </w:p>
    <w:p w14:paraId="4C160260" w14:textId="77777777" w:rsidR="00DE67A4" w:rsidRDefault="00DE67A4" w:rsidP="00B818A3">
      <w:pPr>
        <w:pStyle w:val="He02berschriftEbene2"/>
        <w:rPr>
          <w:b w:val="0"/>
          <w:sz w:val="22"/>
        </w:rPr>
      </w:pPr>
      <w:r w:rsidRPr="00DE67A4">
        <w:rPr>
          <w:b w:val="0"/>
          <w:sz w:val="22"/>
        </w:rPr>
        <w:t>Henkel očekuje nastavak profitabilnog rasta u fiskalnoj godini 2025.</w:t>
      </w:r>
    </w:p>
    <w:p w14:paraId="2EA3DF95" w14:textId="5DAABF79" w:rsidR="00DE0834" w:rsidRDefault="00D4372C" w:rsidP="00B02FAA">
      <w:pPr>
        <w:pStyle w:val="MonthDayYear"/>
        <w:spacing w:before="0" w:after="240"/>
        <w:ind w:right="-510"/>
        <w:jc w:val="left"/>
        <w:rPr>
          <w:rFonts w:eastAsiaTheme="minorHAnsi" w:cstheme="minorBidi"/>
          <w:b/>
          <w:sz w:val="32"/>
          <w:szCs w:val="22"/>
        </w:rPr>
      </w:pPr>
      <w:r w:rsidRPr="00D4372C">
        <w:rPr>
          <w:rFonts w:eastAsiaTheme="minorHAnsi" w:cstheme="minorBidi"/>
          <w:b/>
          <w:sz w:val="32"/>
          <w:szCs w:val="22"/>
        </w:rPr>
        <w:t>Henkel zabeležio ubrzanje rasta prodaje i dobra povećanja marži i prihoda u prvom polugodištu</w:t>
      </w:r>
    </w:p>
    <w:p w14:paraId="41A80B27" w14:textId="77777777" w:rsidR="00DE0834" w:rsidRPr="00DE0834" w:rsidRDefault="00DE0834" w:rsidP="00DE0834">
      <w:pPr>
        <w:numPr>
          <w:ilvl w:val="0"/>
          <w:numId w:val="10"/>
        </w:numPr>
        <w:spacing w:after="80"/>
        <w:ind w:left="284" w:right="-108" w:hanging="357"/>
        <w:jc w:val="left"/>
        <w:rPr>
          <w:rFonts w:cs="Cambria"/>
          <w:b/>
          <w:szCs w:val="22"/>
          <w:lang w:val=""/>
        </w:rPr>
      </w:pPr>
      <w:bookmarkStart w:id="0" w:name="_Hlk140061525"/>
      <w:bookmarkStart w:id="1" w:name="_Hlk43712519"/>
      <w:r w:rsidRPr="00DE0834">
        <w:rPr>
          <w:b/>
          <w:lang w:val=""/>
        </w:rPr>
        <w:t>Prodaja na nivou Grupe u prvom polugodištu na nivou prethodne godine: 10,4 milijarde evra (organski -0,1 odsto, drugo tromesečje: +0,9 odsto)</w:t>
      </w:r>
    </w:p>
    <w:p w14:paraId="66C0A1A5" w14:textId="77777777" w:rsidR="00DE0834" w:rsidRPr="00DE0834" w:rsidRDefault="00DE0834" w:rsidP="00DE0834">
      <w:pPr>
        <w:numPr>
          <w:ilvl w:val="0"/>
          <w:numId w:val="10"/>
        </w:numPr>
        <w:spacing w:after="80"/>
        <w:ind w:left="284" w:right="-108" w:hanging="357"/>
        <w:jc w:val="left"/>
        <w:rPr>
          <w:rFonts w:cs="Cambria"/>
          <w:b/>
          <w:szCs w:val="22"/>
          <w:lang w:val=""/>
        </w:rPr>
      </w:pPr>
      <w:r w:rsidRPr="00DE0834">
        <w:rPr>
          <w:b/>
          <w:lang w:val=""/>
        </w:rPr>
        <w:t>Operativna dobit (EBIT)* porasla je značajno na 1.614 miliona evra (+0,2 odsto)</w:t>
      </w:r>
    </w:p>
    <w:p w14:paraId="070625EA" w14:textId="0CF69A66" w:rsidR="00DE0834" w:rsidRPr="00DE0834" w:rsidRDefault="00DE0834" w:rsidP="00DE0834">
      <w:pPr>
        <w:numPr>
          <w:ilvl w:val="0"/>
          <w:numId w:val="10"/>
        </w:numPr>
        <w:spacing w:after="80"/>
        <w:ind w:left="284" w:right="-108" w:hanging="357"/>
        <w:jc w:val="left"/>
        <w:rPr>
          <w:rFonts w:cs="Cambria"/>
          <w:b/>
          <w:szCs w:val="22"/>
          <w:lang w:val=""/>
        </w:rPr>
      </w:pPr>
      <w:r w:rsidRPr="00DE0834">
        <w:rPr>
          <w:b/>
          <w:lang w:val=""/>
        </w:rPr>
        <w:t xml:space="preserve">EBIT marža* zabeležila je snažno povećanje na 15,5 </w:t>
      </w:r>
      <w:r w:rsidR="00F16B32">
        <w:rPr>
          <w:b/>
          <w:lang w:val=""/>
        </w:rPr>
        <w:t>od</w:t>
      </w:r>
      <w:r w:rsidRPr="00DE0834">
        <w:rPr>
          <w:b/>
          <w:lang w:val=""/>
        </w:rPr>
        <w:t>sto (+60 baznih poena)</w:t>
      </w:r>
    </w:p>
    <w:p w14:paraId="11E935DD" w14:textId="77777777" w:rsidR="00DE0834" w:rsidRPr="00DE0834" w:rsidRDefault="00DE0834" w:rsidP="00DE0834">
      <w:pPr>
        <w:numPr>
          <w:ilvl w:val="0"/>
          <w:numId w:val="10"/>
        </w:numPr>
        <w:spacing w:after="80"/>
        <w:ind w:left="284" w:right="-108" w:hanging="357"/>
        <w:jc w:val="left"/>
        <w:rPr>
          <w:rFonts w:cs="Cambria"/>
          <w:b/>
          <w:szCs w:val="22"/>
          <w:lang w:val=""/>
        </w:rPr>
      </w:pPr>
      <w:r w:rsidRPr="00DE0834">
        <w:rPr>
          <w:b/>
          <w:lang w:val=""/>
        </w:rPr>
        <w:t>Prihod po prioritetnoj akciji (EPS)* povećan na 2,81 evra, sa dvocifrenim rastom od +5,0 odsto po konstantnom kursu</w:t>
      </w:r>
    </w:p>
    <w:bookmarkEnd w:id="0"/>
    <w:p w14:paraId="3AC40713" w14:textId="77777777" w:rsidR="00DE0834" w:rsidRPr="00DE0834" w:rsidRDefault="00DE0834" w:rsidP="00DE0834">
      <w:pPr>
        <w:numPr>
          <w:ilvl w:val="0"/>
          <w:numId w:val="10"/>
        </w:numPr>
        <w:spacing w:after="80"/>
        <w:ind w:left="284" w:right="-108" w:hanging="357"/>
        <w:jc w:val="left"/>
        <w:rPr>
          <w:rFonts w:cs="Cambria"/>
          <w:b/>
          <w:szCs w:val="22"/>
          <w:lang w:val=""/>
        </w:rPr>
      </w:pPr>
      <w:r w:rsidRPr="00DE0834">
        <w:rPr>
          <w:b/>
          <w:lang w:val=""/>
        </w:rPr>
        <w:t>Dalji napredak u sprovođenju Agende svrsishodnog rasta</w:t>
      </w:r>
    </w:p>
    <w:p w14:paraId="0D5028B1" w14:textId="77777777" w:rsidR="00DE0834" w:rsidRPr="00DE0834" w:rsidRDefault="00DE0834" w:rsidP="00DE0834">
      <w:pPr>
        <w:widowControl w:val="0"/>
        <w:numPr>
          <w:ilvl w:val="1"/>
          <w:numId w:val="11"/>
        </w:numPr>
        <w:tabs>
          <w:tab w:val="left" w:pos="702"/>
        </w:tabs>
        <w:autoSpaceDE w:val="0"/>
        <w:autoSpaceDN w:val="0"/>
        <w:spacing w:before="113" w:after="120" w:line="240" w:lineRule="auto"/>
        <w:jc w:val="left"/>
        <w:rPr>
          <w:lang w:val=""/>
        </w:rPr>
      </w:pPr>
      <w:r w:rsidRPr="00DE0834">
        <w:rPr>
          <w:lang w:val=""/>
        </w:rPr>
        <w:t>Jasan fokus na globalne megatrendove ojačava konkurentnost i otpornost poslovnog sektora Adhezivi Tehnologije u izazovnom tržišnom okruženju</w:t>
      </w:r>
    </w:p>
    <w:p w14:paraId="5735B809" w14:textId="77777777" w:rsidR="00DE0834" w:rsidRPr="00DE0834" w:rsidRDefault="00DE0834" w:rsidP="00DE0834">
      <w:pPr>
        <w:widowControl w:val="0"/>
        <w:numPr>
          <w:ilvl w:val="1"/>
          <w:numId w:val="11"/>
        </w:numPr>
        <w:tabs>
          <w:tab w:val="left" w:pos="702"/>
        </w:tabs>
        <w:autoSpaceDE w:val="0"/>
        <w:autoSpaceDN w:val="0"/>
        <w:spacing w:before="113" w:after="120" w:line="240" w:lineRule="auto"/>
        <w:ind w:left="697" w:hanging="357"/>
        <w:jc w:val="left"/>
        <w:rPr>
          <w:lang w:val=""/>
        </w:rPr>
      </w:pPr>
      <w:r w:rsidRPr="00DE0834">
        <w:rPr>
          <w:lang w:val=""/>
        </w:rPr>
        <w:t>Značajan količinski rast prodaje u poslovnom sektoru Consumer Brands - prvih 10 brendova ostvarilo dobar organski rast prodaje</w:t>
      </w:r>
    </w:p>
    <w:p w14:paraId="42E211C7" w14:textId="77777777" w:rsidR="00DE0834" w:rsidRPr="00FF242F" w:rsidRDefault="00DE0834" w:rsidP="00FF242F">
      <w:pPr>
        <w:numPr>
          <w:ilvl w:val="0"/>
          <w:numId w:val="10"/>
        </w:numPr>
        <w:spacing w:after="80"/>
        <w:ind w:left="284" w:right="-108" w:hanging="357"/>
        <w:jc w:val="left"/>
        <w:rPr>
          <w:b/>
          <w:lang w:val=""/>
        </w:rPr>
      </w:pPr>
      <w:r w:rsidRPr="00FF242F">
        <w:rPr>
          <w:b/>
          <w:lang w:val=""/>
        </w:rPr>
        <w:t>Ažurirana prognoza za fiskalnu godinu 2025:</w:t>
      </w:r>
    </w:p>
    <w:p w14:paraId="75D0D755" w14:textId="77777777" w:rsidR="00DE0834" w:rsidRPr="00FF242F" w:rsidRDefault="00DE0834" w:rsidP="00FF242F">
      <w:pPr>
        <w:widowControl w:val="0"/>
        <w:numPr>
          <w:ilvl w:val="1"/>
          <w:numId w:val="11"/>
        </w:numPr>
        <w:tabs>
          <w:tab w:val="left" w:pos="702"/>
        </w:tabs>
        <w:autoSpaceDE w:val="0"/>
        <w:autoSpaceDN w:val="0"/>
        <w:spacing w:before="113" w:after="120" w:line="240" w:lineRule="auto"/>
        <w:jc w:val="left"/>
        <w:rPr>
          <w:lang w:val=""/>
        </w:rPr>
      </w:pPr>
      <w:r w:rsidRPr="00FF242F">
        <w:rPr>
          <w:lang w:val=""/>
        </w:rPr>
        <w:t>Organski rast prodaje: 1,0 do 2,0 odsto (prethodno: 1,5 do 3,5 odsto)</w:t>
      </w:r>
    </w:p>
    <w:p w14:paraId="67E1C220" w14:textId="77777777" w:rsidR="00DE0834" w:rsidRPr="00FF242F" w:rsidRDefault="00DE0834" w:rsidP="00FF242F">
      <w:pPr>
        <w:widowControl w:val="0"/>
        <w:numPr>
          <w:ilvl w:val="1"/>
          <w:numId w:val="11"/>
        </w:numPr>
        <w:tabs>
          <w:tab w:val="left" w:pos="702"/>
        </w:tabs>
        <w:autoSpaceDE w:val="0"/>
        <w:autoSpaceDN w:val="0"/>
        <w:spacing w:before="113" w:after="120" w:line="240" w:lineRule="auto"/>
        <w:jc w:val="left"/>
        <w:rPr>
          <w:lang w:val=""/>
        </w:rPr>
      </w:pPr>
      <w:r w:rsidRPr="00FF242F">
        <w:rPr>
          <w:lang w:val=""/>
        </w:rPr>
        <w:t>Korigovani prinos od prodaje: 14,5 do 15,5 odsto (prethodno: 14,0 do 15,5 odsto)</w:t>
      </w:r>
    </w:p>
    <w:p w14:paraId="5AE13557" w14:textId="77777777" w:rsidR="00DE0834" w:rsidRPr="00FF242F" w:rsidRDefault="00DE0834" w:rsidP="00FF242F">
      <w:pPr>
        <w:widowControl w:val="0"/>
        <w:numPr>
          <w:ilvl w:val="1"/>
          <w:numId w:val="11"/>
        </w:numPr>
        <w:tabs>
          <w:tab w:val="left" w:pos="702"/>
        </w:tabs>
        <w:autoSpaceDE w:val="0"/>
        <w:autoSpaceDN w:val="0"/>
        <w:spacing w:before="113" w:after="120" w:line="240" w:lineRule="auto"/>
        <w:jc w:val="left"/>
        <w:rPr>
          <w:lang w:val=""/>
        </w:rPr>
      </w:pPr>
      <w:r w:rsidRPr="00FF242F">
        <w:rPr>
          <w:lang w:val=""/>
        </w:rPr>
        <w:t>Korigovani prihod po prioritetnoj akciji (EPS): povećanje od niskog jednocifrenog do visokog jednocifrenog procentualnog opsega (pri stalnom kursu).</w:t>
      </w:r>
    </w:p>
    <w:p w14:paraId="0CC84425" w14:textId="77777777" w:rsidR="00DE0834" w:rsidRPr="00DE0834" w:rsidRDefault="00DE0834" w:rsidP="00DE0834">
      <w:pPr>
        <w:rPr>
          <w:rFonts w:cs="Segoe UI"/>
          <w:szCs w:val="22"/>
          <w:lang w:val="en-US"/>
        </w:rPr>
      </w:pPr>
    </w:p>
    <w:p w14:paraId="79EAE461" w14:textId="33870A75" w:rsidR="00DE0834" w:rsidRPr="00DE0834" w:rsidRDefault="00DE0834" w:rsidP="00DE0834">
      <w:pPr>
        <w:rPr>
          <w:rFonts w:cs="Segoe UI"/>
          <w:szCs w:val="22"/>
          <w:lang w:val=""/>
        </w:rPr>
      </w:pPr>
      <w:r w:rsidRPr="00DE0834">
        <w:rPr>
          <w:noProof/>
          <w:szCs w:val="22"/>
          <w:lang w:val="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3CF8E1" wp14:editId="0136EF4D">
                <wp:simplePos x="0" y="0"/>
                <wp:positionH relativeFrom="margin">
                  <wp:posOffset>-53975</wp:posOffset>
                </wp:positionH>
                <wp:positionV relativeFrom="page">
                  <wp:posOffset>9972040</wp:posOffset>
                </wp:positionV>
                <wp:extent cx="5374640" cy="270510"/>
                <wp:effectExtent l="3810" t="0" r="3175" b="0"/>
                <wp:wrapNone/>
                <wp:docPr id="125060157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48277" w14:textId="77777777" w:rsidR="00DE0834" w:rsidRPr="003B6DC6" w:rsidRDefault="00DE0834" w:rsidP="00DE0834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 Korigovano zbog jednokratnih troškova i dobiti, i zbog troškova restrukturiranja.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CF8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25pt;margin-top:785.2pt;width:423.2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o18wEAAMoDAAAOAAAAZHJzL2Uyb0RvYy54bWysU9tu2zAMfR+wfxD0vtjJkmYz4hRdigwD&#10;ugvQ7QNkWbaFyaJGKbGzrx8lp2nQvQ3TgyCK1CHPIbW5HXvDjgq9Blvy+SznTFkJtbZtyX983795&#10;x5kPwtbCgFUlPynPb7evX20GV6gFdGBqhYxArC8GV/IuBFdkmZed6oWfgVOWnA1gLwKZ2GY1ioHQ&#10;e5Mt8vwmGwBrhyCV93R7Pzn5NuE3jZLha9N4FZgpOdUW0o5pr+KebTeiaFG4TstzGeIfquiFtpT0&#10;AnUvgmAH1H9B9VoieGjCTEKfQdNoqRIHYjPPX7B57IRTiQuJ491FJv//YOWX46P7hiyMH2CkBiYS&#10;3j2A/OmZhV0nbKvuEGHolKgp8TxKlg3OF+enUWpf+AhSDZ+hpiaLQ4AENDbYR1WIJyN0asDpIroa&#10;A5N0uXq7Xt4sySXJt1jnq3nqSiaKp9cOffiooGfxUHKkpiZ0cXzwIVYjiqeQmMyD0fVeG5MMbKud&#10;QXYUNAD7tBKBF2HGxmAL8dmEGG8Szchs4hjGaiRnpFtBfSLCCNNA0QegQwf4m7OBhqnk/tdBoOLM&#10;fLIk2vv5MjIMyViu1gsy8NpTXXuElQRV8sDZdNyFaWIPDnXbUaapTRbuSOhGJw2eqzrXTQOTpDkP&#10;d5zIaztFPX/B7R8AAAD//wMAUEsDBBQABgAIAAAAIQDFxss74AAAAAwBAAAPAAAAZHJzL2Rvd25y&#10;ZXYueG1sTI/LTsMwEEX3SPyDNUhsUOuUNo+GOBUggdi29AMmsZtExOModpv07xlWdDl3ju6cKXaz&#10;7cXFjL5zpGC1jEAYqp3uqFFw/P5YZCB8QNLYOzIKrsbDrry/KzDXbqK9uRxCI7iEfI4K2hCGXEpf&#10;t8aiX7rBEO9ObrQYeBwbqUecuNz28jmKEmmxI77Q4mDeW1P/HM5Wwelreoq3U/UZjul+k7xhl1bu&#10;qtTjw/z6AiKYOfzD8KfP6lCyU+XOpL3oFSyymEnO4zTagGAiW6dbEBVHyWodgSwLeftE+QsAAP//&#10;AwBQSwECLQAUAAYACAAAACEAtoM4kv4AAADhAQAAEwAAAAAAAAAAAAAAAAAAAAAAW0NvbnRlbnRf&#10;VHlwZXNdLnhtbFBLAQItABQABgAIAAAAIQA4/SH/1gAAAJQBAAALAAAAAAAAAAAAAAAAAC8BAABf&#10;cmVscy8ucmVsc1BLAQItABQABgAIAAAAIQCIuno18wEAAMoDAAAOAAAAAAAAAAAAAAAAAC4CAABk&#10;cnMvZTJvRG9jLnhtbFBLAQItABQABgAIAAAAIQDFxss74AAAAAwBAAAPAAAAAAAAAAAAAAAAAE0E&#10;AABkcnMvZG93bnJldi54bWxQSwUGAAAAAAQABADzAAAAWgUAAAAA&#10;" stroked="f">
                <v:textbox>
                  <w:txbxContent>
                    <w:p w14:paraId="30248277" w14:textId="77777777" w:rsidR="00DE0834" w:rsidRPr="003B6DC6" w:rsidRDefault="00DE0834" w:rsidP="00DE0834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</w:rPr>
                        <w:t>* Korigovano zbog jednokratnih troškova i dobiti, i zbog troškova restrukturiranja.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DE0834">
        <w:rPr>
          <w:szCs w:val="22"/>
          <w:lang w:val=""/>
        </w:rPr>
        <w:t>Dizeldorf –</w:t>
      </w:r>
      <w:bookmarkStart w:id="2" w:name="_Hlk109033326"/>
      <w:r w:rsidRPr="00DE0834">
        <w:rPr>
          <w:szCs w:val="22"/>
          <w:lang w:val=""/>
        </w:rPr>
        <w:t xml:space="preserve"> </w:t>
      </w:r>
      <w:bookmarkEnd w:id="2"/>
      <w:r w:rsidRPr="00DE0834">
        <w:rPr>
          <w:szCs w:val="22"/>
          <w:lang w:val=""/>
        </w:rPr>
        <w:t xml:space="preserve">Nakon umerenog početka godine, Henkel je zabeležio ubrzanje rasta organske prodaje tokom prve polovine 2025, zahvaljujući rezultatima iz drugog tromesečja. U isto vreme, profitabilnost je snažno pojačana. „Poboljšanje organskog rasta prodaje omogućila su oba poslovna sektora, pri čemu se posebno ističe uzastopni porast obima u sektoru Consumer Brands. Zajedno s pozitivnim kretanjem cena, to je dovelo do pozitivnog organskog rasta prodaje u drugom tromesečju. </w:t>
      </w:r>
      <w:bookmarkStart w:id="3" w:name="_Hlk204078858"/>
      <w:r w:rsidRPr="00DE0834">
        <w:rPr>
          <w:szCs w:val="22"/>
          <w:lang w:val=""/>
        </w:rPr>
        <w:t xml:space="preserve">Poslovni sektor Adhezivi Tehnologije ostvario je pozitivan </w:t>
      </w:r>
      <w:r w:rsidRPr="00DE0834">
        <w:rPr>
          <w:szCs w:val="22"/>
          <w:lang w:val=""/>
        </w:rPr>
        <w:lastRenderedPageBreak/>
        <w:t>organski rast prodaje u prvih šest meseci, zahvaljujući uravnoteženom razvoju cena i količina,” izjavio je izvršni direktor kompanije Henkel, Karsten Knobel.</w:t>
      </w:r>
    </w:p>
    <w:p w14:paraId="43484C22" w14:textId="77777777" w:rsidR="00DE0834" w:rsidRPr="00DE0834" w:rsidRDefault="00DE0834" w:rsidP="00DE0834">
      <w:pPr>
        <w:rPr>
          <w:rFonts w:cs="Segoe UI"/>
          <w:szCs w:val="22"/>
          <w:lang w:val=""/>
        </w:rPr>
      </w:pPr>
    </w:p>
    <w:p w14:paraId="479D8799" w14:textId="77777777" w:rsidR="00DE0834" w:rsidRPr="00DE0834" w:rsidRDefault="00DE0834" w:rsidP="00DE0834">
      <w:pPr>
        <w:rPr>
          <w:rFonts w:cs="Segoe UI"/>
          <w:szCs w:val="22"/>
          <w:lang w:val=""/>
        </w:rPr>
      </w:pPr>
      <w:r w:rsidRPr="00DE0834">
        <w:rPr>
          <w:lang w:val=""/>
        </w:rPr>
        <w:t>„Pored toga, značajno smo povećali našu EBIT maržu u prvoj polovini godine. Ovaj rast pretežno je proizašao iz veoma visokih bruto marži u oba poslovna sektora i povoljnog poslovnog portfolija. Takođe smo ostvarili dodatne efikasnosti i na dobrom smo putu da postignemo, pa čak i premašimo, planirane uštede u sektoru Consumer Brands. Istovremeno, nastavili smo da ulažemo u naše brendove i tehnologije kako bismo ojačali naš potencijal za budući rast,” naglasio je Karsten Knobel.</w:t>
      </w:r>
      <w:bookmarkEnd w:id="3"/>
    </w:p>
    <w:p w14:paraId="0167CADC" w14:textId="77777777" w:rsidR="00DE0834" w:rsidRPr="00DE0834" w:rsidRDefault="00DE0834" w:rsidP="00DE0834">
      <w:pPr>
        <w:rPr>
          <w:rFonts w:cs="Segoe UI"/>
          <w:szCs w:val="22"/>
          <w:lang w:val=""/>
        </w:rPr>
      </w:pPr>
    </w:p>
    <w:bookmarkEnd w:id="1"/>
    <w:p w14:paraId="05DDF7F9" w14:textId="77777777" w:rsidR="00DE0834" w:rsidRPr="00DE0834" w:rsidRDefault="00DE0834" w:rsidP="00DE0834">
      <w:pPr>
        <w:rPr>
          <w:rFonts w:cs="Segoe UI"/>
          <w:szCs w:val="22"/>
          <w:lang w:val=""/>
        </w:rPr>
      </w:pPr>
    </w:p>
    <w:p w14:paraId="2F7EB8B7" w14:textId="77777777" w:rsidR="00DE0834" w:rsidRPr="00DE0834" w:rsidRDefault="00DE0834" w:rsidP="00DE0834">
      <w:pPr>
        <w:spacing w:after="120"/>
        <w:jc w:val="left"/>
        <w:rPr>
          <w:rFonts w:cs="Segoe UI"/>
          <w:b/>
          <w:bCs/>
          <w:szCs w:val="22"/>
          <w:lang w:val=""/>
        </w:rPr>
      </w:pPr>
      <w:r w:rsidRPr="00DE0834">
        <w:rPr>
          <w:b/>
          <w:lang w:val=""/>
        </w:rPr>
        <w:t>Prodaja i prihodi u prvoj polovini fiskalne godine 2025.</w:t>
      </w:r>
    </w:p>
    <w:p w14:paraId="2B811EBA" w14:textId="77777777" w:rsidR="00DE0834" w:rsidRPr="00DE0834" w:rsidRDefault="00DE0834" w:rsidP="00DE0834">
      <w:pPr>
        <w:rPr>
          <w:rFonts w:cs="Segoe UI"/>
          <w:szCs w:val="22"/>
          <w:lang w:val=""/>
        </w:rPr>
      </w:pPr>
      <w:r w:rsidRPr="00DE0834">
        <w:rPr>
          <w:lang w:val=""/>
        </w:rPr>
        <w:t xml:space="preserve">Henkel je postigao </w:t>
      </w:r>
      <w:r w:rsidRPr="00DE0834">
        <w:rPr>
          <w:b/>
          <w:bCs/>
          <w:lang w:val=""/>
        </w:rPr>
        <w:t xml:space="preserve">prodaju na nivou grupe </w:t>
      </w:r>
      <w:r w:rsidRPr="00DE0834">
        <w:rPr>
          <w:lang w:val=""/>
        </w:rPr>
        <w:t xml:space="preserve">od 10.402 miliona evra u prvom polugodištu 2025, što predstavlja nominalni pad od -3,8 odsto (drugo tromesečje: 5.160 miliona evra, -6,1 odsto). Efekti deviznih kurseva smanjili su prodaju za -2,8 odsto (drugo tromesečje: -4,1 odsto). Akvizicije i prodaje su smanjile prodaju za -0,9 odsto (drugo tromesečje: -2,9 odsto). Iako je prodaja poslovanja s maloprodajnim brendovima u Severnoj Americi u aprilu 2025. imala negativan uticaj, akvizicije ostvarene prošle godine u obe poslovne jedinice – Seal for Life i Vidal Sassoon – doprinele su pozitivno. Posmatrano </w:t>
      </w:r>
      <w:r w:rsidRPr="00DE0834">
        <w:rPr>
          <w:b/>
          <w:bCs/>
          <w:lang w:val=""/>
        </w:rPr>
        <w:t xml:space="preserve">organski </w:t>
      </w:r>
      <w:r w:rsidRPr="00DE0834">
        <w:rPr>
          <w:lang w:val=""/>
        </w:rPr>
        <w:t>(tj. sa korekcijama zbog kursnih razlika i akvizicija/divesticija), prodaja je bila na istom nivou kao prethodne godine, sa -0,1 odsto (drugo tromesečje: +0,9 odsto). To je rezultat pozitivnog kretanja cena u oba poslovna sektora. Količinska prodaja na nivou grupe blago je opala u prvoj polovini godine. To je uglavnom posledica izazovnog geopolitičkog i makroekonomskog okruženja, koje je uticalo i na industrijsku tražnju i na potrošačko raspoloženje – naročito u prvom tromesečju u Severnoj Americi.</w:t>
      </w:r>
    </w:p>
    <w:p w14:paraId="1384A2BF" w14:textId="77777777" w:rsidR="00DE0834" w:rsidRPr="00DE0834" w:rsidRDefault="00DE0834" w:rsidP="00DE0834">
      <w:pPr>
        <w:rPr>
          <w:rFonts w:cs="Segoe UI"/>
          <w:szCs w:val="22"/>
          <w:lang w:val=""/>
        </w:rPr>
      </w:pPr>
    </w:p>
    <w:p w14:paraId="62643B0F" w14:textId="77777777" w:rsidR="00DE0834" w:rsidRPr="00DE0834" w:rsidRDefault="00DE0834" w:rsidP="00DE0834">
      <w:pPr>
        <w:rPr>
          <w:rFonts w:cs="Segoe UI"/>
          <w:szCs w:val="22"/>
          <w:lang w:val=""/>
        </w:rPr>
      </w:pPr>
      <w:r w:rsidRPr="00DE0834">
        <w:rPr>
          <w:lang w:val=""/>
        </w:rPr>
        <w:t xml:space="preserve">Regioni </w:t>
      </w:r>
      <w:r w:rsidRPr="00DE0834">
        <w:rPr>
          <w:b/>
          <w:bCs/>
          <w:lang w:val=""/>
        </w:rPr>
        <w:t xml:space="preserve">Evrope </w:t>
      </w:r>
      <w:r w:rsidRPr="00DE0834">
        <w:rPr>
          <w:lang w:val=""/>
        </w:rPr>
        <w:t xml:space="preserve">i </w:t>
      </w:r>
      <w:r w:rsidRPr="00DE0834">
        <w:rPr>
          <w:b/>
          <w:bCs/>
          <w:lang w:val=""/>
        </w:rPr>
        <w:t xml:space="preserve">Severne Amerike </w:t>
      </w:r>
      <w:r w:rsidRPr="00DE0834">
        <w:rPr>
          <w:lang w:val=""/>
        </w:rPr>
        <w:t xml:space="preserve">zabeležili su pad organske prodaje od -1,9 odsto (drugo tromesečje: -1,8 odsto) i -3,4 odsto (drugo tromesečje: -1,2 odsto), uglavnom zbog nepovoljnog geopolitičkog i makroekonomskog okruženja. Nasuprot tome, u regionu </w:t>
      </w:r>
      <w:r w:rsidRPr="00DE0834">
        <w:rPr>
          <w:b/>
          <w:bCs/>
          <w:lang w:val=""/>
        </w:rPr>
        <w:t xml:space="preserve">IMEA, </w:t>
      </w:r>
      <w:r w:rsidRPr="00DE0834">
        <w:rPr>
          <w:lang w:val=""/>
        </w:rPr>
        <w:t xml:space="preserve">Henkel je ostvario značajan organski rast prodaje od 9,1 odsto (drugo tromesečje: +13,9 odsto). Region </w:t>
      </w:r>
      <w:r w:rsidRPr="00DE0834">
        <w:rPr>
          <w:b/>
          <w:bCs/>
          <w:lang w:val=""/>
        </w:rPr>
        <w:t>Latinska Amerika</w:t>
      </w:r>
      <w:r w:rsidRPr="00DE0834">
        <w:rPr>
          <w:lang w:val=""/>
        </w:rPr>
        <w:t xml:space="preserve"> je ostvario organski rast prodaje od 0,4 odsto (drugo tromesečje: -0,6 odsto). Region </w:t>
      </w:r>
      <w:r w:rsidRPr="00DE0834">
        <w:rPr>
          <w:b/>
          <w:bCs/>
          <w:lang w:val=""/>
        </w:rPr>
        <w:t>Azija-Pacifik</w:t>
      </w:r>
      <w:r w:rsidRPr="00DE0834">
        <w:rPr>
          <w:lang w:val=""/>
        </w:rPr>
        <w:t xml:space="preserve"> je ostvario organski rast prodaje od 3,4 odsto (drugo tromesečje: +3,1 odsto).</w:t>
      </w:r>
    </w:p>
    <w:p w14:paraId="3A3AA373" w14:textId="77777777" w:rsidR="00DE0834" w:rsidRPr="00DE0834" w:rsidRDefault="00DE0834" w:rsidP="00DE0834">
      <w:pPr>
        <w:rPr>
          <w:rFonts w:cs="Segoe UI"/>
          <w:szCs w:val="22"/>
          <w:lang w:val=""/>
        </w:rPr>
      </w:pPr>
    </w:p>
    <w:p w14:paraId="769D51A2" w14:textId="77777777" w:rsidR="00DE0834" w:rsidRPr="00DE0834" w:rsidRDefault="00DE0834" w:rsidP="00DE0834">
      <w:pPr>
        <w:rPr>
          <w:rFonts w:cs="Segoe UI"/>
          <w:bCs/>
          <w:szCs w:val="22"/>
          <w:lang w:val=""/>
        </w:rPr>
      </w:pPr>
      <w:r w:rsidRPr="00DE0834">
        <w:rPr>
          <w:b/>
          <w:bCs/>
          <w:lang w:val=""/>
        </w:rPr>
        <w:t xml:space="preserve">Korigovana operativna dobit (korigovani EBIT) </w:t>
      </w:r>
      <w:r w:rsidRPr="00DE0834">
        <w:rPr>
          <w:lang w:val=""/>
        </w:rPr>
        <w:t xml:space="preserve">blago je porasla as 1.610 miliona evra u prvoj polovini 2024. na 1.614 miliona evra. </w:t>
      </w:r>
    </w:p>
    <w:p w14:paraId="0C51B269" w14:textId="77777777" w:rsidR="00DE0834" w:rsidRPr="00DE0834" w:rsidRDefault="00DE0834" w:rsidP="00DE0834">
      <w:pPr>
        <w:rPr>
          <w:rFonts w:cs="Segoe UI"/>
          <w:bCs/>
          <w:szCs w:val="22"/>
          <w:lang w:val=""/>
        </w:rPr>
      </w:pPr>
    </w:p>
    <w:p w14:paraId="353611AE" w14:textId="77777777" w:rsidR="00DE0834" w:rsidRPr="00DE0834" w:rsidRDefault="00DE0834" w:rsidP="00DE0834">
      <w:pPr>
        <w:rPr>
          <w:rFonts w:cs="Segoe UI"/>
          <w:bCs/>
          <w:szCs w:val="22"/>
          <w:lang w:val=""/>
        </w:rPr>
      </w:pPr>
      <w:r w:rsidRPr="00DE0834">
        <w:rPr>
          <w:b/>
          <w:bCs/>
          <w:lang w:val=""/>
        </w:rPr>
        <w:lastRenderedPageBreak/>
        <w:t xml:space="preserve">Korigovani prinos od prodaje (korigovana EBIT marža) </w:t>
      </w:r>
      <w:r w:rsidRPr="00DE0834">
        <w:rPr>
          <w:lang w:val=""/>
        </w:rPr>
        <w:t>Henkel grupe zabeležio je povećanje od 60  baznih poena, sa 14,9 odsto na 15,5 odsto.</w:t>
      </w:r>
    </w:p>
    <w:p w14:paraId="76510824" w14:textId="77777777" w:rsidR="00DE0834" w:rsidRPr="00DE0834" w:rsidRDefault="00DE0834" w:rsidP="00DE0834">
      <w:pPr>
        <w:rPr>
          <w:rFonts w:cs="Segoe UI"/>
          <w:bCs/>
          <w:szCs w:val="22"/>
          <w:lang w:val=""/>
        </w:rPr>
      </w:pPr>
    </w:p>
    <w:p w14:paraId="1DB2354E" w14:textId="43C749BD" w:rsidR="00DE0834" w:rsidRPr="00DE0834" w:rsidRDefault="00DE0834" w:rsidP="00DE0834">
      <w:pPr>
        <w:rPr>
          <w:rFonts w:cs="Segoe UI"/>
          <w:bCs/>
          <w:szCs w:val="22"/>
          <w:lang w:val=""/>
        </w:rPr>
      </w:pPr>
      <w:r w:rsidRPr="00DE0834">
        <w:rPr>
          <w:b/>
          <w:bCs/>
          <w:lang w:val=""/>
        </w:rPr>
        <w:t xml:space="preserve">Prihod po prioritetnoj akciji </w:t>
      </w:r>
      <w:r w:rsidRPr="00DE0834">
        <w:rPr>
          <w:lang w:val=""/>
        </w:rPr>
        <w:t xml:space="preserve">povećan je na 2,66 evra (prethodne godine: 2,46 evra). Korigovani prihod po prioritetnoj akciji povećan je za 1,1 odsto na 2,81 evra u odnosu na 2,78 evra iz prethodne godine. Pri konstantnim deviznim kursevima, korigovani prihod po prioritetnoj akciji porastao je za 5,0 </w:t>
      </w:r>
      <w:r w:rsidR="00BF1CE7">
        <w:rPr>
          <w:lang w:val=""/>
        </w:rPr>
        <w:t>odsto</w:t>
      </w:r>
      <w:r w:rsidRPr="00DE0834">
        <w:rPr>
          <w:lang w:val=""/>
        </w:rPr>
        <w:t>.</w:t>
      </w:r>
    </w:p>
    <w:p w14:paraId="58B3BE49" w14:textId="77777777" w:rsidR="00DE0834" w:rsidRPr="00DE0834" w:rsidRDefault="00DE0834" w:rsidP="00DE0834">
      <w:pPr>
        <w:rPr>
          <w:rFonts w:cs="Segoe UI"/>
          <w:bCs/>
          <w:szCs w:val="22"/>
          <w:lang w:val=""/>
        </w:rPr>
      </w:pPr>
    </w:p>
    <w:p w14:paraId="0297E545" w14:textId="77777777" w:rsidR="00DE0834" w:rsidRPr="00DE0834" w:rsidRDefault="00DE0834" w:rsidP="00DE0834">
      <w:pPr>
        <w:rPr>
          <w:rFonts w:cs="Segoe UI"/>
          <w:szCs w:val="22"/>
          <w:lang w:val=""/>
        </w:rPr>
      </w:pPr>
      <w:r w:rsidRPr="00DE0834">
        <w:rPr>
          <w:b/>
          <w:bCs/>
          <w:lang w:val=""/>
        </w:rPr>
        <w:t xml:space="preserve">Neto obrtna sredstva </w:t>
      </w:r>
      <w:r w:rsidRPr="00DE0834">
        <w:rPr>
          <w:lang w:val=""/>
        </w:rPr>
        <w:t>kao procenat prodaje u drugom tromesečju povećana su za 0,8 procentualnih poena u odnosu na period iz prethodne godine, sa 5,2 odsto na 6,0 odsto.</w:t>
      </w:r>
    </w:p>
    <w:p w14:paraId="18432704" w14:textId="77777777" w:rsidR="00DE0834" w:rsidRPr="00DE0834" w:rsidRDefault="00DE0834" w:rsidP="00DE0834">
      <w:pPr>
        <w:rPr>
          <w:rFonts w:cs="Segoe UI"/>
          <w:szCs w:val="22"/>
          <w:highlight w:val="yellow"/>
          <w:lang w:val=""/>
        </w:rPr>
      </w:pPr>
    </w:p>
    <w:p w14:paraId="633C789B" w14:textId="77777777" w:rsidR="00DE0834" w:rsidRPr="00DE0834" w:rsidRDefault="00DE0834" w:rsidP="00DE0834">
      <w:pPr>
        <w:autoSpaceDE w:val="0"/>
        <w:autoSpaceDN w:val="0"/>
        <w:adjustRightInd w:val="0"/>
        <w:rPr>
          <w:lang w:val=""/>
        </w:rPr>
      </w:pPr>
      <w:r w:rsidRPr="00DE0834">
        <w:rPr>
          <w:b/>
          <w:bCs/>
          <w:lang w:val=""/>
        </w:rPr>
        <w:t xml:space="preserve">Slobodni novčani tokovi </w:t>
      </w:r>
      <w:r w:rsidRPr="00DE0834">
        <w:rPr>
          <w:lang w:val=""/>
        </w:rPr>
        <w:t>u iznosu od 485 miliona evra bili su niži u poređenju s prvom polovinom 2024. godine (772 miliona evra), usled, između ostalog, većeg neto obrtnog kapitala i većih isplata za ulaganja u nekretnine, postrojenja, opremu i nematerijalnu imovinu.</w:t>
      </w:r>
    </w:p>
    <w:p w14:paraId="21EBACF9" w14:textId="77777777" w:rsidR="00DE0834" w:rsidRPr="00DE0834" w:rsidRDefault="00DE0834" w:rsidP="00DE0834">
      <w:pPr>
        <w:autoSpaceDE w:val="0"/>
        <w:autoSpaceDN w:val="0"/>
        <w:adjustRightInd w:val="0"/>
        <w:rPr>
          <w:rFonts w:cs="Segoe UI"/>
          <w:szCs w:val="22"/>
          <w:highlight w:val="yellow"/>
          <w:lang w:val=""/>
        </w:rPr>
      </w:pPr>
    </w:p>
    <w:p w14:paraId="69579E0D" w14:textId="77777777" w:rsidR="00DE0834" w:rsidRPr="00DE0834" w:rsidRDefault="00DE0834" w:rsidP="00DE0834">
      <w:pPr>
        <w:rPr>
          <w:lang w:val=""/>
        </w:rPr>
      </w:pPr>
      <w:r w:rsidRPr="00DE0834">
        <w:rPr>
          <w:lang w:val=""/>
        </w:rPr>
        <w:t xml:space="preserve">Na dan 30. jun 2025, </w:t>
      </w:r>
      <w:r w:rsidRPr="00DE0834">
        <w:rPr>
          <w:b/>
          <w:bCs/>
          <w:lang w:val=""/>
        </w:rPr>
        <w:t xml:space="preserve">neto finansijska pozicija </w:t>
      </w:r>
      <w:r w:rsidRPr="00DE0834">
        <w:rPr>
          <w:lang w:val=""/>
        </w:rPr>
        <w:t>iznosila je -494 miliona evra (31. decembra 2024:  -93 miliona evra).</w:t>
      </w:r>
    </w:p>
    <w:p w14:paraId="61575181" w14:textId="77777777" w:rsidR="00DE0834" w:rsidRPr="00DE0834" w:rsidRDefault="00DE0834" w:rsidP="00DE0834">
      <w:pPr>
        <w:spacing w:after="120"/>
        <w:rPr>
          <w:rFonts w:cs="Segoe UI"/>
          <w:b/>
          <w:bCs/>
          <w:szCs w:val="22"/>
          <w:lang w:val="" w:eastAsia="de-DE"/>
        </w:rPr>
      </w:pPr>
    </w:p>
    <w:p w14:paraId="6DDEBA92" w14:textId="77777777" w:rsidR="00DE0834" w:rsidRPr="00DE0834" w:rsidRDefault="00DE0834" w:rsidP="00DE0834">
      <w:pPr>
        <w:spacing w:after="120"/>
        <w:rPr>
          <w:rFonts w:cs="Segoe UI"/>
          <w:b/>
          <w:bCs/>
          <w:szCs w:val="22"/>
          <w:highlight w:val="yellow"/>
          <w:lang w:val=""/>
        </w:rPr>
      </w:pPr>
      <w:r w:rsidRPr="00DE0834">
        <w:rPr>
          <w:b/>
          <w:lang w:val=""/>
        </w:rPr>
        <w:t>Razvoj poslovnih sektora u prvoj polovini 2025.</w:t>
      </w:r>
    </w:p>
    <w:p w14:paraId="14A864C8" w14:textId="77777777" w:rsidR="00DE0834" w:rsidRPr="00DE0834" w:rsidRDefault="00DE0834" w:rsidP="00DE0834">
      <w:pPr>
        <w:rPr>
          <w:rFonts w:cs="Segoe UI"/>
          <w:bCs/>
          <w:szCs w:val="22"/>
          <w:lang w:val=""/>
        </w:rPr>
      </w:pPr>
      <w:bookmarkStart w:id="4" w:name="SNAMD_dc825768bfb2420dbdc0e075b6c733f3"/>
      <w:bookmarkStart w:id="5" w:name="SNERR_085cbfa1dc5245baabab2f6ce609ab4b"/>
      <w:r w:rsidRPr="00DE0834">
        <w:rPr>
          <w:b/>
          <w:bCs/>
          <w:lang w:val=""/>
        </w:rPr>
        <w:t xml:space="preserve">Prodaja </w:t>
      </w:r>
      <w:r w:rsidRPr="00DE0834">
        <w:rPr>
          <w:lang w:val=""/>
        </w:rPr>
        <w:t xml:space="preserve">u poslovnom sektoru Adhezivi Tehnologije povećana je </w:t>
      </w:r>
      <w:r w:rsidRPr="00DE0834">
        <w:rPr>
          <w:b/>
          <w:bCs/>
          <w:lang w:val=""/>
        </w:rPr>
        <w:t xml:space="preserve">organski </w:t>
      </w:r>
      <w:r w:rsidRPr="00DE0834">
        <w:rPr>
          <w:lang w:val=""/>
        </w:rPr>
        <w:t>za 1,2 odsto u prvom polugodištu 2025 (drugo tromesečje: 1,3 odsto). Ovaj porast bio je podstaknut uravnoteženim pozitivnim kretanjem cena i količina. U nominalnim iznosima, prodaja je dostigla 5.416 miliona evra, što je malo ispod nivoa iz istog perioda prethodne godine, sa -1,1 odsto (drugo tromesečje:</w:t>
      </w:r>
      <w:r w:rsidRPr="00DE0834">
        <w:rPr>
          <w:color w:val="000000"/>
          <w:lang w:val=""/>
        </w:rPr>
        <w:t xml:space="preserve"> 2.701 </w:t>
      </w:r>
      <w:r w:rsidRPr="00DE0834">
        <w:rPr>
          <w:lang w:val=""/>
        </w:rPr>
        <w:t>miliona evra</w:t>
      </w:r>
      <w:r w:rsidRPr="00DE0834">
        <w:rPr>
          <w:color w:val="000000"/>
          <w:lang w:val=""/>
        </w:rPr>
        <w:t>).</w:t>
      </w:r>
      <w:r w:rsidRPr="00DE0834">
        <w:rPr>
          <w:color w:val="000000"/>
          <w:lang w:val=""/>
        </w:rPr>
        <w:fldChar w:fldCharType="begin"/>
      </w:r>
      <w:r w:rsidRPr="00DE0834">
        <w:rPr>
          <w:color w:val="000000"/>
          <w:lang w:val=""/>
        </w:rPr>
        <w:instrText xml:space="preserve"> DOCVARIABLE WORDVALUE-7c2eb70d-9d14-4f70-93d9-1f388a1f5be7 \* CHARFORMAT </w:instrText>
      </w:r>
      <w:r w:rsidRPr="00DE0834">
        <w:rPr>
          <w:color w:val="000000"/>
          <w:lang w:val=""/>
        </w:rPr>
        <w:fldChar w:fldCharType="end"/>
      </w:r>
      <w:bookmarkEnd w:id="4"/>
      <w:bookmarkEnd w:id="5"/>
      <w:r w:rsidRPr="00DE0834">
        <w:rPr>
          <w:color w:val="000000"/>
          <w:lang w:val=""/>
        </w:rPr>
        <w:fldChar w:fldCharType="begin"/>
      </w:r>
      <w:r w:rsidRPr="00DE0834">
        <w:rPr>
          <w:color w:val="000000"/>
          <w:lang w:val=""/>
        </w:rPr>
        <w:instrText xml:space="preserve"> DOCVARIABLE WORDVALUE-b5592f6a-a403-4cc8-a105-1f388a58258f \* CHARFORMAT </w:instrText>
      </w:r>
      <w:r w:rsidRPr="00DE0834">
        <w:rPr>
          <w:color w:val="000000"/>
          <w:lang w:val=""/>
        </w:rPr>
        <w:fldChar w:fldCharType="end"/>
      </w:r>
    </w:p>
    <w:p w14:paraId="1B2F1C4F" w14:textId="77777777" w:rsidR="00DE0834" w:rsidRPr="00DE0834" w:rsidRDefault="00DE0834" w:rsidP="00DE0834">
      <w:pPr>
        <w:rPr>
          <w:rFonts w:cs="Segoe UI"/>
          <w:szCs w:val="18"/>
          <w:lang w:val=""/>
        </w:rPr>
      </w:pPr>
    </w:p>
    <w:p w14:paraId="795DB965" w14:textId="77777777" w:rsidR="00DE0834" w:rsidRPr="00DE0834" w:rsidRDefault="00DE0834" w:rsidP="00DE0834">
      <w:pPr>
        <w:rPr>
          <w:rFonts w:cs="Segoe UI"/>
          <w:szCs w:val="18"/>
          <w:lang w:val=""/>
        </w:rPr>
      </w:pPr>
      <w:r w:rsidRPr="00DE0834">
        <w:rPr>
          <w:lang w:val=""/>
        </w:rPr>
        <w:t xml:space="preserve">Pozitivan organski rast prodaje u poslovnom sektoru Adhezivi Tehnologije u prvom polugodištu pretežno je bio rezultat poslovnog segmenta </w:t>
      </w:r>
      <w:r w:rsidRPr="00DE0834">
        <w:rPr>
          <w:b/>
          <w:bCs/>
          <w:lang w:val=""/>
        </w:rPr>
        <w:t>Mobilnosti i elektronike</w:t>
      </w:r>
      <w:r w:rsidRPr="00DE0834">
        <w:rPr>
          <w:lang w:val=""/>
        </w:rPr>
        <w:t xml:space="preserve"> koji je ostvario snažan organski rast prodaje od 2,8 odsto (drugo tromesečje: +2,5 odsto). Ovaj rast podstaknut je dvocifrenim organskim rastom prodaje u segmentu Elektronike i veoma snažnim organskim rastom prodaje u industrijskom segmentu. Nasuprot tome, segment automobilske industrije zabeležio je pad zbog izazovnog tržišnog okruženja. </w:t>
      </w:r>
      <w:r w:rsidRPr="00DE0834">
        <w:rPr>
          <w:b/>
          <w:bCs/>
          <w:lang w:val=""/>
        </w:rPr>
        <w:t>Poslovni segment Ambalaže i robe široke potrošnje</w:t>
      </w:r>
      <w:r w:rsidRPr="00DE0834">
        <w:rPr>
          <w:lang w:val=""/>
        </w:rPr>
        <w:t xml:space="preserve"> zabeležio je stabilan organski rast prodaje (drugo tromesečje: +0,4 odsto). Dok je segment Ambalaže zabeležio blag pad organske prodaje, to je nadoknađeno pozitivnim rastom organske prodaje u segmentu Robe široke potrošnje. Poslovni segment </w:t>
      </w:r>
      <w:r w:rsidRPr="00DE0834">
        <w:rPr>
          <w:b/>
          <w:bCs/>
          <w:lang w:val=""/>
        </w:rPr>
        <w:t>Zanatlija, građevinarstva i profesionalaca</w:t>
      </w:r>
      <w:r w:rsidRPr="00DE0834">
        <w:rPr>
          <w:lang w:val=""/>
        </w:rPr>
        <w:t xml:space="preserve"> ostvario je organski rast prodaje od 0,6 odsto (drugo tromesečje: +0,8 odsto). Ovaj rast pretežno je bio rezultat dobrog organskog povećanja </w:t>
      </w:r>
      <w:r w:rsidRPr="00DE0834">
        <w:rPr>
          <w:lang w:val=""/>
        </w:rPr>
        <w:lastRenderedPageBreak/>
        <w:t xml:space="preserve">prodaje u segmentu Građevinarstva. Segmenti Potrošača i majstora, kao i Opšte proizvodnje i održavanja, zabeležili su stabilan razvoj u odnosu na isti period prethodne godine. </w:t>
      </w:r>
    </w:p>
    <w:p w14:paraId="1B9E4876" w14:textId="77777777" w:rsidR="00DE0834" w:rsidRPr="00DE0834" w:rsidRDefault="00DE0834" w:rsidP="00DE0834">
      <w:pPr>
        <w:rPr>
          <w:rFonts w:cs="Segoe UI"/>
          <w:bCs/>
          <w:szCs w:val="22"/>
          <w:lang w:val=""/>
        </w:rPr>
      </w:pPr>
    </w:p>
    <w:p w14:paraId="224E9895" w14:textId="77777777" w:rsidR="00DE0834" w:rsidRPr="00DE0834" w:rsidRDefault="00DE0834" w:rsidP="00DE0834">
      <w:pPr>
        <w:rPr>
          <w:rFonts w:cs="Segoe UI"/>
          <w:bCs/>
          <w:szCs w:val="22"/>
          <w:lang w:val=""/>
        </w:rPr>
      </w:pPr>
      <w:r w:rsidRPr="00DE0834">
        <w:rPr>
          <w:b/>
          <w:bCs/>
          <w:lang w:val=""/>
        </w:rPr>
        <w:t>Korigovana operativna dobit</w:t>
      </w:r>
      <w:r w:rsidRPr="00DE0834">
        <w:rPr>
          <w:lang w:val=""/>
        </w:rPr>
        <w:t xml:space="preserve"> bila je malo ispod nivoa iz prethodne godine i iznosila je 931 milion evra. Međutim, </w:t>
      </w:r>
      <w:r w:rsidRPr="00DE0834">
        <w:rPr>
          <w:b/>
          <w:bCs/>
          <w:lang w:val=""/>
        </w:rPr>
        <w:t>korigovani prinos od prodaje</w:t>
      </w:r>
      <w:r w:rsidRPr="00DE0834">
        <w:rPr>
          <w:lang w:val=""/>
        </w:rPr>
        <w:t xml:space="preserve"> (korigovana EBIT marža) porastao je na 17,2 odsto u poređenju sa 17,0 odsto u istom periodu prethodne godine. To je pretežno posledica povoljnog poslovnog portfolija.</w:t>
      </w:r>
    </w:p>
    <w:p w14:paraId="3C404B12" w14:textId="77777777" w:rsidR="00DE0834" w:rsidRPr="00DE0834" w:rsidRDefault="00DE0834" w:rsidP="00DE0834">
      <w:pPr>
        <w:rPr>
          <w:rFonts w:cs="Segoe UI"/>
          <w:b/>
          <w:bCs/>
          <w:szCs w:val="22"/>
          <w:lang w:val=""/>
        </w:rPr>
      </w:pPr>
    </w:p>
    <w:p w14:paraId="098CBB32" w14:textId="77777777" w:rsidR="00DE0834" w:rsidRPr="00DE0834" w:rsidRDefault="00DE0834" w:rsidP="00DE0834">
      <w:pPr>
        <w:rPr>
          <w:rFonts w:cs="Segoe UI"/>
          <w:szCs w:val="22"/>
          <w:lang w:val=""/>
        </w:rPr>
      </w:pPr>
      <w:r w:rsidRPr="00DE0834">
        <w:rPr>
          <w:b/>
          <w:bCs/>
          <w:lang w:val=""/>
        </w:rPr>
        <w:t xml:space="preserve">Organski </w:t>
      </w:r>
      <w:r w:rsidRPr="00DE0834">
        <w:rPr>
          <w:lang w:val=""/>
        </w:rPr>
        <w:t xml:space="preserve">rast prodaje u poslovnom sektoru </w:t>
      </w:r>
      <w:r w:rsidRPr="00DE0834">
        <w:rPr>
          <w:b/>
          <w:bCs/>
          <w:lang w:val=""/>
        </w:rPr>
        <w:t>Consumer Brands</w:t>
      </w:r>
      <w:r w:rsidRPr="00DE0834">
        <w:rPr>
          <w:lang w:val=""/>
        </w:rPr>
        <w:t xml:space="preserve"> iznosio je -1,6 odsto u poređenju s istim periodom prethodne godine (drugo tromesečje: +0,4 odsto). Posmatrano nominalno, </w:t>
      </w:r>
      <w:r w:rsidRPr="00DE0834">
        <w:rPr>
          <w:b/>
          <w:bCs/>
          <w:lang w:val=""/>
        </w:rPr>
        <w:t xml:space="preserve">prodaja </w:t>
      </w:r>
      <w:r w:rsidRPr="00DE0834">
        <w:rPr>
          <w:lang w:val=""/>
        </w:rPr>
        <w:t xml:space="preserve">je dostigla 4.907 miliona evra (drugo tromesečje: </w:t>
      </w:r>
      <w:r w:rsidRPr="00DE0834">
        <w:rPr>
          <w:color w:val="000000"/>
          <w:lang w:val=""/>
        </w:rPr>
        <w:t>2.422 miliona evra</w:t>
      </w:r>
      <w:r w:rsidRPr="00DE0834">
        <w:rPr>
          <w:lang w:val=""/>
        </w:rPr>
        <w:t>), što predstavlja pad od -6,8 odsto u odnosu na isti period prethodne godine. Poslovni sektor zabeležio je povoljno kretanje cena u poređenju s prvom polovinom 2024. godine. Nasuprot tome, količina je opala, pretežno zbog izazovnog potrošačkog okruženja na ključnim tržištima poput Severne Amerike i Evrope.</w:t>
      </w:r>
    </w:p>
    <w:p w14:paraId="76F635D7" w14:textId="77777777" w:rsidR="00DE0834" w:rsidRPr="00DE0834" w:rsidRDefault="00DE0834" w:rsidP="00DE0834">
      <w:pPr>
        <w:rPr>
          <w:rFonts w:cs="Segoe UI"/>
          <w:szCs w:val="22"/>
          <w:lang w:val=""/>
        </w:rPr>
      </w:pPr>
    </w:p>
    <w:p w14:paraId="5E7C80A6" w14:textId="77777777" w:rsidR="00DE0834" w:rsidRPr="00DE0834" w:rsidRDefault="00DE0834" w:rsidP="00DE0834">
      <w:pPr>
        <w:rPr>
          <w:rFonts w:cs="Segoe UI"/>
          <w:szCs w:val="22"/>
          <w:lang w:val=""/>
        </w:rPr>
      </w:pPr>
      <w:r w:rsidRPr="00DE0834">
        <w:rPr>
          <w:lang w:val=""/>
        </w:rPr>
        <w:t xml:space="preserve">U prvom kvartalu, sektor </w:t>
      </w:r>
      <w:r w:rsidRPr="00DE0834">
        <w:rPr>
          <w:b/>
          <w:bCs/>
          <w:lang w:val=""/>
        </w:rPr>
        <w:t>Deterdženti i kućna hemija</w:t>
      </w:r>
      <w:r w:rsidRPr="00DE0834">
        <w:rPr>
          <w:lang w:val=""/>
        </w:rPr>
        <w:t xml:space="preserve"> zabeležilo je organski pad prodaje od  -2,6 odsto (drugo tromesečje: -0,9 odsto). Segment Kućna hemija zabeležio je pozitivan organski rast prodaje, pretežno kao rezultat veoma snažnog organskog rasta prodaje u kategoriji Tečnosti za pranje suđa. Nasuprot tome, segment Deterdženti zabeležio je organski pad prodaje. Poslovna oblast </w:t>
      </w:r>
      <w:r w:rsidRPr="00DE0834">
        <w:rPr>
          <w:b/>
          <w:bCs/>
          <w:lang w:val=""/>
        </w:rPr>
        <w:t>Nega kose</w:t>
      </w:r>
      <w:r w:rsidRPr="00DE0834">
        <w:rPr>
          <w:lang w:val=""/>
        </w:rPr>
        <w:t xml:space="preserve"> zabeležila je ukupan organski rast prodaje od 0,9 odsto u prvih šest meseci. (drugo tromesečje: +3,2 odsto). Poslovanje sa robom široke potrošnje ostvarilo je dobar organski rast prodaje, pretežno zahvaljujući veoma snažnom razvoju kategorije boja za kosu i dobrom razvoju kategorije proizvoda za stilizovanje kose. Segment Profesionalnih proizvoda zabeležio je blag pad organske prodaje zbog izazovnog potrošačkog okruženja, naročito u regionu Severne Amerike. Segment Ostali potrošački proizvodi zabeležio je pad organske prodaje od -4,2 odsto u prvoj polovini godine (drugo tromesečje: -1,7 odsto), pretežno usled negativnog kretanja u segmentu nege tela na tržištima Severne Amerike i Evrope.</w:t>
      </w:r>
    </w:p>
    <w:p w14:paraId="696050C5" w14:textId="77777777" w:rsidR="00DE0834" w:rsidRPr="00DE0834" w:rsidRDefault="00DE0834" w:rsidP="00DE0834">
      <w:pPr>
        <w:rPr>
          <w:rFonts w:cs="Segoe UI"/>
          <w:szCs w:val="22"/>
          <w:lang w:val=""/>
        </w:rPr>
      </w:pPr>
    </w:p>
    <w:p w14:paraId="2F07880F" w14:textId="77777777" w:rsidR="00DE0834" w:rsidRDefault="00DE0834" w:rsidP="00DE0834">
      <w:pPr>
        <w:rPr>
          <w:b/>
          <w:lang w:val=""/>
        </w:rPr>
      </w:pPr>
      <w:r w:rsidRPr="00DE0834">
        <w:rPr>
          <w:b/>
          <w:bCs/>
          <w:lang w:val=""/>
        </w:rPr>
        <w:t>Korigovani operativni profit</w:t>
      </w:r>
      <w:r w:rsidRPr="00DE0834">
        <w:rPr>
          <w:lang w:val=""/>
        </w:rPr>
        <w:t xml:space="preserve"> iznosio je 748 miliona evra, što je neznatno ispod nivoa iz istog perioda prethodne godine. </w:t>
      </w:r>
      <w:r w:rsidRPr="00DE0834">
        <w:rPr>
          <w:b/>
          <w:bCs/>
          <w:lang w:val=""/>
        </w:rPr>
        <w:t>Korigovani prinos od prodaje</w:t>
      </w:r>
      <w:r w:rsidRPr="00DE0834">
        <w:rPr>
          <w:lang w:val=""/>
        </w:rPr>
        <w:t xml:space="preserve"> (korigovana EBIT marža) značajno je porastao na 15,3 odsto u poređenju sa 14,3 odsto u istom periodu prethodne godine. To je pretežno rezultat kontinuirane valorizacije portfolija i ušteda ostvarenih optimizacijom lanca snabdevanja.</w:t>
      </w:r>
      <w:r w:rsidRPr="00DE0834">
        <w:rPr>
          <w:b/>
          <w:lang w:val=""/>
        </w:rPr>
        <w:t xml:space="preserve"> </w:t>
      </w:r>
    </w:p>
    <w:p w14:paraId="19D185A8" w14:textId="77777777" w:rsidR="00DD07FA" w:rsidRDefault="00DD07FA" w:rsidP="00DE0834">
      <w:pPr>
        <w:rPr>
          <w:b/>
          <w:lang w:val=""/>
        </w:rPr>
      </w:pPr>
    </w:p>
    <w:p w14:paraId="49CBF7C2" w14:textId="77777777" w:rsidR="00DD07FA" w:rsidRPr="00DE0834" w:rsidRDefault="00DD07FA" w:rsidP="00DE0834">
      <w:pPr>
        <w:rPr>
          <w:b/>
          <w:lang w:val=""/>
        </w:rPr>
      </w:pPr>
    </w:p>
    <w:p w14:paraId="4EFB6FE7" w14:textId="77777777" w:rsidR="00DE0834" w:rsidRPr="00DE0834" w:rsidRDefault="00DE0834" w:rsidP="00DE0834">
      <w:pPr>
        <w:rPr>
          <w:rFonts w:cs="Segoe UI"/>
          <w:szCs w:val="22"/>
          <w:lang w:val=""/>
        </w:rPr>
      </w:pPr>
    </w:p>
    <w:p w14:paraId="1F00E390" w14:textId="77777777" w:rsidR="00DE0834" w:rsidRPr="00DE0834" w:rsidRDefault="00DE0834" w:rsidP="00DE0834">
      <w:pPr>
        <w:spacing w:after="120"/>
        <w:rPr>
          <w:rFonts w:cs="Segoe UI"/>
          <w:szCs w:val="22"/>
          <w:lang w:val=""/>
        </w:rPr>
      </w:pPr>
      <w:r w:rsidRPr="00DE0834">
        <w:rPr>
          <w:b/>
          <w:lang w:val=""/>
        </w:rPr>
        <w:lastRenderedPageBreak/>
        <w:t>Dalji napredak u sprovođenju Agende svrsishodnog rasta</w:t>
      </w:r>
    </w:p>
    <w:p w14:paraId="0026BB59" w14:textId="77777777" w:rsidR="00DE0834" w:rsidRPr="00DE0834" w:rsidRDefault="00DE0834" w:rsidP="00DE0834">
      <w:pPr>
        <w:autoSpaceDE w:val="0"/>
        <w:autoSpaceDN w:val="0"/>
        <w:adjustRightInd w:val="0"/>
        <w:rPr>
          <w:rFonts w:cs="Segoe UI"/>
          <w:szCs w:val="22"/>
          <w:lang w:val=""/>
        </w:rPr>
      </w:pPr>
      <w:r w:rsidRPr="00DE0834">
        <w:rPr>
          <w:lang w:val=""/>
        </w:rPr>
        <w:t>U prvom polugodištu 2025. godine, Henkel je nastavio da ispunjava strateške prioritete svoje agende svrsishodnog rasta i postiže dobar napredak u svim oblastima.</w:t>
      </w:r>
    </w:p>
    <w:p w14:paraId="68EDE300" w14:textId="77777777" w:rsidR="00DE0834" w:rsidRPr="00DE0834" w:rsidRDefault="00DE0834" w:rsidP="00DE0834">
      <w:pPr>
        <w:autoSpaceDE w:val="0"/>
        <w:autoSpaceDN w:val="0"/>
        <w:adjustRightInd w:val="0"/>
        <w:rPr>
          <w:rFonts w:cs="Segoe UI"/>
          <w:szCs w:val="22"/>
          <w:lang w:val=""/>
        </w:rPr>
      </w:pPr>
    </w:p>
    <w:p w14:paraId="092A7483" w14:textId="77777777" w:rsidR="00DE0834" w:rsidRPr="00DE0834" w:rsidRDefault="00DE0834" w:rsidP="00DE0834">
      <w:pPr>
        <w:autoSpaceDE w:val="0"/>
        <w:autoSpaceDN w:val="0"/>
        <w:adjustRightInd w:val="0"/>
        <w:rPr>
          <w:rFonts w:cs="Segoe UI"/>
          <w:szCs w:val="22"/>
          <w:lang w:val=""/>
        </w:rPr>
      </w:pPr>
      <w:r w:rsidRPr="00DE0834">
        <w:rPr>
          <w:lang w:val=""/>
        </w:rPr>
        <w:t xml:space="preserve">U poslovnom sektoru </w:t>
      </w:r>
      <w:r w:rsidRPr="00DE0834">
        <w:rPr>
          <w:b/>
          <w:bCs/>
          <w:lang w:val=""/>
        </w:rPr>
        <w:t>Adhezivi Tehnologije</w:t>
      </w:r>
      <w:r w:rsidRPr="00DE0834">
        <w:rPr>
          <w:lang w:val=""/>
        </w:rPr>
        <w:t xml:space="preserve">, Henkel jasno usmerava fokus na globalne megatrendove kao što su mobilnost, povezanost, digitalizacija, urbanizacija i održivost, što doprinosi jačanju njegove konkurentnosti i otpornosti u izazovnom tržišnom okruženju. U oblasti održivosti, na primer, Henkel podržava svoje klijente iz različitih industrija u postizanju njihovih ciljeva održivosti kroz efikasna i ekološki prihvatljiva rešenja. U poslovnom sektoru </w:t>
      </w:r>
      <w:r w:rsidRPr="00DE0834">
        <w:rPr>
          <w:b/>
          <w:lang w:val=""/>
        </w:rPr>
        <w:t>Consumer brands</w:t>
      </w:r>
      <w:r w:rsidRPr="00DE0834">
        <w:rPr>
          <w:lang w:val=""/>
        </w:rPr>
        <w:t>, Henkel je dodatno fokusirao svoj portfolio. Deset vodećih brendova sada čini oko 60 odsto ukupne prodaje. U drugom kvartalu, tih deset vodećih brendova zabeležilo je organski rast prodaje veći od 3 odsto, zahvaljujući uravnoteženom pozitivnom kretanju cena i obima.</w:t>
      </w:r>
    </w:p>
    <w:p w14:paraId="3CC46A9B" w14:textId="77777777" w:rsidR="00DE0834" w:rsidRPr="00DE0834" w:rsidRDefault="00DE0834" w:rsidP="00DE0834">
      <w:pPr>
        <w:autoSpaceDE w:val="0"/>
        <w:autoSpaceDN w:val="0"/>
        <w:adjustRightInd w:val="0"/>
        <w:rPr>
          <w:rFonts w:cs="Segoe UI"/>
          <w:szCs w:val="22"/>
          <w:highlight w:val="yellow"/>
          <w:lang w:val="" w:eastAsia="de-DE"/>
        </w:rPr>
      </w:pPr>
    </w:p>
    <w:p w14:paraId="563A8BCE" w14:textId="77777777" w:rsidR="00DE0834" w:rsidRPr="00DE0834" w:rsidRDefault="00DE0834" w:rsidP="00DE0834">
      <w:pPr>
        <w:autoSpaceDE w:val="0"/>
        <w:autoSpaceDN w:val="0"/>
        <w:adjustRightInd w:val="0"/>
        <w:rPr>
          <w:rFonts w:cs="Segoe UI"/>
          <w:bCs/>
          <w:szCs w:val="22"/>
          <w:lang w:val=""/>
        </w:rPr>
      </w:pPr>
      <w:r w:rsidRPr="00DE0834">
        <w:rPr>
          <w:lang w:val=""/>
        </w:rPr>
        <w:t>Kako bi dodatno ojačao svoju</w:t>
      </w:r>
      <w:r w:rsidRPr="00DE0834">
        <w:rPr>
          <w:b/>
          <w:bCs/>
          <w:lang w:val=""/>
        </w:rPr>
        <w:t xml:space="preserve"> konkurentnost</w:t>
      </w:r>
      <w:r w:rsidRPr="00DE0834">
        <w:rPr>
          <w:lang w:val=""/>
        </w:rPr>
        <w:t>, Henkel se fokusira na snažne</w:t>
      </w:r>
      <w:r w:rsidRPr="00DE0834">
        <w:rPr>
          <w:b/>
          <w:bCs/>
          <w:lang w:val=""/>
        </w:rPr>
        <w:t xml:space="preserve"> inovacije</w:t>
      </w:r>
      <w:r w:rsidRPr="00DE0834">
        <w:rPr>
          <w:lang w:val=""/>
        </w:rPr>
        <w:t xml:space="preserve"> u atraktivnim poslovnim oblastima. Ovo je doprinelo rastu u oba poslovna sektora u prvoj polovini 2025. U poslovnom sektoru </w:t>
      </w:r>
      <w:r w:rsidRPr="00DE0834">
        <w:rPr>
          <w:b/>
          <w:bCs/>
          <w:lang w:val=""/>
        </w:rPr>
        <w:t>Adhezivi Tehnologije</w:t>
      </w:r>
      <w:r w:rsidRPr="00DE0834">
        <w:rPr>
          <w:lang w:val=""/>
        </w:rPr>
        <w:t xml:space="preserve">, Henkel ostvaruje visok jednocifren rast u segmentu metalne ambalaže zahvaljujući jasnom fokusu na održive i ka korisnicima usmerene inovacije, čime nadmašuje tržište. Jedan od primera iz ovog segmenta je prvo sredstvo za čišćenje limenki na tržištu koje funkcioniše na niskim temperaturama i uz malo pene. Ova inovacija omogućava efikasnu i održivu proizvodnju limenki za piće zahvaljujući značajnoj uštedi energije i do 25 odsto manjoj potrošnji vode. Henkel je u poslednje tri godine utrostručio obim poslovanja u ovom segmentu. U poslovnom sektoru </w:t>
      </w:r>
      <w:r w:rsidRPr="00DE0834">
        <w:rPr>
          <w:b/>
          <w:bCs/>
          <w:lang w:val=""/>
        </w:rPr>
        <w:t>Consumer Brands</w:t>
      </w:r>
      <w:r w:rsidRPr="00DE0834">
        <w:rPr>
          <w:lang w:val=""/>
        </w:rPr>
        <w:t>, kontinuirano uvođenje novog brenda Creme Supreme na dodatna tržišta doprinelo je značajnom rastu kategorije boja za kosu za potrošače u drugom kvartalu. Creme Supreme je prva boja za kosu sa negujućim delovanjem koja koristi inovativnu tehnologiju povezivanja. Ona jača strukturu dlake putem mikroveza i bolje povezuje vlakna dlake. Takođe formira zaštitni sloj koji obavija kosu i sprečava njeno lomljenje.</w:t>
      </w:r>
    </w:p>
    <w:p w14:paraId="1F125353" w14:textId="77777777" w:rsidR="00DE0834" w:rsidRPr="00DE0834" w:rsidRDefault="00DE0834" w:rsidP="00DE0834">
      <w:pPr>
        <w:autoSpaceDE w:val="0"/>
        <w:autoSpaceDN w:val="0"/>
        <w:adjustRightInd w:val="0"/>
        <w:rPr>
          <w:rFonts w:cs="Segoe UI"/>
          <w:bCs/>
          <w:szCs w:val="22"/>
          <w:lang w:val=""/>
        </w:rPr>
      </w:pPr>
    </w:p>
    <w:p w14:paraId="1D1369CD" w14:textId="77777777" w:rsidR="00DE0834" w:rsidRPr="00DE0834" w:rsidRDefault="00DE0834" w:rsidP="00DE0834">
      <w:pPr>
        <w:rPr>
          <w:b/>
          <w:bCs/>
          <w:sz w:val="18"/>
          <w:lang w:val=""/>
        </w:rPr>
      </w:pPr>
      <w:r w:rsidRPr="00DE0834">
        <w:rPr>
          <w:lang w:val=""/>
        </w:rPr>
        <w:t>„Nakon sporog početka fiskalne 2025. godine, uspeli smo da postignemo značajno poboljšanje prodaje u drugom kvartalu – posebno kada je reč o našem poslovanju sa potrošačkom robom. Istovremeno, nastavili smo snažno da povećavamo profitabilnost u oba poslovna sektora,” izjavio je Karsten Knobel. „To jasno pokazuje da je transformacija Henkela već uspešna. Nastavićemo da sprovodimo ovu promenu kako bismo dugoročno bili još bolje pozicionirani i konkurentniji. Transformišemo Henkel za uspešnu budućnost i, uz jasnu strategiju, na pravom smo putu ka daljem profitabilnom rastu.”</w:t>
      </w:r>
    </w:p>
    <w:p w14:paraId="53CCF695" w14:textId="77777777" w:rsidR="00282D85" w:rsidRDefault="00282D85" w:rsidP="00282D85">
      <w:pPr>
        <w:pStyle w:val="He01Flietext"/>
      </w:pPr>
    </w:p>
    <w:p w14:paraId="34E09E46" w14:textId="77777777" w:rsidR="00DE0834" w:rsidRPr="00282D85" w:rsidRDefault="00DE0834" w:rsidP="00282D85">
      <w:pPr>
        <w:pStyle w:val="He01Flietext"/>
      </w:pPr>
    </w:p>
    <w:p w14:paraId="0129B897" w14:textId="77777777" w:rsidR="00CD6140" w:rsidRDefault="00CD6140" w:rsidP="00CD6140">
      <w:pPr>
        <w:spacing w:line="240" w:lineRule="auto"/>
        <w:jc w:val="left"/>
        <w:rPr>
          <w:b/>
          <w:bCs/>
          <w:sz w:val="18"/>
          <w:szCs w:val="18"/>
        </w:rPr>
      </w:pPr>
      <w:r>
        <w:rPr>
          <w:rStyle w:val="AboutandContactHeadline"/>
        </w:rPr>
        <w:t>O kompaniji Henkel</w:t>
      </w:r>
    </w:p>
    <w:p w14:paraId="389B22D1" w14:textId="77777777" w:rsidR="00CD6140" w:rsidRDefault="00CD6140" w:rsidP="00CD6140">
      <w:pPr>
        <w:rPr>
          <w:sz w:val="18"/>
        </w:rPr>
      </w:pPr>
      <w:r>
        <w:rPr>
          <w:sz w:val="18"/>
        </w:rPr>
        <w:t xml:space="preserve">Henkel, sa svojim brendovima, inovacijama i tehnologijama, zauzima vodeće pozicije na tržištu širom sveta u industrijskom i potrošačkom sektoru. Poslovni sektor Adhezivi Tehnologije je globalni lider na tržištu lepkova, zaptivača i funkcionalnih premaza. Sa sektorom Consumer Brands, kompanija drži vodeće pozicije posebno u sektorima pranja veša i održavanja domaćinstva i nege kose na mnogim tržištima i kategorijama širom sveta. Tri najjača brenda kompanije su Loctite, Persil i Schwarzkopf. U fiskalnoj 2024. godini, Henkel je ostvario prodaju od preko 21,6 milijarde evra i prilagođeni operativni profit od oko 3,1 milijarde evra. Prioritetne akcije Henkela su uvrštene u nemački indeks DAX. Održivost ima dugu tradiciju u Henkel-u, a kompanija ima jasnu strategiju održivosti sa specifičnim ciljevima. Henkel je osnovan 1876. godine i danas zapošljava raznovrsni tim od više od 47.000 ljudi širom sveta - ujedinjen jakom korporativnom kulturom, deljenim vrednostima i zajedničkom svrhom: „Pioneers at heart for the good of generations“. Za više informacija, molimo vas posetite </w:t>
      </w:r>
      <w:hyperlink r:id="rId12" w:history="1">
        <w:r>
          <w:rPr>
            <w:rStyle w:val="Hyperlink"/>
          </w:rPr>
          <w:t>www.henkel.rs</w:t>
        </w:r>
      </w:hyperlink>
      <w:r>
        <w:rPr>
          <w:sz w:val="18"/>
        </w:rPr>
        <w:t xml:space="preserve"> </w:t>
      </w:r>
    </w:p>
    <w:p w14:paraId="32937AFA" w14:textId="77777777" w:rsidR="00CD6140" w:rsidRDefault="00CD6140" w:rsidP="00CD6140">
      <w:pPr>
        <w:spacing w:line="240" w:lineRule="auto"/>
        <w:jc w:val="left"/>
        <w:rPr>
          <w:rStyle w:val="AboutandContactBody"/>
          <w:sz w:val="14"/>
          <w:szCs w:val="14"/>
        </w:rPr>
      </w:pPr>
    </w:p>
    <w:p w14:paraId="5EE19FF6" w14:textId="77777777" w:rsidR="00CD6140" w:rsidRDefault="00CD6140" w:rsidP="00CD6140">
      <w:pPr>
        <w:pStyle w:val="He01Flietext"/>
        <w:rPr>
          <w:rStyle w:val="AboutandContactBody"/>
          <w:rFonts w:eastAsia="Times New Roman" w:cs="Times New Roman"/>
          <w:sz w:val="14"/>
          <w:szCs w:val="14"/>
        </w:rPr>
      </w:pPr>
      <w:r>
        <w:rPr>
          <w:rStyle w:val="AboutandContactBody"/>
          <w:sz w:val="14"/>
        </w:rPr>
        <w:t>Ovaj dokument sadrži izjave koje se odnose na buduće poslovanje, finansijske rezultate i druge događaje ili okolnosti u budućnosti koje su važne Henkelu a koje se mogu smatrati izjavama koje se odnose na budućnost. Izjave koje se odnose na budućnost se odlikuju rečima poput „očekivati“, „nameravati“, „planirati“, „predviđati“, „procenjivati“, i sličnim terminima. Ove informacije sadrže izjave koje se odnose na budućnost zasnovane na trenutnim procenama i predviđanjima rukovodstva kompanije Henkel AG &amp; Co. KGaA. Takvim izjavama se na bilo koji način ne garantuje da će se takva očekivanja ostvariti. Budući učinci i rezultati koje će Henkel AG &amp; Co. KGaA i njegova povezana društva stvarno ostvariti zavisi od više rizika i neizvesnosti, i stoga se mogu razlikovati materijalno od izjava koje se odnose na budućnost. Mnogi od ovih faktora su van Henkelove kontrole i ne mogu se precizno predvideti, poput budućeg privrednog ambijenta i radnji rivala i drugih uključenih u tržište. Henkel ne planira niti se obavezuje da ažurira bilo koju izjavu koja se odnosi na budućnost.</w:t>
      </w:r>
    </w:p>
    <w:p w14:paraId="10C283BA" w14:textId="77777777" w:rsidR="00CD6140" w:rsidRDefault="00CD6140" w:rsidP="00CD6140">
      <w:pPr>
        <w:pStyle w:val="He01Flietext"/>
        <w:rPr>
          <w:rStyle w:val="AboutandContactBody"/>
          <w:rFonts w:eastAsia="Times New Roman" w:cs="Times New Roman"/>
          <w:sz w:val="14"/>
          <w:szCs w:val="14"/>
        </w:rPr>
      </w:pPr>
      <w:r>
        <w:rPr>
          <w:rStyle w:val="AboutandContactBody"/>
          <w:sz w:val="14"/>
        </w:rPr>
        <w:t>Ovaj dokument uključuje dodatne finansijske mere koje nisu jasno definisane u primenjivom okviru finansijskog izveštavanja, i koje su ili mogu biti alternative merama rezultata. Ove dodatne finansijske mere ne bi trebalo posmatrati izolovane ili kao alternative merama Henkelove neto imovine i finansijskih pozicija ili rezultata poslovanja kao što su prikazani u skladu sa primenjivim okvirom finansijskog izveštavanja u svojim konsolidovanim finansijskim izveštajima. Druge kompanije koje izveštavaju ili opisuju slično naslovljene alternativne mere učinaka bi mogle da ih računaju drugačije.</w:t>
      </w:r>
    </w:p>
    <w:p w14:paraId="11442481" w14:textId="77777777" w:rsidR="00CD6140" w:rsidRDefault="00CD6140" w:rsidP="00CD6140">
      <w:pPr>
        <w:pStyle w:val="He01Flietext"/>
        <w:rPr>
          <w:rStyle w:val="AboutandContactBody"/>
          <w:rFonts w:eastAsia="Times New Roman" w:cs="Times New Roman"/>
          <w:sz w:val="14"/>
          <w:szCs w:val="14"/>
        </w:rPr>
      </w:pPr>
      <w:r>
        <w:rPr>
          <w:rStyle w:val="AboutandContactBody"/>
          <w:sz w:val="14"/>
        </w:rPr>
        <w:t>Ovaj dokument je izdat isključivo u informativne svrhe i ne predstavlja nameru da čini investicioni savet ili ponudu za prodaju, niti poziv za ponudu za kupovinu bilo kojih hartija od vrednosti.</w:t>
      </w:r>
    </w:p>
    <w:p w14:paraId="7E392999" w14:textId="77777777" w:rsidR="00CD6140" w:rsidRDefault="00CD6140" w:rsidP="00CD6140">
      <w:pPr>
        <w:tabs>
          <w:tab w:val="left" w:pos="1080"/>
          <w:tab w:val="left" w:pos="4500"/>
        </w:tabs>
        <w:rPr>
          <w:rStyle w:val="AboutandContactBody"/>
        </w:rPr>
      </w:pPr>
      <w:r>
        <w:rPr>
          <w:rStyle w:val="AboutandContactBody"/>
        </w:rPr>
        <w:t>Kontakt</w:t>
      </w:r>
      <w:r>
        <w:rPr>
          <w:rStyle w:val="AboutandContactBody"/>
        </w:rPr>
        <w:tab/>
        <w:t>Jelena Gavrilović Šarenac</w:t>
      </w:r>
      <w:r>
        <w:rPr>
          <w:rStyle w:val="AboutandContactBody"/>
        </w:rPr>
        <w:tab/>
        <w:t>Tijana Antić</w:t>
      </w:r>
    </w:p>
    <w:p w14:paraId="71FDD062" w14:textId="59C088B0" w:rsidR="00CD6140" w:rsidRDefault="00282D85" w:rsidP="00CD6140">
      <w:pPr>
        <w:tabs>
          <w:tab w:val="left" w:pos="1080"/>
          <w:tab w:val="left" w:pos="4500"/>
        </w:tabs>
        <w:rPr>
          <w:rStyle w:val="AboutandContactBody"/>
        </w:rPr>
      </w:pPr>
      <w:r>
        <w:rPr>
          <w:rStyle w:val="AboutandContactBody"/>
        </w:rPr>
        <w:t>Telefon</w:t>
      </w:r>
      <w:r w:rsidR="00CD6140">
        <w:rPr>
          <w:rStyle w:val="AboutandContactBody"/>
        </w:rPr>
        <w:tab/>
        <w:t>+381 60 207 22 09</w:t>
      </w:r>
      <w:r w:rsidR="00CD6140">
        <w:rPr>
          <w:rStyle w:val="AboutandContactBody"/>
        </w:rPr>
        <w:tab/>
      </w:r>
      <w:r w:rsidR="00CD6140">
        <w:rPr>
          <w:sz w:val="18"/>
        </w:rPr>
        <w:t>+381 60 207 22 08</w:t>
      </w:r>
    </w:p>
    <w:p w14:paraId="31303EE8" w14:textId="77777777" w:rsidR="00CD6140" w:rsidRDefault="00CD6140" w:rsidP="00CD6140">
      <w:pPr>
        <w:tabs>
          <w:tab w:val="left" w:pos="1080"/>
          <w:tab w:val="left" w:pos="4500"/>
        </w:tabs>
        <w:rPr>
          <w:rStyle w:val="AboutandContactBody"/>
        </w:rPr>
      </w:pPr>
      <w:r>
        <w:rPr>
          <w:rStyle w:val="AboutandContactBody"/>
        </w:rPr>
        <w:t>Email</w:t>
      </w:r>
      <w:r>
        <w:rPr>
          <w:rStyle w:val="AboutandContactBody"/>
        </w:rPr>
        <w:tab/>
        <w:t>jelena.sarenac@henkel.com</w:t>
      </w:r>
      <w:r>
        <w:rPr>
          <w:rStyle w:val="AboutandContactBody"/>
        </w:rPr>
        <w:tab/>
        <w:t>tijana.antic@henkel.com</w:t>
      </w:r>
    </w:p>
    <w:p w14:paraId="22EA1523" w14:textId="77777777" w:rsidR="00CD6140" w:rsidRDefault="00CD6140" w:rsidP="00CD6140">
      <w:pPr>
        <w:rPr>
          <w:rFonts w:eastAsia="PMingLiU"/>
          <w:b/>
          <w:bCs/>
        </w:rPr>
      </w:pPr>
    </w:p>
    <w:p w14:paraId="7AA95354" w14:textId="77777777" w:rsidR="00466C63" w:rsidRPr="00791A35" w:rsidRDefault="00466C63" w:rsidP="00E04D88">
      <w:pPr>
        <w:rPr>
          <w:szCs w:val="22"/>
        </w:rPr>
      </w:pPr>
    </w:p>
    <w:p w14:paraId="7E4FE93F" w14:textId="77777777" w:rsidR="00466C63" w:rsidRPr="00791A35" w:rsidRDefault="00466C63" w:rsidP="00E04D88">
      <w:pPr>
        <w:rPr>
          <w:szCs w:val="22"/>
        </w:rPr>
      </w:pPr>
    </w:p>
    <w:p w14:paraId="468D0709" w14:textId="77777777" w:rsidR="00466C63" w:rsidRPr="00791A35" w:rsidRDefault="00466C63" w:rsidP="00E04D88">
      <w:pPr>
        <w:rPr>
          <w:szCs w:val="22"/>
        </w:rPr>
      </w:pPr>
    </w:p>
    <w:p w14:paraId="46802C0B" w14:textId="77777777" w:rsidR="00466C63" w:rsidRPr="00791A35" w:rsidRDefault="00466C63" w:rsidP="00E04D88">
      <w:pPr>
        <w:rPr>
          <w:szCs w:val="22"/>
        </w:rPr>
      </w:pPr>
    </w:p>
    <w:p w14:paraId="64587EB3" w14:textId="77777777" w:rsidR="00466C63" w:rsidRPr="00791A35" w:rsidRDefault="00466C63" w:rsidP="00E04D88">
      <w:pPr>
        <w:rPr>
          <w:szCs w:val="22"/>
        </w:rPr>
      </w:pPr>
    </w:p>
    <w:p w14:paraId="7DBD1383" w14:textId="77777777" w:rsidR="00466C63" w:rsidRPr="00791A35" w:rsidRDefault="00466C63" w:rsidP="00E04D88">
      <w:pPr>
        <w:rPr>
          <w:szCs w:val="22"/>
        </w:rPr>
      </w:pPr>
    </w:p>
    <w:p w14:paraId="4D6EEE02" w14:textId="77777777" w:rsidR="00466C63" w:rsidRPr="00791A35" w:rsidRDefault="00466C63" w:rsidP="00E04D88">
      <w:pPr>
        <w:rPr>
          <w:szCs w:val="22"/>
        </w:rPr>
      </w:pPr>
    </w:p>
    <w:p w14:paraId="297E3444" w14:textId="77777777" w:rsidR="00466C63" w:rsidRPr="00791A35" w:rsidRDefault="00466C63" w:rsidP="00E04D88">
      <w:pPr>
        <w:rPr>
          <w:szCs w:val="22"/>
        </w:rPr>
      </w:pPr>
    </w:p>
    <w:p w14:paraId="0E4126A1" w14:textId="77777777" w:rsidR="00EA0D51" w:rsidRPr="0062206B" w:rsidRDefault="00EA0D51" w:rsidP="0062206B">
      <w:pPr>
        <w:rPr>
          <w:rStyle w:val="AboutandContactHeadline"/>
          <w:rFonts w:eastAsia="PMingLiU"/>
          <w:b w:val="0"/>
          <w:bCs w:val="0"/>
          <w:color w:val="9A141B"/>
        </w:rPr>
      </w:pPr>
    </w:p>
    <w:sectPr w:rsidR="00EA0D51" w:rsidRPr="0062206B" w:rsidSect="0017111B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E37C0" w14:textId="77777777" w:rsidR="00165C69" w:rsidRPr="00C639B4" w:rsidRDefault="00165C69">
      <w:r w:rsidRPr="00C639B4">
        <w:separator/>
      </w:r>
    </w:p>
  </w:endnote>
  <w:endnote w:type="continuationSeparator" w:id="0">
    <w:p w14:paraId="20B2F388" w14:textId="77777777" w:rsidR="00165C69" w:rsidRPr="00C639B4" w:rsidRDefault="00165C69">
      <w:r w:rsidRPr="00C639B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179BBEF9" w:rsidR="00CF6F33" w:rsidRPr="00C639B4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noProof w:val="0"/>
      </w:rPr>
    </w:pPr>
    <w:r>
      <w:tab/>
      <w:t xml:space="preserve">Strana </w:t>
    </w:r>
    <w:r w:rsidRPr="00C639B4">
      <w:fldChar w:fldCharType="begin"/>
    </w:r>
    <w:r w:rsidRPr="00C639B4">
      <w:instrText xml:space="preserve"> PAGE  \* Arabic  \* MERGEFORMAT </w:instrText>
    </w:r>
    <w:r w:rsidRPr="00C639B4">
      <w:fldChar w:fldCharType="separate"/>
    </w:r>
    <w:r w:rsidRPr="00C639B4">
      <w:t>2</w:t>
    </w:r>
    <w:r w:rsidRPr="00C639B4">
      <w:fldChar w:fldCharType="end"/>
    </w:r>
    <w:r>
      <w:t>/</w:t>
    </w:r>
    <w:fldSimple w:instr=" NUMPAGES  \* Arabic  \* MERGEFORMAT ">
      <w:r w:rsidRPr="00C639B4">
        <w:t>2</w:t>
      </w:r>
    </w:fldSimple>
  </w:p>
  <w:p w14:paraId="2F7A6502" w14:textId="77777777" w:rsidR="00F15EB8" w:rsidRDefault="00F15E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8F11" w14:textId="75AC03A5" w:rsidR="00E23EC8" w:rsidRPr="00C639B4" w:rsidRDefault="00E23EC8" w:rsidP="00E23EC8">
    <w:pPr>
      <w:pStyle w:val="Footer"/>
      <w:tabs>
        <w:tab w:val="right" w:pos="9072"/>
      </w:tabs>
      <w:jc w:val="both"/>
      <w:rPr>
        <w:rFonts w:cs="Arial"/>
        <w:noProof w:val="0"/>
        <w:szCs w:val="14"/>
      </w:rPr>
    </w:pPr>
    <w:r>
      <w:t xml:space="preserve">   </w:t>
    </w:r>
    <w: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drawing>
        <wp:inline distT="0" distB="0" distL="0" distR="0" wp14:anchorId="557DDA6A" wp14:editId="35E61AC7">
          <wp:extent cx="305371" cy="144921"/>
          <wp:effectExtent l="0" t="0" r="0" b="762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44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drawing>
        <wp:inline distT="0" distB="0" distL="0" distR="0" wp14:anchorId="69205366" wp14:editId="182C50CA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drawing>
        <wp:inline distT="0" distB="0" distL="0" distR="0" wp14:anchorId="77241BF6" wp14:editId="3F51B09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 wp14:anchorId="3BF167CE" wp14:editId="37280B79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 wp14:anchorId="164CFF4B" wp14:editId="0E381230">
          <wp:extent cx="130628" cy="296015"/>
          <wp:effectExtent l="0" t="0" r="3175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754" cy="30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drawing>
        <wp:inline distT="0" distB="0" distL="0" distR="0" wp14:anchorId="2022E47D" wp14:editId="1F959C7F">
          <wp:extent cx="291676" cy="208027"/>
          <wp:effectExtent l="0" t="0" r="0" b="1905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0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drawing>
        <wp:inline distT="0" distB="0" distL="0" distR="0" wp14:anchorId="3B479D63" wp14:editId="456DA253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drawing>
        <wp:inline distT="0" distB="0" distL="0" distR="0" wp14:anchorId="19F92F4F" wp14:editId="0798A56C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drawing>
        <wp:inline distT="0" distB="0" distL="0" distR="0" wp14:anchorId="060ECACC" wp14:editId="0086AE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drawing>
        <wp:inline distT="0" distB="0" distL="0" distR="0" wp14:anchorId="49D4EBC8" wp14:editId="08664608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 wp14:anchorId="56994ED6" wp14:editId="52724ED8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A058E" w14:textId="43603832" w:rsidR="00CF6F33" w:rsidRPr="00C639B4" w:rsidRDefault="00B422EC" w:rsidP="00992A11">
    <w:pPr>
      <w:pStyle w:val="Footer"/>
      <w:rPr>
        <w:noProof w:val="0"/>
      </w:rPr>
    </w:pPr>
    <w:r>
      <w:t xml:space="preserve">Strana </w:t>
    </w:r>
    <w:r w:rsidR="00CF6F33" w:rsidRPr="00C639B4">
      <w:fldChar w:fldCharType="begin"/>
    </w:r>
    <w:r w:rsidR="00CF6F33" w:rsidRPr="00C639B4">
      <w:instrText xml:space="preserve"> </w:instrText>
    </w:r>
    <w:r w:rsidR="00262C05" w:rsidRPr="00C639B4">
      <w:instrText>PAGE</w:instrText>
    </w:r>
    <w:r w:rsidR="00CF6F33" w:rsidRPr="00C639B4">
      <w:instrText xml:space="preserve">  \* Arabic  \* MERGEFORMAT </w:instrText>
    </w:r>
    <w:r w:rsidR="00CF6F33" w:rsidRPr="00C639B4">
      <w:fldChar w:fldCharType="separate"/>
    </w:r>
    <w:r w:rsidR="006A0A3C" w:rsidRPr="00C639B4">
      <w:t>1</w:t>
    </w:r>
    <w:r w:rsidR="00CF6F33" w:rsidRPr="00C639B4">
      <w:fldChar w:fldCharType="end"/>
    </w:r>
    <w:r>
      <w:t>/</w:t>
    </w:r>
    <w:r w:rsidR="00CF6F33" w:rsidRPr="00C639B4">
      <w:fldChar w:fldCharType="begin"/>
    </w:r>
    <w:r w:rsidR="00CF6F33" w:rsidRPr="00C639B4">
      <w:instrText xml:space="preserve"> </w:instrText>
    </w:r>
    <w:r w:rsidR="00262C05" w:rsidRPr="00C639B4">
      <w:instrText>NUMPAGES</w:instrText>
    </w:r>
    <w:r w:rsidR="00CF6F33" w:rsidRPr="00C639B4">
      <w:instrText xml:space="preserve">  \* Arabic  \* MERGEFORMAT </w:instrText>
    </w:r>
    <w:r w:rsidR="00CF6F33" w:rsidRPr="00C639B4">
      <w:fldChar w:fldCharType="separate"/>
    </w:r>
    <w:r w:rsidR="006A0A3C" w:rsidRPr="00C639B4">
      <w:t>1</w:t>
    </w:r>
    <w:r w:rsidR="00CF6F33" w:rsidRPr="00C639B4">
      <w:fldChar w:fldCharType="end"/>
    </w:r>
  </w:p>
  <w:p w14:paraId="03AB4E1E" w14:textId="77777777" w:rsidR="00F15EB8" w:rsidRDefault="00F15E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CAAED" w14:textId="77777777" w:rsidR="00165C69" w:rsidRPr="00C639B4" w:rsidRDefault="00165C69">
      <w:r w:rsidRPr="00C639B4">
        <w:separator/>
      </w:r>
    </w:p>
  </w:footnote>
  <w:footnote w:type="continuationSeparator" w:id="0">
    <w:p w14:paraId="2B12D0E3" w14:textId="77777777" w:rsidR="00165C69" w:rsidRPr="00C639B4" w:rsidRDefault="00165C69">
      <w:r w:rsidRPr="00C639B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Pr="00C639B4" w:rsidRDefault="00112A28" w:rsidP="00112A28">
    <w:pPr>
      <w:pStyle w:val="Header"/>
      <w:jc w:val="both"/>
    </w:pPr>
  </w:p>
  <w:p w14:paraId="203AFB55" w14:textId="77777777" w:rsidR="00F15EB8" w:rsidRDefault="00F15E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3959" w14:textId="5ADB5459" w:rsidR="00F15EB8" w:rsidRDefault="0059722C" w:rsidP="00B02FAA">
    <w:pPr>
      <w:pStyle w:val="Header"/>
      <w:ind w:right="-510"/>
    </w:pPr>
    <w:r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43247F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>
      <w:t xml:space="preserve">             Saopštenje za 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AC"/>
    <w:multiLevelType w:val="hybridMultilevel"/>
    <w:tmpl w:val="13B0B26E"/>
    <w:lvl w:ilvl="0" w:tplc="7F22C7A8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D4FBB"/>
    <w:multiLevelType w:val="hybridMultilevel"/>
    <w:tmpl w:val="FFFFFFFF"/>
    <w:lvl w:ilvl="0" w:tplc="00000000">
      <w:numFmt w:val="bullet"/>
      <w:lvlText w:val=""/>
      <w:lvlJc w:val="left"/>
      <w:pPr>
        <w:ind w:left="361" w:hanging="360"/>
      </w:pPr>
      <w:rPr>
        <w:rFonts w:ascii="Wingdings" w:hAnsi="Wingdings"/>
        <w:b w:val="0"/>
        <w:i w:val="0"/>
        <w:color w:val="E0000E"/>
        <w:spacing w:val="0"/>
        <w:w w:val="100"/>
        <w:sz w:val="22"/>
      </w:rPr>
    </w:lvl>
    <w:lvl w:ilvl="1" w:tplc="00000001">
      <w:numFmt w:val="bullet"/>
      <w:lvlText w:val="–"/>
      <w:lvlJc w:val="left"/>
      <w:pPr>
        <w:ind w:left="702" w:hanging="360"/>
      </w:pPr>
      <w:rPr>
        <w:rFonts w:ascii="Segoe UI" w:hAnsi="Segoe UI"/>
        <w:b w:val="0"/>
        <w:i w:val="0"/>
        <w:color w:val="E0000E"/>
        <w:spacing w:val="0"/>
        <w:w w:val="100"/>
        <w:sz w:val="22"/>
      </w:rPr>
    </w:lvl>
    <w:lvl w:ilvl="2" w:tplc="00000002">
      <w:numFmt w:val="bullet"/>
      <w:lvlText w:val="•"/>
      <w:lvlJc w:val="left"/>
      <w:pPr>
        <w:ind w:left="1724" w:hanging="360"/>
      </w:pPr>
    </w:lvl>
    <w:lvl w:ilvl="3" w:tplc="00000003">
      <w:numFmt w:val="bullet"/>
      <w:lvlText w:val="•"/>
      <w:lvlJc w:val="left"/>
      <w:pPr>
        <w:ind w:left="2749" w:hanging="360"/>
      </w:pPr>
    </w:lvl>
    <w:lvl w:ilvl="4" w:tplc="00000004">
      <w:numFmt w:val="bullet"/>
      <w:lvlText w:val="•"/>
      <w:lvlJc w:val="left"/>
      <w:pPr>
        <w:ind w:left="3774" w:hanging="360"/>
      </w:pPr>
    </w:lvl>
    <w:lvl w:ilvl="5" w:tplc="00000005">
      <w:numFmt w:val="bullet"/>
      <w:lvlText w:val="•"/>
      <w:lvlJc w:val="left"/>
      <w:pPr>
        <w:ind w:left="4799" w:hanging="360"/>
      </w:pPr>
    </w:lvl>
    <w:lvl w:ilvl="6" w:tplc="00000006">
      <w:numFmt w:val="bullet"/>
      <w:lvlText w:val="•"/>
      <w:lvlJc w:val="left"/>
      <w:pPr>
        <w:ind w:left="5824" w:hanging="360"/>
      </w:pPr>
    </w:lvl>
    <w:lvl w:ilvl="7" w:tplc="00000007">
      <w:numFmt w:val="bullet"/>
      <w:lvlText w:val="•"/>
      <w:lvlJc w:val="left"/>
      <w:pPr>
        <w:ind w:left="6848" w:hanging="360"/>
      </w:pPr>
    </w:lvl>
    <w:lvl w:ilvl="8" w:tplc="00000008">
      <w:numFmt w:val="bullet"/>
      <w:lvlText w:val="•"/>
      <w:lvlJc w:val="left"/>
      <w:pPr>
        <w:ind w:left="7873" w:hanging="360"/>
      </w:pPr>
    </w:lvl>
  </w:abstractNum>
  <w:abstractNum w:abstractNumId="4" w15:restartNumberingAfterBreak="0">
    <w:nsid w:val="16740AFE"/>
    <w:multiLevelType w:val="hybridMultilevel"/>
    <w:tmpl w:val="19402942"/>
    <w:lvl w:ilvl="0" w:tplc="3FDAE620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F323A8E"/>
    <w:multiLevelType w:val="hybridMultilevel"/>
    <w:tmpl w:val="5274880E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4B6752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  <w:color w:val="E1000F"/>
        <w:sz w:val="24"/>
      </w:rPr>
    </w:lvl>
    <w:lvl w:ilvl="1" w:tplc="00000001">
      <w:numFmt w:val="bullet"/>
      <w:lvlText w:val="-"/>
      <w:lvlJc w:val="left"/>
      <w:pPr>
        <w:ind w:left="1080" w:hanging="360"/>
      </w:pPr>
      <w:rPr>
        <w:rFonts w:ascii="Arial" w:hAnsi="Arial"/>
        <w:color w:val="FF0000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2"/>
  </w:num>
  <w:num w:numId="2" w16cid:durableId="1563175876">
    <w:abstractNumId w:val="1"/>
  </w:num>
  <w:num w:numId="3" w16cid:durableId="1141115785">
    <w:abstractNumId w:val="10"/>
  </w:num>
  <w:num w:numId="4" w16cid:durableId="1658344630">
    <w:abstractNumId w:val="8"/>
  </w:num>
  <w:num w:numId="5" w16cid:durableId="2132553883">
    <w:abstractNumId w:val="5"/>
  </w:num>
  <w:num w:numId="6" w16cid:durableId="545726518">
    <w:abstractNumId w:val="9"/>
  </w:num>
  <w:num w:numId="7" w16cid:durableId="1506360347">
    <w:abstractNumId w:val="6"/>
  </w:num>
  <w:num w:numId="8" w16cid:durableId="2005821222">
    <w:abstractNumId w:val="0"/>
  </w:num>
  <w:num w:numId="9" w16cid:durableId="1572081013">
    <w:abstractNumId w:val="4"/>
  </w:num>
  <w:num w:numId="10" w16cid:durableId="55443999">
    <w:abstractNumId w:val="7"/>
  </w:num>
  <w:num w:numId="11" w16cid:durableId="1743523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45D"/>
    <w:rsid w:val="00000839"/>
    <w:rsid w:val="00002AA4"/>
    <w:rsid w:val="00005267"/>
    <w:rsid w:val="00006346"/>
    <w:rsid w:val="00012DD9"/>
    <w:rsid w:val="00021C67"/>
    <w:rsid w:val="00024CDD"/>
    <w:rsid w:val="00030557"/>
    <w:rsid w:val="00030F51"/>
    <w:rsid w:val="00035A84"/>
    <w:rsid w:val="00037B37"/>
    <w:rsid w:val="00040CC9"/>
    <w:rsid w:val="00051E86"/>
    <w:rsid w:val="00051EF2"/>
    <w:rsid w:val="000575F9"/>
    <w:rsid w:val="00060184"/>
    <w:rsid w:val="000618FC"/>
    <w:rsid w:val="0006344D"/>
    <w:rsid w:val="00063D42"/>
    <w:rsid w:val="00065FB7"/>
    <w:rsid w:val="00067071"/>
    <w:rsid w:val="000722E8"/>
    <w:rsid w:val="000777FC"/>
    <w:rsid w:val="00080D10"/>
    <w:rsid w:val="0008357F"/>
    <w:rsid w:val="000A33AF"/>
    <w:rsid w:val="000A5F26"/>
    <w:rsid w:val="000B3814"/>
    <w:rsid w:val="000B695A"/>
    <w:rsid w:val="000C16C0"/>
    <w:rsid w:val="000C210A"/>
    <w:rsid w:val="000C4A2F"/>
    <w:rsid w:val="000C56DD"/>
    <w:rsid w:val="000C571F"/>
    <w:rsid w:val="000D1672"/>
    <w:rsid w:val="000E2F62"/>
    <w:rsid w:val="000E38ED"/>
    <w:rsid w:val="000E48C7"/>
    <w:rsid w:val="000E7F24"/>
    <w:rsid w:val="000F03BE"/>
    <w:rsid w:val="000F1757"/>
    <w:rsid w:val="000F1E39"/>
    <w:rsid w:val="000F225B"/>
    <w:rsid w:val="000F7FAF"/>
    <w:rsid w:val="00101B7B"/>
    <w:rsid w:val="00105975"/>
    <w:rsid w:val="00110CF2"/>
    <w:rsid w:val="00111F4D"/>
    <w:rsid w:val="00112A28"/>
    <w:rsid w:val="00115230"/>
    <w:rsid w:val="00115B5F"/>
    <w:rsid w:val="001162B4"/>
    <w:rsid w:val="00117022"/>
    <w:rsid w:val="001217FC"/>
    <w:rsid w:val="00122CBC"/>
    <w:rsid w:val="001252DD"/>
    <w:rsid w:val="00126D4A"/>
    <w:rsid w:val="00132DA9"/>
    <w:rsid w:val="0013305B"/>
    <w:rsid w:val="00133B99"/>
    <w:rsid w:val="001350D6"/>
    <w:rsid w:val="00144264"/>
    <w:rsid w:val="001443BD"/>
    <w:rsid w:val="00145CE6"/>
    <w:rsid w:val="00147067"/>
    <w:rsid w:val="001577E9"/>
    <w:rsid w:val="0016138C"/>
    <w:rsid w:val="00165C69"/>
    <w:rsid w:val="0017111B"/>
    <w:rsid w:val="001731CE"/>
    <w:rsid w:val="00185EFD"/>
    <w:rsid w:val="0019245D"/>
    <w:rsid w:val="00195576"/>
    <w:rsid w:val="00195DED"/>
    <w:rsid w:val="001A3B00"/>
    <w:rsid w:val="001B2435"/>
    <w:rsid w:val="001B7C20"/>
    <w:rsid w:val="001C0B32"/>
    <w:rsid w:val="001C139A"/>
    <w:rsid w:val="001C1932"/>
    <w:rsid w:val="001C25DF"/>
    <w:rsid w:val="001C4BE1"/>
    <w:rsid w:val="001D0D98"/>
    <w:rsid w:val="001D31E8"/>
    <w:rsid w:val="001D3515"/>
    <w:rsid w:val="001D7ADF"/>
    <w:rsid w:val="001E0F71"/>
    <w:rsid w:val="001E5718"/>
    <w:rsid w:val="001E6D05"/>
    <w:rsid w:val="001E6D92"/>
    <w:rsid w:val="001E7C28"/>
    <w:rsid w:val="001F1BDF"/>
    <w:rsid w:val="001F7110"/>
    <w:rsid w:val="001F7E96"/>
    <w:rsid w:val="00202284"/>
    <w:rsid w:val="002041DB"/>
    <w:rsid w:val="00210AB8"/>
    <w:rsid w:val="00212488"/>
    <w:rsid w:val="00220628"/>
    <w:rsid w:val="002304D2"/>
    <w:rsid w:val="00231424"/>
    <w:rsid w:val="00234ABD"/>
    <w:rsid w:val="00236E2A"/>
    <w:rsid w:val="0023769B"/>
    <w:rsid w:val="00237F62"/>
    <w:rsid w:val="00241D65"/>
    <w:rsid w:val="0024586A"/>
    <w:rsid w:val="00250A37"/>
    <w:rsid w:val="00256F0C"/>
    <w:rsid w:val="00262C05"/>
    <w:rsid w:val="00262C0D"/>
    <w:rsid w:val="00273803"/>
    <w:rsid w:val="00277836"/>
    <w:rsid w:val="00281D14"/>
    <w:rsid w:val="00282C13"/>
    <w:rsid w:val="00282D85"/>
    <w:rsid w:val="00286B76"/>
    <w:rsid w:val="002949F2"/>
    <w:rsid w:val="0029579F"/>
    <w:rsid w:val="002A0DF7"/>
    <w:rsid w:val="002A1260"/>
    <w:rsid w:val="002A2975"/>
    <w:rsid w:val="002A593A"/>
    <w:rsid w:val="002A5B95"/>
    <w:rsid w:val="002A60E0"/>
    <w:rsid w:val="002C1344"/>
    <w:rsid w:val="002C252E"/>
    <w:rsid w:val="002C2B03"/>
    <w:rsid w:val="002C6773"/>
    <w:rsid w:val="002D2A3D"/>
    <w:rsid w:val="002D4867"/>
    <w:rsid w:val="002D4EFF"/>
    <w:rsid w:val="002E0B17"/>
    <w:rsid w:val="002E4FFB"/>
    <w:rsid w:val="002E7DED"/>
    <w:rsid w:val="002F23B2"/>
    <w:rsid w:val="002F5C20"/>
    <w:rsid w:val="002F7E11"/>
    <w:rsid w:val="00302BC1"/>
    <w:rsid w:val="00304087"/>
    <w:rsid w:val="003075DB"/>
    <w:rsid w:val="00310ACD"/>
    <w:rsid w:val="0031379F"/>
    <w:rsid w:val="00320A26"/>
    <w:rsid w:val="00320AA7"/>
    <w:rsid w:val="00321344"/>
    <w:rsid w:val="00321C7C"/>
    <w:rsid w:val="0033383C"/>
    <w:rsid w:val="0033451C"/>
    <w:rsid w:val="00336854"/>
    <w:rsid w:val="0034015C"/>
    <w:rsid w:val="00342FB7"/>
    <w:rsid w:val="00343372"/>
    <w:rsid w:val="003442F4"/>
    <w:rsid w:val="0035168D"/>
    <w:rsid w:val="00353705"/>
    <w:rsid w:val="003562E8"/>
    <w:rsid w:val="003603D1"/>
    <w:rsid w:val="00361D4A"/>
    <w:rsid w:val="0036357D"/>
    <w:rsid w:val="003649BC"/>
    <w:rsid w:val="00365E44"/>
    <w:rsid w:val="003661EA"/>
    <w:rsid w:val="003677DB"/>
    <w:rsid w:val="00367AA1"/>
    <w:rsid w:val="00372E36"/>
    <w:rsid w:val="00376EE9"/>
    <w:rsid w:val="00377CBB"/>
    <w:rsid w:val="00377DD9"/>
    <w:rsid w:val="00385185"/>
    <w:rsid w:val="0038555C"/>
    <w:rsid w:val="003877B6"/>
    <w:rsid w:val="00393887"/>
    <w:rsid w:val="00394ADC"/>
    <w:rsid w:val="00394C6B"/>
    <w:rsid w:val="003A4E62"/>
    <w:rsid w:val="003B0FDE"/>
    <w:rsid w:val="003B1069"/>
    <w:rsid w:val="003B390A"/>
    <w:rsid w:val="003B426A"/>
    <w:rsid w:val="003B4F93"/>
    <w:rsid w:val="003B624E"/>
    <w:rsid w:val="003B632B"/>
    <w:rsid w:val="003C15DE"/>
    <w:rsid w:val="003C4EB2"/>
    <w:rsid w:val="003C781B"/>
    <w:rsid w:val="003C7A22"/>
    <w:rsid w:val="003D12F7"/>
    <w:rsid w:val="003D217E"/>
    <w:rsid w:val="003E1840"/>
    <w:rsid w:val="003E27B6"/>
    <w:rsid w:val="003E50B0"/>
    <w:rsid w:val="003F116B"/>
    <w:rsid w:val="003F1AF3"/>
    <w:rsid w:val="003F4D8D"/>
    <w:rsid w:val="003F66FD"/>
    <w:rsid w:val="00406D82"/>
    <w:rsid w:val="00412186"/>
    <w:rsid w:val="00417363"/>
    <w:rsid w:val="004220EB"/>
    <w:rsid w:val="004313E7"/>
    <w:rsid w:val="0044088F"/>
    <w:rsid w:val="00444A59"/>
    <w:rsid w:val="0044763B"/>
    <w:rsid w:val="00451F34"/>
    <w:rsid w:val="0046094B"/>
    <w:rsid w:val="004615DA"/>
    <w:rsid w:val="004629B3"/>
    <w:rsid w:val="0046376E"/>
    <w:rsid w:val="004651F3"/>
    <w:rsid w:val="0046690F"/>
    <w:rsid w:val="00466C63"/>
    <w:rsid w:val="004720EE"/>
    <w:rsid w:val="00472FEC"/>
    <w:rsid w:val="004814B1"/>
    <w:rsid w:val="00484C04"/>
    <w:rsid w:val="00490A03"/>
    <w:rsid w:val="00493327"/>
    <w:rsid w:val="00494DBE"/>
    <w:rsid w:val="00495CE6"/>
    <w:rsid w:val="004A323C"/>
    <w:rsid w:val="004B124C"/>
    <w:rsid w:val="004B54E8"/>
    <w:rsid w:val="004C4FEB"/>
    <w:rsid w:val="004C59B3"/>
    <w:rsid w:val="004C6B79"/>
    <w:rsid w:val="004D059B"/>
    <w:rsid w:val="004D4CB6"/>
    <w:rsid w:val="004E0870"/>
    <w:rsid w:val="004E3341"/>
    <w:rsid w:val="004F10C1"/>
    <w:rsid w:val="004F1EE0"/>
    <w:rsid w:val="004F2AA6"/>
    <w:rsid w:val="004F7377"/>
    <w:rsid w:val="00501F73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110C"/>
    <w:rsid w:val="0055190B"/>
    <w:rsid w:val="00554FE2"/>
    <w:rsid w:val="0055571E"/>
    <w:rsid w:val="00556F67"/>
    <w:rsid w:val="005833F0"/>
    <w:rsid w:val="00586B0B"/>
    <w:rsid w:val="00586CAF"/>
    <w:rsid w:val="005873E9"/>
    <w:rsid w:val="00591180"/>
    <w:rsid w:val="00595131"/>
    <w:rsid w:val="0059722C"/>
    <w:rsid w:val="00597D07"/>
    <w:rsid w:val="005A3846"/>
    <w:rsid w:val="005A48C1"/>
    <w:rsid w:val="005B1747"/>
    <w:rsid w:val="005B1F0C"/>
    <w:rsid w:val="005B6A58"/>
    <w:rsid w:val="005C0D4E"/>
    <w:rsid w:val="005C7112"/>
    <w:rsid w:val="005D0561"/>
    <w:rsid w:val="005D0AD9"/>
    <w:rsid w:val="005D2125"/>
    <w:rsid w:val="005D22F6"/>
    <w:rsid w:val="005D6746"/>
    <w:rsid w:val="005E0C30"/>
    <w:rsid w:val="005E69D9"/>
    <w:rsid w:val="005F27F4"/>
    <w:rsid w:val="005F3239"/>
    <w:rsid w:val="005F6567"/>
    <w:rsid w:val="00607256"/>
    <w:rsid w:val="00607532"/>
    <w:rsid w:val="006144B1"/>
    <w:rsid w:val="0062206B"/>
    <w:rsid w:val="006227E5"/>
    <w:rsid w:val="0062403D"/>
    <w:rsid w:val="00630B0E"/>
    <w:rsid w:val="006335F1"/>
    <w:rsid w:val="006345B6"/>
    <w:rsid w:val="00635712"/>
    <w:rsid w:val="00643D8A"/>
    <w:rsid w:val="00644548"/>
    <w:rsid w:val="006448C4"/>
    <w:rsid w:val="006513EB"/>
    <w:rsid w:val="00652229"/>
    <w:rsid w:val="00652793"/>
    <w:rsid w:val="00652D7A"/>
    <w:rsid w:val="006626CA"/>
    <w:rsid w:val="00663487"/>
    <w:rsid w:val="00664CD8"/>
    <w:rsid w:val="00670B0A"/>
    <w:rsid w:val="00672382"/>
    <w:rsid w:val="00682643"/>
    <w:rsid w:val="00682EB9"/>
    <w:rsid w:val="0068441A"/>
    <w:rsid w:val="00685B49"/>
    <w:rsid w:val="00690B19"/>
    <w:rsid w:val="006A0A3C"/>
    <w:rsid w:val="006A1552"/>
    <w:rsid w:val="006A66C8"/>
    <w:rsid w:val="006A6CA0"/>
    <w:rsid w:val="006A7536"/>
    <w:rsid w:val="006A79F0"/>
    <w:rsid w:val="006B47EE"/>
    <w:rsid w:val="006B499F"/>
    <w:rsid w:val="006B78B0"/>
    <w:rsid w:val="006C22C4"/>
    <w:rsid w:val="006D4996"/>
    <w:rsid w:val="006D54AB"/>
    <w:rsid w:val="006D6DE5"/>
    <w:rsid w:val="006E3006"/>
    <w:rsid w:val="006E5032"/>
    <w:rsid w:val="006E5BDA"/>
    <w:rsid w:val="006E6BB1"/>
    <w:rsid w:val="006F0FC7"/>
    <w:rsid w:val="006F30EE"/>
    <w:rsid w:val="006F39A9"/>
    <w:rsid w:val="006F670F"/>
    <w:rsid w:val="0070213E"/>
    <w:rsid w:val="00703272"/>
    <w:rsid w:val="00704695"/>
    <w:rsid w:val="00705F1A"/>
    <w:rsid w:val="0070733C"/>
    <w:rsid w:val="00710C5D"/>
    <w:rsid w:val="0071348C"/>
    <w:rsid w:val="00717273"/>
    <w:rsid w:val="00720FD4"/>
    <w:rsid w:val="00724AF2"/>
    <w:rsid w:val="0073096C"/>
    <w:rsid w:val="00732F8B"/>
    <w:rsid w:val="00740C61"/>
    <w:rsid w:val="007420BD"/>
    <w:rsid w:val="00742398"/>
    <w:rsid w:val="00745581"/>
    <w:rsid w:val="007507B5"/>
    <w:rsid w:val="0075091D"/>
    <w:rsid w:val="00753A24"/>
    <w:rsid w:val="007564AE"/>
    <w:rsid w:val="00760572"/>
    <w:rsid w:val="00762569"/>
    <w:rsid w:val="00763650"/>
    <w:rsid w:val="007649B0"/>
    <w:rsid w:val="0076652D"/>
    <w:rsid w:val="00772188"/>
    <w:rsid w:val="00777135"/>
    <w:rsid w:val="007813D0"/>
    <w:rsid w:val="00785993"/>
    <w:rsid w:val="007866E2"/>
    <w:rsid w:val="00786BA3"/>
    <w:rsid w:val="00787230"/>
    <w:rsid w:val="00791A35"/>
    <w:rsid w:val="0079202F"/>
    <w:rsid w:val="00792EBC"/>
    <w:rsid w:val="00795AF2"/>
    <w:rsid w:val="007A1FBA"/>
    <w:rsid w:val="007A2AAD"/>
    <w:rsid w:val="007A4432"/>
    <w:rsid w:val="007A596B"/>
    <w:rsid w:val="007A784E"/>
    <w:rsid w:val="007B22AF"/>
    <w:rsid w:val="007B499C"/>
    <w:rsid w:val="007B4D4B"/>
    <w:rsid w:val="007D2A02"/>
    <w:rsid w:val="007D3984"/>
    <w:rsid w:val="007D6EEC"/>
    <w:rsid w:val="007E6EA1"/>
    <w:rsid w:val="007F0F63"/>
    <w:rsid w:val="007F2B1E"/>
    <w:rsid w:val="007F62B4"/>
    <w:rsid w:val="00800DC4"/>
    <w:rsid w:val="00801517"/>
    <w:rsid w:val="00810B64"/>
    <w:rsid w:val="00813362"/>
    <w:rsid w:val="00815A66"/>
    <w:rsid w:val="00817AE8"/>
    <w:rsid w:val="00817DE8"/>
    <w:rsid w:val="00820AD7"/>
    <w:rsid w:val="0082259F"/>
    <w:rsid w:val="008229F5"/>
    <w:rsid w:val="00822D7A"/>
    <w:rsid w:val="00824404"/>
    <w:rsid w:val="0082503B"/>
    <w:rsid w:val="0082699A"/>
    <w:rsid w:val="00827CEF"/>
    <w:rsid w:val="008337CE"/>
    <w:rsid w:val="00833CEB"/>
    <w:rsid w:val="00834EF3"/>
    <w:rsid w:val="00836B50"/>
    <w:rsid w:val="008372D2"/>
    <w:rsid w:val="008377BC"/>
    <w:rsid w:val="00840C0D"/>
    <w:rsid w:val="00844C17"/>
    <w:rsid w:val="00847726"/>
    <w:rsid w:val="00852511"/>
    <w:rsid w:val="00855B23"/>
    <w:rsid w:val="008612D8"/>
    <w:rsid w:val="008614F1"/>
    <w:rsid w:val="00863531"/>
    <w:rsid w:val="008639B3"/>
    <w:rsid w:val="00863C1A"/>
    <w:rsid w:val="00870D19"/>
    <w:rsid w:val="0087142D"/>
    <w:rsid w:val="00873956"/>
    <w:rsid w:val="00876D42"/>
    <w:rsid w:val="0087762B"/>
    <w:rsid w:val="00880E72"/>
    <w:rsid w:val="008825EE"/>
    <w:rsid w:val="00884A6F"/>
    <w:rsid w:val="0088596E"/>
    <w:rsid w:val="00886515"/>
    <w:rsid w:val="008865D8"/>
    <w:rsid w:val="0089796A"/>
    <w:rsid w:val="008A2375"/>
    <w:rsid w:val="008A58C0"/>
    <w:rsid w:val="008B1457"/>
    <w:rsid w:val="008B61F1"/>
    <w:rsid w:val="008B7FF0"/>
    <w:rsid w:val="008D0BFE"/>
    <w:rsid w:val="008D146C"/>
    <w:rsid w:val="008D7595"/>
    <w:rsid w:val="008D76C5"/>
    <w:rsid w:val="008E0AFA"/>
    <w:rsid w:val="008E3A0F"/>
    <w:rsid w:val="008E52A1"/>
    <w:rsid w:val="008E5DEB"/>
    <w:rsid w:val="008E75D3"/>
    <w:rsid w:val="008F125E"/>
    <w:rsid w:val="008F4D2F"/>
    <w:rsid w:val="00906292"/>
    <w:rsid w:val="009076AF"/>
    <w:rsid w:val="00916B53"/>
    <w:rsid w:val="00917162"/>
    <w:rsid w:val="009251CC"/>
    <w:rsid w:val="0092714E"/>
    <w:rsid w:val="00942002"/>
    <w:rsid w:val="00946FE9"/>
    <w:rsid w:val="00947885"/>
    <w:rsid w:val="00951AB1"/>
    <w:rsid w:val="00952168"/>
    <w:rsid w:val="009527FE"/>
    <w:rsid w:val="00953DEA"/>
    <w:rsid w:val="00955F0A"/>
    <w:rsid w:val="009561B6"/>
    <w:rsid w:val="009709AB"/>
    <w:rsid w:val="009739A0"/>
    <w:rsid w:val="00974F84"/>
    <w:rsid w:val="009767C7"/>
    <w:rsid w:val="009827BF"/>
    <w:rsid w:val="00983B46"/>
    <w:rsid w:val="0098579A"/>
    <w:rsid w:val="009873B7"/>
    <w:rsid w:val="0099008E"/>
    <w:rsid w:val="0099195A"/>
    <w:rsid w:val="00992A11"/>
    <w:rsid w:val="00994681"/>
    <w:rsid w:val="0099486A"/>
    <w:rsid w:val="00994C1B"/>
    <w:rsid w:val="00995EE2"/>
    <w:rsid w:val="009A0E26"/>
    <w:rsid w:val="009A16EC"/>
    <w:rsid w:val="009A4567"/>
    <w:rsid w:val="009A5B03"/>
    <w:rsid w:val="009B2494"/>
    <w:rsid w:val="009B29B7"/>
    <w:rsid w:val="009B3B37"/>
    <w:rsid w:val="009B7D1F"/>
    <w:rsid w:val="009C088E"/>
    <w:rsid w:val="009C312D"/>
    <w:rsid w:val="009C4D35"/>
    <w:rsid w:val="009D1522"/>
    <w:rsid w:val="009D588B"/>
    <w:rsid w:val="009D7252"/>
    <w:rsid w:val="009E142E"/>
    <w:rsid w:val="009E40D8"/>
    <w:rsid w:val="009E5EB4"/>
    <w:rsid w:val="009E7413"/>
    <w:rsid w:val="009F5432"/>
    <w:rsid w:val="009F5B39"/>
    <w:rsid w:val="00A044D6"/>
    <w:rsid w:val="00A04ADB"/>
    <w:rsid w:val="00A11E0F"/>
    <w:rsid w:val="00A1301E"/>
    <w:rsid w:val="00A14EB1"/>
    <w:rsid w:val="00A17E4D"/>
    <w:rsid w:val="00A23264"/>
    <w:rsid w:val="00A24446"/>
    <w:rsid w:val="00A26CB6"/>
    <w:rsid w:val="00A31B3D"/>
    <w:rsid w:val="00A323EB"/>
    <w:rsid w:val="00A32607"/>
    <w:rsid w:val="00A32F82"/>
    <w:rsid w:val="00A32F8B"/>
    <w:rsid w:val="00A34192"/>
    <w:rsid w:val="00A3756F"/>
    <w:rsid w:val="00A377EF"/>
    <w:rsid w:val="00A42D6F"/>
    <w:rsid w:val="00A456F1"/>
    <w:rsid w:val="00A45A62"/>
    <w:rsid w:val="00A50ACF"/>
    <w:rsid w:val="00A5420E"/>
    <w:rsid w:val="00A542FF"/>
    <w:rsid w:val="00A54AC5"/>
    <w:rsid w:val="00A55DC3"/>
    <w:rsid w:val="00A564CE"/>
    <w:rsid w:val="00A56D41"/>
    <w:rsid w:val="00A61353"/>
    <w:rsid w:val="00A664D2"/>
    <w:rsid w:val="00A66DB1"/>
    <w:rsid w:val="00A67A92"/>
    <w:rsid w:val="00A7332D"/>
    <w:rsid w:val="00A82F2E"/>
    <w:rsid w:val="00A843DA"/>
    <w:rsid w:val="00A87870"/>
    <w:rsid w:val="00A91A70"/>
    <w:rsid w:val="00AA0FA9"/>
    <w:rsid w:val="00AA1B85"/>
    <w:rsid w:val="00AB1CB6"/>
    <w:rsid w:val="00AB1D9A"/>
    <w:rsid w:val="00AC315F"/>
    <w:rsid w:val="00AD19A1"/>
    <w:rsid w:val="00AD44FE"/>
    <w:rsid w:val="00AD66BE"/>
    <w:rsid w:val="00AE49F1"/>
    <w:rsid w:val="00AE6C65"/>
    <w:rsid w:val="00AE7E27"/>
    <w:rsid w:val="00AF3E33"/>
    <w:rsid w:val="00B02FAA"/>
    <w:rsid w:val="00B05CCA"/>
    <w:rsid w:val="00B14271"/>
    <w:rsid w:val="00B14C02"/>
    <w:rsid w:val="00B16270"/>
    <w:rsid w:val="00B21FCC"/>
    <w:rsid w:val="00B2685D"/>
    <w:rsid w:val="00B30351"/>
    <w:rsid w:val="00B33C2A"/>
    <w:rsid w:val="00B34E47"/>
    <w:rsid w:val="00B372EB"/>
    <w:rsid w:val="00B41DF5"/>
    <w:rsid w:val="00B422EC"/>
    <w:rsid w:val="00B71ECD"/>
    <w:rsid w:val="00B726D4"/>
    <w:rsid w:val="00B818A3"/>
    <w:rsid w:val="00B8214F"/>
    <w:rsid w:val="00B86A4F"/>
    <w:rsid w:val="00B86E0E"/>
    <w:rsid w:val="00B93035"/>
    <w:rsid w:val="00B9337E"/>
    <w:rsid w:val="00B958E8"/>
    <w:rsid w:val="00B95B03"/>
    <w:rsid w:val="00B97E4A"/>
    <w:rsid w:val="00BA09B2"/>
    <w:rsid w:val="00BA5B46"/>
    <w:rsid w:val="00BA7408"/>
    <w:rsid w:val="00BB5D0B"/>
    <w:rsid w:val="00BC0995"/>
    <w:rsid w:val="00BD1E02"/>
    <w:rsid w:val="00BD749B"/>
    <w:rsid w:val="00BE793A"/>
    <w:rsid w:val="00BF1CE7"/>
    <w:rsid w:val="00BF25CE"/>
    <w:rsid w:val="00BF2AFF"/>
    <w:rsid w:val="00BF2B82"/>
    <w:rsid w:val="00BF398D"/>
    <w:rsid w:val="00BF432A"/>
    <w:rsid w:val="00BF4709"/>
    <w:rsid w:val="00BF4CD4"/>
    <w:rsid w:val="00BF56E6"/>
    <w:rsid w:val="00BF6E82"/>
    <w:rsid w:val="00BF7408"/>
    <w:rsid w:val="00C02205"/>
    <w:rsid w:val="00C04033"/>
    <w:rsid w:val="00C060C7"/>
    <w:rsid w:val="00C10764"/>
    <w:rsid w:val="00C226BC"/>
    <w:rsid w:val="00C24C17"/>
    <w:rsid w:val="00C258B8"/>
    <w:rsid w:val="00C3758F"/>
    <w:rsid w:val="00C40B88"/>
    <w:rsid w:val="00C41EF2"/>
    <w:rsid w:val="00C42C93"/>
    <w:rsid w:val="00C43854"/>
    <w:rsid w:val="00C47D87"/>
    <w:rsid w:val="00C5376E"/>
    <w:rsid w:val="00C53C5E"/>
    <w:rsid w:val="00C639B4"/>
    <w:rsid w:val="00C770A3"/>
    <w:rsid w:val="00C808A6"/>
    <w:rsid w:val="00C81208"/>
    <w:rsid w:val="00C85229"/>
    <w:rsid w:val="00C97091"/>
    <w:rsid w:val="00C97260"/>
    <w:rsid w:val="00CA1952"/>
    <w:rsid w:val="00CA2001"/>
    <w:rsid w:val="00CA2F84"/>
    <w:rsid w:val="00CB5B6C"/>
    <w:rsid w:val="00CC052E"/>
    <w:rsid w:val="00CD16BE"/>
    <w:rsid w:val="00CD4616"/>
    <w:rsid w:val="00CD47AC"/>
    <w:rsid w:val="00CD56AF"/>
    <w:rsid w:val="00CD5BEE"/>
    <w:rsid w:val="00CD6140"/>
    <w:rsid w:val="00CE1CA5"/>
    <w:rsid w:val="00CE1D02"/>
    <w:rsid w:val="00CE1E98"/>
    <w:rsid w:val="00CE33D5"/>
    <w:rsid w:val="00CF1DD6"/>
    <w:rsid w:val="00CF364C"/>
    <w:rsid w:val="00CF5D37"/>
    <w:rsid w:val="00CF6F33"/>
    <w:rsid w:val="00CF714E"/>
    <w:rsid w:val="00CF7429"/>
    <w:rsid w:val="00D01821"/>
    <w:rsid w:val="00D02248"/>
    <w:rsid w:val="00D063B8"/>
    <w:rsid w:val="00D06825"/>
    <w:rsid w:val="00D17255"/>
    <w:rsid w:val="00D17E3B"/>
    <w:rsid w:val="00D21C53"/>
    <w:rsid w:val="00D23C09"/>
    <w:rsid w:val="00D23CED"/>
    <w:rsid w:val="00D24BD2"/>
    <w:rsid w:val="00D2573D"/>
    <w:rsid w:val="00D260A2"/>
    <w:rsid w:val="00D30CC6"/>
    <w:rsid w:val="00D3260C"/>
    <w:rsid w:val="00D35790"/>
    <w:rsid w:val="00D359FD"/>
    <w:rsid w:val="00D35A5D"/>
    <w:rsid w:val="00D3714B"/>
    <w:rsid w:val="00D4372C"/>
    <w:rsid w:val="00D5653B"/>
    <w:rsid w:val="00D61AB1"/>
    <w:rsid w:val="00D62EF1"/>
    <w:rsid w:val="00D6309D"/>
    <w:rsid w:val="00D639D4"/>
    <w:rsid w:val="00D644CA"/>
    <w:rsid w:val="00D66436"/>
    <w:rsid w:val="00D66FC2"/>
    <w:rsid w:val="00D76C7E"/>
    <w:rsid w:val="00D771DE"/>
    <w:rsid w:val="00D7776D"/>
    <w:rsid w:val="00D90DD8"/>
    <w:rsid w:val="00D9293F"/>
    <w:rsid w:val="00D93598"/>
    <w:rsid w:val="00D94496"/>
    <w:rsid w:val="00D96D4C"/>
    <w:rsid w:val="00DA1E18"/>
    <w:rsid w:val="00DA2009"/>
    <w:rsid w:val="00DA47B4"/>
    <w:rsid w:val="00DB05B1"/>
    <w:rsid w:val="00DB299A"/>
    <w:rsid w:val="00DB5A79"/>
    <w:rsid w:val="00DC2465"/>
    <w:rsid w:val="00DC4699"/>
    <w:rsid w:val="00DC5BE6"/>
    <w:rsid w:val="00DD07FA"/>
    <w:rsid w:val="00DD25BE"/>
    <w:rsid w:val="00DD512E"/>
    <w:rsid w:val="00DE0834"/>
    <w:rsid w:val="00DE1177"/>
    <w:rsid w:val="00DE2CEA"/>
    <w:rsid w:val="00DE67A4"/>
    <w:rsid w:val="00DE6A3C"/>
    <w:rsid w:val="00DE74F4"/>
    <w:rsid w:val="00DE7F97"/>
    <w:rsid w:val="00DF1010"/>
    <w:rsid w:val="00DF5AEA"/>
    <w:rsid w:val="00DF63F6"/>
    <w:rsid w:val="00E0405C"/>
    <w:rsid w:val="00E04D88"/>
    <w:rsid w:val="00E0798B"/>
    <w:rsid w:val="00E1066D"/>
    <w:rsid w:val="00E13747"/>
    <w:rsid w:val="00E20023"/>
    <w:rsid w:val="00E226BA"/>
    <w:rsid w:val="00E23EC8"/>
    <w:rsid w:val="00E25AEA"/>
    <w:rsid w:val="00E279A9"/>
    <w:rsid w:val="00E30DEF"/>
    <w:rsid w:val="00E30ED2"/>
    <w:rsid w:val="00E31276"/>
    <w:rsid w:val="00E32B4E"/>
    <w:rsid w:val="00E35D07"/>
    <w:rsid w:val="00E36A91"/>
    <w:rsid w:val="00E36E4A"/>
    <w:rsid w:val="00E37EFF"/>
    <w:rsid w:val="00E37F70"/>
    <w:rsid w:val="00E40EBE"/>
    <w:rsid w:val="00E446C1"/>
    <w:rsid w:val="00E56D23"/>
    <w:rsid w:val="00E66123"/>
    <w:rsid w:val="00E74BF6"/>
    <w:rsid w:val="00E758B9"/>
    <w:rsid w:val="00E77AF7"/>
    <w:rsid w:val="00E77D19"/>
    <w:rsid w:val="00E85569"/>
    <w:rsid w:val="00E856AF"/>
    <w:rsid w:val="00E86B83"/>
    <w:rsid w:val="00E87C64"/>
    <w:rsid w:val="00E92D7E"/>
    <w:rsid w:val="00E93A01"/>
    <w:rsid w:val="00E93B98"/>
    <w:rsid w:val="00E93FF8"/>
    <w:rsid w:val="00E962F0"/>
    <w:rsid w:val="00E96EAF"/>
    <w:rsid w:val="00E974A7"/>
    <w:rsid w:val="00EA0D51"/>
    <w:rsid w:val="00EA1752"/>
    <w:rsid w:val="00EA5A89"/>
    <w:rsid w:val="00EA5BDB"/>
    <w:rsid w:val="00EB0163"/>
    <w:rsid w:val="00EB46D9"/>
    <w:rsid w:val="00EC142D"/>
    <w:rsid w:val="00EC1E16"/>
    <w:rsid w:val="00EC464E"/>
    <w:rsid w:val="00ED0024"/>
    <w:rsid w:val="00ED0D8E"/>
    <w:rsid w:val="00ED0F85"/>
    <w:rsid w:val="00ED2B5C"/>
    <w:rsid w:val="00ED3269"/>
    <w:rsid w:val="00ED6300"/>
    <w:rsid w:val="00ED6E28"/>
    <w:rsid w:val="00EE1A8C"/>
    <w:rsid w:val="00EE4643"/>
    <w:rsid w:val="00EF1330"/>
    <w:rsid w:val="00EF15FF"/>
    <w:rsid w:val="00EF7111"/>
    <w:rsid w:val="00EF7D1A"/>
    <w:rsid w:val="00F0448F"/>
    <w:rsid w:val="00F0716C"/>
    <w:rsid w:val="00F10EC3"/>
    <w:rsid w:val="00F15EB8"/>
    <w:rsid w:val="00F16B32"/>
    <w:rsid w:val="00F17FD1"/>
    <w:rsid w:val="00F270E9"/>
    <w:rsid w:val="00F275C0"/>
    <w:rsid w:val="00F346B6"/>
    <w:rsid w:val="00F36145"/>
    <w:rsid w:val="00F3661D"/>
    <w:rsid w:val="00F3761F"/>
    <w:rsid w:val="00F37BDD"/>
    <w:rsid w:val="00F41503"/>
    <w:rsid w:val="00F42BCF"/>
    <w:rsid w:val="00F466C8"/>
    <w:rsid w:val="00F469A9"/>
    <w:rsid w:val="00F50B46"/>
    <w:rsid w:val="00F50D1F"/>
    <w:rsid w:val="00F5617A"/>
    <w:rsid w:val="00F6203E"/>
    <w:rsid w:val="00F635FC"/>
    <w:rsid w:val="00F63D03"/>
    <w:rsid w:val="00F65E2F"/>
    <w:rsid w:val="00F67DF1"/>
    <w:rsid w:val="00F710C1"/>
    <w:rsid w:val="00F732B5"/>
    <w:rsid w:val="00F735CB"/>
    <w:rsid w:val="00F8309B"/>
    <w:rsid w:val="00F833C9"/>
    <w:rsid w:val="00F90064"/>
    <w:rsid w:val="00F96AFD"/>
    <w:rsid w:val="00FA1398"/>
    <w:rsid w:val="00FA2E19"/>
    <w:rsid w:val="00FA697F"/>
    <w:rsid w:val="00FB3223"/>
    <w:rsid w:val="00FB3B3D"/>
    <w:rsid w:val="00FB5521"/>
    <w:rsid w:val="00FB610D"/>
    <w:rsid w:val="00FB6444"/>
    <w:rsid w:val="00FC427A"/>
    <w:rsid w:val="00FC4477"/>
    <w:rsid w:val="00FC46FB"/>
    <w:rsid w:val="00FC49B4"/>
    <w:rsid w:val="00FC51B7"/>
    <w:rsid w:val="00FC78AF"/>
    <w:rsid w:val="00FD0734"/>
    <w:rsid w:val="00FD0A38"/>
    <w:rsid w:val="00FD2BD3"/>
    <w:rsid w:val="00FD3A69"/>
    <w:rsid w:val="00FD4CCA"/>
    <w:rsid w:val="00FE2A9E"/>
    <w:rsid w:val="00FF242F"/>
    <w:rsid w:val="00FF7707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sr-Latn-R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sr-Latn-RS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sr-Latn-RS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sr-Latn-R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sr-Latn-RS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He01Flietext">
    <w:name w:val="_He_01_Fließtext"/>
    <w:qFormat/>
    <w:rsid w:val="00D35A5D"/>
    <w:pPr>
      <w:spacing w:after="160"/>
    </w:pPr>
    <w:rPr>
      <w:rFonts w:eastAsia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0C571F"/>
    <w:pPr>
      <w:spacing w:line="240" w:lineRule="auto"/>
      <w:jc w:val="left"/>
    </w:pPr>
    <w:rPr>
      <w:rFonts w:ascii="Aptos" w:eastAsiaTheme="minorHAnsi" w:hAnsi="Aptos" w:cs="Aptos"/>
      <w:sz w:val="24"/>
    </w:rPr>
  </w:style>
  <w:style w:type="paragraph" w:styleId="Revision">
    <w:name w:val="Revision"/>
    <w:hidden/>
    <w:uiPriority w:val="62"/>
    <w:unhideWhenUsed/>
    <w:rsid w:val="000A5F26"/>
    <w:rPr>
      <w:sz w:val="22"/>
    </w:rPr>
  </w:style>
  <w:style w:type="paragraph" w:styleId="ListParagraph">
    <w:name w:val="List Paragraph"/>
    <w:basedOn w:val="Normal"/>
    <w:uiPriority w:val="34"/>
    <w:qFormat/>
    <w:rsid w:val="005B1747"/>
    <w:pPr>
      <w:spacing w:after="160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paragraph" w:customStyle="1" w:styleId="He02berschriftEbene2">
    <w:name w:val="_He_02_Überschrift Ebene 2"/>
    <w:next w:val="He01Flietext"/>
    <w:qFormat/>
    <w:rsid w:val="00B818A3"/>
    <w:pPr>
      <w:spacing w:after="113"/>
    </w:pPr>
    <w:rPr>
      <w:rFonts w:eastAsiaTheme="minorHAnsi" w:cstheme="minorBidi"/>
      <w:b/>
      <w:sz w:val="32"/>
      <w:szCs w:val="22"/>
    </w:rPr>
  </w:style>
  <w:style w:type="paragraph" w:customStyle="1" w:styleId="He01FlietextAufzhlung1Ebene">
    <w:name w:val="_He_01_Fließtext Aufzählung 1. Ebene"/>
    <w:next w:val="He01Flietext"/>
    <w:qFormat/>
    <w:rsid w:val="00E04D88"/>
    <w:pPr>
      <w:numPr>
        <w:numId w:val="8"/>
      </w:numPr>
      <w:spacing w:after="113"/>
    </w:pPr>
    <w:rPr>
      <w:rFonts w:eastAsiaTheme="minorHAnsi" w:cstheme="minorBidi"/>
      <w:sz w:val="22"/>
      <w:szCs w:val="22"/>
    </w:rPr>
  </w:style>
  <w:style w:type="paragraph" w:customStyle="1" w:styleId="He01FlietextAufzhlung2Ebene">
    <w:name w:val="_He_01_Fließtext Aufzählung 2. Ebene"/>
    <w:next w:val="He01Flietext"/>
    <w:qFormat/>
    <w:rsid w:val="00E04D88"/>
    <w:pPr>
      <w:numPr>
        <w:numId w:val="9"/>
      </w:numPr>
      <w:spacing w:after="160"/>
    </w:pPr>
    <w:rPr>
      <w:rFonts w:eastAsiaTheme="minorHAnsi" w:cstheme="minorBid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CF7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6</Pages>
  <Words>2290</Words>
  <Characters>13059</Characters>
  <Application>Microsoft Office Word</Application>
  <DocSecurity>2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Tijana Antic (ext)</cp:lastModifiedBy>
  <cp:revision>50</cp:revision>
  <cp:lastPrinted>2016-11-16T01:11:00Z</cp:lastPrinted>
  <dcterms:created xsi:type="dcterms:W3CDTF">2025-04-28T10:13:00Z</dcterms:created>
  <dcterms:modified xsi:type="dcterms:W3CDTF">2025-08-09T13:15:00Z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