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569B" w14:textId="76897CF4" w:rsidR="00DE6EFB" w:rsidRDefault="00B51E72" w:rsidP="001D750B">
      <w:pPr>
        <w:pStyle w:val="MonthDayYear"/>
        <w:rPr>
          <w:lang w:eastAsia="zh-CN"/>
        </w:rPr>
      </w:pPr>
      <w:r>
        <w:tab/>
      </w:r>
      <w:proofErr w:type="gramStart"/>
      <w:r w:rsidR="001D750B" w:rsidRPr="001D750B">
        <w:t>2025</w:t>
      </w:r>
      <w:r w:rsidR="001D750B" w:rsidRPr="001D750B">
        <w:rPr>
          <w:rFonts w:hint="eastAsia"/>
        </w:rPr>
        <w:t>年</w:t>
      </w:r>
      <w:r w:rsidR="001D750B" w:rsidRPr="001D750B">
        <w:t>8</w:t>
      </w:r>
      <w:r w:rsidR="001D750B" w:rsidRPr="001D750B">
        <w:rPr>
          <w:rFonts w:hint="eastAsia"/>
        </w:rPr>
        <w:t>月</w:t>
      </w:r>
      <w:r w:rsidR="001D750B" w:rsidRPr="001D750B">
        <w:t>7</w:t>
      </w:r>
      <w:r w:rsidR="001D750B" w:rsidRPr="001D750B">
        <w:rPr>
          <w:rFonts w:hint="eastAsia"/>
        </w:rPr>
        <w:t>日</w:t>
      </w:r>
      <w:proofErr w:type="gramEnd"/>
    </w:p>
    <w:p w14:paraId="06420E33" w14:textId="3FCE9BF4" w:rsidR="00DE6EFB" w:rsidRDefault="006427DB">
      <w:pPr>
        <w:pStyle w:val="Topline"/>
        <w:spacing w:after="360"/>
        <w:rPr>
          <w:rFonts w:asciiTheme="majorHAnsi" w:hAnsiTheme="majorHAnsi" w:cstheme="majorHAnsi"/>
          <w:lang w:eastAsia="zh-CN"/>
        </w:rPr>
      </w:pPr>
      <w:r>
        <w:rPr>
          <w:rFonts w:asciiTheme="majorHAnsi" w:hAnsiTheme="majorHAnsi" w:cstheme="majorHAnsi"/>
          <w:lang w:eastAsia="zh-CN"/>
        </w:rPr>
        <w:br/>
      </w:r>
      <w:r w:rsidR="00B51E72">
        <w:rPr>
          <w:rFonts w:asciiTheme="majorHAnsi" w:hAnsiTheme="majorHAnsi" w:cstheme="majorHAnsi" w:hint="eastAsia"/>
          <w:lang w:eastAsia="zh-CN"/>
        </w:rPr>
        <w:t>汉高预计在</w:t>
      </w:r>
      <w:r w:rsidR="00B51E72">
        <w:rPr>
          <w:rFonts w:asciiTheme="majorHAnsi" w:hAnsiTheme="majorHAnsi" w:cstheme="majorHAnsi" w:hint="eastAsia"/>
          <w:lang w:eastAsia="zh-CN"/>
        </w:rPr>
        <w:t>2025</w:t>
      </w:r>
      <w:r w:rsidR="00B51E72">
        <w:rPr>
          <w:rFonts w:asciiTheme="majorHAnsi" w:hAnsiTheme="majorHAnsi" w:cstheme="majorHAnsi" w:hint="eastAsia"/>
          <w:lang w:eastAsia="zh-CN"/>
        </w:rPr>
        <w:t>财年实现进一步盈利增长</w:t>
      </w:r>
    </w:p>
    <w:p w14:paraId="17A8430C" w14:textId="77777777" w:rsidR="00DE6EFB" w:rsidRDefault="00B51E72">
      <w:pPr>
        <w:jc w:val="left"/>
        <w:rPr>
          <w:rStyle w:val="Headline"/>
          <w:rFonts w:asciiTheme="majorHAnsi" w:hAnsiTheme="majorHAnsi" w:cstheme="majorHAnsi"/>
          <w:lang w:eastAsia="zh-CN"/>
        </w:rPr>
      </w:pPr>
      <w:r>
        <w:rPr>
          <w:rStyle w:val="Headline"/>
          <w:rFonts w:asciiTheme="majorHAnsi" w:hAnsiTheme="majorHAnsi" w:cstheme="majorHAnsi" w:hint="eastAsia"/>
          <w:lang w:eastAsia="zh-CN"/>
        </w:rPr>
        <w:t>汉高上半年销售额加速增长，利润率和盈利水平显著提升</w:t>
      </w:r>
    </w:p>
    <w:p w14:paraId="2D20D15E" w14:textId="77777777" w:rsidR="00DE6EFB" w:rsidRDefault="00DE6EFB">
      <w:pPr>
        <w:rPr>
          <w:lang w:eastAsia="zh-CN"/>
        </w:rPr>
      </w:pPr>
    </w:p>
    <w:p w14:paraId="08CF06E2" w14:textId="65FD018E" w:rsidR="00DE6EFB" w:rsidRDefault="00B51E72" w:rsidP="00AE0967">
      <w:pPr>
        <w:pStyle w:val="ListParagraph"/>
        <w:numPr>
          <w:ilvl w:val="0"/>
          <w:numId w:val="4"/>
        </w:numPr>
        <w:spacing w:after="80"/>
        <w:ind w:left="284" w:right="-108" w:hanging="357"/>
        <w:contextualSpacing w:val="0"/>
        <w:jc w:val="left"/>
        <w:rPr>
          <w:rFonts w:asciiTheme="majorHAnsi" w:hAnsiTheme="majorHAnsi" w:cstheme="majorHAnsi"/>
          <w:b/>
          <w:szCs w:val="22"/>
          <w:lang w:eastAsia="zh-CN"/>
        </w:rPr>
      </w:pPr>
      <w:bookmarkStart w:id="0" w:name="_Hlk140061525"/>
      <w:bookmarkStart w:id="1" w:name="_Hlk43712519"/>
      <w:r>
        <w:rPr>
          <w:rFonts w:asciiTheme="majorHAnsi" w:hAnsiTheme="majorHAnsi" w:cstheme="majorHAnsi" w:hint="eastAsia"/>
          <w:b/>
          <w:szCs w:val="22"/>
          <w:lang w:eastAsia="zh-CN"/>
        </w:rPr>
        <w:t>上半年集团有机销售额与去年持平：</w:t>
      </w:r>
      <w:r>
        <w:rPr>
          <w:rFonts w:asciiTheme="majorHAnsi" w:hAnsiTheme="majorHAnsi" w:cstheme="majorHAnsi" w:hint="eastAsia"/>
          <w:b/>
          <w:szCs w:val="22"/>
          <w:lang w:eastAsia="zh-CN"/>
        </w:rPr>
        <w:t>104</w:t>
      </w:r>
      <w:r>
        <w:rPr>
          <w:rFonts w:asciiTheme="majorHAnsi" w:hAnsiTheme="majorHAnsi" w:cstheme="majorHAnsi" w:hint="eastAsia"/>
          <w:b/>
          <w:szCs w:val="22"/>
          <w:lang w:eastAsia="zh-CN"/>
        </w:rPr>
        <w:t>亿欧元（有机</w:t>
      </w:r>
      <w:r w:rsidR="00F84FD2">
        <w:rPr>
          <w:rFonts w:asciiTheme="majorHAnsi" w:hAnsiTheme="majorHAnsi" w:cstheme="majorHAnsi" w:hint="eastAsia"/>
          <w:b/>
          <w:szCs w:val="22"/>
          <w:lang w:eastAsia="zh-CN"/>
        </w:rPr>
        <w:t>下滑</w:t>
      </w:r>
      <w:r>
        <w:rPr>
          <w:rFonts w:asciiTheme="majorHAnsi" w:hAnsiTheme="majorHAnsi" w:cstheme="majorHAnsi" w:hint="eastAsia"/>
          <w:b/>
          <w:szCs w:val="22"/>
          <w:lang w:eastAsia="zh-CN"/>
        </w:rPr>
        <w:t>0.1%</w:t>
      </w:r>
      <w:r>
        <w:rPr>
          <w:rFonts w:asciiTheme="majorHAnsi" w:hAnsiTheme="majorHAnsi" w:cstheme="majorHAnsi" w:hint="eastAsia"/>
          <w:b/>
          <w:szCs w:val="22"/>
          <w:lang w:eastAsia="zh-CN"/>
        </w:rPr>
        <w:t>；第二季度：增长</w:t>
      </w:r>
      <w:r>
        <w:rPr>
          <w:rFonts w:asciiTheme="majorHAnsi" w:hAnsiTheme="majorHAnsi" w:cstheme="majorHAnsi" w:hint="eastAsia"/>
          <w:b/>
          <w:szCs w:val="22"/>
          <w:lang w:eastAsia="zh-CN"/>
        </w:rPr>
        <w:t>0.9%</w:t>
      </w:r>
      <w:r>
        <w:rPr>
          <w:rFonts w:asciiTheme="majorHAnsi" w:hAnsiTheme="majorHAnsi" w:cstheme="majorHAnsi" w:hint="eastAsia"/>
          <w:b/>
          <w:szCs w:val="22"/>
          <w:lang w:eastAsia="zh-CN"/>
        </w:rPr>
        <w:t>）</w:t>
      </w:r>
    </w:p>
    <w:p w14:paraId="20766379" w14:textId="2C857F35" w:rsidR="00DE6EFB" w:rsidRDefault="00B51E72" w:rsidP="00AE0967">
      <w:pPr>
        <w:pStyle w:val="ListParagraph"/>
        <w:numPr>
          <w:ilvl w:val="0"/>
          <w:numId w:val="4"/>
        </w:numPr>
        <w:spacing w:after="80"/>
        <w:ind w:left="284" w:right="-108" w:hanging="357"/>
        <w:contextualSpacing w:val="0"/>
        <w:jc w:val="left"/>
        <w:rPr>
          <w:rFonts w:asciiTheme="majorHAnsi" w:hAnsiTheme="majorHAnsi" w:cstheme="majorHAnsi"/>
          <w:b/>
          <w:szCs w:val="22"/>
          <w:lang w:eastAsia="zh-CN"/>
        </w:rPr>
      </w:pPr>
      <w:r>
        <w:rPr>
          <w:rFonts w:asciiTheme="majorHAnsi" w:hAnsiTheme="majorHAnsi" w:cstheme="majorHAnsi" w:hint="eastAsia"/>
          <w:b/>
          <w:szCs w:val="22"/>
          <w:lang w:eastAsia="zh-CN"/>
        </w:rPr>
        <w:t>营业利润（息税前利润）</w:t>
      </w:r>
      <w:r>
        <w:rPr>
          <w:rFonts w:asciiTheme="majorHAnsi" w:hAnsiTheme="majorHAnsi" w:cstheme="majorHAnsi" w:hint="eastAsia"/>
          <w:b/>
          <w:szCs w:val="22"/>
          <w:lang w:eastAsia="zh-CN"/>
        </w:rPr>
        <w:t>*</w:t>
      </w:r>
      <w:r>
        <w:rPr>
          <w:rFonts w:asciiTheme="majorHAnsi" w:hAnsiTheme="majorHAnsi" w:cstheme="majorHAnsi" w:hint="eastAsia"/>
          <w:b/>
          <w:szCs w:val="22"/>
          <w:lang w:eastAsia="zh-CN"/>
        </w:rPr>
        <w:t>增至</w:t>
      </w:r>
      <w:r>
        <w:rPr>
          <w:rFonts w:asciiTheme="majorHAnsi" w:hAnsiTheme="majorHAnsi" w:cstheme="majorHAnsi" w:hint="eastAsia"/>
          <w:b/>
          <w:szCs w:val="22"/>
          <w:lang w:eastAsia="zh-CN"/>
        </w:rPr>
        <w:t>16.14</w:t>
      </w:r>
      <w:r>
        <w:rPr>
          <w:rFonts w:asciiTheme="majorHAnsi" w:hAnsiTheme="majorHAnsi" w:cstheme="majorHAnsi" w:hint="eastAsia"/>
          <w:b/>
          <w:szCs w:val="22"/>
          <w:lang w:eastAsia="zh-CN"/>
        </w:rPr>
        <w:t>亿欧元（增长</w:t>
      </w:r>
      <w:r>
        <w:rPr>
          <w:rFonts w:asciiTheme="majorHAnsi" w:hAnsiTheme="majorHAnsi" w:cstheme="majorHAnsi" w:hint="eastAsia"/>
          <w:b/>
          <w:szCs w:val="22"/>
          <w:lang w:eastAsia="zh-CN"/>
        </w:rPr>
        <w:t>0.2%</w:t>
      </w:r>
      <w:r>
        <w:rPr>
          <w:rFonts w:asciiTheme="majorHAnsi" w:hAnsiTheme="majorHAnsi" w:cstheme="majorHAnsi" w:hint="eastAsia"/>
          <w:b/>
          <w:szCs w:val="22"/>
          <w:lang w:eastAsia="zh-CN"/>
        </w:rPr>
        <w:t>）</w:t>
      </w:r>
    </w:p>
    <w:p w14:paraId="4ED917DE" w14:textId="00B2EAA4" w:rsidR="00DE6EFB" w:rsidRDefault="00B51E72" w:rsidP="00AE0967">
      <w:pPr>
        <w:pStyle w:val="ListParagraph"/>
        <w:numPr>
          <w:ilvl w:val="0"/>
          <w:numId w:val="4"/>
        </w:numPr>
        <w:spacing w:after="80"/>
        <w:ind w:left="284" w:right="-108" w:hanging="357"/>
        <w:contextualSpacing w:val="0"/>
        <w:jc w:val="left"/>
        <w:rPr>
          <w:rFonts w:asciiTheme="majorHAnsi" w:hAnsiTheme="majorHAnsi" w:cstheme="majorHAnsi"/>
          <w:b/>
          <w:szCs w:val="22"/>
          <w:lang w:eastAsia="zh-CN"/>
        </w:rPr>
      </w:pPr>
      <w:proofErr w:type="gramStart"/>
      <w:r>
        <w:rPr>
          <w:rFonts w:asciiTheme="majorHAnsi" w:hAnsiTheme="majorHAnsi" w:cstheme="majorHAnsi" w:hint="eastAsia"/>
          <w:b/>
          <w:szCs w:val="22"/>
          <w:lang w:eastAsia="zh-CN"/>
        </w:rPr>
        <w:t>息</w:t>
      </w:r>
      <w:proofErr w:type="gramEnd"/>
      <w:r>
        <w:rPr>
          <w:rFonts w:asciiTheme="majorHAnsi" w:hAnsiTheme="majorHAnsi" w:cstheme="majorHAnsi" w:hint="eastAsia"/>
          <w:b/>
          <w:szCs w:val="22"/>
          <w:lang w:eastAsia="zh-CN"/>
        </w:rPr>
        <w:t>税前利润率</w:t>
      </w:r>
      <w:r>
        <w:rPr>
          <w:rFonts w:asciiTheme="majorHAnsi" w:hAnsiTheme="majorHAnsi" w:cstheme="majorHAnsi" w:hint="eastAsia"/>
          <w:b/>
          <w:szCs w:val="22"/>
          <w:lang w:eastAsia="zh-CN"/>
        </w:rPr>
        <w:t>*</w:t>
      </w:r>
      <w:r>
        <w:rPr>
          <w:rFonts w:asciiTheme="majorHAnsi" w:hAnsiTheme="majorHAnsi" w:cstheme="majorHAnsi" w:hint="eastAsia"/>
          <w:b/>
          <w:szCs w:val="22"/>
          <w:lang w:eastAsia="zh-CN"/>
        </w:rPr>
        <w:t>提高至</w:t>
      </w:r>
      <w:r>
        <w:rPr>
          <w:rFonts w:asciiTheme="majorHAnsi" w:hAnsiTheme="majorHAnsi" w:cstheme="majorHAnsi" w:hint="eastAsia"/>
          <w:b/>
          <w:szCs w:val="22"/>
          <w:lang w:eastAsia="zh-CN"/>
        </w:rPr>
        <w:t>15.5%</w:t>
      </w:r>
      <w:r>
        <w:rPr>
          <w:rFonts w:asciiTheme="majorHAnsi" w:hAnsiTheme="majorHAnsi" w:cstheme="majorHAnsi" w:hint="eastAsia"/>
          <w:b/>
          <w:szCs w:val="22"/>
          <w:lang w:eastAsia="zh-CN"/>
        </w:rPr>
        <w:t>（增长</w:t>
      </w:r>
      <w:r>
        <w:rPr>
          <w:rFonts w:asciiTheme="majorHAnsi" w:hAnsiTheme="majorHAnsi" w:cstheme="majorHAnsi" w:hint="eastAsia"/>
          <w:b/>
          <w:szCs w:val="22"/>
          <w:lang w:eastAsia="zh-CN"/>
        </w:rPr>
        <w:t>60</w:t>
      </w:r>
      <w:r>
        <w:rPr>
          <w:rFonts w:asciiTheme="majorHAnsi" w:hAnsiTheme="majorHAnsi" w:cstheme="majorHAnsi" w:hint="eastAsia"/>
          <w:b/>
          <w:szCs w:val="22"/>
          <w:lang w:eastAsia="zh-CN"/>
        </w:rPr>
        <w:t>个基点）</w:t>
      </w:r>
    </w:p>
    <w:p w14:paraId="2CDEE9C5" w14:textId="4097A353" w:rsidR="00DE6EFB" w:rsidRDefault="00B51E72" w:rsidP="00AE0967">
      <w:pPr>
        <w:pStyle w:val="ListParagraph"/>
        <w:numPr>
          <w:ilvl w:val="0"/>
          <w:numId w:val="4"/>
        </w:numPr>
        <w:spacing w:after="80"/>
        <w:ind w:left="284" w:right="-108" w:hanging="357"/>
        <w:contextualSpacing w:val="0"/>
        <w:jc w:val="left"/>
        <w:rPr>
          <w:rFonts w:asciiTheme="majorHAnsi" w:hAnsiTheme="majorHAnsi" w:cstheme="majorHAnsi"/>
          <w:b/>
          <w:szCs w:val="22"/>
          <w:lang w:eastAsia="zh-CN"/>
        </w:rPr>
      </w:pPr>
      <w:r>
        <w:rPr>
          <w:rFonts w:asciiTheme="majorHAnsi" w:hAnsiTheme="majorHAnsi" w:cstheme="majorHAnsi" w:hint="eastAsia"/>
          <w:b/>
          <w:szCs w:val="22"/>
          <w:lang w:eastAsia="zh-CN"/>
        </w:rPr>
        <w:t>优先股每股收益（</w:t>
      </w:r>
      <w:r>
        <w:rPr>
          <w:rFonts w:asciiTheme="majorHAnsi" w:hAnsiTheme="majorHAnsi" w:cstheme="majorHAnsi" w:hint="eastAsia"/>
          <w:b/>
          <w:szCs w:val="22"/>
          <w:lang w:eastAsia="zh-CN"/>
        </w:rPr>
        <w:t>EPS</w:t>
      </w:r>
      <w:r>
        <w:rPr>
          <w:rFonts w:asciiTheme="majorHAnsi" w:hAnsiTheme="majorHAnsi" w:cstheme="majorHAnsi" w:hint="eastAsia"/>
          <w:b/>
          <w:szCs w:val="22"/>
          <w:lang w:eastAsia="zh-CN"/>
        </w:rPr>
        <w:t>）</w:t>
      </w:r>
      <w:r>
        <w:rPr>
          <w:rFonts w:asciiTheme="majorHAnsi" w:hAnsiTheme="majorHAnsi" w:cstheme="majorHAnsi" w:hint="eastAsia"/>
          <w:b/>
          <w:szCs w:val="22"/>
          <w:lang w:eastAsia="zh-CN"/>
        </w:rPr>
        <w:t>*</w:t>
      </w:r>
      <w:r>
        <w:rPr>
          <w:rFonts w:asciiTheme="majorHAnsi" w:hAnsiTheme="majorHAnsi" w:cstheme="majorHAnsi" w:hint="eastAsia"/>
          <w:b/>
          <w:szCs w:val="22"/>
          <w:lang w:eastAsia="zh-CN"/>
        </w:rPr>
        <w:t>增至</w:t>
      </w:r>
      <w:r>
        <w:rPr>
          <w:rFonts w:asciiTheme="majorHAnsi" w:hAnsiTheme="majorHAnsi" w:cstheme="majorHAnsi" w:hint="eastAsia"/>
          <w:b/>
          <w:szCs w:val="22"/>
          <w:lang w:eastAsia="zh-CN"/>
        </w:rPr>
        <w:t>2.81</w:t>
      </w:r>
      <w:r>
        <w:rPr>
          <w:rFonts w:asciiTheme="majorHAnsi" w:hAnsiTheme="majorHAnsi" w:cstheme="majorHAnsi" w:hint="eastAsia"/>
          <w:b/>
          <w:szCs w:val="22"/>
          <w:lang w:eastAsia="zh-CN"/>
        </w:rPr>
        <w:t>欧元，按固定汇率计算增长</w:t>
      </w:r>
      <w:r>
        <w:rPr>
          <w:rFonts w:asciiTheme="majorHAnsi" w:hAnsiTheme="majorHAnsi" w:cstheme="majorHAnsi" w:hint="eastAsia"/>
          <w:b/>
          <w:szCs w:val="22"/>
          <w:lang w:eastAsia="zh-CN"/>
        </w:rPr>
        <w:t>5.0%</w:t>
      </w:r>
    </w:p>
    <w:bookmarkEnd w:id="0"/>
    <w:p w14:paraId="6679E8E7" w14:textId="2B00427B" w:rsidR="00DE6EFB" w:rsidRDefault="00B51E72" w:rsidP="00AE0967">
      <w:pPr>
        <w:pStyle w:val="ListParagraph"/>
        <w:numPr>
          <w:ilvl w:val="0"/>
          <w:numId w:val="4"/>
        </w:numPr>
        <w:spacing w:after="80"/>
        <w:ind w:left="284" w:right="-108" w:hanging="357"/>
        <w:contextualSpacing w:val="0"/>
        <w:jc w:val="left"/>
        <w:rPr>
          <w:rFonts w:asciiTheme="majorHAnsi" w:hAnsiTheme="majorHAnsi" w:cstheme="majorHAnsi"/>
          <w:b/>
          <w:szCs w:val="22"/>
          <w:lang w:eastAsia="zh-CN"/>
        </w:rPr>
      </w:pPr>
      <w:r>
        <w:rPr>
          <w:rFonts w:asciiTheme="majorHAnsi" w:hAnsiTheme="majorHAnsi" w:cstheme="majorHAnsi" w:hint="eastAsia"/>
          <w:b/>
          <w:szCs w:val="22"/>
          <w:lang w:eastAsia="zh-CN"/>
        </w:rPr>
        <w:t>进一步加快实施目标性增长议程</w:t>
      </w:r>
    </w:p>
    <w:p w14:paraId="1602BC4A" w14:textId="079FCEAB" w:rsidR="00DE6EFB" w:rsidRDefault="00B51E72" w:rsidP="00AE0967">
      <w:pPr>
        <w:pStyle w:val="ListParagraph"/>
        <w:widowControl w:val="0"/>
        <w:numPr>
          <w:ilvl w:val="1"/>
          <w:numId w:val="5"/>
        </w:numPr>
        <w:tabs>
          <w:tab w:val="left" w:pos="702"/>
        </w:tabs>
        <w:autoSpaceDE w:val="0"/>
        <w:autoSpaceDN w:val="0"/>
        <w:spacing w:before="113" w:after="120" w:line="240" w:lineRule="auto"/>
        <w:contextualSpacing w:val="0"/>
        <w:jc w:val="left"/>
        <w:rPr>
          <w:lang w:eastAsia="zh-CN"/>
        </w:rPr>
      </w:pPr>
      <w:r>
        <w:rPr>
          <w:rFonts w:hint="eastAsia"/>
          <w:lang w:eastAsia="zh-CN"/>
        </w:rPr>
        <w:t>在充满挑战的市场环境中，明确关注</w:t>
      </w:r>
      <w:r w:rsidR="004E1491">
        <w:rPr>
          <w:rFonts w:hint="eastAsia"/>
          <w:lang w:eastAsia="zh-CN"/>
        </w:rPr>
        <w:t>聚焦</w:t>
      </w:r>
      <w:r>
        <w:rPr>
          <w:rFonts w:hint="eastAsia"/>
          <w:lang w:eastAsia="zh-CN"/>
        </w:rPr>
        <w:t>全球大趋势</w:t>
      </w:r>
      <w:r w:rsidR="0074299B">
        <w:rPr>
          <w:rFonts w:hint="eastAsia"/>
          <w:lang w:eastAsia="zh-CN"/>
        </w:rPr>
        <w:t>，</w:t>
      </w:r>
      <w:r>
        <w:rPr>
          <w:rFonts w:hint="eastAsia"/>
          <w:lang w:eastAsia="zh-CN"/>
        </w:rPr>
        <w:t>强化了粘合剂技术业务部的竞争力</w:t>
      </w:r>
      <w:r w:rsidR="00A64AC4">
        <w:rPr>
          <w:rFonts w:hint="eastAsia"/>
          <w:lang w:eastAsia="zh-CN"/>
        </w:rPr>
        <w:t>和</w:t>
      </w:r>
      <w:r>
        <w:rPr>
          <w:rFonts w:hint="eastAsia"/>
          <w:lang w:eastAsia="zh-CN"/>
        </w:rPr>
        <w:t>韧性</w:t>
      </w:r>
    </w:p>
    <w:p w14:paraId="0B7E9B2B" w14:textId="66AFA345" w:rsidR="00DE6EFB" w:rsidRDefault="00B51E72" w:rsidP="00AE0967">
      <w:pPr>
        <w:pStyle w:val="ListParagraph"/>
        <w:widowControl w:val="0"/>
        <w:numPr>
          <w:ilvl w:val="1"/>
          <w:numId w:val="5"/>
        </w:numPr>
        <w:tabs>
          <w:tab w:val="left" w:pos="702"/>
        </w:tabs>
        <w:autoSpaceDE w:val="0"/>
        <w:autoSpaceDN w:val="0"/>
        <w:spacing w:before="113" w:after="120" w:line="240" w:lineRule="auto"/>
        <w:ind w:left="697" w:hanging="357"/>
        <w:contextualSpacing w:val="0"/>
        <w:jc w:val="left"/>
        <w:rPr>
          <w:lang w:eastAsia="zh-CN"/>
        </w:rPr>
      </w:pPr>
      <w:r>
        <w:rPr>
          <w:rFonts w:hint="eastAsia"/>
          <w:lang w:eastAsia="zh-CN"/>
        </w:rPr>
        <w:t>消费品牌业务部销量显著提升</w:t>
      </w:r>
      <w:r w:rsidR="000C04C8" w:rsidRPr="00BF380F">
        <w:rPr>
          <w:rFonts w:eastAsiaTheme="minorEastAsia" w:cs="Segoe UI"/>
          <w:color w:val="000000" w:themeColor="text1"/>
          <w:lang w:eastAsia="zh-CN"/>
        </w:rPr>
        <w:t>——</w:t>
      </w:r>
      <w:r>
        <w:rPr>
          <w:rFonts w:hint="eastAsia"/>
          <w:lang w:eastAsia="zh-CN"/>
        </w:rPr>
        <w:t>十大</w:t>
      </w:r>
      <w:r w:rsidR="008B7A08">
        <w:rPr>
          <w:rFonts w:hint="eastAsia"/>
          <w:lang w:eastAsia="zh-CN"/>
        </w:rPr>
        <w:t>核心</w:t>
      </w:r>
      <w:r>
        <w:rPr>
          <w:rFonts w:hint="eastAsia"/>
          <w:lang w:eastAsia="zh-CN"/>
        </w:rPr>
        <w:t>品牌均实现良好有机销售额增长</w:t>
      </w:r>
    </w:p>
    <w:p w14:paraId="6AAA9F25" w14:textId="70D45767" w:rsidR="00DE6EFB" w:rsidRDefault="00B51E72" w:rsidP="00AE0967">
      <w:pPr>
        <w:pStyle w:val="He01FlietextAufzhlung1Ebene"/>
        <w:ind w:hanging="357"/>
        <w:rPr>
          <w:b/>
        </w:rPr>
      </w:pPr>
      <w:r>
        <w:rPr>
          <w:rFonts w:hint="eastAsia"/>
          <w:b/>
        </w:rPr>
        <w:t>2025</w:t>
      </w:r>
      <w:proofErr w:type="spellStart"/>
      <w:r>
        <w:rPr>
          <w:rFonts w:ascii="微软雅黑" w:eastAsia="微软雅黑" w:hAnsi="微软雅黑" w:cs="微软雅黑" w:hint="eastAsia"/>
          <w:b/>
        </w:rPr>
        <w:t>财年展望更新</w:t>
      </w:r>
      <w:proofErr w:type="spellEnd"/>
      <w:r>
        <w:rPr>
          <w:rFonts w:ascii="微软雅黑" w:eastAsia="微软雅黑" w:hAnsi="微软雅黑" w:cs="微软雅黑" w:hint="eastAsia"/>
          <w:b/>
        </w:rPr>
        <w:t>：</w:t>
      </w:r>
    </w:p>
    <w:p w14:paraId="06CE94E5" w14:textId="42E21F68" w:rsidR="00DE6EFB" w:rsidRPr="00B51E72" w:rsidRDefault="00B51E72" w:rsidP="00AE0967">
      <w:pPr>
        <w:pStyle w:val="He01FlietextAufzhlung2Ebene"/>
        <w:rPr>
          <w:rFonts w:eastAsia="宋体" w:cs="Segoe UI"/>
          <w:lang w:val="en-US" w:eastAsia="zh-CN"/>
        </w:rPr>
      </w:pPr>
      <w:r w:rsidRPr="00B51E72">
        <w:rPr>
          <w:rFonts w:eastAsia="宋体" w:cs="Segoe UI"/>
          <w:lang w:val="en-US" w:eastAsia="zh-CN"/>
        </w:rPr>
        <w:t>有机销售额增长：</w:t>
      </w:r>
      <w:r w:rsidRPr="00B51E72">
        <w:rPr>
          <w:rFonts w:eastAsia="宋体" w:cs="Segoe UI"/>
          <w:lang w:val="en-US" w:eastAsia="zh-CN"/>
        </w:rPr>
        <w:t xml:space="preserve">1.0% </w:t>
      </w:r>
      <w:r w:rsidR="00577BD0">
        <w:rPr>
          <w:rFonts w:eastAsia="宋体" w:cs="Segoe UI" w:hint="eastAsia"/>
          <w:lang w:val="en-US" w:eastAsia="zh-CN"/>
        </w:rPr>
        <w:t>至</w:t>
      </w:r>
      <w:r w:rsidRPr="00B51E72">
        <w:rPr>
          <w:rFonts w:eastAsia="宋体" w:cs="Segoe UI"/>
          <w:lang w:val="en-US" w:eastAsia="zh-CN"/>
        </w:rPr>
        <w:t xml:space="preserve"> 2.0%</w:t>
      </w:r>
      <w:r w:rsidRPr="00B51E72">
        <w:rPr>
          <w:rFonts w:eastAsia="宋体" w:cs="Segoe UI"/>
          <w:lang w:val="en-US" w:eastAsia="zh-CN"/>
        </w:rPr>
        <w:t>（</w:t>
      </w:r>
      <w:r w:rsidR="00BC0254" w:rsidRPr="00293BE2">
        <w:rPr>
          <w:rFonts w:cs="Segoe UI"/>
          <w:lang w:eastAsia="zh-CN"/>
        </w:rPr>
        <w:t>此前预期</w:t>
      </w:r>
      <w:r w:rsidRPr="00B51E72">
        <w:rPr>
          <w:rFonts w:eastAsia="宋体" w:cs="Segoe UI"/>
          <w:lang w:val="en-US" w:eastAsia="zh-CN"/>
        </w:rPr>
        <w:t>：</w:t>
      </w:r>
      <w:r w:rsidRPr="00B51E72">
        <w:rPr>
          <w:rFonts w:eastAsia="宋体" w:cs="Segoe UI"/>
          <w:lang w:val="en-US" w:eastAsia="zh-CN"/>
        </w:rPr>
        <w:t xml:space="preserve">1.5% </w:t>
      </w:r>
      <w:r w:rsidR="00577BD0">
        <w:rPr>
          <w:rFonts w:eastAsia="宋体" w:cs="Segoe UI" w:hint="eastAsia"/>
          <w:lang w:val="en-US" w:eastAsia="zh-CN"/>
        </w:rPr>
        <w:t>至</w:t>
      </w:r>
      <w:r w:rsidRPr="00B51E72">
        <w:rPr>
          <w:rFonts w:eastAsia="宋体" w:cs="Segoe UI"/>
          <w:lang w:val="en-US" w:eastAsia="zh-CN"/>
        </w:rPr>
        <w:t xml:space="preserve"> 3.5%</w:t>
      </w:r>
      <w:r w:rsidRPr="00B51E72">
        <w:rPr>
          <w:rFonts w:eastAsia="宋体" w:cs="Segoe UI"/>
          <w:lang w:val="en-US" w:eastAsia="zh-CN"/>
        </w:rPr>
        <w:t>）</w:t>
      </w:r>
    </w:p>
    <w:p w14:paraId="0F5EB8CA" w14:textId="2EA30BD6" w:rsidR="005B0715" w:rsidRPr="00B4523E" w:rsidRDefault="00B51E72" w:rsidP="00F72405">
      <w:pPr>
        <w:pStyle w:val="He01FlietextAufzhlung2Ebene"/>
        <w:rPr>
          <w:rFonts w:eastAsia="宋体"/>
          <w:lang w:val="en-US" w:eastAsia="zh-CN"/>
        </w:rPr>
      </w:pPr>
      <w:r w:rsidRPr="00B51E72">
        <w:rPr>
          <w:rFonts w:eastAsia="宋体" w:cs="Segoe UI"/>
          <w:lang w:val="en-US" w:eastAsia="zh-CN"/>
        </w:rPr>
        <w:t>调整后的销售回报率：</w:t>
      </w:r>
      <w:r w:rsidRPr="00B51E72">
        <w:rPr>
          <w:rFonts w:eastAsia="宋体" w:cs="Segoe UI"/>
          <w:lang w:val="en-US" w:eastAsia="zh-CN"/>
        </w:rPr>
        <w:t xml:space="preserve">14.5% </w:t>
      </w:r>
      <w:r w:rsidR="00577BD0">
        <w:rPr>
          <w:rFonts w:eastAsia="宋体" w:cs="Segoe UI" w:hint="eastAsia"/>
          <w:lang w:val="en-US" w:eastAsia="zh-CN"/>
        </w:rPr>
        <w:t>至</w:t>
      </w:r>
      <w:r w:rsidRPr="00B51E72">
        <w:rPr>
          <w:rFonts w:eastAsia="宋体" w:cs="Segoe UI"/>
          <w:lang w:val="en-US" w:eastAsia="zh-CN"/>
        </w:rPr>
        <w:t xml:space="preserve"> 15.5%</w:t>
      </w:r>
      <w:r w:rsidRPr="00B51E72">
        <w:rPr>
          <w:rFonts w:eastAsia="宋体" w:cs="Segoe UI"/>
          <w:lang w:val="en-US" w:eastAsia="zh-CN"/>
        </w:rPr>
        <w:t>（</w:t>
      </w:r>
      <w:r w:rsidR="00BC0254" w:rsidRPr="00293BE2">
        <w:rPr>
          <w:rFonts w:cs="Segoe UI"/>
          <w:lang w:eastAsia="zh-CN"/>
        </w:rPr>
        <w:t>此前预期</w:t>
      </w:r>
      <w:r w:rsidRPr="00B51E72">
        <w:rPr>
          <w:rFonts w:eastAsia="宋体" w:cs="Segoe UI"/>
          <w:lang w:val="en-US" w:eastAsia="zh-CN"/>
        </w:rPr>
        <w:t>：</w:t>
      </w:r>
      <w:r w:rsidRPr="00B51E72">
        <w:rPr>
          <w:rFonts w:eastAsia="宋体" w:cs="Segoe UI"/>
          <w:lang w:val="en-US" w:eastAsia="zh-CN"/>
        </w:rPr>
        <w:t xml:space="preserve">14.0% </w:t>
      </w:r>
      <w:r w:rsidR="00577BD0">
        <w:rPr>
          <w:rFonts w:eastAsia="宋体" w:cs="Segoe UI" w:hint="eastAsia"/>
          <w:lang w:val="en-US" w:eastAsia="zh-CN"/>
        </w:rPr>
        <w:t>至</w:t>
      </w:r>
      <w:r w:rsidRPr="00B51E72">
        <w:rPr>
          <w:rFonts w:eastAsia="宋体" w:cs="Segoe UI"/>
          <w:lang w:val="en-US" w:eastAsia="zh-CN"/>
        </w:rPr>
        <w:t xml:space="preserve"> 15.5%</w:t>
      </w:r>
      <w:r w:rsidRPr="00B51E72">
        <w:rPr>
          <w:rFonts w:eastAsia="宋体" w:cs="Segoe UI"/>
          <w:lang w:val="en-US" w:eastAsia="zh-CN"/>
        </w:rPr>
        <w:t>）</w:t>
      </w:r>
    </w:p>
    <w:p w14:paraId="748A236F" w14:textId="39FE5044" w:rsidR="00DE6EFB" w:rsidRPr="00B51E72" w:rsidRDefault="00B51E72" w:rsidP="00AE0967">
      <w:pPr>
        <w:pStyle w:val="He01FlietextAufzhlung2Ebene"/>
        <w:rPr>
          <w:rFonts w:eastAsia="宋体" w:cs="Segoe UI"/>
          <w:lang w:val="en-US" w:eastAsia="zh-CN"/>
        </w:rPr>
      </w:pPr>
      <w:r w:rsidRPr="00B51E72">
        <w:rPr>
          <w:rFonts w:eastAsia="宋体" w:cs="Segoe UI"/>
          <w:lang w:val="en-US" w:eastAsia="zh-CN"/>
        </w:rPr>
        <w:t>调整后的优先股每股收益（</w:t>
      </w:r>
      <w:r w:rsidRPr="00B51E72">
        <w:rPr>
          <w:rFonts w:eastAsia="宋体" w:cs="Segoe UI"/>
          <w:lang w:val="en-US" w:eastAsia="zh-CN"/>
        </w:rPr>
        <w:t>EPS</w:t>
      </w:r>
      <w:r w:rsidRPr="00B51E72">
        <w:rPr>
          <w:rFonts w:eastAsia="宋体" w:cs="Segoe UI"/>
          <w:lang w:val="en-US" w:eastAsia="zh-CN"/>
        </w:rPr>
        <w:t>）：</w:t>
      </w:r>
      <w:r w:rsidR="00A64AC4" w:rsidRPr="00B51E72">
        <w:rPr>
          <w:rFonts w:eastAsia="宋体" w:cs="Segoe UI"/>
          <w:lang w:val="en-US" w:eastAsia="zh-CN"/>
        </w:rPr>
        <w:t>按固定汇率计算</w:t>
      </w:r>
      <w:r w:rsidR="00A64AC4">
        <w:rPr>
          <w:rFonts w:eastAsia="宋体" w:cs="Segoe UI" w:hint="eastAsia"/>
          <w:lang w:val="en-US" w:eastAsia="zh-CN"/>
        </w:rPr>
        <w:t>，</w:t>
      </w:r>
      <w:r w:rsidR="00293BE2" w:rsidRPr="00293BE2">
        <w:rPr>
          <w:rFonts w:eastAsia="宋体" w:cs="Segoe UI"/>
          <w:lang w:val="en-US" w:eastAsia="zh-CN"/>
        </w:rPr>
        <w:t>低至高个位数百分比增长</w:t>
      </w:r>
      <w:r w:rsidRPr="00B51E72">
        <w:rPr>
          <w:rFonts w:eastAsia="宋体" w:cs="Segoe UI"/>
          <w:lang w:val="en-US" w:eastAsia="zh-CN"/>
        </w:rPr>
        <w:t>（不变）</w:t>
      </w:r>
    </w:p>
    <w:p w14:paraId="6566B859" w14:textId="73C6728D" w:rsidR="001331DC" w:rsidRDefault="00B51E72" w:rsidP="00B4523E">
      <w:pPr>
        <w:pStyle w:val="He01Flietext"/>
        <w:spacing w:after="0" w:line="276" w:lineRule="auto"/>
        <w:jc w:val="both"/>
        <w:rPr>
          <w:rFonts w:eastAsia="宋体" w:cs="Segoe UI"/>
          <w:lang w:val="en-US" w:eastAsia="zh-CN"/>
        </w:rPr>
      </w:pPr>
      <w:bookmarkStart w:id="2" w:name="_Hlk204078858"/>
      <w:r>
        <w:rPr>
          <w:rFonts w:eastAsia="宋体" w:cs="Segoe UI" w:hint="eastAsia"/>
          <w:lang w:val="en-US" w:eastAsia="zh-CN"/>
        </w:rPr>
        <w:t>杜塞尔多夫</w:t>
      </w:r>
      <w:r w:rsidR="00266192" w:rsidRPr="00BF380F">
        <w:rPr>
          <w:rFonts w:eastAsiaTheme="minorEastAsia" w:cs="Segoe UI"/>
          <w:color w:val="000000" w:themeColor="text1"/>
          <w:lang w:eastAsia="zh-CN"/>
        </w:rPr>
        <w:t>，</w:t>
      </w:r>
      <w:r w:rsidR="00266192" w:rsidRPr="00BF380F">
        <w:rPr>
          <w:rFonts w:eastAsiaTheme="minorEastAsia" w:cs="Segoe UI"/>
          <w:color w:val="000000" w:themeColor="text1"/>
          <w:lang w:eastAsia="zh-CN"/>
        </w:rPr>
        <w:t>2025</w:t>
      </w:r>
      <w:r w:rsidR="00266192" w:rsidRPr="00BF380F">
        <w:rPr>
          <w:rFonts w:eastAsiaTheme="minorEastAsia" w:cs="Segoe UI"/>
          <w:color w:val="000000" w:themeColor="text1"/>
          <w:lang w:eastAsia="zh-CN"/>
        </w:rPr>
        <w:t>年</w:t>
      </w:r>
      <w:r w:rsidR="001F7754">
        <w:rPr>
          <w:rFonts w:eastAsia="宋体" w:cs="Segoe UI" w:hint="eastAsia"/>
          <w:color w:val="000000" w:themeColor="text1"/>
          <w:lang w:eastAsia="zh-CN"/>
        </w:rPr>
        <w:t>8</w:t>
      </w:r>
      <w:r w:rsidR="00266192" w:rsidRPr="00BF380F">
        <w:rPr>
          <w:rFonts w:eastAsiaTheme="minorEastAsia" w:cs="Segoe UI"/>
          <w:color w:val="000000" w:themeColor="text1"/>
          <w:lang w:eastAsia="zh-CN"/>
        </w:rPr>
        <w:t>月</w:t>
      </w:r>
      <w:r w:rsidR="001F7754">
        <w:rPr>
          <w:rFonts w:eastAsia="宋体" w:cs="Segoe UI" w:hint="eastAsia"/>
          <w:color w:val="000000" w:themeColor="text1"/>
          <w:lang w:eastAsia="zh-CN"/>
        </w:rPr>
        <w:t>7</w:t>
      </w:r>
      <w:r w:rsidR="00266192" w:rsidRPr="00BF380F">
        <w:rPr>
          <w:rFonts w:eastAsiaTheme="minorEastAsia" w:cs="Segoe UI"/>
          <w:color w:val="000000" w:themeColor="text1"/>
          <w:lang w:eastAsia="zh-CN"/>
        </w:rPr>
        <w:t>日</w:t>
      </w:r>
      <w:r w:rsidR="00266192" w:rsidRPr="00BF380F">
        <w:rPr>
          <w:rFonts w:eastAsiaTheme="minorEastAsia" w:cs="Segoe UI"/>
          <w:color w:val="000000" w:themeColor="text1"/>
          <w:lang w:eastAsia="zh-CN"/>
        </w:rPr>
        <w:t>——</w:t>
      </w:r>
      <w:r>
        <w:rPr>
          <w:rFonts w:eastAsia="宋体" w:cs="Segoe UI" w:hint="eastAsia"/>
          <w:lang w:val="en-US" w:eastAsia="zh-CN"/>
        </w:rPr>
        <w:t>继年初</w:t>
      </w:r>
      <w:r w:rsidR="00B27A4F">
        <w:rPr>
          <w:rFonts w:eastAsia="宋体" w:cs="Segoe UI" w:hint="eastAsia"/>
          <w:lang w:val="en-US" w:eastAsia="zh-CN"/>
        </w:rPr>
        <w:t>平稳开局</w:t>
      </w:r>
      <w:r>
        <w:rPr>
          <w:rFonts w:eastAsia="宋体" w:cs="Segoe UI" w:hint="eastAsia"/>
          <w:lang w:val="en-US" w:eastAsia="zh-CN"/>
        </w:rPr>
        <w:t>之后，</w:t>
      </w:r>
      <w:r w:rsidR="00B27A4F">
        <w:rPr>
          <w:rFonts w:eastAsia="宋体" w:cs="Segoe UI" w:hint="eastAsia"/>
          <w:lang w:val="en-US" w:eastAsia="zh-CN"/>
        </w:rPr>
        <w:t>得益于第二季度的良好业绩，</w:t>
      </w:r>
      <w:r>
        <w:rPr>
          <w:rFonts w:eastAsia="宋体" w:cs="Segoe UI" w:hint="eastAsia"/>
          <w:lang w:val="en-US" w:eastAsia="zh-CN"/>
        </w:rPr>
        <w:t>汉高在</w:t>
      </w:r>
      <w:r>
        <w:rPr>
          <w:rFonts w:eastAsia="宋体" w:cs="Segoe UI" w:hint="eastAsia"/>
          <w:lang w:val="en-US" w:eastAsia="zh-CN"/>
        </w:rPr>
        <w:t>2025</w:t>
      </w:r>
      <w:r>
        <w:rPr>
          <w:rFonts w:eastAsia="宋体" w:cs="Segoe UI" w:hint="eastAsia"/>
          <w:lang w:val="en-US" w:eastAsia="zh-CN"/>
        </w:rPr>
        <w:t>上半</w:t>
      </w:r>
      <w:r w:rsidR="00B27A4F">
        <w:rPr>
          <w:rFonts w:eastAsia="宋体" w:cs="Segoe UI" w:hint="eastAsia"/>
          <w:lang w:val="en-US" w:eastAsia="zh-CN"/>
        </w:rPr>
        <w:t>财年</w:t>
      </w:r>
      <w:r>
        <w:rPr>
          <w:rFonts w:eastAsia="宋体" w:cs="Segoe UI" w:hint="eastAsia"/>
          <w:lang w:val="en-US" w:eastAsia="zh-CN"/>
        </w:rPr>
        <w:t>有机销售额增长加速。与此同时，盈利能力也大幅提升。汉高首席执行官卡斯</w:t>
      </w:r>
      <w:proofErr w:type="gramStart"/>
      <w:r>
        <w:rPr>
          <w:rFonts w:eastAsia="宋体" w:cs="Segoe UI" w:hint="eastAsia"/>
          <w:lang w:val="en-US" w:eastAsia="zh-CN"/>
        </w:rPr>
        <w:t>滕</w:t>
      </w:r>
      <w:proofErr w:type="gramEnd"/>
      <w:r>
        <w:rPr>
          <w:rFonts w:eastAsia="宋体" w:cs="Segoe UI"/>
          <w:lang w:val="en-US" w:eastAsia="zh-CN"/>
        </w:rPr>
        <w:t>·</w:t>
      </w:r>
      <w:r>
        <w:rPr>
          <w:rFonts w:eastAsia="宋体" w:cs="Segoe UI" w:hint="eastAsia"/>
          <w:lang w:val="en-US" w:eastAsia="zh-CN"/>
        </w:rPr>
        <w:t>诺贝尔（</w:t>
      </w:r>
      <w:r>
        <w:rPr>
          <w:rFonts w:eastAsia="宋体" w:cs="Segoe UI"/>
          <w:lang w:val="en-US" w:eastAsia="zh-CN"/>
        </w:rPr>
        <w:t>Carsten Knobel</w:t>
      </w:r>
      <w:r>
        <w:rPr>
          <w:rFonts w:eastAsia="宋体" w:cs="Segoe UI"/>
          <w:lang w:val="en-US" w:eastAsia="zh-CN"/>
        </w:rPr>
        <w:t>）表示：</w:t>
      </w:r>
      <w:r>
        <w:rPr>
          <w:rFonts w:eastAsia="宋体" w:cs="Segoe UI" w:hint="eastAsia"/>
          <w:lang w:val="en-US" w:eastAsia="zh-CN"/>
        </w:rPr>
        <w:t>“有机销售额</w:t>
      </w:r>
      <w:r w:rsidR="00B27A4F">
        <w:rPr>
          <w:rFonts w:eastAsia="宋体" w:cs="Segoe UI" w:hint="eastAsia"/>
          <w:lang w:val="en-US" w:eastAsia="zh-CN"/>
        </w:rPr>
        <w:t>的</w:t>
      </w:r>
      <w:r>
        <w:rPr>
          <w:rFonts w:eastAsia="宋体" w:cs="Segoe UI" w:hint="eastAsia"/>
          <w:lang w:val="en-US" w:eastAsia="zh-CN"/>
        </w:rPr>
        <w:t>增长</w:t>
      </w:r>
      <w:r w:rsidR="00B27A4F">
        <w:rPr>
          <w:rFonts w:eastAsia="宋体" w:cs="Segoe UI" w:hint="eastAsia"/>
          <w:lang w:val="en-US" w:eastAsia="zh-CN"/>
        </w:rPr>
        <w:t>由</w:t>
      </w:r>
      <w:r>
        <w:rPr>
          <w:rFonts w:eastAsia="宋体" w:cs="Segoe UI" w:hint="eastAsia"/>
          <w:lang w:val="en-US" w:eastAsia="zh-CN"/>
        </w:rPr>
        <w:t>两大业务部门</w:t>
      </w:r>
      <w:r w:rsidR="00B27A4F">
        <w:rPr>
          <w:rFonts w:eastAsia="宋体" w:cs="Segoe UI" w:hint="eastAsia"/>
          <w:lang w:val="en-US" w:eastAsia="zh-CN"/>
        </w:rPr>
        <w:t>共同推动</w:t>
      </w:r>
      <w:r>
        <w:rPr>
          <w:rFonts w:eastAsia="宋体" w:cs="Segoe UI" w:hint="eastAsia"/>
          <w:lang w:val="en-US" w:eastAsia="zh-CN"/>
        </w:rPr>
        <w:t>，其中消费品牌业务部</w:t>
      </w:r>
      <w:r w:rsidR="00B27A4F">
        <w:rPr>
          <w:rFonts w:eastAsia="宋体" w:cs="Segoe UI" w:hint="eastAsia"/>
          <w:lang w:val="en-US" w:eastAsia="zh-CN"/>
        </w:rPr>
        <w:t>连续的</w:t>
      </w:r>
      <w:r>
        <w:rPr>
          <w:rFonts w:eastAsia="宋体" w:cs="Segoe UI" w:hint="eastAsia"/>
          <w:lang w:val="en-US" w:eastAsia="zh-CN"/>
        </w:rPr>
        <w:t>销量增长</w:t>
      </w:r>
      <w:r w:rsidR="00B27A4F">
        <w:rPr>
          <w:rFonts w:eastAsia="宋体" w:cs="Segoe UI" w:hint="eastAsia"/>
          <w:lang w:val="en-US" w:eastAsia="zh-CN"/>
        </w:rPr>
        <w:t>表现</w:t>
      </w:r>
      <w:r>
        <w:rPr>
          <w:rFonts w:eastAsia="宋体" w:cs="Segoe UI" w:hint="eastAsia"/>
          <w:lang w:val="en-US" w:eastAsia="zh-CN"/>
        </w:rPr>
        <w:t>尤为突出</w:t>
      </w:r>
      <w:r w:rsidR="00EB7D66">
        <w:rPr>
          <w:rFonts w:eastAsia="宋体" w:cs="Segoe UI" w:hint="eastAsia"/>
          <w:lang w:val="en-US" w:eastAsia="zh-CN"/>
        </w:rPr>
        <w:t>，</w:t>
      </w:r>
      <w:r>
        <w:rPr>
          <w:rFonts w:eastAsia="宋体" w:cs="Segoe UI" w:hint="eastAsia"/>
          <w:lang w:val="en-US" w:eastAsia="zh-CN"/>
        </w:rPr>
        <w:t>再加上价格上涨的</w:t>
      </w:r>
      <w:r w:rsidR="00B27A4F">
        <w:rPr>
          <w:rFonts w:eastAsia="宋体" w:cs="Segoe UI" w:hint="eastAsia"/>
          <w:lang w:val="en-US" w:eastAsia="zh-CN"/>
        </w:rPr>
        <w:t>助力</w:t>
      </w:r>
      <w:r>
        <w:rPr>
          <w:rFonts w:eastAsia="宋体" w:cs="Segoe UI" w:hint="eastAsia"/>
          <w:lang w:val="en-US" w:eastAsia="zh-CN"/>
        </w:rPr>
        <w:t>，</w:t>
      </w:r>
      <w:r w:rsidR="00EB7D66">
        <w:rPr>
          <w:rFonts w:eastAsia="宋体" w:cs="Segoe UI" w:hint="eastAsia"/>
          <w:lang w:val="en-US" w:eastAsia="zh-CN"/>
        </w:rPr>
        <w:t>使其</w:t>
      </w:r>
      <w:r w:rsidR="00B27A4F">
        <w:rPr>
          <w:rFonts w:eastAsia="宋体" w:cs="Segoe UI" w:hint="eastAsia"/>
          <w:lang w:val="en-US" w:eastAsia="zh-CN"/>
        </w:rPr>
        <w:t>在</w:t>
      </w:r>
      <w:r>
        <w:rPr>
          <w:rFonts w:eastAsia="宋体" w:cs="Segoe UI" w:hint="eastAsia"/>
          <w:lang w:val="en-US" w:eastAsia="zh-CN"/>
        </w:rPr>
        <w:t>第二季度实现了有机销售额的正增长。粘合剂技术业务部在上半年也实现了有机销售额的正增长，这主要得益于价格策略与销量提升的协同效应。”</w:t>
      </w:r>
    </w:p>
    <w:p w14:paraId="4AB42E9E" w14:textId="77777777" w:rsidR="009F1549" w:rsidRDefault="009F1549">
      <w:pPr>
        <w:pStyle w:val="He01Flietext"/>
        <w:spacing w:after="0" w:line="276" w:lineRule="auto"/>
        <w:jc w:val="both"/>
        <w:rPr>
          <w:rFonts w:eastAsia="宋体" w:cs="Segoe UI"/>
          <w:lang w:val="en-US" w:eastAsia="zh-CN"/>
        </w:rPr>
      </w:pPr>
    </w:p>
    <w:p w14:paraId="11448CB2" w14:textId="3E21C01C" w:rsidR="00DE6EFB" w:rsidRDefault="001331DC" w:rsidP="001331DC">
      <w:pPr>
        <w:pStyle w:val="He01Flietext"/>
        <w:spacing w:after="0" w:line="276" w:lineRule="auto"/>
        <w:jc w:val="center"/>
        <w:rPr>
          <w:rFonts w:eastAsia="宋体"/>
          <w:lang w:eastAsia="zh-CN"/>
        </w:rPr>
      </w:pPr>
      <w:r>
        <w:rPr>
          <w:noProof/>
        </w:rPr>
        <w:lastRenderedPageBreak/>
        <w:drawing>
          <wp:inline distT="0" distB="0" distL="0" distR="0" wp14:anchorId="5D03F1B8" wp14:editId="60C05C0B">
            <wp:extent cx="2160000" cy="1618869"/>
            <wp:effectExtent l="0" t="0" r="0" b="635"/>
            <wp:docPr id="2487545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54531"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000" cy="1618869"/>
                    </a:xfrm>
                    <a:prstGeom prst="rect">
                      <a:avLst/>
                    </a:prstGeom>
                    <a:noFill/>
                    <a:ln>
                      <a:noFill/>
                    </a:ln>
                  </pic:spPr>
                </pic:pic>
              </a:graphicData>
            </a:graphic>
          </wp:inline>
        </w:drawing>
      </w:r>
    </w:p>
    <w:p w14:paraId="57C3E02E" w14:textId="708C4C30" w:rsidR="00C756B4" w:rsidRPr="00756048" w:rsidRDefault="00C756B4" w:rsidP="00C756B4">
      <w:pPr>
        <w:pStyle w:val="He01Flietext"/>
        <w:jc w:val="center"/>
        <w:rPr>
          <w:rFonts w:eastAsia="宋体" w:cs="Segoe UI"/>
          <w:i/>
          <w:iCs/>
          <w:lang w:val="en-US" w:eastAsia="zh-CN"/>
        </w:rPr>
      </w:pPr>
      <w:r w:rsidRPr="00756048">
        <w:rPr>
          <w:rFonts w:eastAsia="宋体" w:cs="Segoe UI"/>
          <w:i/>
          <w:iCs/>
          <w:lang w:val="en-US" w:eastAsia="zh-CN"/>
        </w:rPr>
        <w:t>汉高发布</w:t>
      </w:r>
      <w:r w:rsidRPr="00756048">
        <w:rPr>
          <w:rFonts w:eastAsia="宋体" w:cs="Segoe UI"/>
          <w:i/>
          <w:iCs/>
          <w:lang w:val="en-US" w:eastAsia="zh-CN"/>
        </w:rPr>
        <w:t>2025</w:t>
      </w:r>
      <w:r w:rsidR="003E7B45" w:rsidRPr="00756048">
        <w:rPr>
          <w:rFonts w:eastAsia="宋体" w:cs="Segoe UI" w:hint="eastAsia"/>
          <w:i/>
          <w:iCs/>
          <w:lang w:val="en-US" w:eastAsia="zh-CN"/>
        </w:rPr>
        <w:t>财年半年报</w:t>
      </w:r>
    </w:p>
    <w:p w14:paraId="548E4CEA" w14:textId="77777777" w:rsidR="001331DC" w:rsidRPr="00F007BC" w:rsidRDefault="001331DC" w:rsidP="00F007BC">
      <w:pPr>
        <w:pStyle w:val="He01Flietext"/>
        <w:spacing w:after="0" w:line="276" w:lineRule="auto"/>
        <w:jc w:val="center"/>
        <w:rPr>
          <w:rFonts w:eastAsia="宋体"/>
          <w:b/>
          <w:bCs/>
          <w:lang w:eastAsia="zh-CN"/>
        </w:rPr>
      </w:pPr>
    </w:p>
    <w:bookmarkEnd w:id="2"/>
    <w:p w14:paraId="70A56D8A" w14:textId="12C5D794" w:rsidR="00DE6EFB" w:rsidRDefault="00B51E72">
      <w:pPr>
        <w:rPr>
          <w:rFonts w:cs="Segoe UI"/>
          <w:szCs w:val="22"/>
          <w:lang w:val="de-DE" w:eastAsia="zh-CN"/>
        </w:rPr>
      </w:pPr>
      <w:r>
        <w:rPr>
          <w:rFonts w:cs="Segoe UI"/>
          <w:szCs w:val="22"/>
          <w:lang w:eastAsia="zh-CN"/>
        </w:rPr>
        <w:t>卡斯</w:t>
      </w:r>
      <w:proofErr w:type="gramStart"/>
      <w:r>
        <w:rPr>
          <w:rFonts w:cs="Segoe UI"/>
          <w:szCs w:val="22"/>
          <w:lang w:eastAsia="zh-CN"/>
        </w:rPr>
        <w:t>滕</w:t>
      </w:r>
      <w:proofErr w:type="gramEnd"/>
      <w:r>
        <w:rPr>
          <w:rFonts w:cs="Segoe UI"/>
          <w:szCs w:val="22"/>
          <w:lang w:eastAsia="zh-CN"/>
        </w:rPr>
        <w:t>·</w:t>
      </w:r>
      <w:r>
        <w:rPr>
          <w:rFonts w:cs="Segoe UI" w:hint="eastAsia"/>
          <w:szCs w:val="22"/>
          <w:lang w:eastAsia="zh-CN"/>
        </w:rPr>
        <w:t>诺贝尔补充道</w:t>
      </w:r>
      <w:r>
        <w:rPr>
          <w:rFonts w:cs="Segoe UI"/>
          <w:szCs w:val="22"/>
          <w:lang w:eastAsia="zh-CN"/>
        </w:rPr>
        <w:t>：</w:t>
      </w:r>
      <w:r>
        <w:rPr>
          <w:rFonts w:cs="Segoe UI" w:hint="eastAsia"/>
          <w:szCs w:val="22"/>
          <w:lang w:eastAsia="zh-CN"/>
        </w:rPr>
        <w:t>“此外，今年上半年我们的息税前利润率实现显著提升，主要得益于两大业务部门</w:t>
      </w:r>
      <w:r w:rsidR="00EB7D66">
        <w:rPr>
          <w:rFonts w:cs="Segoe UI" w:hint="eastAsia"/>
          <w:szCs w:val="22"/>
          <w:lang w:eastAsia="zh-CN"/>
        </w:rPr>
        <w:t>极为</w:t>
      </w:r>
      <w:r>
        <w:rPr>
          <w:rFonts w:cs="Segoe UI" w:hint="eastAsia"/>
          <w:szCs w:val="22"/>
          <w:lang w:eastAsia="zh-CN"/>
        </w:rPr>
        <w:t>强劲的毛利率</w:t>
      </w:r>
      <w:r w:rsidR="00EB7D66">
        <w:rPr>
          <w:rFonts w:cs="Segoe UI" w:hint="eastAsia"/>
          <w:szCs w:val="22"/>
          <w:lang w:eastAsia="zh-CN"/>
        </w:rPr>
        <w:t>表现，</w:t>
      </w:r>
      <w:r>
        <w:rPr>
          <w:rFonts w:cs="Segoe UI" w:hint="eastAsia"/>
          <w:szCs w:val="22"/>
          <w:lang w:eastAsia="zh-CN"/>
        </w:rPr>
        <w:t>以及有效的业务组合</w:t>
      </w:r>
      <w:r w:rsidR="00EB7D66">
        <w:rPr>
          <w:rFonts w:cs="Segoe UI" w:hint="eastAsia"/>
          <w:szCs w:val="22"/>
          <w:lang w:eastAsia="zh-CN"/>
        </w:rPr>
        <w:t>结构</w:t>
      </w:r>
      <w:r>
        <w:rPr>
          <w:rFonts w:cs="Segoe UI" w:hint="eastAsia"/>
          <w:szCs w:val="22"/>
          <w:lang w:eastAsia="zh-CN"/>
        </w:rPr>
        <w:t>。我们持续推进效率提升，</w:t>
      </w:r>
      <w:r>
        <w:rPr>
          <w:rFonts w:cs="Segoe UI"/>
          <w:szCs w:val="22"/>
          <w:lang w:val="de-DE" w:eastAsia="zh-CN"/>
        </w:rPr>
        <w:t>并有望达到甚至超过消费品牌业务</w:t>
      </w:r>
      <w:r>
        <w:rPr>
          <w:rFonts w:cs="Segoe UI" w:hint="eastAsia"/>
          <w:szCs w:val="22"/>
          <w:lang w:val="de-DE" w:eastAsia="zh-CN"/>
        </w:rPr>
        <w:t>部</w:t>
      </w:r>
      <w:r>
        <w:rPr>
          <w:rFonts w:cs="Segoe UI"/>
          <w:szCs w:val="22"/>
          <w:lang w:val="de-DE" w:eastAsia="zh-CN"/>
        </w:rPr>
        <w:t>设定的</w:t>
      </w:r>
      <w:r>
        <w:rPr>
          <w:rFonts w:cs="Segoe UI" w:hint="eastAsia"/>
          <w:szCs w:val="22"/>
          <w:lang w:val="de-DE" w:eastAsia="zh-CN"/>
        </w:rPr>
        <w:t>成本</w:t>
      </w:r>
      <w:r>
        <w:rPr>
          <w:rFonts w:cs="Segoe UI" w:hint="eastAsia"/>
          <w:szCs w:val="22"/>
          <w:lang w:eastAsia="zh-CN"/>
        </w:rPr>
        <w:t>节约</w:t>
      </w:r>
      <w:r>
        <w:rPr>
          <w:rFonts w:cs="Segoe UI"/>
          <w:szCs w:val="22"/>
          <w:lang w:val="de-DE" w:eastAsia="zh-CN"/>
        </w:rPr>
        <w:t>目标。与此同时，</w:t>
      </w:r>
      <w:r w:rsidR="00EB7D66" w:rsidRPr="00EB7D66">
        <w:rPr>
          <w:rFonts w:cs="Segoe UI"/>
          <w:szCs w:val="22"/>
          <w:lang w:eastAsia="zh-CN"/>
        </w:rPr>
        <w:t>我们持续加大对品牌建设与技术研发的投入，为未来的增长潜力奠定坚实基础。</w:t>
      </w:r>
      <w:r>
        <w:rPr>
          <w:rFonts w:cs="Segoe UI" w:hint="eastAsia"/>
          <w:szCs w:val="22"/>
          <w:lang w:val="de-DE" w:eastAsia="zh-CN"/>
        </w:rPr>
        <w:t>”</w:t>
      </w:r>
    </w:p>
    <w:p w14:paraId="20DE1B28" w14:textId="5D2A4538" w:rsidR="001331DC" w:rsidRDefault="00FF13C9" w:rsidP="00FF13C9">
      <w:pPr>
        <w:jc w:val="center"/>
        <w:rPr>
          <w:rFonts w:cs="Segoe UI"/>
          <w:szCs w:val="22"/>
          <w:lang w:val="de-DE" w:eastAsia="zh-CN"/>
        </w:rPr>
      </w:pPr>
      <w:r>
        <w:rPr>
          <w:noProof/>
        </w:rPr>
        <w:drawing>
          <wp:inline distT="0" distB="0" distL="0" distR="0" wp14:anchorId="2735DCB5" wp14:editId="4602D1D9">
            <wp:extent cx="2160000" cy="1441506"/>
            <wp:effectExtent l="0" t="0" r="0" b="6350"/>
            <wp:docPr id="1882406273" name="图片 5" descr="穿西装的男子站在门前&#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06273" name="图片 5" descr="穿西装的男子站在门前&#10;&#10;AI 生成的内容可能不正确。"/>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441506"/>
                    </a:xfrm>
                    <a:prstGeom prst="rect">
                      <a:avLst/>
                    </a:prstGeom>
                    <a:noFill/>
                    <a:ln>
                      <a:noFill/>
                    </a:ln>
                  </pic:spPr>
                </pic:pic>
              </a:graphicData>
            </a:graphic>
          </wp:inline>
        </w:drawing>
      </w:r>
    </w:p>
    <w:p w14:paraId="2DB7DCED" w14:textId="77777777" w:rsidR="00435BD9" w:rsidRPr="001D750B" w:rsidRDefault="00435BD9" w:rsidP="00435BD9">
      <w:pPr>
        <w:pStyle w:val="He01Flietext"/>
        <w:jc w:val="center"/>
        <w:rPr>
          <w:rFonts w:eastAsia="宋体" w:cs="Segoe UI"/>
          <w:i/>
          <w:iCs/>
          <w:lang w:val="en-US" w:eastAsia="zh-CN"/>
        </w:rPr>
      </w:pPr>
      <w:r w:rsidRPr="001D750B">
        <w:rPr>
          <w:rFonts w:eastAsia="宋体" w:cs="Segoe UI"/>
          <w:i/>
          <w:iCs/>
          <w:lang w:val="en-US" w:eastAsia="zh-CN"/>
        </w:rPr>
        <w:t>汉高首席执行官卡斯</w:t>
      </w:r>
      <w:proofErr w:type="gramStart"/>
      <w:r w:rsidRPr="001D750B">
        <w:rPr>
          <w:rFonts w:eastAsia="宋体" w:cs="Segoe UI"/>
          <w:i/>
          <w:iCs/>
          <w:lang w:val="en-US" w:eastAsia="zh-CN"/>
        </w:rPr>
        <w:t>滕</w:t>
      </w:r>
      <w:proofErr w:type="gramEnd"/>
      <w:r w:rsidRPr="001D750B">
        <w:rPr>
          <w:rFonts w:eastAsia="宋体" w:cs="Segoe UI"/>
          <w:i/>
          <w:iCs/>
          <w:lang w:val="en-US" w:eastAsia="zh-CN"/>
        </w:rPr>
        <w:t>·</w:t>
      </w:r>
      <w:r w:rsidRPr="001D750B">
        <w:rPr>
          <w:rFonts w:eastAsia="宋体" w:cs="Segoe UI"/>
          <w:i/>
          <w:iCs/>
          <w:lang w:val="en-US" w:eastAsia="zh-CN"/>
        </w:rPr>
        <w:t>诺贝尔（</w:t>
      </w:r>
      <w:r w:rsidRPr="001D750B">
        <w:rPr>
          <w:rFonts w:eastAsia="宋体" w:cs="Segoe UI"/>
          <w:i/>
          <w:iCs/>
          <w:lang w:val="en-US" w:eastAsia="zh-CN"/>
        </w:rPr>
        <w:t>Carsten Knobel</w:t>
      </w:r>
      <w:r w:rsidRPr="001D750B">
        <w:rPr>
          <w:rFonts w:eastAsia="宋体" w:cs="Segoe UI"/>
          <w:i/>
          <w:iCs/>
          <w:lang w:val="en-US" w:eastAsia="zh-CN"/>
        </w:rPr>
        <w:t>）</w:t>
      </w:r>
    </w:p>
    <w:p w14:paraId="6C10FF87" w14:textId="77777777" w:rsidR="00C756B4" w:rsidRPr="00492449" w:rsidRDefault="00C756B4" w:rsidP="00492449">
      <w:pPr>
        <w:jc w:val="center"/>
        <w:rPr>
          <w:rFonts w:cs="Segoe UI"/>
          <w:b/>
          <w:bCs/>
          <w:szCs w:val="22"/>
          <w:lang w:val="de-DE" w:eastAsia="zh-CN"/>
        </w:rPr>
      </w:pPr>
    </w:p>
    <w:p w14:paraId="15682F36" w14:textId="77777777" w:rsidR="00DE6EFB" w:rsidRDefault="00DE6EFB">
      <w:pPr>
        <w:rPr>
          <w:rFonts w:cs="Segoe UI"/>
          <w:szCs w:val="22"/>
          <w:lang w:eastAsia="zh-CN"/>
        </w:rPr>
      </w:pPr>
    </w:p>
    <w:bookmarkEnd w:id="1"/>
    <w:p w14:paraId="53FABC79" w14:textId="77777777" w:rsidR="00DE6EFB" w:rsidRDefault="00B51E72">
      <w:pPr>
        <w:spacing w:after="120"/>
        <w:ind w:right="-108"/>
        <w:jc w:val="left"/>
        <w:rPr>
          <w:rFonts w:cs="Segoe UI"/>
          <w:b/>
          <w:bCs/>
          <w:szCs w:val="22"/>
          <w:lang w:eastAsia="zh-CN"/>
        </w:rPr>
      </w:pPr>
      <w:r>
        <w:rPr>
          <w:rFonts w:cs="Segoe UI" w:hint="eastAsia"/>
          <w:b/>
          <w:bCs/>
          <w:szCs w:val="22"/>
          <w:lang w:eastAsia="zh-CN"/>
        </w:rPr>
        <w:t>2025</w:t>
      </w:r>
      <w:r>
        <w:rPr>
          <w:rFonts w:cs="Segoe UI" w:hint="eastAsia"/>
          <w:b/>
          <w:bCs/>
          <w:szCs w:val="22"/>
          <w:lang w:eastAsia="zh-CN"/>
        </w:rPr>
        <w:t>财年展望更新</w:t>
      </w:r>
    </w:p>
    <w:p w14:paraId="61E7914B" w14:textId="7AA5D2FF" w:rsidR="00DE6EFB" w:rsidRDefault="00B51E72">
      <w:pPr>
        <w:rPr>
          <w:rFonts w:cs="Segoe UI"/>
          <w:szCs w:val="22"/>
          <w:lang w:eastAsia="zh-CN"/>
        </w:rPr>
      </w:pPr>
      <w:r>
        <w:rPr>
          <w:rFonts w:cs="Segoe UI" w:hint="eastAsia"/>
          <w:szCs w:val="22"/>
          <w:lang w:eastAsia="zh-CN"/>
        </w:rPr>
        <w:t>根据</w:t>
      </w:r>
      <w:r>
        <w:rPr>
          <w:rFonts w:cs="Segoe UI"/>
          <w:szCs w:val="22"/>
          <w:lang w:eastAsia="zh-CN"/>
        </w:rPr>
        <w:t>2025</w:t>
      </w:r>
      <w:r>
        <w:rPr>
          <w:rFonts w:cs="Segoe UI" w:hint="eastAsia"/>
          <w:szCs w:val="22"/>
          <w:lang w:eastAsia="zh-CN"/>
        </w:rPr>
        <w:t>财</w:t>
      </w:r>
      <w:r>
        <w:rPr>
          <w:rFonts w:cs="Segoe UI"/>
          <w:szCs w:val="22"/>
          <w:lang w:eastAsia="zh-CN"/>
        </w:rPr>
        <w:t>年上半年取得的</w:t>
      </w:r>
      <w:r>
        <w:rPr>
          <w:rFonts w:cs="Segoe UI" w:hint="eastAsia"/>
          <w:szCs w:val="22"/>
          <w:lang w:eastAsia="zh-CN"/>
        </w:rPr>
        <w:t>业绩以及</w:t>
      </w:r>
      <w:r w:rsidR="007C6CC2">
        <w:rPr>
          <w:rFonts w:cs="Segoe UI" w:hint="eastAsia"/>
          <w:szCs w:val="22"/>
          <w:lang w:eastAsia="zh-CN"/>
        </w:rPr>
        <w:t>对下半年</w:t>
      </w:r>
      <w:r>
        <w:rPr>
          <w:rFonts w:cs="Segoe UI"/>
          <w:szCs w:val="22"/>
          <w:lang w:eastAsia="zh-CN"/>
        </w:rPr>
        <w:t>的</w:t>
      </w:r>
      <w:r w:rsidR="007C6CC2">
        <w:rPr>
          <w:rFonts w:cs="Segoe UI" w:hint="eastAsia"/>
          <w:szCs w:val="22"/>
          <w:lang w:eastAsia="zh-CN"/>
        </w:rPr>
        <w:t>预测</w:t>
      </w:r>
      <w:r>
        <w:rPr>
          <w:rFonts w:cs="Segoe UI"/>
          <w:szCs w:val="22"/>
          <w:lang w:eastAsia="zh-CN"/>
        </w:rPr>
        <w:t>，汉高更新了</w:t>
      </w:r>
      <w:r>
        <w:rPr>
          <w:rFonts w:cs="Segoe UI"/>
          <w:szCs w:val="22"/>
          <w:lang w:eastAsia="zh-CN"/>
        </w:rPr>
        <w:t>2025</w:t>
      </w:r>
      <w:r>
        <w:rPr>
          <w:rFonts w:cs="Segoe UI"/>
          <w:szCs w:val="22"/>
          <w:lang w:eastAsia="zh-CN"/>
        </w:rPr>
        <w:t>财年的</w:t>
      </w:r>
      <w:r w:rsidR="007C6CC2">
        <w:rPr>
          <w:rFonts w:cs="Segoe UI" w:hint="eastAsia"/>
          <w:szCs w:val="22"/>
          <w:lang w:eastAsia="zh-CN"/>
        </w:rPr>
        <w:t>业绩</w:t>
      </w:r>
      <w:r>
        <w:rPr>
          <w:rFonts w:cs="Segoe UI"/>
          <w:szCs w:val="22"/>
          <w:lang w:eastAsia="zh-CN"/>
        </w:rPr>
        <w:t>展望。</w:t>
      </w:r>
    </w:p>
    <w:p w14:paraId="7574504A" w14:textId="77777777" w:rsidR="00CF1115" w:rsidRDefault="00CF1115">
      <w:pPr>
        <w:rPr>
          <w:rFonts w:cs="Segoe UI"/>
          <w:szCs w:val="22"/>
          <w:lang w:eastAsia="zh-CN"/>
        </w:rPr>
      </w:pPr>
    </w:p>
    <w:p w14:paraId="4BDED060" w14:textId="10D4230C" w:rsidR="00DE6EFB" w:rsidRDefault="00B51E72">
      <w:pPr>
        <w:rPr>
          <w:rFonts w:cs="Segoe UI"/>
          <w:szCs w:val="22"/>
          <w:lang w:eastAsia="zh-CN"/>
        </w:rPr>
      </w:pPr>
      <w:r>
        <w:rPr>
          <w:rFonts w:cs="Segoe UI" w:hint="eastAsia"/>
          <w:szCs w:val="22"/>
          <w:lang w:eastAsia="zh-CN"/>
        </w:rPr>
        <w:t>对于</w:t>
      </w:r>
      <w:r w:rsidR="007C6CC2">
        <w:rPr>
          <w:rFonts w:cs="Segoe UI" w:hint="eastAsia"/>
          <w:szCs w:val="22"/>
          <w:lang w:eastAsia="zh-CN"/>
        </w:rPr>
        <w:t>更新后的财年</w:t>
      </w:r>
      <w:r>
        <w:rPr>
          <w:rFonts w:cs="Segoe UI" w:hint="eastAsia"/>
          <w:szCs w:val="22"/>
          <w:lang w:eastAsia="zh-CN"/>
        </w:rPr>
        <w:t>展望，</w:t>
      </w:r>
      <w:r>
        <w:rPr>
          <w:rFonts w:cs="Segoe UI"/>
          <w:szCs w:val="22"/>
          <w:lang w:eastAsia="zh-CN"/>
        </w:rPr>
        <w:t>卡斯</w:t>
      </w:r>
      <w:proofErr w:type="gramStart"/>
      <w:r>
        <w:rPr>
          <w:rFonts w:cs="Segoe UI"/>
          <w:szCs w:val="22"/>
          <w:lang w:eastAsia="zh-CN"/>
        </w:rPr>
        <w:t>滕</w:t>
      </w:r>
      <w:proofErr w:type="gramEnd"/>
      <w:r>
        <w:rPr>
          <w:rFonts w:cs="Segoe UI"/>
          <w:szCs w:val="22"/>
          <w:lang w:eastAsia="zh-CN"/>
        </w:rPr>
        <w:t>·</w:t>
      </w:r>
      <w:r>
        <w:rPr>
          <w:rFonts w:cs="Segoe UI" w:hint="eastAsia"/>
          <w:szCs w:val="22"/>
          <w:lang w:eastAsia="zh-CN"/>
        </w:rPr>
        <w:t>诺贝尔解释道</w:t>
      </w:r>
      <w:r>
        <w:rPr>
          <w:rFonts w:cs="Segoe UI"/>
          <w:szCs w:val="22"/>
          <w:lang w:eastAsia="zh-CN"/>
        </w:rPr>
        <w:t>：</w:t>
      </w:r>
      <w:r>
        <w:rPr>
          <w:rFonts w:cs="Segoe UI" w:hint="eastAsia"/>
          <w:szCs w:val="22"/>
          <w:lang w:eastAsia="zh-CN"/>
        </w:rPr>
        <w:t>“</w:t>
      </w:r>
      <w:r>
        <w:rPr>
          <w:rFonts w:cs="Segoe UI"/>
          <w:szCs w:val="22"/>
          <w:lang w:eastAsia="zh-CN"/>
        </w:rPr>
        <w:t>我们预计</w:t>
      </w:r>
      <w:r>
        <w:rPr>
          <w:rFonts w:cs="Segoe UI"/>
          <w:szCs w:val="22"/>
          <w:lang w:eastAsia="zh-CN"/>
        </w:rPr>
        <w:t>2025</w:t>
      </w:r>
      <w:r>
        <w:rPr>
          <w:rFonts w:cs="Segoe UI"/>
          <w:szCs w:val="22"/>
          <w:lang w:eastAsia="zh-CN"/>
        </w:rPr>
        <w:t>财年将实现进一步盈利增长，预期下半年</w:t>
      </w:r>
      <w:r>
        <w:rPr>
          <w:rFonts w:cs="Segoe UI" w:hint="eastAsia"/>
          <w:szCs w:val="22"/>
          <w:lang w:eastAsia="zh-CN"/>
        </w:rPr>
        <w:t>的</w:t>
      </w:r>
      <w:r>
        <w:rPr>
          <w:rFonts w:cs="Segoe UI"/>
          <w:szCs w:val="22"/>
          <w:lang w:eastAsia="zh-CN"/>
        </w:rPr>
        <w:t>销售</w:t>
      </w:r>
      <w:r>
        <w:rPr>
          <w:rFonts w:cs="Segoe UI" w:hint="eastAsia"/>
          <w:szCs w:val="22"/>
          <w:lang w:eastAsia="zh-CN"/>
        </w:rPr>
        <w:t>额</w:t>
      </w:r>
      <w:r>
        <w:rPr>
          <w:rFonts w:cs="Segoe UI"/>
          <w:szCs w:val="22"/>
          <w:lang w:eastAsia="zh-CN"/>
        </w:rPr>
        <w:t>增长将更为强劲。更新后的</w:t>
      </w:r>
      <w:r w:rsidR="007C6CC2">
        <w:rPr>
          <w:rFonts w:cs="Segoe UI" w:hint="eastAsia"/>
          <w:szCs w:val="22"/>
          <w:lang w:eastAsia="zh-CN"/>
        </w:rPr>
        <w:t>业绩</w:t>
      </w:r>
      <w:r>
        <w:rPr>
          <w:rFonts w:cs="Segoe UI"/>
          <w:szCs w:val="22"/>
          <w:lang w:eastAsia="zh-CN"/>
        </w:rPr>
        <w:t>展望一方面考虑了宏观经济环境对公司两大业务部有机销售</w:t>
      </w:r>
      <w:r>
        <w:rPr>
          <w:rFonts w:cs="Segoe UI" w:hint="eastAsia"/>
          <w:szCs w:val="22"/>
          <w:lang w:eastAsia="zh-CN"/>
        </w:rPr>
        <w:t>额</w:t>
      </w:r>
      <w:r>
        <w:rPr>
          <w:rFonts w:cs="Segoe UI"/>
          <w:szCs w:val="22"/>
          <w:lang w:eastAsia="zh-CN"/>
        </w:rPr>
        <w:t>增长的影响，另一方面，盈利预期</w:t>
      </w:r>
      <w:r>
        <w:rPr>
          <w:rFonts w:cs="Segoe UI" w:hint="eastAsia"/>
          <w:szCs w:val="22"/>
          <w:lang w:eastAsia="zh-CN"/>
        </w:rPr>
        <w:t>的</w:t>
      </w:r>
      <w:r>
        <w:rPr>
          <w:rFonts w:cs="Segoe UI"/>
          <w:szCs w:val="22"/>
          <w:lang w:eastAsia="zh-CN"/>
        </w:rPr>
        <w:t>提升反映了</w:t>
      </w:r>
      <w:r>
        <w:rPr>
          <w:rFonts w:cs="Segoe UI" w:hint="eastAsia"/>
          <w:szCs w:val="22"/>
          <w:lang w:eastAsia="zh-CN"/>
        </w:rPr>
        <w:t>公司</w:t>
      </w:r>
      <w:r>
        <w:rPr>
          <w:rFonts w:cs="Segoe UI"/>
          <w:szCs w:val="22"/>
          <w:lang w:eastAsia="zh-CN"/>
        </w:rPr>
        <w:t>毛利率的</w:t>
      </w:r>
      <w:r>
        <w:rPr>
          <w:rFonts w:cs="Segoe UI" w:hint="eastAsia"/>
          <w:szCs w:val="22"/>
          <w:lang w:eastAsia="zh-CN"/>
        </w:rPr>
        <w:t>增长</w:t>
      </w:r>
      <w:r>
        <w:rPr>
          <w:rFonts w:cs="Segoe UI"/>
          <w:szCs w:val="22"/>
          <w:lang w:eastAsia="zh-CN"/>
        </w:rPr>
        <w:t>、</w:t>
      </w:r>
      <w:r w:rsidR="007C6CC2">
        <w:rPr>
          <w:rFonts w:cs="Segoe UI" w:hint="eastAsia"/>
          <w:szCs w:val="22"/>
          <w:lang w:eastAsia="zh-CN"/>
        </w:rPr>
        <w:t>业务</w:t>
      </w:r>
      <w:r>
        <w:rPr>
          <w:rFonts w:cs="Segoe UI"/>
          <w:szCs w:val="22"/>
          <w:lang w:eastAsia="zh-CN"/>
        </w:rPr>
        <w:t>组合优化的</w:t>
      </w:r>
      <w:r>
        <w:rPr>
          <w:rFonts w:cs="Segoe UI" w:hint="eastAsia"/>
          <w:szCs w:val="22"/>
          <w:lang w:eastAsia="zh-CN"/>
        </w:rPr>
        <w:t>收益</w:t>
      </w:r>
      <w:r>
        <w:rPr>
          <w:rFonts w:cs="Segoe UI"/>
          <w:szCs w:val="22"/>
          <w:lang w:eastAsia="zh-CN"/>
        </w:rPr>
        <w:t>以及公司内部效率</w:t>
      </w:r>
      <w:r>
        <w:rPr>
          <w:rFonts w:cs="Segoe UI" w:hint="eastAsia"/>
          <w:szCs w:val="22"/>
          <w:lang w:eastAsia="zh-CN"/>
        </w:rPr>
        <w:t>的</w:t>
      </w:r>
      <w:r>
        <w:rPr>
          <w:rFonts w:cs="Segoe UI"/>
          <w:szCs w:val="22"/>
          <w:lang w:eastAsia="zh-CN"/>
        </w:rPr>
        <w:t>提升。</w:t>
      </w:r>
      <w:r w:rsidR="007C6CC2">
        <w:rPr>
          <w:rFonts w:cs="Segoe UI" w:hint="eastAsia"/>
          <w:szCs w:val="22"/>
          <w:lang w:eastAsia="zh-CN"/>
        </w:rPr>
        <w:t>此次</w:t>
      </w:r>
      <w:r>
        <w:rPr>
          <w:rFonts w:cs="Segoe UI"/>
          <w:szCs w:val="22"/>
          <w:lang w:eastAsia="zh-CN"/>
        </w:rPr>
        <w:t>更新后的</w:t>
      </w:r>
      <w:r w:rsidR="007C6CC2">
        <w:rPr>
          <w:rFonts w:cs="Segoe UI" w:hint="eastAsia"/>
          <w:szCs w:val="22"/>
          <w:lang w:eastAsia="zh-CN"/>
        </w:rPr>
        <w:t>业绩</w:t>
      </w:r>
      <w:r>
        <w:rPr>
          <w:rFonts w:cs="Segoe UI"/>
          <w:szCs w:val="22"/>
          <w:lang w:eastAsia="zh-CN"/>
        </w:rPr>
        <w:t>展望</w:t>
      </w:r>
      <w:r w:rsidR="007C6CC2" w:rsidRPr="007C6CC2">
        <w:rPr>
          <w:rFonts w:cs="Segoe UI"/>
          <w:szCs w:val="22"/>
          <w:lang w:eastAsia="zh-CN"/>
        </w:rPr>
        <w:t>仍考虑了当前全球关税协定带来的可预见影响，并与市场对汉高全年业务发展的普遍预期基本吻合。</w:t>
      </w:r>
      <w:r>
        <w:rPr>
          <w:rFonts w:cs="Segoe UI" w:hint="eastAsia"/>
          <w:szCs w:val="22"/>
          <w:lang w:eastAsia="zh-CN"/>
        </w:rPr>
        <w:t>”</w:t>
      </w:r>
    </w:p>
    <w:p w14:paraId="65597290" w14:textId="77777777" w:rsidR="00EC69EA" w:rsidRDefault="00EC69EA">
      <w:pPr>
        <w:rPr>
          <w:rFonts w:cs="Segoe UI"/>
          <w:szCs w:val="22"/>
          <w:lang w:eastAsia="zh-CN"/>
        </w:rPr>
      </w:pPr>
    </w:p>
    <w:p w14:paraId="4A75079C" w14:textId="474C7BE5" w:rsidR="00DE6EFB" w:rsidRDefault="00293BE2">
      <w:pPr>
        <w:rPr>
          <w:rFonts w:cs="Segoe UI"/>
          <w:szCs w:val="22"/>
          <w:lang w:eastAsia="zh-CN"/>
        </w:rPr>
      </w:pPr>
      <w:r>
        <w:rPr>
          <w:rFonts w:cs="Segoe UI" w:hint="eastAsia"/>
          <w:szCs w:val="22"/>
          <w:lang w:eastAsia="zh-CN"/>
        </w:rPr>
        <w:t>基于更新后的财年展望</w:t>
      </w:r>
      <w:r w:rsidR="00B51E72">
        <w:rPr>
          <w:rFonts w:cs="Segoe UI"/>
          <w:szCs w:val="22"/>
          <w:lang w:eastAsia="zh-CN"/>
        </w:rPr>
        <w:t>，汉高目前预计</w:t>
      </w:r>
      <w:r>
        <w:rPr>
          <w:rFonts w:cs="Segoe UI" w:hint="eastAsia"/>
          <w:szCs w:val="22"/>
          <w:lang w:eastAsia="zh-CN"/>
        </w:rPr>
        <w:t>本财年</w:t>
      </w:r>
      <w:r w:rsidR="00B51E72">
        <w:rPr>
          <w:rFonts w:cs="Segoe UI"/>
          <w:szCs w:val="22"/>
          <w:lang w:eastAsia="zh-CN"/>
        </w:rPr>
        <w:t>有机销售增长</w:t>
      </w:r>
      <w:r w:rsidR="00B51E72">
        <w:rPr>
          <w:rFonts w:cs="Segoe UI"/>
          <w:szCs w:val="22"/>
          <w:lang w:eastAsia="zh-CN"/>
        </w:rPr>
        <w:t>1.0%</w:t>
      </w:r>
      <w:r w:rsidR="00B51E72">
        <w:rPr>
          <w:rFonts w:cs="Segoe UI"/>
          <w:szCs w:val="22"/>
          <w:lang w:eastAsia="zh-CN"/>
        </w:rPr>
        <w:t>至</w:t>
      </w:r>
      <w:r w:rsidR="00B51E72">
        <w:rPr>
          <w:rFonts w:cs="Segoe UI"/>
          <w:szCs w:val="22"/>
          <w:lang w:eastAsia="zh-CN"/>
        </w:rPr>
        <w:t>2.0%</w:t>
      </w:r>
      <w:r w:rsidR="00B51E72">
        <w:rPr>
          <w:rFonts w:cs="Segoe UI"/>
          <w:szCs w:val="22"/>
          <w:lang w:eastAsia="zh-CN"/>
        </w:rPr>
        <w:t>（</w:t>
      </w:r>
      <w:r w:rsidRPr="00293BE2">
        <w:rPr>
          <w:rFonts w:cs="Segoe UI"/>
          <w:szCs w:val="22"/>
          <w:lang w:eastAsia="zh-CN"/>
        </w:rPr>
        <w:t>此前预期</w:t>
      </w:r>
      <w:r w:rsidR="00B51E72">
        <w:rPr>
          <w:rFonts w:cs="Segoe UI" w:hint="eastAsia"/>
          <w:szCs w:val="22"/>
          <w:lang w:eastAsia="zh-CN"/>
        </w:rPr>
        <w:t>：</w:t>
      </w:r>
      <w:r w:rsidR="00B51E72">
        <w:rPr>
          <w:rFonts w:cs="Segoe UI"/>
          <w:szCs w:val="22"/>
          <w:lang w:eastAsia="zh-CN"/>
        </w:rPr>
        <w:t>1.5%</w:t>
      </w:r>
      <w:r w:rsidR="00B51E72">
        <w:rPr>
          <w:rFonts w:cs="Segoe UI"/>
          <w:szCs w:val="22"/>
          <w:lang w:eastAsia="zh-CN"/>
        </w:rPr>
        <w:t>至</w:t>
      </w:r>
      <w:r w:rsidR="00B51E72">
        <w:rPr>
          <w:rFonts w:cs="Segoe UI"/>
          <w:szCs w:val="22"/>
          <w:lang w:eastAsia="zh-CN"/>
        </w:rPr>
        <w:t>3.5%</w:t>
      </w:r>
      <w:r w:rsidR="00B51E72">
        <w:rPr>
          <w:rFonts w:cs="Segoe UI"/>
          <w:szCs w:val="22"/>
          <w:lang w:eastAsia="zh-CN"/>
        </w:rPr>
        <w:t>）。</w:t>
      </w:r>
      <w:r>
        <w:rPr>
          <w:rFonts w:cs="Segoe UI" w:hint="eastAsia"/>
          <w:szCs w:val="22"/>
          <w:lang w:eastAsia="zh-CN"/>
        </w:rPr>
        <w:t>其中，</w:t>
      </w:r>
      <w:r w:rsidR="00B51E72">
        <w:rPr>
          <w:rFonts w:cs="Segoe UI"/>
          <w:szCs w:val="22"/>
          <w:lang w:eastAsia="zh-CN"/>
        </w:rPr>
        <w:t>粘合剂技术业务部预计有机销售增长</w:t>
      </w:r>
      <w:r w:rsidR="00B51E72">
        <w:rPr>
          <w:rFonts w:cs="Segoe UI"/>
          <w:szCs w:val="22"/>
          <w:lang w:eastAsia="zh-CN"/>
        </w:rPr>
        <w:t>2.0%</w:t>
      </w:r>
      <w:r w:rsidR="00B51E72">
        <w:rPr>
          <w:rFonts w:cs="Segoe UI"/>
          <w:szCs w:val="22"/>
          <w:lang w:eastAsia="zh-CN"/>
        </w:rPr>
        <w:t>至</w:t>
      </w:r>
      <w:r w:rsidR="00B51E72">
        <w:rPr>
          <w:rFonts w:cs="Segoe UI"/>
          <w:szCs w:val="22"/>
          <w:lang w:eastAsia="zh-CN"/>
        </w:rPr>
        <w:t>3.0%</w:t>
      </w:r>
      <w:r w:rsidR="00B51E72">
        <w:rPr>
          <w:rFonts w:cs="Segoe UI"/>
          <w:szCs w:val="22"/>
          <w:lang w:eastAsia="zh-CN"/>
        </w:rPr>
        <w:t>（</w:t>
      </w:r>
      <w:r w:rsidRPr="00293BE2">
        <w:rPr>
          <w:rFonts w:cs="Segoe UI"/>
          <w:szCs w:val="22"/>
          <w:lang w:eastAsia="zh-CN"/>
        </w:rPr>
        <w:t>此前预期</w:t>
      </w:r>
      <w:r>
        <w:rPr>
          <w:rFonts w:cs="Segoe UI" w:hint="eastAsia"/>
          <w:szCs w:val="22"/>
          <w:lang w:eastAsia="zh-CN"/>
        </w:rPr>
        <w:t>：</w:t>
      </w:r>
      <w:r w:rsidR="00B51E72">
        <w:rPr>
          <w:rFonts w:cs="Segoe UI"/>
          <w:szCs w:val="22"/>
          <w:lang w:eastAsia="zh-CN"/>
        </w:rPr>
        <w:t>2.0%</w:t>
      </w:r>
      <w:r w:rsidR="00B51E72">
        <w:rPr>
          <w:rFonts w:cs="Segoe UI"/>
          <w:szCs w:val="22"/>
          <w:lang w:eastAsia="zh-CN"/>
        </w:rPr>
        <w:t>至</w:t>
      </w:r>
      <w:r w:rsidR="00B51E72">
        <w:rPr>
          <w:rFonts w:cs="Segoe UI"/>
          <w:szCs w:val="22"/>
          <w:lang w:eastAsia="zh-CN"/>
        </w:rPr>
        <w:t>4.0%</w:t>
      </w:r>
      <w:r w:rsidR="00B51E72">
        <w:rPr>
          <w:rFonts w:cs="Segoe UI"/>
          <w:szCs w:val="22"/>
          <w:lang w:eastAsia="zh-CN"/>
        </w:rPr>
        <w:t>）。消费品牌业务</w:t>
      </w:r>
      <w:r w:rsidR="00B51E72">
        <w:rPr>
          <w:rFonts w:cs="Segoe UI" w:hint="eastAsia"/>
          <w:szCs w:val="22"/>
          <w:lang w:eastAsia="zh-CN"/>
        </w:rPr>
        <w:t>部</w:t>
      </w:r>
      <w:r w:rsidR="00B51E72">
        <w:rPr>
          <w:rFonts w:cs="Segoe UI"/>
          <w:szCs w:val="22"/>
          <w:lang w:eastAsia="zh-CN"/>
        </w:rPr>
        <w:t>预计有机销售</w:t>
      </w:r>
      <w:r w:rsidR="00B51E72">
        <w:rPr>
          <w:rFonts w:cs="Segoe UI" w:hint="eastAsia"/>
          <w:szCs w:val="22"/>
          <w:lang w:eastAsia="zh-CN"/>
        </w:rPr>
        <w:t>额</w:t>
      </w:r>
      <w:r w:rsidR="00B51E72">
        <w:rPr>
          <w:rFonts w:cs="Segoe UI"/>
          <w:szCs w:val="22"/>
          <w:lang w:eastAsia="zh-CN"/>
        </w:rPr>
        <w:t>增长</w:t>
      </w:r>
      <w:r w:rsidR="00B51E72">
        <w:rPr>
          <w:rFonts w:cs="Segoe UI"/>
          <w:szCs w:val="22"/>
          <w:lang w:eastAsia="zh-CN"/>
        </w:rPr>
        <w:t>0.5%</w:t>
      </w:r>
      <w:r w:rsidR="00B51E72">
        <w:rPr>
          <w:rFonts w:cs="Segoe UI"/>
          <w:szCs w:val="22"/>
          <w:lang w:eastAsia="zh-CN"/>
        </w:rPr>
        <w:t>至</w:t>
      </w:r>
      <w:r w:rsidR="00B51E72">
        <w:rPr>
          <w:rFonts w:cs="Segoe UI"/>
          <w:szCs w:val="22"/>
          <w:lang w:eastAsia="zh-CN"/>
        </w:rPr>
        <w:t>1.5%</w:t>
      </w:r>
      <w:r w:rsidR="00B51E72">
        <w:rPr>
          <w:rFonts w:cs="Segoe UI"/>
          <w:szCs w:val="22"/>
          <w:lang w:eastAsia="zh-CN"/>
        </w:rPr>
        <w:t>（</w:t>
      </w:r>
      <w:r w:rsidRPr="00293BE2">
        <w:rPr>
          <w:rFonts w:cs="Segoe UI"/>
          <w:szCs w:val="22"/>
          <w:lang w:eastAsia="zh-CN"/>
        </w:rPr>
        <w:t>此前预期</w:t>
      </w:r>
      <w:r>
        <w:rPr>
          <w:rFonts w:cs="Segoe UI" w:hint="eastAsia"/>
          <w:szCs w:val="22"/>
          <w:lang w:eastAsia="zh-CN"/>
        </w:rPr>
        <w:t>：</w:t>
      </w:r>
      <w:r w:rsidR="00B51E72">
        <w:rPr>
          <w:rFonts w:cs="Segoe UI"/>
          <w:szCs w:val="22"/>
          <w:lang w:eastAsia="zh-CN"/>
        </w:rPr>
        <w:t>1.0%</w:t>
      </w:r>
      <w:r w:rsidR="00B51E72">
        <w:rPr>
          <w:rFonts w:cs="Segoe UI"/>
          <w:szCs w:val="22"/>
          <w:lang w:eastAsia="zh-CN"/>
        </w:rPr>
        <w:t>至</w:t>
      </w:r>
      <w:r w:rsidR="00B51E72">
        <w:rPr>
          <w:rFonts w:cs="Segoe UI"/>
          <w:szCs w:val="22"/>
          <w:lang w:eastAsia="zh-CN"/>
        </w:rPr>
        <w:t>3.0%</w:t>
      </w:r>
      <w:r w:rsidR="00B51E72">
        <w:rPr>
          <w:rFonts w:cs="Segoe UI"/>
          <w:szCs w:val="22"/>
          <w:lang w:eastAsia="zh-CN"/>
        </w:rPr>
        <w:t>）。同时，</w:t>
      </w:r>
      <w:r w:rsidR="00B51E72">
        <w:rPr>
          <w:rFonts w:cs="Segoe UI"/>
          <w:b/>
          <w:bCs/>
          <w:szCs w:val="22"/>
          <w:lang w:eastAsia="zh-CN"/>
        </w:rPr>
        <w:t>调整后</w:t>
      </w:r>
      <w:r w:rsidR="00B51E72">
        <w:rPr>
          <w:rFonts w:cs="Segoe UI" w:hint="eastAsia"/>
          <w:b/>
          <w:bCs/>
          <w:szCs w:val="22"/>
          <w:lang w:eastAsia="zh-CN"/>
        </w:rPr>
        <w:t>的</w:t>
      </w:r>
      <w:r w:rsidR="00B51E72">
        <w:rPr>
          <w:rFonts w:cs="Segoe UI"/>
          <w:b/>
          <w:bCs/>
          <w:szCs w:val="22"/>
          <w:lang w:eastAsia="zh-CN"/>
        </w:rPr>
        <w:t>销售回报率</w:t>
      </w:r>
      <w:r w:rsidR="00B51E72">
        <w:rPr>
          <w:rFonts w:cs="Segoe UI"/>
          <w:szCs w:val="22"/>
          <w:lang w:eastAsia="zh-CN"/>
        </w:rPr>
        <w:t>（调整后</w:t>
      </w:r>
      <w:r w:rsidR="00B51E72">
        <w:rPr>
          <w:rFonts w:cs="Segoe UI" w:hint="eastAsia"/>
          <w:szCs w:val="22"/>
          <w:lang w:eastAsia="zh-CN"/>
        </w:rPr>
        <w:t>的息税前</w:t>
      </w:r>
      <w:r w:rsidR="00B51E72">
        <w:rPr>
          <w:rFonts w:cs="Segoe UI"/>
          <w:szCs w:val="22"/>
          <w:lang w:eastAsia="zh-CN"/>
        </w:rPr>
        <w:t>利润率）的预期</w:t>
      </w:r>
      <w:r>
        <w:rPr>
          <w:rFonts w:cs="Segoe UI" w:hint="eastAsia"/>
          <w:szCs w:val="22"/>
          <w:lang w:eastAsia="zh-CN"/>
        </w:rPr>
        <w:t>区间</w:t>
      </w:r>
      <w:r w:rsidR="00B51E72">
        <w:rPr>
          <w:rFonts w:cs="Segoe UI"/>
          <w:szCs w:val="22"/>
          <w:lang w:eastAsia="zh-CN"/>
        </w:rPr>
        <w:t>上调至</w:t>
      </w:r>
      <w:r w:rsidR="00B51E72">
        <w:rPr>
          <w:rFonts w:cs="Segoe UI"/>
          <w:szCs w:val="22"/>
          <w:lang w:eastAsia="zh-CN"/>
        </w:rPr>
        <w:t>14.5%</w:t>
      </w:r>
      <w:r w:rsidR="00B51E72">
        <w:rPr>
          <w:rFonts w:cs="Segoe UI"/>
          <w:szCs w:val="22"/>
          <w:lang w:eastAsia="zh-CN"/>
        </w:rPr>
        <w:t>至</w:t>
      </w:r>
      <w:r w:rsidR="00B51E72">
        <w:rPr>
          <w:rFonts w:cs="Segoe UI"/>
          <w:szCs w:val="22"/>
          <w:lang w:eastAsia="zh-CN"/>
        </w:rPr>
        <w:t>15.5%</w:t>
      </w:r>
      <w:r w:rsidR="00B51E72">
        <w:rPr>
          <w:rFonts w:cs="Segoe UI"/>
          <w:szCs w:val="22"/>
          <w:lang w:eastAsia="zh-CN"/>
        </w:rPr>
        <w:t>（</w:t>
      </w:r>
      <w:r w:rsidRPr="00293BE2">
        <w:rPr>
          <w:rFonts w:cs="Segoe UI"/>
          <w:szCs w:val="22"/>
          <w:lang w:eastAsia="zh-CN"/>
        </w:rPr>
        <w:t>此前预期</w:t>
      </w:r>
      <w:r>
        <w:rPr>
          <w:rFonts w:cs="Segoe UI" w:hint="eastAsia"/>
          <w:szCs w:val="22"/>
          <w:lang w:eastAsia="zh-CN"/>
        </w:rPr>
        <w:t>：</w:t>
      </w:r>
      <w:r w:rsidR="00B51E72">
        <w:rPr>
          <w:rFonts w:cs="Segoe UI"/>
          <w:szCs w:val="22"/>
          <w:lang w:eastAsia="zh-CN"/>
        </w:rPr>
        <w:t>14.0%</w:t>
      </w:r>
      <w:r w:rsidR="00B51E72">
        <w:rPr>
          <w:rFonts w:cs="Segoe UI"/>
          <w:szCs w:val="22"/>
          <w:lang w:eastAsia="zh-CN"/>
        </w:rPr>
        <w:t>至</w:t>
      </w:r>
      <w:r w:rsidR="00B51E72">
        <w:rPr>
          <w:rFonts w:cs="Segoe UI"/>
          <w:szCs w:val="22"/>
          <w:lang w:eastAsia="zh-CN"/>
        </w:rPr>
        <w:t>15.5%</w:t>
      </w:r>
      <w:r w:rsidR="00B51E72">
        <w:rPr>
          <w:rFonts w:cs="Segoe UI"/>
          <w:szCs w:val="22"/>
          <w:lang w:eastAsia="zh-CN"/>
        </w:rPr>
        <w:t>）。</w:t>
      </w:r>
      <w:r>
        <w:rPr>
          <w:rFonts w:cs="Segoe UI" w:hint="eastAsia"/>
          <w:szCs w:val="22"/>
          <w:lang w:eastAsia="zh-CN"/>
        </w:rPr>
        <w:t>具体而言，</w:t>
      </w:r>
      <w:r w:rsidR="00B51E72">
        <w:rPr>
          <w:rFonts w:cs="Segoe UI"/>
          <w:szCs w:val="22"/>
          <w:lang w:eastAsia="zh-CN"/>
        </w:rPr>
        <w:t>粘合剂技术业务</w:t>
      </w:r>
      <w:r w:rsidR="00B51E72">
        <w:rPr>
          <w:rFonts w:cs="Segoe UI" w:hint="eastAsia"/>
          <w:szCs w:val="22"/>
          <w:lang w:eastAsia="zh-CN"/>
        </w:rPr>
        <w:t>部</w:t>
      </w:r>
      <w:r w:rsidR="00B51E72">
        <w:rPr>
          <w:rFonts w:cs="Segoe UI"/>
          <w:szCs w:val="22"/>
          <w:lang w:eastAsia="zh-CN"/>
        </w:rPr>
        <w:t>调整后</w:t>
      </w:r>
      <w:r w:rsidR="00B51E72">
        <w:rPr>
          <w:rFonts w:cs="Segoe UI" w:hint="eastAsia"/>
          <w:szCs w:val="22"/>
          <w:lang w:eastAsia="zh-CN"/>
        </w:rPr>
        <w:t>的</w:t>
      </w:r>
      <w:r w:rsidR="00B51E72">
        <w:rPr>
          <w:rFonts w:cs="Segoe UI"/>
          <w:szCs w:val="22"/>
          <w:lang w:eastAsia="zh-CN"/>
        </w:rPr>
        <w:t>销售回报率</w:t>
      </w:r>
      <w:r w:rsidRPr="00293BE2">
        <w:rPr>
          <w:rFonts w:cs="Segoe UI"/>
          <w:szCs w:val="22"/>
          <w:lang w:eastAsia="zh-CN"/>
        </w:rPr>
        <w:t>预期调整为</w:t>
      </w:r>
      <w:r w:rsidR="00B51E72">
        <w:rPr>
          <w:rFonts w:cs="Segoe UI"/>
          <w:szCs w:val="22"/>
          <w:lang w:eastAsia="zh-CN"/>
        </w:rPr>
        <w:t>16.5%</w:t>
      </w:r>
      <w:r w:rsidR="00B51E72">
        <w:rPr>
          <w:rFonts w:cs="Segoe UI"/>
          <w:szCs w:val="22"/>
          <w:lang w:eastAsia="zh-CN"/>
        </w:rPr>
        <w:t>至</w:t>
      </w:r>
      <w:r w:rsidR="00B51E72">
        <w:rPr>
          <w:rFonts w:cs="Segoe UI"/>
          <w:szCs w:val="22"/>
          <w:lang w:eastAsia="zh-CN"/>
        </w:rPr>
        <w:t>17.5%</w:t>
      </w:r>
      <w:r w:rsidR="00B51E72">
        <w:rPr>
          <w:rFonts w:cs="Segoe UI"/>
          <w:szCs w:val="22"/>
          <w:lang w:eastAsia="zh-CN"/>
        </w:rPr>
        <w:lastRenderedPageBreak/>
        <w:t>（</w:t>
      </w:r>
      <w:r w:rsidRPr="00293BE2">
        <w:rPr>
          <w:rFonts w:cs="Segoe UI"/>
          <w:szCs w:val="22"/>
          <w:lang w:eastAsia="zh-CN"/>
        </w:rPr>
        <w:t>此前预期</w:t>
      </w:r>
      <w:r>
        <w:rPr>
          <w:rFonts w:cs="Segoe UI" w:hint="eastAsia"/>
          <w:szCs w:val="22"/>
          <w:lang w:eastAsia="zh-CN"/>
        </w:rPr>
        <w:t>：</w:t>
      </w:r>
      <w:r w:rsidR="00B51E72">
        <w:rPr>
          <w:rFonts w:cs="Segoe UI"/>
          <w:szCs w:val="22"/>
          <w:lang w:eastAsia="zh-CN"/>
        </w:rPr>
        <w:t>16.0%</w:t>
      </w:r>
      <w:r w:rsidR="00B51E72">
        <w:rPr>
          <w:rFonts w:cs="Segoe UI"/>
          <w:szCs w:val="22"/>
          <w:lang w:eastAsia="zh-CN"/>
        </w:rPr>
        <w:t>至</w:t>
      </w:r>
      <w:r w:rsidR="00B51E72">
        <w:rPr>
          <w:rFonts w:cs="Segoe UI"/>
          <w:szCs w:val="22"/>
          <w:lang w:eastAsia="zh-CN"/>
        </w:rPr>
        <w:t>17.5%</w:t>
      </w:r>
      <w:r w:rsidR="00B51E72">
        <w:rPr>
          <w:rFonts w:cs="Segoe UI"/>
          <w:szCs w:val="22"/>
          <w:lang w:eastAsia="zh-CN"/>
        </w:rPr>
        <w:t>），消费品牌业务</w:t>
      </w:r>
      <w:r w:rsidR="00B51E72">
        <w:rPr>
          <w:rFonts w:cs="Segoe UI" w:hint="eastAsia"/>
          <w:szCs w:val="22"/>
          <w:lang w:eastAsia="zh-CN"/>
        </w:rPr>
        <w:t>部</w:t>
      </w:r>
      <w:r>
        <w:rPr>
          <w:rFonts w:cs="Segoe UI" w:hint="eastAsia"/>
          <w:szCs w:val="22"/>
          <w:lang w:eastAsia="zh-CN"/>
        </w:rPr>
        <w:t>预期区间</w:t>
      </w:r>
      <w:r w:rsidR="00B51E72">
        <w:rPr>
          <w:rFonts w:cs="Segoe UI"/>
          <w:szCs w:val="22"/>
          <w:lang w:eastAsia="zh-CN"/>
        </w:rPr>
        <w:t>为</w:t>
      </w:r>
      <w:r w:rsidR="00B51E72">
        <w:rPr>
          <w:rFonts w:cs="Segoe UI"/>
          <w:szCs w:val="22"/>
          <w:lang w:eastAsia="zh-CN"/>
        </w:rPr>
        <w:t>14.0%</w:t>
      </w:r>
      <w:r w:rsidR="00B51E72">
        <w:rPr>
          <w:rFonts w:cs="Segoe UI"/>
          <w:szCs w:val="22"/>
          <w:lang w:eastAsia="zh-CN"/>
        </w:rPr>
        <w:t>至</w:t>
      </w:r>
      <w:r w:rsidR="00B51E72">
        <w:rPr>
          <w:rFonts w:cs="Segoe UI"/>
          <w:szCs w:val="22"/>
          <w:lang w:eastAsia="zh-CN"/>
        </w:rPr>
        <w:t>15.0%</w:t>
      </w:r>
      <w:r w:rsidR="00B51E72">
        <w:rPr>
          <w:rFonts w:cs="Segoe UI"/>
          <w:szCs w:val="22"/>
          <w:lang w:eastAsia="zh-CN"/>
        </w:rPr>
        <w:t>（</w:t>
      </w:r>
      <w:r w:rsidRPr="00293BE2">
        <w:rPr>
          <w:rFonts w:cs="Segoe UI"/>
          <w:szCs w:val="22"/>
          <w:lang w:eastAsia="zh-CN"/>
        </w:rPr>
        <w:t>此前预期</w:t>
      </w:r>
      <w:r>
        <w:rPr>
          <w:rFonts w:cs="Segoe UI" w:hint="eastAsia"/>
          <w:szCs w:val="22"/>
          <w:lang w:eastAsia="zh-CN"/>
        </w:rPr>
        <w:t>：</w:t>
      </w:r>
      <w:r w:rsidR="00B51E72">
        <w:rPr>
          <w:rFonts w:cs="Segoe UI"/>
          <w:szCs w:val="22"/>
          <w:lang w:eastAsia="zh-CN"/>
        </w:rPr>
        <w:t>13.5%</w:t>
      </w:r>
      <w:r w:rsidR="00B51E72">
        <w:rPr>
          <w:rFonts w:cs="Segoe UI"/>
          <w:szCs w:val="22"/>
          <w:lang w:eastAsia="zh-CN"/>
        </w:rPr>
        <w:t>至</w:t>
      </w:r>
      <w:r w:rsidR="00B51E72">
        <w:rPr>
          <w:rFonts w:cs="Segoe UI"/>
          <w:szCs w:val="22"/>
          <w:lang w:eastAsia="zh-CN"/>
        </w:rPr>
        <w:t>15.0%</w:t>
      </w:r>
      <w:r w:rsidR="00B51E72">
        <w:rPr>
          <w:rFonts w:cs="Segoe UI"/>
          <w:szCs w:val="22"/>
          <w:lang w:eastAsia="zh-CN"/>
        </w:rPr>
        <w:t>）。</w:t>
      </w:r>
      <w:r w:rsidR="00B51E72">
        <w:rPr>
          <w:rFonts w:hint="eastAsia"/>
          <w:lang w:eastAsia="zh-CN"/>
        </w:rPr>
        <w:t>按固定汇率计算的</w:t>
      </w:r>
      <w:r w:rsidR="00B51E72">
        <w:rPr>
          <w:rFonts w:hint="eastAsia"/>
          <w:b/>
          <w:bCs/>
          <w:lang w:eastAsia="zh-CN"/>
        </w:rPr>
        <w:t>调整后优先股每股收益</w:t>
      </w:r>
      <w:r w:rsidR="00B51E72">
        <w:rPr>
          <w:rFonts w:hint="eastAsia"/>
          <w:lang w:eastAsia="zh-CN"/>
        </w:rPr>
        <w:t>（</w:t>
      </w:r>
      <w:r w:rsidR="00B51E72">
        <w:rPr>
          <w:rFonts w:hint="eastAsia"/>
          <w:lang w:eastAsia="zh-CN"/>
        </w:rPr>
        <w:t>EPS</w:t>
      </w:r>
      <w:r w:rsidR="00B51E72">
        <w:rPr>
          <w:rFonts w:hint="eastAsia"/>
          <w:lang w:eastAsia="zh-CN"/>
        </w:rPr>
        <w:t>）仍</w:t>
      </w:r>
      <w:r w:rsidRPr="00293BE2">
        <w:rPr>
          <w:lang w:eastAsia="zh-CN"/>
        </w:rPr>
        <w:t>维持低至高个位数百分比增长的预期</w:t>
      </w:r>
      <w:r w:rsidR="00B51E72">
        <w:rPr>
          <w:rFonts w:hint="eastAsia"/>
          <w:lang w:eastAsia="zh-CN"/>
        </w:rPr>
        <w:t>。</w:t>
      </w:r>
    </w:p>
    <w:p w14:paraId="06B1B5A1" w14:textId="77777777" w:rsidR="00DE6EFB" w:rsidRDefault="00DE6EFB">
      <w:pPr>
        <w:rPr>
          <w:rFonts w:cs="Segoe UI"/>
          <w:szCs w:val="22"/>
          <w:lang w:eastAsia="zh-CN"/>
        </w:rPr>
      </w:pPr>
    </w:p>
    <w:p w14:paraId="6FA7A6E8" w14:textId="77777777" w:rsidR="00DE6EFB" w:rsidRDefault="00B51E72">
      <w:pPr>
        <w:spacing w:after="120"/>
        <w:jc w:val="left"/>
        <w:rPr>
          <w:rFonts w:cs="Segoe UI"/>
          <w:b/>
          <w:bCs/>
          <w:szCs w:val="22"/>
          <w:lang w:eastAsia="zh-CN"/>
        </w:rPr>
      </w:pPr>
      <w:r>
        <w:rPr>
          <w:rFonts w:cs="Segoe UI"/>
          <w:b/>
          <w:bCs/>
          <w:szCs w:val="22"/>
          <w:lang w:eastAsia="zh-CN"/>
        </w:rPr>
        <w:t>2025</w:t>
      </w:r>
      <w:r>
        <w:rPr>
          <w:rFonts w:cs="Segoe UI"/>
          <w:b/>
          <w:bCs/>
          <w:szCs w:val="22"/>
          <w:lang w:eastAsia="zh-CN"/>
        </w:rPr>
        <w:t>财年上半年销售额与利润增长情况</w:t>
      </w:r>
    </w:p>
    <w:p w14:paraId="5A9BE96B" w14:textId="21F00573" w:rsidR="00DE6EFB" w:rsidRDefault="00B51E72">
      <w:pPr>
        <w:rPr>
          <w:rFonts w:cs="Segoe UI"/>
          <w:szCs w:val="22"/>
          <w:lang w:eastAsia="zh-CN"/>
        </w:rPr>
      </w:pPr>
      <w:r>
        <w:rPr>
          <w:rFonts w:cs="Segoe UI" w:hint="eastAsia"/>
          <w:szCs w:val="22"/>
          <w:lang w:eastAsia="zh-CN"/>
        </w:rPr>
        <w:t>汉高</w:t>
      </w:r>
      <w:r w:rsidRPr="000F5821">
        <w:rPr>
          <w:rFonts w:cs="Segoe UI"/>
          <w:szCs w:val="22"/>
          <w:lang w:eastAsia="zh-CN"/>
        </w:rPr>
        <w:t>2025</w:t>
      </w:r>
      <w:r w:rsidRPr="000F5821">
        <w:rPr>
          <w:rFonts w:cs="Segoe UI"/>
          <w:szCs w:val="22"/>
          <w:lang w:eastAsia="zh-CN"/>
        </w:rPr>
        <w:t>年上半年</w:t>
      </w:r>
      <w:r>
        <w:rPr>
          <w:rFonts w:cs="Segoe UI" w:hint="eastAsia"/>
          <w:b/>
          <w:bCs/>
          <w:szCs w:val="22"/>
          <w:lang w:eastAsia="zh-CN"/>
        </w:rPr>
        <w:t>集团</w:t>
      </w:r>
      <w:r>
        <w:rPr>
          <w:rFonts w:cs="Segoe UI"/>
          <w:b/>
          <w:bCs/>
          <w:szCs w:val="22"/>
          <w:lang w:eastAsia="zh-CN"/>
        </w:rPr>
        <w:t>销售额</w:t>
      </w:r>
      <w:r w:rsidR="00AA6C11">
        <w:rPr>
          <w:rFonts w:cs="Segoe UI" w:hint="eastAsia"/>
          <w:szCs w:val="22"/>
          <w:lang w:eastAsia="zh-CN"/>
        </w:rPr>
        <w:t>达</w:t>
      </w:r>
      <w:r>
        <w:rPr>
          <w:rFonts w:cs="Segoe UI"/>
          <w:szCs w:val="22"/>
          <w:lang w:eastAsia="zh-CN"/>
        </w:rPr>
        <w:t>104.02</w:t>
      </w:r>
      <w:r>
        <w:rPr>
          <w:rFonts w:cs="Segoe UI"/>
          <w:szCs w:val="22"/>
          <w:lang w:eastAsia="zh-CN"/>
        </w:rPr>
        <w:t>亿欧元，</w:t>
      </w:r>
      <w:r>
        <w:rPr>
          <w:rFonts w:cs="Segoe UI" w:hint="eastAsia"/>
          <w:szCs w:val="22"/>
          <w:lang w:eastAsia="zh-CN"/>
        </w:rPr>
        <w:t>名义</w:t>
      </w:r>
      <w:r w:rsidR="00C3503D">
        <w:rPr>
          <w:rFonts w:cs="Segoe UI" w:hint="eastAsia"/>
          <w:szCs w:val="22"/>
          <w:lang w:eastAsia="zh-CN"/>
        </w:rPr>
        <w:t>下滑</w:t>
      </w:r>
      <w:r>
        <w:rPr>
          <w:rFonts w:cs="Segoe UI"/>
          <w:szCs w:val="22"/>
          <w:lang w:eastAsia="zh-CN"/>
        </w:rPr>
        <w:t>3.8%</w:t>
      </w:r>
      <w:r>
        <w:rPr>
          <w:rFonts w:cs="Segoe UI"/>
          <w:szCs w:val="22"/>
          <w:lang w:eastAsia="zh-CN"/>
        </w:rPr>
        <w:t>（第二季度：</w:t>
      </w:r>
      <w:r>
        <w:rPr>
          <w:rFonts w:cs="Segoe UI"/>
          <w:szCs w:val="22"/>
          <w:lang w:eastAsia="zh-CN"/>
        </w:rPr>
        <w:t>51.60</w:t>
      </w:r>
      <w:r>
        <w:rPr>
          <w:rFonts w:cs="Segoe UI"/>
          <w:szCs w:val="22"/>
          <w:lang w:eastAsia="zh-CN"/>
        </w:rPr>
        <w:t>亿欧元，</w:t>
      </w:r>
      <w:r w:rsidR="00294B7B">
        <w:rPr>
          <w:rFonts w:cs="Segoe UI" w:hint="eastAsia"/>
          <w:szCs w:val="22"/>
          <w:lang w:eastAsia="zh-CN"/>
        </w:rPr>
        <w:t>-</w:t>
      </w:r>
      <w:r>
        <w:rPr>
          <w:rFonts w:cs="Segoe UI"/>
          <w:szCs w:val="22"/>
          <w:lang w:eastAsia="zh-CN"/>
        </w:rPr>
        <w:t>6.1%</w:t>
      </w:r>
      <w:r>
        <w:rPr>
          <w:rFonts w:cs="Segoe UI"/>
          <w:szCs w:val="22"/>
          <w:lang w:eastAsia="zh-CN"/>
        </w:rPr>
        <w:t>）。汇率</w:t>
      </w:r>
      <w:r>
        <w:rPr>
          <w:rFonts w:cs="Segoe UI" w:hint="eastAsia"/>
          <w:szCs w:val="22"/>
          <w:lang w:eastAsia="zh-CN"/>
        </w:rPr>
        <w:t>因素</w:t>
      </w:r>
      <w:r>
        <w:rPr>
          <w:rFonts w:cs="Segoe UI"/>
          <w:szCs w:val="22"/>
          <w:lang w:eastAsia="zh-CN"/>
        </w:rPr>
        <w:t>导致销售额</w:t>
      </w:r>
      <w:r w:rsidR="00F84FD2">
        <w:rPr>
          <w:rFonts w:cs="Segoe UI" w:hint="eastAsia"/>
          <w:szCs w:val="22"/>
          <w:lang w:eastAsia="zh-CN"/>
        </w:rPr>
        <w:t>下滑</w:t>
      </w:r>
      <w:r>
        <w:rPr>
          <w:rFonts w:cs="Segoe UI"/>
          <w:szCs w:val="22"/>
          <w:lang w:eastAsia="zh-CN"/>
        </w:rPr>
        <w:t>2.8%</w:t>
      </w:r>
      <w:r>
        <w:rPr>
          <w:rFonts w:cs="Segoe UI"/>
          <w:szCs w:val="22"/>
          <w:lang w:eastAsia="zh-CN"/>
        </w:rPr>
        <w:t>（第二季度：</w:t>
      </w:r>
      <w:r w:rsidR="00715CD5">
        <w:rPr>
          <w:rFonts w:cs="Segoe UI" w:hint="eastAsia"/>
          <w:szCs w:val="22"/>
          <w:lang w:eastAsia="zh-CN"/>
        </w:rPr>
        <w:t>-</w:t>
      </w:r>
      <w:r>
        <w:rPr>
          <w:rFonts w:cs="Segoe UI"/>
          <w:szCs w:val="22"/>
          <w:lang w:eastAsia="zh-CN"/>
        </w:rPr>
        <w:t>4.1%</w:t>
      </w:r>
      <w:r>
        <w:rPr>
          <w:rFonts w:cs="Segoe UI"/>
          <w:szCs w:val="22"/>
          <w:lang w:eastAsia="zh-CN"/>
        </w:rPr>
        <w:t>）。</w:t>
      </w:r>
      <w:r>
        <w:rPr>
          <w:rFonts w:cs="Segoe UI" w:hint="eastAsia"/>
          <w:szCs w:val="22"/>
          <w:lang w:eastAsia="zh-CN"/>
        </w:rPr>
        <w:t>收购和撤资</w:t>
      </w:r>
      <w:r>
        <w:rPr>
          <w:rFonts w:cs="Segoe UI"/>
          <w:szCs w:val="22"/>
          <w:lang w:eastAsia="zh-CN"/>
        </w:rPr>
        <w:t>导致销售额</w:t>
      </w:r>
      <w:r w:rsidR="00F84FD2">
        <w:rPr>
          <w:rFonts w:cs="Segoe UI" w:hint="eastAsia"/>
          <w:szCs w:val="22"/>
          <w:lang w:eastAsia="zh-CN"/>
        </w:rPr>
        <w:t>下滑</w:t>
      </w:r>
      <w:r>
        <w:rPr>
          <w:rFonts w:cs="Segoe UI"/>
          <w:szCs w:val="22"/>
          <w:lang w:eastAsia="zh-CN"/>
        </w:rPr>
        <w:t>0.9%</w:t>
      </w:r>
      <w:r>
        <w:rPr>
          <w:rFonts w:cs="Segoe UI"/>
          <w:szCs w:val="22"/>
          <w:lang w:eastAsia="zh-CN"/>
        </w:rPr>
        <w:t>（第二季度：</w:t>
      </w:r>
      <w:r w:rsidR="00715CD5">
        <w:rPr>
          <w:rFonts w:cs="Segoe UI" w:hint="eastAsia"/>
          <w:szCs w:val="22"/>
          <w:lang w:eastAsia="zh-CN"/>
        </w:rPr>
        <w:t>-</w:t>
      </w:r>
      <w:r>
        <w:rPr>
          <w:rFonts w:cs="Segoe UI"/>
          <w:szCs w:val="22"/>
          <w:lang w:eastAsia="zh-CN"/>
        </w:rPr>
        <w:t>2.9%</w:t>
      </w:r>
      <w:r>
        <w:rPr>
          <w:rFonts w:cs="Segoe UI"/>
          <w:szCs w:val="22"/>
          <w:lang w:eastAsia="zh-CN"/>
        </w:rPr>
        <w:t>）。尽管</w:t>
      </w:r>
      <w:r>
        <w:rPr>
          <w:rFonts w:cs="Segoe UI"/>
          <w:szCs w:val="22"/>
          <w:lang w:eastAsia="zh-CN"/>
        </w:rPr>
        <w:t>2025</w:t>
      </w:r>
      <w:r>
        <w:rPr>
          <w:rFonts w:cs="Segoe UI"/>
          <w:szCs w:val="22"/>
          <w:lang w:eastAsia="zh-CN"/>
        </w:rPr>
        <w:t>年</w:t>
      </w:r>
      <w:r>
        <w:rPr>
          <w:rFonts w:cs="Segoe UI"/>
          <w:szCs w:val="22"/>
          <w:lang w:eastAsia="zh-CN"/>
        </w:rPr>
        <w:t>4</w:t>
      </w:r>
      <w:r>
        <w:rPr>
          <w:rFonts w:cs="Segoe UI"/>
          <w:szCs w:val="22"/>
          <w:lang w:eastAsia="zh-CN"/>
        </w:rPr>
        <w:t>月北美零售品牌业务的</w:t>
      </w:r>
      <w:proofErr w:type="gramStart"/>
      <w:r>
        <w:rPr>
          <w:rFonts w:cs="Segoe UI" w:hint="eastAsia"/>
          <w:szCs w:val="22"/>
          <w:lang w:eastAsia="zh-CN"/>
        </w:rPr>
        <w:t>撤资</w:t>
      </w:r>
      <w:r>
        <w:rPr>
          <w:rFonts w:cs="Segoe UI"/>
          <w:szCs w:val="22"/>
          <w:lang w:eastAsia="zh-CN"/>
        </w:rPr>
        <w:t>产</w:t>
      </w:r>
      <w:proofErr w:type="gramEnd"/>
      <w:r>
        <w:rPr>
          <w:rFonts w:cs="Segoe UI"/>
          <w:szCs w:val="22"/>
          <w:lang w:eastAsia="zh-CN"/>
        </w:rPr>
        <w:t>生了负面影响，但去年</w:t>
      </w:r>
      <w:r>
        <w:rPr>
          <w:rFonts w:cs="Segoe UI" w:hint="eastAsia"/>
          <w:szCs w:val="22"/>
          <w:lang w:eastAsia="zh-CN"/>
        </w:rPr>
        <w:t>对</w:t>
      </w:r>
      <w:r>
        <w:rPr>
          <w:rFonts w:cs="Segoe UI"/>
          <w:szCs w:val="22"/>
          <w:lang w:eastAsia="zh-CN"/>
        </w:rPr>
        <w:t>Seal for Life</w:t>
      </w:r>
      <w:r>
        <w:rPr>
          <w:rFonts w:cs="Segoe UI"/>
          <w:szCs w:val="22"/>
          <w:lang w:eastAsia="zh-CN"/>
        </w:rPr>
        <w:t>和</w:t>
      </w:r>
      <w:r>
        <w:rPr>
          <w:rFonts w:cs="Segoe UI" w:hint="eastAsia"/>
          <w:szCs w:val="22"/>
          <w:lang w:eastAsia="zh-CN"/>
        </w:rPr>
        <w:t>沙宣</w:t>
      </w:r>
      <w:r>
        <w:rPr>
          <w:rFonts w:cs="Segoe UI"/>
          <w:szCs w:val="22"/>
          <w:lang w:eastAsia="zh-CN"/>
        </w:rPr>
        <w:t>的并购带来了积极贡献。在</w:t>
      </w:r>
      <w:r>
        <w:rPr>
          <w:rFonts w:cs="Segoe UI"/>
          <w:b/>
          <w:bCs/>
          <w:szCs w:val="22"/>
          <w:lang w:eastAsia="zh-CN"/>
        </w:rPr>
        <w:t>有机</w:t>
      </w:r>
      <w:r>
        <w:rPr>
          <w:rFonts w:cs="Segoe UI"/>
          <w:szCs w:val="22"/>
          <w:lang w:eastAsia="zh-CN"/>
        </w:rPr>
        <w:t>增长方面（</w:t>
      </w:r>
      <w:r>
        <w:rPr>
          <w:rFonts w:cs="Segoe UI" w:hint="eastAsia"/>
          <w:szCs w:val="22"/>
          <w:lang w:eastAsia="zh-CN"/>
        </w:rPr>
        <w:t>即对汇率因素和收购</w:t>
      </w:r>
      <w:r>
        <w:rPr>
          <w:rFonts w:cs="Segoe UI"/>
          <w:szCs w:val="22"/>
          <w:lang w:eastAsia="zh-CN"/>
        </w:rPr>
        <w:t>/</w:t>
      </w:r>
      <w:r>
        <w:rPr>
          <w:rFonts w:cs="Segoe UI" w:hint="eastAsia"/>
          <w:szCs w:val="22"/>
          <w:lang w:eastAsia="zh-CN"/>
        </w:rPr>
        <w:t>撤资进行调整后</w:t>
      </w:r>
      <w:r>
        <w:rPr>
          <w:rFonts w:cs="Segoe UI"/>
          <w:szCs w:val="22"/>
          <w:lang w:eastAsia="zh-CN"/>
        </w:rPr>
        <w:t>），销售额与去年同期持平，</w:t>
      </w:r>
      <w:r w:rsidR="00472788">
        <w:rPr>
          <w:rFonts w:cs="Segoe UI" w:hint="eastAsia"/>
          <w:szCs w:val="22"/>
          <w:lang w:eastAsia="zh-CN"/>
        </w:rPr>
        <w:t>微降</w:t>
      </w:r>
      <w:r>
        <w:rPr>
          <w:rFonts w:cs="Segoe UI"/>
          <w:szCs w:val="22"/>
          <w:lang w:eastAsia="zh-CN"/>
        </w:rPr>
        <w:t>0.1%</w:t>
      </w:r>
      <w:r>
        <w:rPr>
          <w:rFonts w:cs="Segoe UI"/>
          <w:szCs w:val="22"/>
          <w:lang w:eastAsia="zh-CN"/>
        </w:rPr>
        <w:t>（第二季度：</w:t>
      </w:r>
      <w:r w:rsidR="00715CD5">
        <w:rPr>
          <w:rFonts w:cs="Segoe UI" w:hint="eastAsia"/>
          <w:szCs w:val="22"/>
          <w:lang w:eastAsia="zh-CN"/>
        </w:rPr>
        <w:t>+</w:t>
      </w:r>
      <w:r>
        <w:rPr>
          <w:rFonts w:cs="Segoe UI"/>
          <w:szCs w:val="22"/>
          <w:lang w:eastAsia="zh-CN"/>
        </w:rPr>
        <w:t>0.9%</w:t>
      </w:r>
      <w:r>
        <w:rPr>
          <w:rFonts w:cs="Segoe UI"/>
          <w:szCs w:val="22"/>
          <w:lang w:eastAsia="zh-CN"/>
        </w:rPr>
        <w:t>）。</w:t>
      </w:r>
      <w:r>
        <w:rPr>
          <w:rFonts w:cs="Segoe UI" w:hint="eastAsia"/>
          <w:szCs w:val="22"/>
          <w:lang w:eastAsia="zh-CN"/>
        </w:rPr>
        <w:t>这一</w:t>
      </w:r>
      <w:r w:rsidR="00CC2F3A">
        <w:rPr>
          <w:rFonts w:cs="Segoe UI" w:hint="eastAsia"/>
          <w:szCs w:val="22"/>
          <w:lang w:eastAsia="zh-CN"/>
        </w:rPr>
        <w:t>变化</w:t>
      </w:r>
      <w:r>
        <w:rPr>
          <w:rFonts w:cs="Segoe UI" w:hint="eastAsia"/>
          <w:szCs w:val="22"/>
          <w:lang w:eastAsia="zh-CN"/>
        </w:rPr>
        <w:t>主要得益于两大业务部门的价格</w:t>
      </w:r>
      <w:r w:rsidR="00CF76AF">
        <w:rPr>
          <w:rFonts w:cs="Segoe UI" w:hint="eastAsia"/>
          <w:szCs w:val="22"/>
          <w:lang w:eastAsia="zh-CN"/>
        </w:rPr>
        <w:t>提升</w:t>
      </w:r>
      <w:r>
        <w:rPr>
          <w:rFonts w:cs="Segoe UI" w:hint="eastAsia"/>
          <w:szCs w:val="22"/>
          <w:lang w:eastAsia="zh-CN"/>
        </w:rPr>
        <w:t>。然而，</w:t>
      </w:r>
      <w:r w:rsidR="0052056F">
        <w:rPr>
          <w:rFonts w:cs="Segoe UI" w:hint="eastAsia"/>
          <w:szCs w:val="22"/>
          <w:lang w:eastAsia="zh-CN"/>
        </w:rPr>
        <w:t>上半年</w:t>
      </w:r>
      <w:r>
        <w:rPr>
          <w:rFonts w:cs="Segoe UI" w:hint="eastAsia"/>
          <w:szCs w:val="22"/>
          <w:lang w:eastAsia="zh-CN"/>
        </w:rPr>
        <w:t>集团层面</w:t>
      </w:r>
      <w:r w:rsidR="0052056F">
        <w:rPr>
          <w:rFonts w:cs="Segoe UI" w:hint="eastAsia"/>
          <w:szCs w:val="22"/>
          <w:lang w:eastAsia="zh-CN"/>
        </w:rPr>
        <w:t>的</w:t>
      </w:r>
      <w:r>
        <w:rPr>
          <w:rFonts w:cs="Segoe UI" w:hint="eastAsia"/>
          <w:szCs w:val="22"/>
          <w:lang w:eastAsia="zh-CN"/>
        </w:rPr>
        <w:t>销量略有下滑，主要是由于严峻的地缘政治和宏观经济环境对工业需求和消费者信心造成了影响，</w:t>
      </w:r>
      <w:r w:rsidR="00896F8E">
        <w:rPr>
          <w:rFonts w:cs="Segoe UI" w:hint="eastAsia"/>
          <w:szCs w:val="22"/>
          <w:lang w:eastAsia="zh-CN"/>
        </w:rPr>
        <w:t>其中</w:t>
      </w:r>
      <w:r>
        <w:rPr>
          <w:rFonts w:cs="Segoe UI" w:hint="eastAsia"/>
          <w:szCs w:val="22"/>
          <w:lang w:eastAsia="zh-CN"/>
        </w:rPr>
        <w:t>北美地区</w:t>
      </w:r>
      <w:r w:rsidR="00A25041">
        <w:rPr>
          <w:rFonts w:cs="Segoe UI" w:hint="eastAsia"/>
          <w:szCs w:val="22"/>
          <w:lang w:eastAsia="zh-CN"/>
        </w:rPr>
        <w:t>在</w:t>
      </w:r>
      <w:r>
        <w:rPr>
          <w:rFonts w:cs="Segoe UI" w:hint="eastAsia"/>
          <w:szCs w:val="22"/>
          <w:lang w:eastAsia="zh-CN"/>
        </w:rPr>
        <w:t>第一季度</w:t>
      </w:r>
      <w:r w:rsidR="00A25041">
        <w:rPr>
          <w:rFonts w:cs="Segoe UI" w:hint="eastAsia"/>
          <w:szCs w:val="22"/>
          <w:lang w:eastAsia="zh-CN"/>
        </w:rPr>
        <w:t>受其影响</w:t>
      </w:r>
      <w:r>
        <w:rPr>
          <w:rFonts w:cs="Segoe UI" w:hint="eastAsia"/>
          <w:szCs w:val="22"/>
          <w:lang w:eastAsia="zh-CN"/>
        </w:rPr>
        <w:t>尤为明显。</w:t>
      </w:r>
    </w:p>
    <w:p w14:paraId="2A569B1E" w14:textId="77777777" w:rsidR="00DE6EFB" w:rsidRDefault="00DE6EFB">
      <w:pPr>
        <w:rPr>
          <w:rFonts w:cs="Segoe UI"/>
          <w:szCs w:val="22"/>
          <w:lang w:eastAsia="zh-CN"/>
        </w:rPr>
      </w:pPr>
    </w:p>
    <w:p w14:paraId="55FD9A74" w14:textId="29DF7CC1" w:rsidR="00DE6EFB" w:rsidRDefault="00B51E72">
      <w:pPr>
        <w:rPr>
          <w:rFonts w:cs="Segoe UI"/>
          <w:szCs w:val="22"/>
          <w:lang w:eastAsia="zh-CN"/>
        </w:rPr>
      </w:pPr>
      <w:r>
        <w:rPr>
          <w:rFonts w:cs="Segoe UI"/>
          <w:b/>
          <w:bCs/>
          <w:szCs w:val="22"/>
          <w:lang w:eastAsia="zh-CN"/>
        </w:rPr>
        <w:t>粘合剂技术</w:t>
      </w:r>
      <w:r>
        <w:rPr>
          <w:rFonts w:cs="Segoe UI"/>
          <w:szCs w:val="22"/>
          <w:lang w:eastAsia="zh-CN"/>
        </w:rPr>
        <w:t>业务部在</w:t>
      </w:r>
      <w:r w:rsidR="00BC3960">
        <w:rPr>
          <w:rFonts w:cs="Segoe UI"/>
          <w:szCs w:val="22"/>
          <w:lang w:eastAsia="zh-CN"/>
        </w:rPr>
        <w:t>移动</w:t>
      </w:r>
      <w:r w:rsidR="00464447">
        <w:rPr>
          <w:rFonts w:cs="Segoe UI" w:hint="eastAsia"/>
          <w:szCs w:val="22"/>
          <w:lang w:eastAsia="zh-CN"/>
        </w:rPr>
        <w:t>和</w:t>
      </w:r>
      <w:r w:rsidR="00BC3960">
        <w:rPr>
          <w:rFonts w:cs="Segoe UI"/>
          <w:szCs w:val="22"/>
          <w:lang w:eastAsia="zh-CN"/>
        </w:rPr>
        <w:t>电子业务</w:t>
      </w:r>
      <w:r w:rsidR="00BC3960">
        <w:rPr>
          <w:rFonts w:cs="Segoe UI" w:hint="eastAsia"/>
          <w:szCs w:val="22"/>
          <w:lang w:eastAsia="zh-CN"/>
        </w:rPr>
        <w:t>的推动下，</w:t>
      </w:r>
      <w:r>
        <w:rPr>
          <w:rFonts w:cs="Segoe UI"/>
          <w:szCs w:val="22"/>
          <w:lang w:eastAsia="zh-CN"/>
        </w:rPr>
        <w:t>2025</w:t>
      </w:r>
      <w:r>
        <w:rPr>
          <w:rFonts w:cs="Segoe UI"/>
          <w:szCs w:val="22"/>
          <w:lang w:eastAsia="zh-CN"/>
        </w:rPr>
        <w:t>年上半年有机销售</w:t>
      </w:r>
      <w:r>
        <w:rPr>
          <w:rFonts w:cs="Segoe UI" w:hint="eastAsia"/>
          <w:szCs w:val="22"/>
          <w:lang w:eastAsia="zh-CN"/>
        </w:rPr>
        <w:t>额</w:t>
      </w:r>
      <w:r>
        <w:rPr>
          <w:rFonts w:cs="Segoe UI"/>
          <w:szCs w:val="22"/>
          <w:lang w:eastAsia="zh-CN"/>
        </w:rPr>
        <w:t>增长</w:t>
      </w:r>
      <w:r>
        <w:rPr>
          <w:rFonts w:cs="Segoe UI" w:hint="eastAsia"/>
          <w:szCs w:val="22"/>
          <w:lang w:eastAsia="zh-CN"/>
        </w:rPr>
        <w:t>1.2%</w:t>
      </w:r>
      <w:r>
        <w:rPr>
          <w:rFonts w:cs="Segoe UI"/>
          <w:szCs w:val="22"/>
          <w:lang w:eastAsia="zh-CN"/>
        </w:rPr>
        <w:t>（第二季度：</w:t>
      </w:r>
      <w:r w:rsidR="00BC3960">
        <w:rPr>
          <w:rFonts w:cs="Segoe UI" w:hint="eastAsia"/>
          <w:szCs w:val="22"/>
          <w:lang w:eastAsia="zh-CN"/>
        </w:rPr>
        <w:t>+</w:t>
      </w:r>
      <w:r>
        <w:rPr>
          <w:rFonts w:cs="Segoe UI"/>
          <w:szCs w:val="22"/>
          <w:lang w:eastAsia="zh-CN"/>
        </w:rPr>
        <w:t>1.3%</w:t>
      </w:r>
      <w:r>
        <w:rPr>
          <w:rFonts w:cs="Segoe UI"/>
          <w:szCs w:val="22"/>
          <w:lang w:eastAsia="zh-CN"/>
        </w:rPr>
        <w:t>）。</w:t>
      </w:r>
      <w:r>
        <w:rPr>
          <w:rFonts w:cs="Segoe UI"/>
          <w:b/>
          <w:bCs/>
          <w:szCs w:val="22"/>
          <w:lang w:eastAsia="zh-CN"/>
        </w:rPr>
        <w:t>消费品牌</w:t>
      </w:r>
      <w:r>
        <w:rPr>
          <w:rFonts w:cs="Segoe UI"/>
          <w:szCs w:val="22"/>
          <w:lang w:eastAsia="zh-CN"/>
        </w:rPr>
        <w:t>业务部的有机销售额</w:t>
      </w:r>
      <w:r w:rsidR="00F84FD2">
        <w:rPr>
          <w:rFonts w:cs="Segoe UI"/>
          <w:szCs w:val="22"/>
          <w:lang w:eastAsia="zh-CN"/>
        </w:rPr>
        <w:t>下滑</w:t>
      </w:r>
      <w:r>
        <w:rPr>
          <w:rFonts w:cs="Segoe UI"/>
          <w:szCs w:val="22"/>
          <w:lang w:eastAsia="zh-CN"/>
        </w:rPr>
        <w:t>1.6%</w:t>
      </w:r>
      <w:r>
        <w:rPr>
          <w:rFonts w:cs="Segoe UI"/>
          <w:szCs w:val="22"/>
          <w:lang w:eastAsia="zh-CN"/>
        </w:rPr>
        <w:t>（第二季度：</w:t>
      </w:r>
      <w:r w:rsidR="00BC3960">
        <w:rPr>
          <w:rFonts w:cs="Segoe UI" w:hint="eastAsia"/>
          <w:szCs w:val="22"/>
          <w:lang w:eastAsia="zh-CN"/>
        </w:rPr>
        <w:t>+</w:t>
      </w:r>
      <w:r>
        <w:rPr>
          <w:rFonts w:cs="Segoe UI"/>
          <w:szCs w:val="22"/>
          <w:lang w:eastAsia="zh-CN"/>
        </w:rPr>
        <w:t>0.4%</w:t>
      </w:r>
      <w:r>
        <w:rPr>
          <w:rFonts w:cs="Segoe UI"/>
          <w:szCs w:val="22"/>
          <w:lang w:eastAsia="zh-CN"/>
        </w:rPr>
        <w:t>）。尽管美发业务领域实现了有机销售额增长，但</w:t>
      </w:r>
      <w:r>
        <w:rPr>
          <w:rFonts w:cs="Segoe UI" w:hint="eastAsia"/>
          <w:szCs w:val="22"/>
          <w:lang w:eastAsia="zh-CN"/>
        </w:rPr>
        <w:t>洗涤剂</w:t>
      </w:r>
      <w:r>
        <w:rPr>
          <w:rFonts w:cs="Segoe UI"/>
          <w:szCs w:val="22"/>
          <w:lang w:eastAsia="zh-CN"/>
        </w:rPr>
        <w:t>及</w:t>
      </w:r>
      <w:r>
        <w:rPr>
          <w:rFonts w:cs="Segoe UI" w:hint="eastAsia"/>
          <w:szCs w:val="22"/>
          <w:lang w:eastAsia="zh-CN"/>
        </w:rPr>
        <w:t>家用</w:t>
      </w:r>
      <w:r>
        <w:rPr>
          <w:rFonts w:cs="Segoe UI"/>
          <w:szCs w:val="22"/>
          <w:lang w:eastAsia="zh-CN"/>
        </w:rPr>
        <w:t>护理业务领域和其他消费业务领域</w:t>
      </w:r>
      <w:r w:rsidR="00C26792">
        <w:rPr>
          <w:rFonts w:cs="Segoe UI" w:hint="eastAsia"/>
          <w:szCs w:val="22"/>
          <w:lang w:eastAsia="zh-CN"/>
        </w:rPr>
        <w:t>的</w:t>
      </w:r>
      <w:r>
        <w:rPr>
          <w:rFonts w:cs="Segoe UI"/>
          <w:szCs w:val="22"/>
          <w:lang w:eastAsia="zh-CN"/>
        </w:rPr>
        <w:t>有机销售额</w:t>
      </w:r>
      <w:r w:rsidR="00C26792">
        <w:rPr>
          <w:rFonts w:cs="Segoe UI" w:hint="eastAsia"/>
          <w:szCs w:val="22"/>
          <w:lang w:eastAsia="zh-CN"/>
        </w:rPr>
        <w:t>均有</w:t>
      </w:r>
      <w:r>
        <w:rPr>
          <w:rFonts w:cs="Segoe UI" w:hint="eastAsia"/>
          <w:szCs w:val="22"/>
          <w:lang w:eastAsia="zh-CN"/>
        </w:rPr>
        <w:t>下滑</w:t>
      </w:r>
      <w:r>
        <w:rPr>
          <w:rFonts w:cs="Segoe UI"/>
          <w:szCs w:val="22"/>
          <w:lang w:eastAsia="zh-CN"/>
        </w:rPr>
        <w:t>。</w:t>
      </w:r>
    </w:p>
    <w:p w14:paraId="7D1B36AB" w14:textId="77777777" w:rsidR="00DE6EFB" w:rsidRDefault="00DE6EFB">
      <w:pPr>
        <w:rPr>
          <w:rFonts w:cs="Segoe UI"/>
          <w:szCs w:val="22"/>
          <w:lang w:eastAsia="zh-CN"/>
        </w:rPr>
      </w:pPr>
    </w:p>
    <w:p w14:paraId="4E4AF16A" w14:textId="2F423B92" w:rsidR="00DE6EFB" w:rsidRDefault="00B51E72">
      <w:pPr>
        <w:rPr>
          <w:rFonts w:cs="Segoe UI"/>
          <w:szCs w:val="22"/>
          <w:lang w:eastAsia="zh-CN"/>
        </w:rPr>
      </w:pPr>
      <w:r>
        <w:rPr>
          <w:rFonts w:cs="Segoe UI"/>
          <w:b/>
          <w:bCs/>
          <w:szCs w:val="22"/>
          <w:lang w:eastAsia="zh-CN"/>
        </w:rPr>
        <w:t>欧洲</w:t>
      </w:r>
      <w:r>
        <w:rPr>
          <w:rFonts w:cs="Segoe UI"/>
          <w:szCs w:val="22"/>
          <w:lang w:eastAsia="zh-CN"/>
        </w:rPr>
        <w:t>和</w:t>
      </w:r>
      <w:r>
        <w:rPr>
          <w:rFonts w:cs="Segoe UI"/>
          <w:b/>
          <w:bCs/>
          <w:szCs w:val="22"/>
          <w:lang w:eastAsia="zh-CN"/>
        </w:rPr>
        <w:t>北美</w:t>
      </w:r>
      <w:r>
        <w:rPr>
          <w:rFonts w:cs="Segoe UI"/>
          <w:szCs w:val="22"/>
          <w:lang w:eastAsia="zh-CN"/>
        </w:rPr>
        <w:t>地区有机销售额分别</w:t>
      </w:r>
      <w:r w:rsidR="00F84FD2">
        <w:rPr>
          <w:rFonts w:cs="Segoe UI"/>
          <w:szCs w:val="22"/>
          <w:lang w:eastAsia="zh-CN"/>
        </w:rPr>
        <w:t>下滑</w:t>
      </w:r>
      <w:r>
        <w:rPr>
          <w:rFonts w:cs="Segoe UI"/>
          <w:szCs w:val="22"/>
          <w:lang w:eastAsia="zh-CN"/>
        </w:rPr>
        <w:t>1.9%</w:t>
      </w:r>
      <w:r>
        <w:rPr>
          <w:rFonts w:cs="Segoe UI"/>
          <w:szCs w:val="22"/>
          <w:lang w:eastAsia="zh-CN"/>
        </w:rPr>
        <w:t>（第二季度：</w:t>
      </w:r>
      <w:r w:rsidR="00C711E7">
        <w:rPr>
          <w:rFonts w:cs="Segoe UI" w:hint="eastAsia"/>
          <w:szCs w:val="22"/>
          <w:lang w:eastAsia="zh-CN"/>
        </w:rPr>
        <w:t>-</w:t>
      </w:r>
      <w:r>
        <w:rPr>
          <w:rFonts w:cs="Segoe UI"/>
          <w:szCs w:val="22"/>
          <w:lang w:eastAsia="zh-CN"/>
        </w:rPr>
        <w:t>1.8%</w:t>
      </w:r>
      <w:r>
        <w:rPr>
          <w:rFonts w:cs="Segoe UI"/>
          <w:szCs w:val="22"/>
          <w:lang w:eastAsia="zh-CN"/>
        </w:rPr>
        <w:t>）和</w:t>
      </w:r>
      <w:r>
        <w:rPr>
          <w:rFonts w:cs="Segoe UI"/>
          <w:szCs w:val="22"/>
          <w:lang w:eastAsia="zh-CN"/>
        </w:rPr>
        <w:t>3.4%</w:t>
      </w:r>
      <w:r>
        <w:rPr>
          <w:rFonts w:cs="Segoe UI"/>
          <w:szCs w:val="22"/>
          <w:lang w:eastAsia="zh-CN"/>
        </w:rPr>
        <w:t>（第二季度：</w:t>
      </w:r>
      <w:r w:rsidR="00C711E7">
        <w:rPr>
          <w:rFonts w:cs="Segoe UI" w:hint="eastAsia"/>
          <w:szCs w:val="22"/>
          <w:lang w:eastAsia="zh-CN"/>
        </w:rPr>
        <w:t>-</w:t>
      </w:r>
      <w:r>
        <w:rPr>
          <w:rFonts w:cs="Segoe UI"/>
          <w:szCs w:val="22"/>
          <w:lang w:eastAsia="zh-CN"/>
        </w:rPr>
        <w:t>1.2%</w:t>
      </w:r>
      <w:r>
        <w:rPr>
          <w:rFonts w:cs="Segoe UI"/>
          <w:szCs w:val="22"/>
          <w:lang w:eastAsia="zh-CN"/>
        </w:rPr>
        <w:t>），主要</w:t>
      </w:r>
      <w:r>
        <w:rPr>
          <w:rFonts w:cs="Segoe UI" w:hint="eastAsia"/>
          <w:szCs w:val="22"/>
          <w:lang w:eastAsia="zh-CN"/>
        </w:rPr>
        <w:t>原因是受到严峻的</w:t>
      </w:r>
      <w:r>
        <w:rPr>
          <w:rFonts w:cs="Segoe UI"/>
          <w:szCs w:val="22"/>
          <w:lang w:eastAsia="zh-CN"/>
        </w:rPr>
        <w:t>地缘政治和宏观经济环境的影响。相比之下，</w:t>
      </w:r>
      <w:r>
        <w:rPr>
          <w:rFonts w:cs="Segoe UI" w:hint="eastAsia"/>
          <w:szCs w:val="22"/>
          <w:lang w:eastAsia="zh-CN"/>
        </w:rPr>
        <w:t>汉高在</w:t>
      </w:r>
      <w:r>
        <w:rPr>
          <w:rFonts w:hint="eastAsia"/>
          <w:b/>
          <w:bCs/>
          <w:lang w:eastAsia="zh-CN"/>
        </w:rPr>
        <w:t>印度、中东和非洲</w:t>
      </w:r>
      <w:r>
        <w:rPr>
          <w:rFonts w:cs="Segoe UI"/>
          <w:szCs w:val="22"/>
          <w:lang w:eastAsia="zh-CN"/>
        </w:rPr>
        <w:t>地区</w:t>
      </w:r>
      <w:r w:rsidR="00A518AE">
        <w:rPr>
          <w:rFonts w:cs="Segoe UI"/>
          <w:szCs w:val="22"/>
          <w:lang w:eastAsia="zh-CN"/>
        </w:rPr>
        <w:t>有机销售</w:t>
      </w:r>
      <w:r>
        <w:rPr>
          <w:rFonts w:cs="Segoe UI"/>
          <w:szCs w:val="22"/>
          <w:lang w:eastAsia="zh-CN"/>
        </w:rPr>
        <w:t>实现了</w:t>
      </w:r>
      <w:r>
        <w:rPr>
          <w:rFonts w:cs="Segoe UI"/>
          <w:szCs w:val="22"/>
          <w:lang w:eastAsia="zh-CN"/>
        </w:rPr>
        <w:t>9.1%</w:t>
      </w:r>
      <w:r>
        <w:rPr>
          <w:rFonts w:cs="Segoe UI"/>
          <w:szCs w:val="22"/>
          <w:lang w:eastAsia="zh-CN"/>
        </w:rPr>
        <w:t>的显著增长（第二季度：</w:t>
      </w:r>
      <w:r w:rsidR="00A518AE">
        <w:rPr>
          <w:rFonts w:cs="Segoe UI" w:hint="eastAsia"/>
          <w:szCs w:val="22"/>
          <w:lang w:eastAsia="zh-CN"/>
        </w:rPr>
        <w:t>+</w:t>
      </w:r>
      <w:r>
        <w:rPr>
          <w:rFonts w:cs="Segoe UI"/>
          <w:szCs w:val="22"/>
          <w:lang w:eastAsia="zh-CN"/>
        </w:rPr>
        <w:t>13.9%</w:t>
      </w:r>
      <w:r>
        <w:rPr>
          <w:rFonts w:cs="Segoe UI"/>
          <w:szCs w:val="22"/>
          <w:lang w:eastAsia="zh-CN"/>
        </w:rPr>
        <w:t>）。</w:t>
      </w:r>
      <w:r>
        <w:rPr>
          <w:rFonts w:cs="Segoe UI"/>
          <w:b/>
          <w:bCs/>
          <w:szCs w:val="22"/>
          <w:lang w:eastAsia="zh-CN"/>
        </w:rPr>
        <w:t>拉美</w:t>
      </w:r>
      <w:r>
        <w:rPr>
          <w:rFonts w:cs="Segoe UI"/>
          <w:szCs w:val="22"/>
          <w:lang w:eastAsia="zh-CN"/>
        </w:rPr>
        <w:t>地区</w:t>
      </w:r>
      <w:r>
        <w:rPr>
          <w:rFonts w:cs="Segoe UI" w:hint="eastAsia"/>
          <w:szCs w:val="22"/>
          <w:lang w:eastAsia="zh-CN"/>
        </w:rPr>
        <w:t>则</w:t>
      </w:r>
      <w:r>
        <w:rPr>
          <w:rFonts w:cs="Segoe UI"/>
          <w:szCs w:val="22"/>
          <w:lang w:eastAsia="zh-CN"/>
        </w:rPr>
        <w:t>实现了</w:t>
      </w:r>
      <w:r>
        <w:rPr>
          <w:rFonts w:cs="Segoe UI"/>
          <w:szCs w:val="22"/>
          <w:lang w:eastAsia="zh-CN"/>
        </w:rPr>
        <w:t>0.4%</w:t>
      </w:r>
      <w:r>
        <w:rPr>
          <w:rFonts w:cs="Segoe UI"/>
          <w:szCs w:val="22"/>
          <w:lang w:eastAsia="zh-CN"/>
        </w:rPr>
        <w:t>的有机销售增长（第二季度：</w:t>
      </w:r>
      <w:r w:rsidR="00652909">
        <w:rPr>
          <w:rFonts w:cs="Segoe UI" w:hint="eastAsia"/>
          <w:szCs w:val="22"/>
          <w:lang w:eastAsia="zh-CN"/>
        </w:rPr>
        <w:t>-</w:t>
      </w:r>
      <w:r>
        <w:rPr>
          <w:rFonts w:cs="Segoe UI"/>
          <w:szCs w:val="22"/>
          <w:lang w:eastAsia="zh-CN"/>
        </w:rPr>
        <w:t>0.6%</w:t>
      </w:r>
      <w:r>
        <w:rPr>
          <w:rFonts w:cs="Segoe UI"/>
          <w:szCs w:val="22"/>
          <w:lang w:eastAsia="zh-CN"/>
        </w:rPr>
        <w:t>）。</w:t>
      </w:r>
      <w:r>
        <w:rPr>
          <w:rFonts w:cs="Segoe UI"/>
          <w:b/>
          <w:bCs/>
          <w:szCs w:val="22"/>
          <w:lang w:eastAsia="zh-CN"/>
        </w:rPr>
        <w:t>亚太</w:t>
      </w:r>
      <w:r>
        <w:rPr>
          <w:rFonts w:cs="Segoe UI"/>
          <w:szCs w:val="22"/>
          <w:lang w:eastAsia="zh-CN"/>
        </w:rPr>
        <w:t>地区</w:t>
      </w:r>
      <w:r>
        <w:rPr>
          <w:rFonts w:cs="Segoe UI" w:hint="eastAsia"/>
          <w:szCs w:val="22"/>
          <w:lang w:eastAsia="zh-CN"/>
        </w:rPr>
        <w:t>的有机销售额增长</w:t>
      </w:r>
      <w:r>
        <w:rPr>
          <w:rFonts w:cs="Segoe UI"/>
          <w:szCs w:val="22"/>
          <w:lang w:eastAsia="zh-CN"/>
        </w:rPr>
        <w:t>3.4%</w:t>
      </w:r>
      <w:r>
        <w:rPr>
          <w:rFonts w:cs="Segoe UI"/>
          <w:szCs w:val="22"/>
          <w:lang w:eastAsia="zh-CN"/>
        </w:rPr>
        <w:t>（第二季度：</w:t>
      </w:r>
      <w:r w:rsidR="00652909">
        <w:rPr>
          <w:rFonts w:cs="Segoe UI" w:hint="eastAsia"/>
          <w:szCs w:val="22"/>
          <w:lang w:eastAsia="zh-CN"/>
        </w:rPr>
        <w:t>+</w:t>
      </w:r>
      <w:r>
        <w:rPr>
          <w:rFonts w:cs="Segoe UI"/>
          <w:szCs w:val="22"/>
          <w:lang w:eastAsia="zh-CN"/>
        </w:rPr>
        <w:t>3.1%</w:t>
      </w:r>
      <w:r>
        <w:rPr>
          <w:rFonts w:cs="Segoe UI"/>
          <w:szCs w:val="22"/>
          <w:lang w:eastAsia="zh-CN"/>
        </w:rPr>
        <w:t>）。</w:t>
      </w:r>
    </w:p>
    <w:p w14:paraId="2C1C50C4" w14:textId="77777777" w:rsidR="00DE6EFB" w:rsidRDefault="00DE6EFB">
      <w:pPr>
        <w:rPr>
          <w:rFonts w:cs="Segoe UI"/>
          <w:szCs w:val="22"/>
          <w:lang w:eastAsia="zh-CN"/>
        </w:rPr>
      </w:pPr>
    </w:p>
    <w:p w14:paraId="75D2CBED" w14:textId="2C39FC8E" w:rsidR="00DE6EFB" w:rsidRDefault="00B51E72">
      <w:pPr>
        <w:rPr>
          <w:rFonts w:cs="Segoe UI"/>
          <w:bCs/>
          <w:szCs w:val="22"/>
          <w:lang w:eastAsia="zh-CN"/>
        </w:rPr>
      </w:pPr>
      <w:r>
        <w:rPr>
          <w:rFonts w:cs="Segoe UI"/>
          <w:b/>
          <w:szCs w:val="22"/>
          <w:lang w:eastAsia="zh-CN"/>
        </w:rPr>
        <w:t>调整后</w:t>
      </w:r>
      <w:r>
        <w:rPr>
          <w:rFonts w:cs="Segoe UI" w:hint="eastAsia"/>
          <w:b/>
          <w:szCs w:val="22"/>
          <w:lang w:eastAsia="zh-CN"/>
        </w:rPr>
        <w:t>的</w:t>
      </w:r>
      <w:r>
        <w:rPr>
          <w:rFonts w:cs="Segoe UI"/>
          <w:b/>
          <w:szCs w:val="22"/>
          <w:lang w:eastAsia="zh-CN"/>
        </w:rPr>
        <w:t>营业利润（调整后</w:t>
      </w:r>
      <w:r>
        <w:rPr>
          <w:rFonts w:cs="Segoe UI" w:hint="eastAsia"/>
          <w:b/>
          <w:szCs w:val="22"/>
          <w:lang w:eastAsia="zh-CN"/>
        </w:rPr>
        <w:t>的息税前利润</w:t>
      </w:r>
      <w:r>
        <w:rPr>
          <w:rFonts w:cs="Segoe UI"/>
          <w:b/>
          <w:szCs w:val="22"/>
          <w:lang w:eastAsia="zh-CN"/>
        </w:rPr>
        <w:t>）</w:t>
      </w:r>
      <w:r>
        <w:rPr>
          <w:rFonts w:cs="Segoe UI"/>
          <w:bCs/>
          <w:szCs w:val="22"/>
          <w:lang w:eastAsia="zh-CN"/>
        </w:rPr>
        <w:t>从</w:t>
      </w:r>
      <w:r>
        <w:rPr>
          <w:rFonts w:cs="Segoe UI"/>
          <w:bCs/>
          <w:szCs w:val="22"/>
          <w:lang w:eastAsia="zh-CN"/>
        </w:rPr>
        <w:t>2024</w:t>
      </w:r>
      <w:r>
        <w:rPr>
          <w:rFonts w:cs="Segoe UI"/>
          <w:bCs/>
          <w:szCs w:val="22"/>
          <w:lang w:eastAsia="zh-CN"/>
        </w:rPr>
        <w:t>年上半年</w:t>
      </w:r>
      <w:r>
        <w:rPr>
          <w:rFonts w:cs="Segoe UI" w:hint="eastAsia"/>
          <w:bCs/>
          <w:szCs w:val="22"/>
          <w:lang w:eastAsia="zh-CN"/>
        </w:rPr>
        <w:t>的</w:t>
      </w:r>
      <w:r>
        <w:rPr>
          <w:rFonts w:cs="Segoe UI"/>
          <w:bCs/>
          <w:szCs w:val="22"/>
          <w:lang w:eastAsia="zh-CN"/>
        </w:rPr>
        <w:t>16.1</w:t>
      </w:r>
      <w:r w:rsidR="00E33B7E">
        <w:rPr>
          <w:rFonts w:cs="Segoe UI" w:hint="eastAsia"/>
          <w:bCs/>
          <w:szCs w:val="22"/>
          <w:lang w:eastAsia="zh-CN"/>
        </w:rPr>
        <w:t>0</w:t>
      </w:r>
      <w:r>
        <w:rPr>
          <w:rFonts w:cs="Segoe UI"/>
          <w:bCs/>
          <w:szCs w:val="22"/>
          <w:lang w:eastAsia="zh-CN"/>
        </w:rPr>
        <w:t>亿欧元小幅增至</w:t>
      </w:r>
      <w:r>
        <w:rPr>
          <w:rFonts w:cs="Segoe UI"/>
          <w:bCs/>
          <w:szCs w:val="22"/>
          <w:lang w:eastAsia="zh-CN"/>
        </w:rPr>
        <w:t>16.14</w:t>
      </w:r>
      <w:r>
        <w:rPr>
          <w:rFonts w:cs="Segoe UI"/>
          <w:bCs/>
          <w:szCs w:val="22"/>
          <w:lang w:eastAsia="zh-CN"/>
        </w:rPr>
        <w:t>亿欧元。</w:t>
      </w:r>
    </w:p>
    <w:p w14:paraId="32E6366A" w14:textId="77777777" w:rsidR="00DE6EFB" w:rsidRDefault="00DE6EFB">
      <w:pPr>
        <w:rPr>
          <w:rFonts w:cs="Segoe UI"/>
          <w:bCs/>
          <w:szCs w:val="22"/>
          <w:lang w:eastAsia="zh-CN"/>
        </w:rPr>
      </w:pPr>
    </w:p>
    <w:p w14:paraId="6C75F801" w14:textId="3B539B01" w:rsidR="00DE6EFB" w:rsidRDefault="00B51E72">
      <w:pPr>
        <w:rPr>
          <w:rFonts w:cs="Segoe UI"/>
          <w:bCs/>
          <w:szCs w:val="22"/>
          <w:lang w:eastAsia="zh-CN"/>
        </w:rPr>
      </w:pPr>
      <w:r>
        <w:rPr>
          <w:rFonts w:cs="Segoe UI" w:hint="eastAsia"/>
          <w:bCs/>
          <w:szCs w:val="22"/>
          <w:lang w:eastAsia="zh-CN"/>
        </w:rPr>
        <w:t>汉高</w:t>
      </w:r>
      <w:r>
        <w:rPr>
          <w:rFonts w:cs="Segoe UI"/>
          <w:bCs/>
          <w:szCs w:val="22"/>
          <w:lang w:eastAsia="zh-CN"/>
        </w:rPr>
        <w:t>集团</w:t>
      </w:r>
      <w:r>
        <w:rPr>
          <w:rFonts w:cs="Segoe UI"/>
          <w:b/>
          <w:szCs w:val="22"/>
          <w:lang w:eastAsia="zh-CN"/>
        </w:rPr>
        <w:t>调整后</w:t>
      </w:r>
      <w:r>
        <w:rPr>
          <w:rFonts w:cs="Segoe UI" w:hint="eastAsia"/>
          <w:b/>
          <w:szCs w:val="22"/>
          <w:lang w:eastAsia="zh-CN"/>
        </w:rPr>
        <w:t>的</w:t>
      </w:r>
      <w:r>
        <w:rPr>
          <w:rFonts w:cs="Segoe UI"/>
          <w:b/>
          <w:szCs w:val="22"/>
          <w:lang w:eastAsia="zh-CN"/>
        </w:rPr>
        <w:t>销售回报率（调整后</w:t>
      </w:r>
      <w:r>
        <w:rPr>
          <w:rFonts w:cs="Segoe UI" w:hint="eastAsia"/>
          <w:b/>
          <w:szCs w:val="22"/>
          <w:lang w:eastAsia="zh-CN"/>
        </w:rPr>
        <w:t>的</w:t>
      </w:r>
      <w:r>
        <w:rPr>
          <w:rFonts w:cs="Segoe UI"/>
          <w:b/>
          <w:szCs w:val="22"/>
          <w:lang w:eastAsia="zh-CN"/>
        </w:rPr>
        <w:t>息税前利润率）</w:t>
      </w:r>
      <w:r>
        <w:rPr>
          <w:rFonts w:cs="Segoe UI"/>
          <w:bCs/>
          <w:szCs w:val="22"/>
          <w:lang w:eastAsia="zh-CN"/>
        </w:rPr>
        <w:t>从</w:t>
      </w:r>
      <w:r>
        <w:rPr>
          <w:rFonts w:cs="Segoe UI"/>
          <w:bCs/>
          <w:szCs w:val="22"/>
          <w:lang w:eastAsia="zh-CN"/>
        </w:rPr>
        <w:t>14.9%</w:t>
      </w:r>
      <w:r>
        <w:rPr>
          <w:rFonts w:cs="Segoe UI"/>
          <w:bCs/>
          <w:szCs w:val="22"/>
          <w:lang w:eastAsia="zh-CN"/>
        </w:rPr>
        <w:t>上升至</w:t>
      </w:r>
      <w:r>
        <w:rPr>
          <w:rFonts w:cs="Segoe UI"/>
          <w:bCs/>
          <w:szCs w:val="22"/>
          <w:lang w:eastAsia="zh-CN"/>
        </w:rPr>
        <w:t>15.5%</w:t>
      </w:r>
      <w:r>
        <w:rPr>
          <w:rFonts w:cs="Segoe UI"/>
          <w:bCs/>
          <w:szCs w:val="22"/>
          <w:lang w:eastAsia="zh-CN"/>
        </w:rPr>
        <w:t>，增幅</w:t>
      </w:r>
      <w:r>
        <w:rPr>
          <w:rFonts w:cs="Segoe UI"/>
          <w:bCs/>
          <w:szCs w:val="22"/>
          <w:lang w:eastAsia="zh-CN"/>
        </w:rPr>
        <w:t>60</w:t>
      </w:r>
      <w:r>
        <w:rPr>
          <w:rFonts w:cs="Segoe UI"/>
          <w:bCs/>
          <w:szCs w:val="22"/>
          <w:lang w:eastAsia="zh-CN"/>
        </w:rPr>
        <w:t>个基点。</w:t>
      </w:r>
    </w:p>
    <w:p w14:paraId="04B83B1F" w14:textId="77777777" w:rsidR="00DE6EFB" w:rsidRDefault="00DE6EFB">
      <w:pPr>
        <w:rPr>
          <w:rFonts w:cs="Segoe UI"/>
          <w:bCs/>
          <w:szCs w:val="22"/>
          <w:lang w:eastAsia="zh-CN"/>
        </w:rPr>
      </w:pPr>
    </w:p>
    <w:p w14:paraId="4339929F" w14:textId="6137BB06" w:rsidR="00DE6EFB" w:rsidRDefault="00B51E72">
      <w:pPr>
        <w:rPr>
          <w:rFonts w:cs="Segoe UI"/>
          <w:bCs/>
          <w:szCs w:val="22"/>
          <w:lang w:eastAsia="zh-CN"/>
        </w:rPr>
      </w:pPr>
      <w:r>
        <w:rPr>
          <w:rFonts w:cs="Segoe UI" w:hint="eastAsia"/>
          <w:b/>
          <w:szCs w:val="22"/>
          <w:lang w:eastAsia="zh-CN"/>
        </w:rPr>
        <w:t>优先股</w:t>
      </w:r>
      <w:r>
        <w:rPr>
          <w:rFonts w:cs="Segoe UI"/>
          <w:b/>
          <w:szCs w:val="22"/>
          <w:lang w:eastAsia="zh-CN"/>
        </w:rPr>
        <w:t>每股收益</w:t>
      </w:r>
      <w:r>
        <w:rPr>
          <w:rFonts w:cs="Segoe UI"/>
          <w:bCs/>
          <w:szCs w:val="22"/>
          <w:lang w:eastAsia="zh-CN"/>
        </w:rPr>
        <w:t>增至</w:t>
      </w:r>
      <w:r>
        <w:rPr>
          <w:rFonts w:cs="Segoe UI"/>
          <w:bCs/>
          <w:szCs w:val="22"/>
          <w:lang w:eastAsia="zh-CN"/>
        </w:rPr>
        <w:t>2.66</w:t>
      </w:r>
      <w:r>
        <w:rPr>
          <w:rFonts w:cs="Segoe UI"/>
          <w:bCs/>
          <w:szCs w:val="22"/>
          <w:lang w:eastAsia="zh-CN"/>
        </w:rPr>
        <w:t>欧元（</w:t>
      </w:r>
      <w:r>
        <w:rPr>
          <w:rFonts w:cs="Segoe UI" w:hint="eastAsia"/>
          <w:bCs/>
          <w:szCs w:val="22"/>
          <w:lang w:eastAsia="zh-CN"/>
        </w:rPr>
        <w:t>2024</w:t>
      </w:r>
      <w:r>
        <w:rPr>
          <w:rFonts w:cs="Segoe UI" w:hint="eastAsia"/>
          <w:bCs/>
          <w:szCs w:val="22"/>
          <w:lang w:eastAsia="zh-CN"/>
        </w:rPr>
        <w:t>年</w:t>
      </w:r>
      <w:r>
        <w:rPr>
          <w:rFonts w:cs="Segoe UI"/>
          <w:bCs/>
          <w:szCs w:val="22"/>
          <w:lang w:eastAsia="zh-CN"/>
        </w:rPr>
        <w:t>：</w:t>
      </w:r>
      <w:r>
        <w:rPr>
          <w:rFonts w:cs="Segoe UI"/>
          <w:bCs/>
          <w:szCs w:val="22"/>
          <w:lang w:eastAsia="zh-CN"/>
        </w:rPr>
        <w:t>2.46</w:t>
      </w:r>
      <w:r>
        <w:rPr>
          <w:rFonts w:cs="Segoe UI"/>
          <w:bCs/>
          <w:szCs w:val="22"/>
          <w:lang w:eastAsia="zh-CN"/>
        </w:rPr>
        <w:t>欧元）。调整</w:t>
      </w:r>
      <w:r>
        <w:rPr>
          <w:rFonts w:cs="Segoe UI" w:hint="eastAsia"/>
          <w:bCs/>
          <w:szCs w:val="22"/>
          <w:lang w:eastAsia="zh-CN"/>
        </w:rPr>
        <w:t>后</w:t>
      </w:r>
      <w:r>
        <w:rPr>
          <w:rFonts w:cs="Segoe UI"/>
          <w:bCs/>
          <w:szCs w:val="22"/>
          <w:lang w:eastAsia="zh-CN"/>
        </w:rPr>
        <w:t>的优先股</w:t>
      </w:r>
      <w:r>
        <w:rPr>
          <w:rFonts w:cs="Segoe UI" w:hint="eastAsia"/>
          <w:bCs/>
          <w:szCs w:val="22"/>
          <w:lang w:eastAsia="zh-CN"/>
        </w:rPr>
        <w:t>每股</w:t>
      </w:r>
      <w:r>
        <w:rPr>
          <w:rFonts w:cs="Segoe UI"/>
          <w:bCs/>
          <w:szCs w:val="22"/>
          <w:lang w:eastAsia="zh-CN"/>
        </w:rPr>
        <w:t>收益</w:t>
      </w:r>
      <w:r w:rsidR="000669D1">
        <w:rPr>
          <w:rFonts w:cs="Segoe UI"/>
          <w:bCs/>
          <w:szCs w:val="22"/>
          <w:lang w:eastAsia="zh-CN"/>
        </w:rPr>
        <w:t>增长</w:t>
      </w:r>
      <w:r w:rsidR="000669D1">
        <w:rPr>
          <w:rFonts w:cs="Segoe UI"/>
          <w:bCs/>
          <w:szCs w:val="22"/>
          <w:lang w:eastAsia="zh-CN"/>
        </w:rPr>
        <w:t>1.1%</w:t>
      </w:r>
      <w:r w:rsidR="000669D1">
        <w:rPr>
          <w:rFonts w:cs="Segoe UI"/>
          <w:bCs/>
          <w:szCs w:val="22"/>
          <w:lang w:eastAsia="zh-CN"/>
        </w:rPr>
        <w:t>，</w:t>
      </w:r>
      <w:r w:rsidR="000669D1">
        <w:rPr>
          <w:rFonts w:cs="Segoe UI" w:hint="eastAsia"/>
          <w:bCs/>
          <w:szCs w:val="22"/>
          <w:lang w:eastAsia="zh-CN"/>
        </w:rPr>
        <w:t>从</w:t>
      </w:r>
      <w:r>
        <w:rPr>
          <w:rFonts w:cs="Segoe UI"/>
          <w:bCs/>
          <w:szCs w:val="22"/>
          <w:lang w:eastAsia="zh-CN"/>
        </w:rPr>
        <w:t>去年同期</w:t>
      </w:r>
      <w:r>
        <w:rPr>
          <w:rFonts w:cs="Segoe UI" w:hint="eastAsia"/>
          <w:bCs/>
          <w:szCs w:val="22"/>
          <w:lang w:eastAsia="zh-CN"/>
        </w:rPr>
        <w:t>的</w:t>
      </w:r>
      <w:r>
        <w:rPr>
          <w:rFonts w:cs="Segoe UI" w:hint="eastAsia"/>
          <w:bCs/>
          <w:szCs w:val="22"/>
          <w:lang w:eastAsia="zh-CN"/>
        </w:rPr>
        <w:t>2.78</w:t>
      </w:r>
      <w:r>
        <w:rPr>
          <w:rFonts w:cs="Segoe UI" w:hint="eastAsia"/>
          <w:bCs/>
          <w:szCs w:val="22"/>
          <w:lang w:eastAsia="zh-CN"/>
        </w:rPr>
        <w:t>欧元</w:t>
      </w:r>
      <w:r w:rsidR="000669D1">
        <w:rPr>
          <w:rFonts w:cs="Segoe UI" w:hint="eastAsia"/>
          <w:bCs/>
          <w:szCs w:val="22"/>
          <w:lang w:eastAsia="zh-CN"/>
        </w:rPr>
        <w:t>增至</w:t>
      </w:r>
      <w:r>
        <w:rPr>
          <w:rFonts w:cs="Segoe UI"/>
          <w:bCs/>
          <w:szCs w:val="22"/>
          <w:lang w:eastAsia="zh-CN"/>
        </w:rPr>
        <w:t>2.81</w:t>
      </w:r>
      <w:r>
        <w:rPr>
          <w:rFonts w:cs="Segoe UI"/>
          <w:bCs/>
          <w:szCs w:val="22"/>
          <w:lang w:eastAsia="zh-CN"/>
        </w:rPr>
        <w:t>欧元。按固定汇率计算，调整</w:t>
      </w:r>
      <w:r>
        <w:rPr>
          <w:rFonts w:cs="Segoe UI" w:hint="eastAsia"/>
          <w:bCs/>
          <w:szCs w:val="22"/>
          <w:lang w:eastAsia="zh-CN"/>
        </w:rPr>
        <w:t>后</w:t>
      </w:r>
      <w:r>
        <w:rPr>
          <w:rFonts w:cs="Segoe UI"/>
          <w:bCs/>
          <w:szCs w:val="22"/>
          <w:lang w:eastAsia="zh-CN"/>
        </w:rPr>
        <w:t>的优先股</w:t>
      </w:r>
      <w:r>
        <w:rPr>
          <w:rFonts w:cs="Segoe UI" w:hint="eastAsia"/>
          <w:bCs/>
          <w:szCs w:val="22"/>
          <w:lang w:eastAsia="zh-CN"/>
        </w:rPr>
        <w:t>每股</w:t>
      </w:r>
      <w:r>
        <w:rPr>
          <w:rFonts w:cs="Segoe UI"/>
          <w:bCs/>
          <w:szCs w:val="22"/>
          <w:lang w:eastAsia="zh-CN"/>
        </w:rPr>
        <w:t>收益增长</w:t>
      </w:r>
      <w:r>
        <w:rPr>
          <w:rFonts w:cs="Segoe UI"/>
          <w:bCs/>
          <w:szCs w:val="22"/>
          <w:lang w:eastAsia="zh-CN"/>
        </w:rPr>
        <w:t>5.0%</w:t>
      </w:r>
      <w:r>
        <w:rPr>
          <w:rFonts w:cs="Segoe UI"/>
          <w:bCs/>
          <w:szCs w:val="22"/>
          <w:lang w:eastAsia="zh-CN"/>
        </w:rPr>
        <w:t>。</w:t>
      </w:r>
    </w:p>
    <w:p w14:paraId="12BABD00" w14:textId="77777777" w:rsidR="005D4F92" w:rsidRDefault="005D4F92">
      <w:pPr>
        <w:rPr>
          <w:rFonts w:cs="Segoe UI"/>
          <w:szCs w:val="22"/>
          <w:lang w:eastAsia="zh-CN"/>
        </w:rPr>
      </w:pPr>
    </w:p>
    <w:p w14:paraId="65AF2EEA" w14:textId="2911077C" w:rsidR="00DE6EFB" w:rsidRDefault="00B51E72">
      <w:pPr>
        <w:rPr>
          <w:rFonts w:cs="Segoe UI"/>
          <w:szCs w:val="22"/>
          <w:lang w:eastAsia="zh-CN"/>
        </w:rPr>
      </w:pPr>
      <w:r>
        <w:rPr>
          <w:rFonts w:cs="Segoe UI"/>
          <w:szCs w:val="22"/>
          <w:lang w:eastAsia="zh-CN"/>
        </w:rPr>
        <w:t>第二季度的</w:t>
      </w:r>
      <w:r>
        <w:rPr>
          <w:rFonts w:cs="Segoe UI" w:hint="eastAsia"/>
          <w:b/>
          <w:bCs/>
          <w:szCs w:val="22"/>
          <w:lang w:eastAsia="zh-CN"/>
        </w:rPr>
        <w:t>净</w:t>
      </w:r>
      <w:r>
        <w:rPr>
          <w:rFonts w:cs="Segoe UI"/>
          <w:b/>
          <w:bCs/>
          <w:szCs w:val="22"/>
          <w:lang w:eastAsia="zh-CN"/>
        </w:rPr>
        <w:t>营运资本</w:t>
      </w:r>
      <w:r>
        <w:rPr>
          <w:rFonts w:cs="Segoe UI" w:hint="eastAsia"/>
          <w:szCs w:val="22"/>
          <w:lang w:eastAsia="zh-CN"/>
        </w:rPr>
        <w:t>占</w:t>
      </w:r>
      <w:r>
        <w:rPr>
          <w:rFonts w:cs="Segoe UI"/>
          <w:szCs w:val="22"/>
          <w:lang w:eastAsia="zh-CN"/>
        </w:rPr>
        <w:t>销售额</w:t>
      </w:r>
      <w:r>
        <w:rPr>
          <w:rFonts w:cs="Segoe UI" w:hint="eastAsia"/>
          <w:szCs w:val="22"/>
          <w:lang w:eastAsia="zh-CN"/>
        </w:rPr>
        <w:t>的比例</w:t>
      </w:r>
      <w:r w:rsidR="008C5EB0">
        <w:rPr>
          <w:rFonts w:cs="Segoe UI" w:hint="eastAsia"/>
          <w:szCs w:val="22"/>
          <w:lang w:eastAsia="zh-CN"/>
        </w:rPr>
        <w:t>从</w:t>
      </w:r>
      <w:r>
        <w:rPr>
          <w:rFonts w:cs="Segoe UI"/>
          <w:szCs w:val="22"/>
          <w:lang w:eastAsia="zh-CN"/>
        </w:rPr>
        <w:t>去年同期</w:t>
      </w:r>
      <w:r w:rsidR="008C5EB0">
        <w:rPr>
          <w:rFonts w:cs="Segoe UI" w:hint="eastAsia"/>
          <w:szCs w:val="22"/>
          <w:lang w:eastAsia="zh-CN"/>
        </w:rPr>
        <w:t>的</w:t>
      </w:r>
      <w:r w:rsidR="008C5EB0">
        <w:rPr>
          <w:rFonts w:cs="Segoe UI"/>
          <w:szCs w:val="22"/>
          <w:lang w:eastAsia="zh-CN"/>
        </w:rPr>
        <w:t>5.2%</w:t>
      </w:r>
      <w:r w:rsidR="008C5EB0">
        <w:rPr>
          <w:rFonts w:cs="Segoe UI"/>
          <w:szCs w:val="22"/>
          <w:lang w:eastAsia="zh-CN"/>
        </w:rPr>
        <w:t>升至</w:t>
      </w:r>
      <w:r w:rsidR="008C5EB0">
        <w:rPr>
          <w:rFonts w:cs="Segoe UI"/>
          <w:szCs w:val="22"/>
          <w:lang w:eastAsia="zh-CN"/>
        </w:rPr>
        <w:t>6.0%</w:t>
      </w:r>
      <w:r w:rsidR="008C5EB0">
        <w:rPr>
          <w:rFonts w:cs="Segoe UI" w:hint="eastAsia"/>
          <w:szCs w:val="22"/>
          <w:lang w:eastAsia="zh-CN"/>
        </w:rPr>
        <w:t>，</w:t>
      </w:r>
      <w:r w:rsidR="004B6523">
        <w:rPr>
          <w:rFonts w:cs="Segoe UI" w:hint="eastAsia"/>
          <w:szCs w:val="22"/>
          <w:lang w:eastAsia="zh-CN"/>
        </w:rPr>
        <w:t>增幅为</w:t>
      </w:r>
      <w:r>
        <w:rPr>
          <w:rFonts w:cs="Segoe UI"/>
          <w:szCs w:val="22"/>
          <w:lang w:eastAsia="zh-CN"/>
        </w:rPr>
        <w:t>0.8</w:t>
      </w:r>
      <w:r>
        <w:rPr>
          <w:rFonts w:cs="Segoe UI" w:hint="eastAsia"/>
          <w:szCs w:val="22"/>
          <w:lang w:eastAsia="zh-CN"/>
        </w:rPr>
        <w:t>%</w:t>
      </w:r>
      <w:r w:rsidR="004B6523" w:rsidDel="004B6523">
        <w:rPr>
          <w:rFonts w:cs="Segoe UI" w:hint="eastAsia"/>
          <w:szCs w:val="22"/>
          <w:lang w:eastAsia="zh-CN"/>
        </w:rPr>
        <w:t xml:space="preserve"> </w:t>
      </w:r>
      <w:r>
        <w:rPr>
          <w:rFonts w:cs="Segoe UI"/>
          <w:szCs w:val="22"/>
          <w:lang w:eastAsia="zh-CN"/>
        </w:rPr>
        <w:t>。</w:t>
      </w:r>
    </w:p>
    <w:p w14:paraId="0CA7B036" w14:textId="77777777" w:rsidR="00DE6EFB" w:rsidRDefault="00DE6EFB">
      <w:pPr>
        <w:rPr>
          <w:rFonts w:cs="Segoe UI"/>
          <w:szCs w:val="22"/>
          <w:highlight w:val="yellow"/>
          <w:lang w:eastAsia="zh-CN"/>
        </w:rPr>
      </w:pPr>
    </w:p>
    <w:p w14:paraId="147BD7D7" w14:textId="77777777" w:rsidR="00DE6EFB" w:rsidRDefault="00B51E72">
      <w:pPr>
        <w:autoSpaceDE w:val="0"/>
        <w:autoSpaceDN w:val="0"/>
        <w:adjustRightInd w:val="0"/>
        <w:rPr>
          <w:lang w:eastAsia="zh-CN"/>
        </w:rPr>
      </w:pPr>
      <w:r>
        <w:rPr>
          <w:b/>
          <w:bCs/>
          <w:lang w:eastAsia="zh-CN"/>
        </w:rPr>
        <w:t>自由现金流</w:t>
      </w:r>
      <w:r>
        <w:rPr>
          <w:lang w:eastAsia="zh-CN"/>
        </w:rPr>
        <w:t>为</w:t>
      </w:r>
      <w:r>
        <w:rPr>
          <w:lang w:eastAsia="zh-CN"/>
        </w:rPr>
        <w:t>4.85</w:t>
      </w:r>
      <w:r>
        <w:rPr>
          <w:lang w:eastAsia="zh-CN"/>
        </w:rPr>
        <w:t>亿欧元，低于</w:t>
      </w:r>
      <w:r>
        <w:rPr>
          <w:lang w:eastAsia="zh-CN"/>
        </w:rPr>
        <w:t>2024</w:t>
      </w:r>
      <w:r>
        <w:rPr>
          <w:lang w:eastAsia="zh-CN"/>
        </w:rPr>
        <w:t>年上半年（</w:t>
      </w:r>
      <w:r>
        <w:rPr>
          <w:lang w:eastAsia="zh-CN"/>
        </w:rPr>
        <w:t>7.72</w:t>
      </w:r>
      <w:r>
        <w:rPr>
          <w:lang w:eastAsia="zh-CN"/>
        </w:rPr>
        <w:t>亿欧元），主要</w:t>
      </w:r>
      <w:r>
        <w:rPr>
          <w:rFonts w:hint="eastAsia"/>
          <w:lang w:eastAsia="zh-CN"/>
        </w:rPr>
        <w:t>原因是</w:t>
      </w:r>
      <w:r>
        <w:rPr>
          <w:lang w:eastAsia="zh-CN"/>
        </w:rPr>
        <w:t>净营运资本增加以及对房地产、厂房、设备和无形资产的投资增加。</w:t>
      </w:r>
    </w:p>
    <w:p w14:paraId="6E142167" w14:textId="77777777" w:rsidR="00DE6EFB" w:rsidRDefault="00DE6EFB">
      <w:pPr>
        <w:autoSpaceDE w:val="0"/>
        <w:autoSpaceDN w:val="0"/>
        <w:adjustRightInd w:val="0"/>
        <w:rPr>
          <w:rFonts w:cs="Segoe UI"/>
          <w:szCs w:val="22"/>
          <w:highlight w:val="yellow"/>
          <w:lang w:eastAsia="zh-CN"/>
        </w:rPr>
      </w:pPr>
    </w:p>
    <w:p w14:paraId="150CCDB9" w14:textId="77777777" w:rsidR="00DE6EFB" w:rsidRDefault="00B51E72">
      <w:pPr>
        <w:rPr>
          <w:lang w:eastAsia="zh-CN"/>
        </w:rPr>
      </w:pPr>
      <w:r>
        <w:rPr>
          <w:lang w:eastAsia="zh-CN"/>
        </w:rPr>
        <w:lastRenderedPageBreak/>
        <w:t>截至</w:t>
      </w:r>
      <w:r>
        <w:rPr>
          <w:lang w:eastAsia="zh-CN"/>
        </w:rPr>
        <w:t>2025</w:t>
      </w:r>
      <w:r>
        <w:rPr>
          <w:lang w:eastAsia="zh-CN"/>
        </w:rPr>
        <w:t>年</w:t>
      </w:r>
      <w:r>
        <w:rPr>
          <w:lang w:eastAsia="zh-CN"/>
        </w:rPr>
        <w:t>6</w:t>
      </w:r>
      <w:r>
        <w:rPr>
          <w:lang w:eastAsia="zh-CN"/>
        </w:rPr>
        <w:t>月</w:t>
      </w:r>
      <w:r>
        <w:rPr>
          <w:lang w:eastAsia="zh-CN"/>
        </w:rPr>
        <w:t>30</w:t>
      </w:r>
      <w:r>
        <w:rPr>
          <w:lang w:eastAsia="zh-CN"/>
        </w:rPr>
        <w:t>日，</w:t>
      </w:r>
      <w:r>
        <w:rPr>
          <w:b/>
          <w:bCs/>
          <w:lang w:eastAsia="zh-CN"/>
        </w:rPr>
        <w:t>净财务状况</w:t>
      </w:r>
      <w:r>
        <w:rPr>
          <w:lang w:eastAsia="zh-CN"/>
        </w:rPr>
        <w:t>为</w:t>
      </w:r>
      <w:r>
        <w:rPr>
          <w:lang w:eastAsia="zh-CN"/>
        </w:rPr>
        <w:t>-4.94</w:t>
      </w:r>
      <w:r>
        <w:rPr>
          <w:lang w:eastAsia="zh-CN"/>
        </w:rPr>
        <w:t>亿欧元（</w:t>
      </w:r>
      <w:r>
        <w:rPr>
          <w:lang w:eastAsia="zh-CN"/>
        </w:rPr>
        <w:t>2024</w:t>
      </w:r>
      <w:r>
        <w:rPr>
          <w:lang w:eastAsia="zh-CN"/>
        </w:rPr>
        <w:t>年</w:t>
      </w:r>
      <w:r>
        <w:rPr>
          <w:lang w:eastAsia="zh-CN"/>
        </w:rPr>
        <w:t>12</w:t>
      </w:r>
      <w:r>
        <w:rPr>
          <w:lang w:eastAsia="zh-CN"/>
        </w:rPr>
        <w:t>月</w:t>
      </w:r>
      <w:r>
        <w:rPr>
          <w:lang w:eastAsia="zh-CN"/>
        </w:rPr>
        <w:t>31</w:t>
      </w:r>
      <w:r>
        <w:rPr>
          <w:lang w:eastAsia="zh-CN"/>
        </w:rPr>
        <w:t>日：</w:t>
      </w:r>
      <w:r>
        <w:rPr>
          <w:lang w:eastAsia="zh-CN"/>
        </w:rPr>
        <w:t>-</w:t>
      </w:r>
      <w:r>
        <w:rPr>
          <w:rFonts w:hint="eastAsia"/>
          <w:lang w:eastAsia="zh-CN"/>
        </w:rPr>
        <w:t>9300</w:t>
      </w:r>
      <w:r>
        <w:rPr>
          <w:rFonts w:hint="eastAsia"/>
          <w:lang w:eastAsia="zh-CN"/>
        </w:rPr>
        <w:t>万</w:t>
      </w:r>
      <w:r>
        <w:rPr>
          <w:lang w:eastAsia="zh-CN"/>
        </w:rPr>
        <w:t>欧元）。</w:t>
      </w:r>
    </w:p>
    <w:p w14:paraId="273CED1A" w14:textId="77777777" w:rsidR="00DE6EFB" w:rsidRDefault="00DE6EFB">
      <w:pPr>
        <w:spacing w:after="120"/>
        <w:rPr>
          <w:rFonts w:cs="Segoe UI"/>
          <w:b/>
          <w:bCs/>
          <w:szCs w:val="22"/>
          <w:lang w:eastAsia="zh-CN"/>
        </w:rPr>
      </w:pPr>
    </w:p>
    <w:p w14:paraId="08030975" w14:textId="77777777" w:rsidR="00DE6EFB" w:rsidRDefault="00B51E72">
      <w:pPr>
        <w:spacing w:after="120"/>
        <w:rPr>
          <w:rFonts w:cs="Segoe UI"/>
          <w:b/>
          <w:bCs/>
          <w:szCs w:val="22"/>
          <w:highlight w:val="yellow"/>
          <w:lang w:eastAsia="zh-CN"/>
        </w:rPr>
      </w:pPr>
      <w:r>
        <w:rPr>
          <w:rFonts w:cs="Segoe UI"/>
          <w:b/>
          <w:bCs/>
          <w:szCs w:val="22"/>
          <w:lang w:eastAsia="zh-CN"/>
        </w:rPr>
        <w:t>2025</w:t>
      </w:r>
      <w:r>
        <w:rPr>
          <w:rFonts w:cs="Segoe UI"/>
          <w:b/>
          <w:bCs/>
          <w:szCs w:val="22"/>
          <w:lang w:eastAsia="zh-CN"/>
        </w:rPr>
        <w:t>年上半年</w:t>
      </w:r>
      <w:r>
        <w:rPr>
          <w:rFonts w:cs="Segoe UI" w:hint="eastAsia"/>
          <w:b/>
          <w:bCs/>
          <w:szCs w:val="22"/>
          <w:lang w:eastAsia="zh-CN"/>
        </w:rPr>
        <w:t>业务部门业绩</w:t>
      </w:r>
    </w:p>
    <w:p w14:paraId="2F08851A" w14:textId="73EC9C64" w:rsidR="00DE6EFB" w:rsidRDefault="00B51E72">
      <w:pPr>
        <w:rPr>
          <w:color w:val="000000" w:themeColor="text1"/>
          <w:lang w:eastAsia="zh-CN"/>
        </w:rPr>
      </w:pPr>
      <w:bookmarkStart w:id="3" w:name="SNAMD_dc825768bfb2420dbdc0e075b6c733f3"/>
      <w:bookmarkStart w:id="4" w:name="SNERR_085cbfa1dc5245baabab2f6ce609ab4b"/>
      <w:r>
        <w:rPr>
          <w:color w:val="000000" w:themeColor="text1"/>
          <w:lang w:eastAsia="zh-CN"/>
        </w:rPr>
        <w:t>粘合剂技术业务部</w:t>
      </w:r>
      <w:r>
        <w:rPr>
          <w:color w:val="000000" w:themeColor="text1"/>
          <w:lang w:eastAsia="zh-CN"/>
        </w:rPr>
        <w:t>2025</w:t>
      </w:r>
      <w:r>
        <w:rPr>
          <w:color w:val="000000" w:themeColor="text1"/>
          <w:lang w:eastAsia="zh-CN"/>
        </w:rPr>
        <w:t>年上半年</w:t>
      </w:r>
      <w:r>
        <w:rPr>
          <w:rFonts w:hint="eastAsia"/>
          <w:b/>
          <w:bCs/>
          <w:color w:val="000000" w:themeColor="text1"/>
          <w:lang w:eastAsia="zh-CN"/>
        </w:rPr>
        <w:t>有机</w:t>
      </w:r>
      <w:r>
        <w:rPr>
          <w:b/>
          <w:bCs/>
          <w:color w:val="000000" w:themeColor="text1"/>
          <w:lang w:eastAsia="zh-CN"/>
        </w:rPr>
        <w:t>销售额</w:t>
      </w:r>
      <w:r>
        <w:rPr>
          <w:color w:val="000000" w:themeColor="text1"/>
          <w:lang w:eastAsia="zh-CN"/>
        </w:rPr>
        <w:t>增长</w:t>
      </w:r>
      <w:r>
        <w:rPr>
          <w:color w:val="000000" w:themeColor="text1"/>
          <w:lang w:eastAsia="zh-CN"/>
        </w:rPr>
        <w:t>1.2%</w:t>
      </w:r>
      <w:r>
        <w:rPr>
          <w:color w:val="000000" w:themeColor="text1"/>
          <w:lang w:eastAsia="zh-CN"/>
        </w:rPr>
        <w:t>（第二季度：</w:t>
      </w:r>
      <w:r w:rsidR="00FA2D18">
        <w:rPr>
          <w:rFonts w:hint="eastAsia"/>
          <w:color w:val="000000" w:themeColor="text1"/>
          <w:lang w:eastAsia="zh-CN"/>
        </w:rPr>
        <w:t>+</w:t>
      </w:r>
      <w:r>
        <w:rPr>
          <w:color w:val="000000" w:themeColor="text1"/>
          <w:lang w:eastAsia="zh-CN"/>
        </w:rPr>
        <w:t>1.3%</w:t>
      </w:r>
      <w:r>
        <w:rPr>
          <w:color w:val="000000" w:themeColor="text1"/>
          <w:lang w:eastAsia="zh-CN"/>
        </w:rPr>
        <w:t>）。</w:t>
      </w:r>
      <w:r>
        <w:rPr>
          <w:rFonts w:hint="eastAsia"/>
          <w:color w:val="000000" w:themeColor="text1"/>
          <w:lang w:eastAsia="zh-CN"/>
        </w:rPr>
        <w:t>这</w:t>
      </w:r>
      <w:r>
        <w:rPr>
          <w:color w:val="000000" w:themeColor="text1"/>
          <w:lang w:eastAsia="zh-CN"/>
        </w:rPr>
        <w:t>得益于价格和销量</w:t>
      </w:r>
      <w:r>
        <w:rPr>
          <w:rFonts w:hint="eastAsia"/>
          <w:color w:val="000000" w:themeColor="text1"/>
          <w:lang w:eastAsia="zh-CN"/>
        </w:rPr>
        <w:t>的</w:t>
      </w:r>
      <w:r>
        <w:rPr>
          <w:color w:val="000000" w:themeColor="text1"/>
          <w:lang w:eastAsia="zh-CN"/>
        </w:rPr>
        <w:t>均衡</w:t>
      </w:r>
      <w:r>
        <w:rPr>
          <w:rFonts w:hint="eastAsia"/>
          <w:color w:val="000000" w:themeColor="text1"/>
          <w:lang w:eastAsia="zh-CN"/>
        </w:rPr>
        <w:t>增长</w:t>
      </w:r>
      <w:r>
        <w:rPr>
          <w:color w:val="000000" w:themeColor="text1"/>
          <w:lang w:eastAsia="zh-CN"/>
        </w:rPr>
        <w:t>。名义销售额达到</w:t>
      </w:r>
      <w:r>
        <w:rPr>
          <w:color w:val="000000" w:themeColor="text1"/>
          <w:lang w:eastAsia="zh-CN"/>
        </w:rPr>
        <w:t>54.16</w:t>
      </w:r>
      <w:r>
        <w:rPr>
          <w:color w:val="000000" w:themeColor="text1"/>
          <w:lang w:eastAsia="zh-CN"/>
        </w:rPr>
        <w:t>亿欧元，较去年同期</w:t>
      </w:r>
      <w:r>
        <w:rPr>
          <w:rFonts w:hint="eastAsia"/>
          <w:color w:val="000000" w:themeColor="text1"/>
          <w:lang w:eastAsia="zh-CN"/>
        </w:rPr>
        <w:t>小幅</w:t>
      </w:r>
      <w:r w:rsidR="00F84FD2">
        <w:rPr>
          <w:color w:val="000000" w:themeColor="text1"/>
          <w:lang w:eastAsia="zh-CN"/>
        </w:rPr>
        <w:t>下滑</w:t>
      </w:r>
      <w:r>
        <w:rPr>
          <w:color w:val="000000" w:themeColor="text1"/>
          <w:lang w:eastAsia="zh-CN"/>
        </w:rPr>
        <w:t>1.1%</w:t>
      </w:r>
      <w:r>
        <w:rPr>
          <w:color w:val="000000" w:themeColor="text1"/>
          <w:lang w:eastAsia="zh-CN"/>
        </w:rPr>
        <w:t>（第二季度：</w:t>
      </w:r>
      <w:r>
        <w:rPr>
          <w:color w:val="000000" w:themeColor="text1"/>
          <w:lang w:eastAsia="zh-CN"/>
        </w:rPr>
        <w:t>27.01</w:t>
      </w:r>
      <w:r>
        <w:rPr>
          <w:color w:val="000000" w:themeColor="text1"/>
          <w:lang w:eastAsia="zh-CN"/>
        </w:rPr>
        <w:t>亿欧元）。</w:t>
      </w:r>
      <w:r>
        <w:rPr>
          <w:color w:val="000000" w:themeColor="text1"/>
        </w:rPr>
        <w:fldChar w:fldCharType="begin"/>
      </w:r>
      <w:r>
        <w:rPr>
          <w:color w:val="000000" w:themeColor="text1"/>
          <w:lang w:eastAsia="zh-CN"/>
        </w:rPr>
        <w:instrText xml:space="preserve"> DOCVARIABLE WORDVALUE-7c2eb70d-9d14-4f70-93d9-1f388a1f5be7 \* CHARFORMAT </w:instrText>
      </w:r>
      <w:r>
        <w:rPr>
          <w:color w:val="000000" w:themeColor="text1"/>
        </w:rPr>
        <w:fldChar w:fldCharType="separate"/>
      </w:r>
      <w:r>
        <w:rPr>
          <w:color w:val="000000" w:themeColor="text1"/>
        </w:rPr>
        <w:fldChar w:fldCharType="end"/>
      </w:r>
      <w:bookmarkEnd w:id="3"/>
      <w:bookmarkEnd w:id="4"/>
      <w:r>
        <w:rPr>
          <w:color w:val="000000" w:themeColor="text1"/>
        </w:rPr>
        <w:fldChar w:fldCharType="begin"/>
      </w:r>
      <w:r>
        <w:rPr>
          <w:color w:val="000000" w:themeColor="text1"/>
          <w:lang w:eastAsia="zh-CN"/>
        </w:rPr>
        <w:instrText xml:space="preserve"> DOCVARIABLE WORDVALUE-b5592f6a-a403-4cc8-a105-1f388a58258f \* CHARFORMAT </w:instrText>
      </w:r>
      <w:r>
        <w:rPr>
          <w:color w:val="000000" w:themeColor="text1"/>
        </w:rPr>
        <w:fldChar w:fldCharType="separate"/>
      </w:r>
      <w:r>
        <w:rPr>
          <w:color w:val="000000" w:themeColor="text1"/>
        </w:rPr>
        <w:fldChar w:fldCharType="end"/>
      </w:r>
    </w:p>
    <w:p w14:paraId="74E6FBE7" w14:textId="77777777" w:rsidR="00DE6EFB" w:rsidRDefault="00DE6EFB">
      <w:pPr>
        <w:rPr>
          <w:rFonts w:eastAsia="Segoe UI" w:cs="Segoe UI"/>
          <w:szCs w:val="18"/>
          <w:lang w:eastAsia="zh-CN"/>
        </w:rPr>
      </w:pPr>
    </w:p>
    <w:p w14:paraId="1EECB915" w14:textId="2C745A1F" w:rsidR="00DE6EFB" w:rsidRDefault="00B51E72">
      <w:pPr>
        <w:rPr>
          <w:rFonts w:eastAsia="Segoe UI" w:cs="Segoe UI"/>
          <w:szCs w:val="18"/>
          <w:lang w:eastAsia="zh-CN"/>
        </w:rPr>
      </w:pPr>
      <w:r>
        <w:rPr>
          <w:rFonts w:hint="eastAsia"/>
          <w:color w:val="000000" w:themeColor="text1"/>
          <w:lang w:eastAsia="zh-CN"/>
        </w:rPr>
        <w:t>粘合剂技术业务部今年上半年实现的有机销售额增长主要</w:t>
      </w:r>
      <w:r w:rsidR="001C77C3">
        <w:rPr>
          <w:rFonts w:hint="eastAsia"/>
          <w:color w:val="000000" w:themeColor="text1"/>
          <w:lang w:eastAsia="zh-CN"/>
        </w:rPr>
        <w:t>由</w:t>
      </w:r>
      <w:r>
        <w:rPr>
          <w:rFonts w:hint="eastAsia"/>
          <w:b/>
          <w:bCs/>
          <w:color w:val="000000" w:themeColor="text1"/>
          <w:lang w:eastAsia="zh-CN"/>
        </w:rPr>
        <w:t>移动</w:t>
      </w:r>
      <w:r w:rsidR="00464447">
        <w:rPr>
          <w:rFonts w:hint="eastAsia"/>
          <w:b/>
          <w:bCs/>
          <w:color w:val="000000" w:themeColor="text1"/>
          <w:lang w:eastAsia="zh-CN"/>
        </w:rPr>
        <w:t>和</w:t>
      </w:r>
      <w:r>
        <w:rPr>
          <w:rFonts w:hint="eastAsia"/>
          <w:b/>
          <w:bCs/>
          <w:color w:val="000000" w:themeColor="text1"/>
          <w:lang w:eastAsia="zh-CN"/>
        </w:rPr>
        <w:t>电子</w:t>
      </w:r>
      <w:r>
        <w:rPr>
          <w:rFonts w:hint="eastAsia"/>
          <w:color w:val="000000" w:themeColor="text1"/>
          <w:lang w:eastAsia="zh-CN"/>
        </w:rPr>
        <w:t>业务</w:t>
      </w:r>
      <w:r w:rsidR="00464447">
        <w:rPr>
          <w:rFonts w:hint="eastAsia"/>
          <w:color w:val="000000" w:themeColor="text1"/>
          <w:lang w:eastAsia="zh-CN"/>
        </w:rPr>
        <w:t>所</w:t>
      </w:r>
      <w:r>
        <w:rPr>
          <w:rFonts w:hint="eastAsia"/>
          <w:color w:val="000000" w:themeColor="text1"/>
          <w:lang w:eastAsia="zh-CN"/>
        </w:rPr>
        <w:t>推动，该领域实现了</w:t>
      </w:r>
      <w:r>
        <w:rPr>
          <w:color w:val="000000" w:themeColor="text1"/>
          <w:lang w:eastAsia="zh-CN"/>
        </w:rPr>
        <w:t>2.8%</w:t>
      </w:r>
      <w:r>
        <w:rPr>
          <w:rFonts w:hint="eastAsia"/>
          <w:color w:val="000000" w:themeColor="text1"/>
          <w:lang w:eastAsia="zh-CN"/>
        </w:rPr>
        <w:t>的良好有机销售额增长（第二季度：</w:t>
      </w:r>
      <w:r w:rsidR="00FB52E9">
        <w:rPr>
          <w:rFonts w:hint="eastAsia"/>
          <w:color w:val="000000" w:themeColor="text1"/>
          <w:lang w:eastAsia="zh-CN"/>
        </w:rPr>
        <w:t>+</w:t>
      </w:r>
      <w:r>
        <w:rPr>
          <w:color w:val="000000" w:themeColor="text1"/>
          <w:lang w:eastAsia="zh-CN"/>
        </w:rPr>
        <w:t>2.5%</w:t>
      </w:r>
      <w:r>
        <w:rPr>
          <w:rFonts w:hint="eastAsia"/>
          <w:color w:val="000000" w:themeColor="text1"/>
          <w:lang w:eastAsia="zh-CN"/>
        </w:rPr>
        <w:t>）。这一增长主要由电子业务的两位数有机销售额增长以及工业业务的强劲有机销售额增长所推动。相比之下，汽车业务因市场环境严峻而出现下滑。</w:t>
      </w:r>
      <w:r>
        <w:rPr>
          <w:rFonts w:hint="eastAsia"/>
          <w:b/>
          <w:bCs/>
          <w:color w:val="000000" w:themeColor="text1"/>
          <w:lang w:eastAsia="zh-CN"/>
        </w:rPr>
        <w:t>包装和消费品</w:t>
      </w:r>
      <w:r>
        <w:rPr>
          <w:rFonts w:hint="eastAsia"/>
          <w:color w:val="000000" w:themeColor="text1"/>
          <w:lang w:eastAsia="zh-CN"/>
        </w:rPr>
        <w:t>业务领域实现稳定的有机销售额增长（第二季度：</w:t>
      </w:r>
      <w:r w:rsidR="00E345E0">
        <w:rPr>
          <w:rFonts w:hint="eastAsia"/>
          <w:color w:val="000000" w:themeColor="text1"/>
          <w:lang w:eastAsia="zh-CN"/>
        </w:rPr>
        <w:t>+</w:t>
      </w:r>
      <w:r>
        <w:rPr>
          <w:color w:val="000000" w:themeColor="text1"/>
          <w:lang w:eastAsia="zh-CN"/>
        </w:rPr>
        <w:t>0.4%</w:t>
      </w:r>
      <w:r>
        <w:rPr>
          <w:rFonts w:hint="eastAsia"/>
          <w:color w:val="000000" w:themeColor="text1"/>
          <w:lang w:eastAsia="zh-CN"/>
        </w:rPr>
        <w:t>）。尽管包装业务的有机销售额出现小幅下滑，但这一影响被消费品业务的有机增长所抵消。</w:t>
      </w:r>
      <w:r>
        <w:rPr>
          <w:rFonts w:hint="eastAsia"/>
          <w:b/>
          <w:bCs/>
          <w:color w:val="000000" w:themeColor="text1"/>
          <w:lang w:eastAsia="zh-CN"/>
        </w:rPr>
        <w:t>工匠、建筑和专业</w:t>
      </w:r>
      <w:r>
        <w:rPr>
          <w:rFonts w:hint="eastAsia"/>
          <w:color w:val="000000" w:themeColor="text1"/>
          <w:lang w:eastAsia="zh-CN"/>
        </w:rPr>
        <w:t>业务领域的有机销售额增长</w:t>
      </w:r>
      <w:r>
        <w:rPr>
          <w:color w:val="000000" w:themeColor="text1"/>
          <w:lang w:eastAsia="zh-CN"/>
        </w:rPr>
        <w:t>0.6%</w:t>
      </w:r>
      <w:r>
        <w:rPr>
          <w:rFonts w:hint="eastAsia"/>
          <w:color w:val="000000" w:themeColor="text1"/>
          <w:lang w:eastAsia="zh-CN"/>
        </w:rPr>
        <w:t>（第二季度：</w:t>
      </w:r>
      <w:r w:rsidR="00E345E0">
        <w:rPr>
          <w:rFonts w:hint="eastAsia"/>
          <w:color w:val="000000" w:themeColor="text1"/>
          <w:lang w:eastAsia="zh-CN"/>
        </w:rPr>
        <w:t>+</w:t>
      </w:r>
      <w:r>
        <w:rPr>
          <w:color w:val="000000" w:themeColor="text1"/>
          <w:lang w:eastAsia="zh-CN"/>
        </w:rPr>
        <w:t>0.8%</w:t>
      </w:r>
      <w:r>
        <w:rPr>
          <w:rFonts w:hint="eastAsia"/>
          <w:color w:val="000000" w:themeColor="text1"/>
          <w:lang w:eastAsia="zh-CN"/>
        </w:rPr>
        <w:t>）。这主要得益于建筑业务有机销售额的良好增长。消费品与工匠业务以及通用制造与维护业务与去年同期相比业绩保持稳定。</w:t>
      </w:r>
      <w:r>
        <w:rPr>
          <w:color w:val="000000" w:themeColor="text1"/>
          <w:lang w:eastAsia="zh-CN"/>
        </w:rPr>
        <w:t xml:space="preserve"> </w:t>
      </w:r>
    </w:p>
    <w:p w14:paraId="7A851D9D" w14:textId="77777777" w:rsidR="00DE6EFB" w:rsidRDefault="00DE6EFB">
      <w:pPr>
        <w:rPr>
          <w:rFonts w:cs="Segoe UI"/>
          <w:bCs/>
          <w:szCs w:val="22"/>
          <w:lang w:eastAsia="zh-CN"/>
        </w:rPr>
      </w:pPr>
    </w:p>
    <w:p w14:paraId="7BCB2E83" w14:textId="2870270B" w:rsidR="00DE6EFB" w:rsidRDefault="00B51E72">
      <w:pPr>
        <w:rPr>
          <w:rFonts w:cs="Segoe UI"/>
          <w:bCs/>
          <w:szCs w:val="22"/>
          <w:lang w:eastAsia="zh-CN"/>
        </w:rPr>
      </w:pPr>
      <w:r>
        <w:rPr>
          <w:rFonts w:cs="Segoe UI"/>
          <w:b/>
          <w:szCs w:val="22"/>
          <w:lang w:eastAsia="zh-CN"/>
        </w:rPr>
        <w:t>调整后</w:t>
      </w:r>
      <w:r>
        <w:rPr>
          <w:rFonts w:cs="Segoe UI" w:hint="eastAsia"/>
          <w:b/>
          <w:szCs w:val="22"/>
          <w:lang w:eastAsia="zh-CN"/>
        </w:rPr>
        <w:t>的</w:t>
      </w:r>
      <w:r>
        <w:rPr>
          <w:rFonts w:cs="Segoe UI"/>
          <w:b/>
          <w:szCs w:val="22"/>
          <w:lang w:eastAsia="zh-CN"/>
        </w:rPr>
        <w:t>营业利润</w:t>
      </w:r>
      <w:r>
        <w:rPr>
          <w:rFonts w:cs="Segoe UI"/>
          <w:bCs/>
          <w:szCs w:val="22"/>
          <w:lang w:eastAsia="zh-CN"/>
        </w:rPr>
        <w:t>略低于去年同期水平，为</w:t>
      </w:r>
      <w:r>
        <w:rPr>
          <w:rFonts w:cs="Segoe UI"/>
          <w:bCs/>
          <w:szCs w:val="22"/>
          <w:lang w:eastAsia="zh-CN"/>
        </w:rPr>
        <w:t>9.31</w:t>
      </w:r>
      <w:r>
        <w:rPr>
          <w:rFonts w:cs="Segoe UI"/>
          <w:bCs/>
          <w:szCs w:val="22"/>
          <w:lang w:eastAsia="zh-CN"/>
        </w:rPr>
        <w:t>亿欧元。然而，</w:t>
      </w:r>
      <w:r>
        <w:rPr>
          <w:rFonts w:cs="Segoe UI"/>
          <w:b/>
          <w:szCs w:val="22"/>
          <w:lang w:eastAsia="zh-CN"/>
        </w:rPr>
        <w:t>调整后</w:t>
      </w:r>
      <w:r>
        <w:rPr>
          <w:rFonts w:cs="Segoe UI" w:hint="eastAsia"/>
          <w:b/>
          <w:szCs w:val="22"/>
          <w:lang w:eastAsia="zh-CN"/>
        </w:rPr>
        <w:t>的</w:t>
      </w:r>
      <w:r>
        <w:rPr>
          <w:rFonts w:cs="Segoe UI"/>
          <w:b/>
          <w:szCs w:val="22"/>
          <w:lang w:eastAsia="zh-CN"/>
        </w:rPr>
        <w:t>销售</w:t>
      </w:r>
      <w:r>
        <w:rPr>
          <w:rFonts w:cs="Segoe UI" w:hint="eastAsia"/>
          <w:b/>
          <w:szCs w:val="22"/>
          <w:lang w:eastAsia="zh-CN"/>
        </w:rPr>
        <w:t>回报</w:t>
      </w:r>
      <w:r>
        <w:rPr>
          <w:rFonts w:cs="Segoe UI"/>
          <w:b/>
          <w:szCs w:val="22"/>
          <w:lang w:eastAsia="zh-CN"/>
        </w:rPr>
        <w:t>率</w:t>
      </w:r>
      <w:r>
        <w:rPr>
          <w:rFonts w:cs="Segoe UI"/>
          <w:bCs/>
          <w:szCs w:val="22"/>
          <w:lang w:eastAsia="zh-CN"/>
        </w:rPr>
        <w:t>（调整后</w:t>
      </w:r>
      <w:r>
        <w:rPr>
          <w:rFonts w:cs="Segoe UI" w:hint="eastAsia"/>
          <w:bCs/>
          <w:szCs w:val="22"/>
          <w:lang w:eastAsia="zh-CN"/>
        </w:rPr>
        <w:t>的息税前</w:t>
      </w:r>
      <w:r>
        <w:rPr>
          <w:rFonts w:cs="Segoe UI"/>
          <w:bCs/>
          <w:szCs w:val="22"/>
          <w:lang w:eastAsia="zh-CN"/>
        </w:rPr>
        <w:t>利润率）</w:t>
      </w:r>
      <w:r w:rsidR="009B731E">
        <w:rPr>
          <w:rFonts w:cs="Segoe UI" w:hint="eastAsia"/>
          <w:bCs/>
          <w:szCs w:val="22"/>
          <w:lang w:eastAsia="zh-CN"/>
        </w:rPr>
        <w:t>从</w:t>
      </w:r>
      <w:r>
        <w:rPr>
          <w:rFonts w:cs="Segoe UI"/>
          <w:bCs/>
          <w:szCs w:val="22"/>
          <w:lang w:eastAsia="zh-CN"/>
        </w:rPr>
        <w:t>去年同期</w:t>
      </w:r>
      <w:r>
        <w:rPr>
          <w:rFonts w:cs="Segoe UI" w:hint="eastAsia"/>
          <w:bCs/>
          <w:szCs w:val="22"/>
          <w:lang w:eastAsia="zh-CN"/>
        </w:rPr>
        <w:t>的</w:t>
      </w:r>
      <w:r>
        <w:rPr>
          <w:rFonts w:cs="Segoe UI"/>
          <w:bCs/>
          <w:szCs w:val="22"/>
          <w:lang w:eastAsia="zh-CN"/>
        </w:rPr>
        <w:t>17.0%</w:t>
      </w:r>
      <w:r>
        <w:rPr>
          <w:rFonts w:cs="Segoe UI"/>
          <w:bCs/>
          <w:szCs w:val="22"/>
          <w:lang w:eastAsia="zh-CN"/>
        </w:rPr>
        <w:t>提升至</w:t>
      </w:r>
      <w:r>
        <w:rPr>
          <w:rFonts w:cs="Segoe UI"/>
          <w:bCs/>
          <w:szCs w:val="22"/>
          <w:lang w:eastAsia="zh-CN"/>
        </w:rPr>
        <w:t>17.2%</w:t>
      </w:r>
      <w:r>
        <w:rPr>
          <w:rFonts w:cs="Segoe UI"/>
          <w:bCs/>
          <w:szCs w:val="22"/>
          <w:lang w:eastAsia="zh-CN"/>
        </w:rPr>
        <w:t>。这主要得益于</w:t>
      </w:r>
      <w:r>
        <w:rPr>
          <w:rFonts w:cs="Segoe UI" w:hint="eastAsia"/>
          <w:bCs/>
          <w:szCs w:val="22"/>
          <w:lang w:eastAsia="zh-CN"/>
        </w:rPr>
        <w:t>有效的业务组合</w:t>
      </w:r>
      <w:r w:rsidR="009B731E">
        <w:rPr>
          <w:rFonts w:cs="Segoe UI" w:hint="eastAsia"/>
          <w:bCs/>
          <w:szCs w:val="22"/>
          <w:lang w:eastAsia="zh-CN"/>
        </w:rPr>
        <w:t>结构</w:t>
      </w:r>
      <w:r>
        <w:rPr>
          <w:rFonts w:cs="Segoe UI"/>
          <w:bCs/>
          <w:szCs w:val="22"/>
          <w:lang w:eastAsia="zh-CN"/>
        </w:rPr>
        <w:t>。</w:t>
      </w:r>
    </w:p>
    <w:p w14:paraId="3CC453F9" w14:textId="77777777" w:rsidR="00DE6EFB" w:rsidRDefault="00DE6EFB">
      <w:pPr>
        <w:rPr>
          <w:rFonts w:cs="Segoe UI"/>
          <w:b/>
          <w:bCs/>
          <w:szCs w:val="22"/>
          <w:lang w:eastAsia="zh-CN"/>
        </w:rPr>
      </w:pPr>
    </w:p>
    <w:p w14:paraId="003C41D7" w14:textId="72D6D7F6" w:rsidR="00DE6EFB" w:rsidRDefault="00B51E72">
      <w:pPr>
        <w:rPr>
          <w:rFonts w:cs="Segoe UI"/>
          <w:szCs w:val="22"/>
          <w:lang w:eastAsia="zh-CN"/>
        </w:rPr>
      </w:pPr>
      <w:r>
        <w:rPr>
          <w:rFonts w:cs="Segoe UI"/>
          <w:b/>
          <w:bCs/>
          <w:szCs w:val="22"/>
          <w:lang w:eastAsia="zh-CN"/>
        </w:rPr>
        <w:t>消费品牌</w:t>
      </w:r>
      <w:r>
        <w:rPr>
          <w:rFonts w:cs="Segoe UI"/>
          <w:szCs w:val="22"/>
          <w:lang w:eastAsia="zh-CN"/>
        </w:rPr>
        <w:t>业务部的</w:t>
      </w:r>
      <w:r>
        <w:rPr>
          <w:rFonts w:cs="Segoe UI"/>
          <w:b/>
          <w:bCs/>
          <w:szCs w:val="22"/>
          <w:lang w:eastAsia="zh-CN"/>
        </w:rPr>
        <w:t>有机</w:t>
      </w:r>
      <w:r>
        <w:rPr>
          <w:rFonts w:cs="Segoe UI"/>
          <w:szCs w:val="22"/>
          <w:lang w:eastAsia="zh-CN"/>
        </w:rPr>
        <w:t>销售</w:t>
      </w:r>
      <w:r>
        <w:rPr>
          <w:rFonts w:cs="Segoe UI" w:hint="eastAsia"/>
          <w:szCs w:val="22"/>
          <w:lang w:eastAsia="zh-CN"/>
        </w:rPr>
        <w:t>额</w:t>
      </w:r>
      <w:r>
        <w:rPr>
          <w:rFonts w:cs="Segoe UI"/>
          <w:szCs w:val="22"/>
          <w:lang w:eastAsia="zh-CN"/>
        </w:rPr>
        <w:t>较</w:t>
      </w:r>
      <w:r>
        <w:rPr>
          <w:rFonts w:cs="Segoe UI" w:hint="eastAsia"/>
          <w:szCs w:val="22"/>
          <w:lang w:eastAsia="zh-CN"/>
        </w:rPr>
        <w:t>去</w:t>
      </w:r>
      <w:r>
        <w:rPr>
          <w:rFonts w:cs="Segoe UI"/>
          <w:szCs w:val="22"/>
          <w:lang w:eastAsia="zh-CN"/>
        </w:rPr>
        <w:t>年同期</w:t>
      </w:r>
      <w:r w:rsidR="00F84FD2">
        <w:rPr>
          <w:rFonts w:cs="Segoe UI" w:hint="eastAsia"/>
          <w:szCs w:val="22"/>
          <w:lang w:eastAsia="zh-CN"/>
        </w:rPr>
        <w:t>下滑</w:t>
      </w:r>
      <w:r>
        <w:rPr>
          <w:rFonts w:cs="Segoe UI"/>
          <w:szCs w:val="22"/>
          <w:lang w:eastAsia="zh-CN"/>
        </w:rPr>
        <w:t>1.6%</w:t>
      </w:r>
      <w:r>
        <w:rPr>
          <w:rFonts w:cs="Segoe UI" w:hint="eastAsia"/>
          <w:szCs w:val="22"/>
          <w:lang w:eastAsia="zh-CN"/>
        </w:rPr>
        <w:t>（第二季度：</w:t>
      </w:r>
      <w:r w:rsidR="00266DCF">
        <w:rPr>
          <w:rFonts w:cs="Segoe UI" w:hint="eastAsia"/>
          <w:szCs w:val="22"/>
          <w:lang w:eastAsia="zh-CN"/>
        </w:rPr>
        <w:t>+</w:t>
      </w:r>
      <w:r>
        <w:rPr>
          <w:rFonts w:cs="Segoe UI" w:hint="eastAsia"/>
          <w:szCs w:val="22"/>
          <w:lang w:eastAsia="zh-CN"/>
        </w:rPr>
        <w:t>0.4%</w:t>
      </w:r>
      <w:r>
        <w:rPr>
          <w:rFonts w:cs="Segoe UI" w:hint="eastAsia"/>
          <w:szCs w:val="22"/>
          <w:lang w:eastAsia="zh-CN"/>
        </w:rPr>
        <w:t>）</w:t>
      </w:r>
      <w:r>
        <w:rPr>
          <w:rFonts w:cs="Segoe UI"/>
          <w:szCs w:val="22"/>
          <w:lang w:eastAsia="zh-CN"/>
        </w:rPr>
        <w:t>。名义</w:t>
      </w:r>
      <w:r>
        <w:rPr>
          <w:rFonts w:cs="Segoe UI"/>
          <w:b/>
          <w:bCs/>
          <w:szCs w:val="22"/>
          <w:lang w:eastAsia="zh-CN"/>
        </w:rPr>
        <w:t>销售额</w:t>
      </w:r>
      <w:r>
        <w:rPr>
          <w:rFonts w:cs="Segoe UI"/>
          <w:szCs w:val="22"/>
          <w:lang w:eastAsia="zh-CN"/>
        </w:rPr>
        <w:t>达到</w:t>
      </w:r>
      <w:r>
        <w:rPr>
          <w:rFonts w:cs="Segoe UI"/>
          <w:szCs w:val="22"/>
          <w:lang w:eastAsia="zh-CN"/>
        </w:rPr>
        <w:t>49.07</w:t>
      </w:r>
      <w:r>
        <w:rPr>
          <w:rFonts w:cs="Segoe UI"/>
          <w:szCs w:val="22"/>
          <w:lang w:eastAsia="zh-CN"/>
        </w:rPr>
        <w:t>亿欧元（第二季度：</w:t>
      </w:r>
      <w:r>
        <w:rPr>
          <w:rFonts w:cs="Segoe UI"/>
          <w:szCs w:val="22"/>
          <w:lang w:eastAsia="zh-CN"/>
        </w:rPr>
        <w:t>24.22</w:t>
      </w:r>
      <w:r>
        <w:rPr>
          <w:rFonts w:cs="Segoe UI"/>
          <w:szCs w:val="22"/>
          <w:lang w:eastAsia="zh-CN"/>
        </w:rPr>
        <w:t>亿欧元），较</w:t>
      </w:r>
      <w:r>
        <w:rPr>
          <w:rFonts w:cs="Segoe UI" w:hint="eastAsia"/>
          <w:szCs w:val="22"/>
          <w:lang w:eastAsia="zh-CN"/>
        </w:rPr>
        <w:t>去</w:t>
      </w:r>
      <w:r>
        <w:rPr>
          <w:rFonts w:cs="Segoe UI"/>
          <w:szCs w:val="22"/>
          <w:lang w:eastAsia="zh-CN"/>
        </w:rPr>
        <w:t>年同期</w:t>
      </w:r>
      <w:r w:rsidR="00F84FD2">
        <w:rPr>
          <w:rFonts w:cs="Segoe UI"/>
          <w:szCs w:val="22"/>
          <w:lang w:eastAsia="zh-CN"/>
        </w:rPr>
        <w:t>下滑</w:t>
      </w:r>
      <w:r>
        <w:rPr>
          <w:rFonts w:cs="Segoe UI"/>
          <w:szCs w:val="22"/>
          <w:lang w:eastAsia="zh-CN"/>
        </w:rPr>
        <w:t>6.8%</w:t>
      </w:r>
      <w:r>
        <w:rPr>
          <w:rFonts w:cs="Segoe UI"/>
          <w:szCs w:val="22"/>
          <w:lang w:eastAsia="zh-CN"/>
        </w:rPr>
        <w:t>。与</w:t>
      </w:r>
      <w:r>
        <w:rPr>
          <w:rFonts w:cs="Segoe UI"/>
          <w:szCs w:val="22"/>
          <w:lang w:eastAsia="zh-CN"/>
        </w:rPr>
        <w:t>2024</w:t>
      </w:r>
      <w:r>
        <w:rPr>
          <w:rFonts w:cs="Segoe UI"/>
          <w:szCs w:val="22"/>
          <w:lang w:eastAsia="zh-CN"/>
        </w:rPr>
        <w:t>年上半年相比，该业务部</w:t>
      </w:r>
      <w:r>
        <w:rPr>
          <w:rFonts w:cs="Segoe UI" w:hint="eastAsia"/>
          <w:szCs w:val="22"/>
          <w:lang w:eastAsia="zh-CN"/>
        </w:rPr>
        <w:t>的产品</w:t>
      </w:r>
      <w:r>
        <w:rPr>
          <w:rFonts w:cs="Segoe UI"/>
          <w:szCs w:val="22"/>
          <w:lang w:eastAsia="zh-CN"/>
        </w:rPr>
        <w:t>价格</w:t>
      </w:r>
      <w:r w:rsidR="00E245DC">
        <w:rPr>
          <w:rFonts w:cs="Segoe UI" w:hint="eastAsia"/>
          <w:szCs w:val="22"/>
          <w:lang w:eastAsia="zh-CN"/>
        </w:rPr>
        <w:t>有所</w:t>
      </w:r>
      <w:r w:rsidR="00297C3A">
        <w:rPr>
          <w:rFonts w:cs="Segoe UI" w:hint="eastAsia"/>
          <w:szCs w:val="22"/>
          <w:lang w:eastAsia="zh-CN"/>
        </w:rPr>
        <w:t>上浮</w:t>
      </w:r>
      <w:r w:rsidR="00E245DC">
        <w:rPr>
          <w:rFonts w:cs="Segoe UI" w:hint="eastAsia"/>
          <w:szCs w:val="22"/>
          <w:lang w:eastAsia="zh-CN"/>
        </w:rPr>
        <w:t>，而</w:t>
      </w:r>
      <w:r>
        <w:rPr>
          <w:rFonts w:cs="Segoe UI"/>
          <w:szCs w:val="22"/>
          <w:lang w:eastAsia="zh-CN"/>
        </w:rPr>
        <w:t>销量</w:t>
      </w:r>
      <w:r w:rsidR="00F84FD2">
        <w:rPr>
          <w:rFonts w:cs="Segoe UI"/>
          <w:szCs w:val="22"/>
          <w:lang w:eastAsia="zh-CN"/>
        </w:rPr>
        <w:t>下滑</w:t>
      </w:r>
      <w:r>
        <w:rPr>
          <w:rFonts w:cs="Segoe UI"/>
          <w:szCs w:val="22"/>
          <w:lang w:eastAsia="zh-CN"/>
        </w:rPr>
        <w:t>，</w:t>
      </w:r>
      <w:r w:rsidR="00297C3A">
        <w:rPr>
          <w:rFonts w:cs="Segoe UI" w:hint="eastAsia"/>
          <w:szCs w:val="22"/>
          <w:lang w:eastAsia="zh-CN"/>
        </w:rPr>
        <w:t>这</w:t>
      </w:r>
      <w:r>
        <w:rPr>
          <w:rFonts w:cs="Segoe UI" w:hint="eastAsia"/>
          <w:szCs w:val="22"/>
          <w:lang w:eastAsia="zh-CN"/>
        </w:rPr>
        <w:t>主要是由于北美和欧洲等主要市场面临的</w:t>
      </w:r>
      <w:r w:rsidR="00297C3A">
        <w:rPr>
          <w:rFonts w:cs="Segoe UI" w:hint="eastAsia"/>
          <w:szCs w:val="22"/>
          <w:lang w:eastAsia="zh-CN"/>
        </w:rPr>
        <w:t>严峻</w:t>
      </w:r>
      <w:r>
        <w:rPr>
          <w:rFonts w:cs="Segoe UI" w:hint="eastAsia"/>
          <w:szCs w:val="22"/>
          <w:lang w:eastAsia="zh-CN"/>
        </w:rPr>
        <w:t>消费环境所致。</w:t>
      </w:r>
    </w:p>
    <w:p w14:paraId="22B6903A" w14:textId="77777777" w:rsidR="00DE6EFB" w:rsidRDefault="00DE6EFB">
      <w:pPr>
        <w:rPr>
          <w:rFonts w:cs="Segoe UI"/>
          <w:szCs w:val="22"/>
          <w:lang w:eastAsia="zh-CN"/>
        </w:rPr>
      </w:pPr>
    </w:p>
    <w:p w14:paraId="1A350A19" w14:textId="35B731AB" w:rsidR="00DE6EFB" w:rsidRDefault="00B51E72">
      <w:pPr>
        <w:rPr>
          <w:rFonts w:cs="Segoe UI"/>
          <w:szCs w:val="22"/>
          <w:lang w:eastAsia="zh-CN"/>
        </w:rPr>
      </w:pPr>
      <w:r>
        <w:rPr>
          <w:rFonts w:cs="Segoe UI"/>
          <w:szCs w:val="22"/>
          <w:lang w:eastAsia="zh-CN"/>
        </w:rPr>
        <w:t>今年上半年，</w:t>
      </w:r>
      <w:r>
        <w:rPr>
          <w:rFonts w:cs="Segoe UI" w:hint="eastAsia"/>
          <w:b/>
          <w:bCs/>
          <w:szCs w:val="22"/>
          <w:lang w:eastAsia="zh-CN"/>
        </w:rPr>
        <w:t>洗涤剂</w:t>
      </w:r>
      <w:r>
        <w:rPr>
          <w:rFonts w:cs="Segoe UI"/>
          <w:b/>
          <w:bCs/>
          <w:szCs w:val="22"/>
          <w:lang w:eastAsia="zh-CN"/>
        </w:rPr>
        <w:t>及家</w:t>
      </w:r>
      <w:r>
        <w:rPr>
          <w:rFonts w:cs="Segoe UI" w:hint="eastAsia"/>
          <w:b/>
          <w:bCs/>
          <w:szCs w:val="22"/>
          <w:lang w:eastAsia="zh-CN"/>
        </w:rPr>
        <w:t>用</w:t>
      </w:r>
      <w:r>
        <w:rPr>
          <w:rFonts w:cs="Segoe UI"/>
          <w:b/>
          <w:bCs/>
          <w:szCs w:val="22"/>
          <w:lang w:eastAsia="zh-CN"/>
        </w:rPr>
        <w:t>护理</w:t>
      </w:r>
      <w:r>
        <w:rPr>
          <w:rFonts w:cs="Segoe UI"/>
          <w:szCs w:val="22"/>
          <w:lang w:eastAsia="zh-CN"/>
        </w:rPr>
        <w:t>业务领域有机销售额</w:t>
      </w:r>
      <w:r w:rsidR="00F84FD2">
        <w:rPr>
          <w:rFonts w:cs="Segoe UI"/>
          <w:szCs w:val="22"/>
          <w:lang w:eastAsia="zh-CN"/>
        </w:rPr>
        <w:t>下滑</w:t>
      </w:r>
      <w:r>
        <w:rPr>
          <w:rFonts w:cs="Segoe UI"/>
          <w:szCs w:val="22"/>
          <w:lang w:eastAsia="zh-CN"/>
        </w:rPr>
        <w:t>2.6%</w:t>
      </w:r>
      <w:r>
        <w:rPr>
          <w:rFonts w:cs="Segoe UI"/>
          <w:szCs w:val="22"/>
          <w:lang w:eastAsia="zh-CN"/>
        </w:rPr>
        <w:t>（第二季度：</w:t>
      </w:r>
      <w:r w:rsidR="002955A0">
        <w:rPr>
          <w:rFonts w:cs="Segoe UI" w:hint="eastAsia"/>
          <w:szCs w:val="22"/>
          <w:lang w:eastAsia="zh-CN"/>
        </w:rPr>
        <w:t>-</w:t>
      </w:r>
      <w:r>
        <w:rPr>
          <w:rFonts w:cs="Segoe UI"/>
          <w:szCs w:val="22"/>
          <w:lang w:eastAsia="zh-CN"/>
        </w:rPr>
        <w:t>0.9%</w:t>
      </w:r>
      <w:r>
        <w:rPr>
          <w:rFonts w:cs="Segoe UI"/>
          <w:szCs w:val="22"/>
          <w:lang w:eastAsia="zh-CN"/>
        </w:rPr>
        <w:t>）。家</w:t>
      </w:r>
      <w:r>
        <w:rPr>
          <w:rFonts w:cs="Segoe UI" w:hint="eastAsia"/>
          <w:szCs w:val="22"/>
          <w:lang w:eastAsia="zh-CN"/>
        </w:rPr>
        <w:t>用</w:t>
      </w:r>
      <w:r>
        <w:rPr>
          <w:rFonts w:cs="Segoe UI"/>
          <w:szCs w:val="22"/>
          <w:lang w:eastAsia="zh-CN"/>
        </w:rPr>
        <w:t>护理业务实现了有机销售额增长，</w:t>
      </w:r>
      <w:r>
        <w:rPr>
          <w:rFonts w:cs="Segoe UI" w:hint="eastAsia"/>
          <w:szCs w:val="22"/>
          <w:lang w:eastAsia="zh-CN"/>
        </w:rPr>
        <w:t>这</w:t>
      </w:r>
      <w:r>
        <w:rPr>
          <w:rFonts w:cs="Segoe UI"/>
          <w:szCs w:val="22"/>
          <w:lang w:eastAsia="zh-CN"/>
        </w:rPr>
        <w:t>主要得益于</w:t>
      </w:r>
      <w:r>
        <w:rPr>
          <w:rFonts w:cs="Segoe UI" w:hint="eastAsia"/>
          <w:szCs w:val="22"/>
          <w:lang w:eastAsia="zh-CN"/>
        </w:rPr>
        <w:t>洗洁精品类的</w:t>
      </w:r>
      <w:r>
        <w:rPr>
          <w:rFonts w:cs="Segoe UI"/>
          <w:szCs w:val="22"/>
          <w:lang w:eastAsia="zh-CN"/>
        </w:rPr>
        <w:t>有机销售额强劲增长。相比之下，洗衣护理业务的有机销售额出现下滑。</w:t>
      </w:r>
      <w:r>
        <w:rPr>
          <w:rFonts w:cs="Segoe UI"/>
          <w:b/>
          <w:bCs/>
          <w:szCs w:val="22"/>
          <w:lang w:eastAsia="zh-CN"/>
        </w:rPr>
        <w:t>美发</w:t>
      </w:r>
      <w:r>
        <w:rPr>
          <w:rFonts w:cs="Segoe UI"/>
          <w:szCs w:val="22"/>
          <w:lang w:eastAsia="zh-CN"/>
        </w:rPr>
        <w:t>业务</w:t>
      </w:r>
      <w:r>
        <w:rPr>
          <w:rFonts w:cs="Segoe UI" w:hint="eastAsia"/>
          <w:szCs w:val="22"/>
          <w:lang w:eastAsia="zh-CN"/>
        </w:rPr>
        <w:t>领域</w:t>
      </w:r>
      <w:r>
        <w:rPr>
          <w:rFonts w:cs="Segoe UI"/>
          <w:szCs w:val="22"/>
          <w:lang w:eastAsia="zh-CN"/>
        </w:rPr>
        <w:t>在上半年实现了</w:t>
      </w:r>
      <w:r>
        <w:rPr>
          <w:rFonts w:cs="Segoe UI"/>
          <w:szCs w:val="22"/>
          <w:lang w:eastAsia="zh-CN"/>
        </w:rPr>
        <w:t>0.9%</w:t>
      </w:r>
      <w:r>
        <w:rPr>
          <w:rFonts w:cs="Segoe UI"/>
          <w:szCs w:val="22"/>
          <w:lang w:eastAsia="zh-CN"/>
        </w:rPr>
        <w:t>的有机销售</w:t>
      </w:r>
      <w:r>
        <w:rPr>
          <w:rFonts w:cs="Segoe UI" w:hint="eastAsia"/>
          <w:szCs w:val="22"/>
          <w:lang w:eastAsia="zh-CN"/>
        </w:rPr>
        <w:t>额</w:t>
      </w:r>
      <w:r>
        <w:rPr>
          <w:rFonts w:cs="Segoe UI"/>
          <w:szCs w:val="22"/>
          <w:lang w:eastAsia="zh-CN"/>
        </w:rPr>
        <w:t>增长（第二季度：</w:t>
      </w:r>
      <w:r w:rsidR="002955A0">
        <w:rPr>
          <w:rFonts w:cs="Segoe UI" w:hint="eastAsia"/>
          <w:szCs w:val="22"/>
          <w:lang w:eastAsia="zh-CN"/>
        </w:rPr>
        <w:t>+</w:t>
      </w:r>
      <w:r>
        <w:rPr>
          <w:rFonts w:cs="Segoe UI"/>
          <w:szCs w:val="22"/>
          <w:lang w:eastAsia="zh-CN"/>
        </w:rPr>
        <w:t>3.2%</w:t>
      </w:r>
      <w:r>
        <w:rPr>
          <w:rFonts w:cs="Segoe UI"/>
          <w:szCs w:val="22"/>
          <w:lang w:eastAsia="zh-CN"/>
        </w:rPr>
        <w:t>）。消费品业务实现了良好的有机销售</w:t>
      </w:r>
      <w:r>
        <w:rPr>
          <w:rFonts w:cs="Segoe UI" w:hint="eastAsia"/>
          <w:szCs w:val="22"/>
          <w:lang w:eastAsia="zh-CN"/>
        </w:rPr>
        <w:t>额</w:t>
      </w:r>
      <w:r>
        <w:rPr>
          <w:rFonts w:cs="Segoe UI"/>
          <w:szCs w:val="22"/>
          <w:lang w:eastAsia="zh-CN"/>
        </w:rPr>
        <w:t>增长，主要得益于染发品类的强劲</w:t>
      </w:r>
      <w:r>
        <w:rPr>
          <w:rFonts w:cs="Segoe UI" w:hint="eastAsia"/>
          <w:szCs w:val="22"/>
          <w:lang w:eastAsia="zh-CN"/>
        </w:rPr>
        <w:t>增长</w:t>
      </w:r>
      <w:r>
        <w:rPr>
          <w:rFonts w:cs="Segoe UI"/>
          <w:szCs w:val="22"/>
          <w:lang w:eastAsia="zh-CN"/>
        </w:rPr>
        <w:t>以及</w:t>
      </w:r>
      <w:r>
        <w:rPr>
          <w:rFonts w:cs="Segoe UI" w:hint="eastAsia"/>
          <w:szCs w:val="22"/>
          <w:lang w:eastAsia="zh-CN"/>
        </w:rPr>
        <w:t>造型</w:t>
      </w:r>
      <w:r>
        <w:rPr>
          <w:rFonts w:cs="Segoe UI"/>
          <w:szCs w:val="22"/>
          <w:lang w:eastAsia="zh-CN"/>
        </w:rPr>
        <w:t>品类的良好</w:t>
      </w:r>
      <w:r>
        <w:rPr>
          <w:rFonts w:cs="Segoe UI" w:hint="eastAsia"/>
          <w:szCs w:val="22"/>
          <w:lang w:eastAsia="zh-CN"/>
        </w:rPr>
        <w:t>业绩</w:t>
      </w:r>
      <w:r w:rsidR="0039297C">
        <w:rPr>
          <w:rFonts w:cs="Segoe UI" w:hint="eastAsia"/>
          <w:szCs w:val="22"/>
          <w:lang w:eastAsia="zh-CN"/>
        </w:rPr>
        <w:t>表现</w:t>
      </w:r>
      <w:r>
        <w:rPr>
          <w:rFonts w:cs="Segoe UI"/>
          <w:szCs w:val="22"/>
          <w:lang w:eastAsia="zh-CN"/>
        </w:rPr>
        <w:t>。专业业务</w:t>
      </w:r>
      <w:r>
        <w:rPr>
          <w:rFonts w:cs="Segoe UI" w:hint="eastAsia"/>
          <w:szCs w:val="22"/>
          <w:lang w:eastAsia="zh-CN"/>
        </w:rPr>
        <w:t>领域</w:t>
      </w:r>
      <w:r>
        <w:rPr>
          <w:rFonts w:cs="Segoe UI"/>
          <w:szCs w:val="22"/>
          <w:lang w:eastAsia="zh-CN"/>
        </w:rPr>
        <w:t>由于消费环境</w:t>
      </w:r>
      <w:r>
        <w:rPr>
          <w:rFonts w:cs="Segoe UI" w:hint="eastAsia"/>
          <w:szCs w:val="22"/>
          <w:lang w:eastAsia="zh-CN"/>
        </w:rPr>
        <w:t>严峻</w:t>
      </w:r>
      <w:r>
        <w:rPr>
          <w:rFonts w:cs="Segoe UI"/>
          <w:szCs w:val="22"/>
          <w:lang w:eastAsia="zh-CN"/>
        </w:rPr>
        <w:t>，尤其是北美地区，有机销售</w:t>
      </w:r>
      <w:r>
        <w:rPr>
          <w:rFonts w:cs="Segoe UI" w:hint="eastAsia"/>
          <w:szCs w:val="22"/>
          <w:lang w:eastAsia="zh-CN"/>
        </w:rPr>
        <w:t>额</w:t>
      </w:r>
      <w:r>
        <w:rPr>
          <w:rFonts w:cs="Segoe UI"/>
          <w:szCs w:val="22"/>
          <w:lang w:eastAsia="zh-CN"/>
        </w:rPr>
        <w:t>轻微</w:t>
      </w:r>
      <w:r>
        <w:rPr>
          <w:rFonts w:cs="Segoe UI" w:hint="eastAsia"/>
          <w:szCs w:val="22"/>
          <w:lang w:eastAsia="zh-CN"/>
        </w:rPr>
        <w:t>下滑</w:t>
      </w:r>
      <w:r>
        <w:rPr>
          <w:rFonts w:cs="Segoe UI"/>
          <w:szCs w:val="22"/>
          <w:lang w:eastAsia="zh-CN"/>
        </w:rPr>
        <w:t>。</w:t>
      </w:r>
      <w:r>
        <w:rPr>
          <w:rFonts w:cs="Segoe UI"/>
          <w:b/>
          <w:bCs/>
          <w:szCs w:val="22"/>
          <w:lang w:eastAsia="zh-CN"/>
        </w:rPr>
        <w:t>其他消费业务</w:t>
      </w:r>
      <w:r>
        <w:rPr>
          <w:rFonts w:cs="Segoe UI" w:hint="eastAsia"/>
          <w:szCs w:val="22"/>
          <w:lang w:eastAsia="zh-CN"/>
        </w:rPr>
        <w:t>领域</w:t>
      </w:r>
      <w:r>
        <w:rPr>
          <w:rFonts w:cs="Segoe UI"/>
          <w:szCs w:val="22"/>
          <w:lang w:eastAsia="zh-CN"/>
        </w:rPr>
        <w:t>在上半年有机销售额</w:t>
      </w:r>
      <w:r w:rsidR="00F84FD2">
        <w:rPr>
          <w:rFonts w:cs="Segoe UI"/>
          <w:szCs w:val="22"/>
          <w:lang w:eastAsia="zh-CN"/>
        </w:rPr>
        <w:t>下滑</w:t>
      </w:r>
      <w:r>
        <w:rPr>
          <w:rFonts w:cs="Segoe UI"/>
          <w:szCs w:val="22"/>
          <w:lang w:eastAsia="zh-CN"/>
        </w:rPr>
        <w:t>4.2%</w:t>
      </w:r>
      <w:r>
        <w:rPr>
          <w:rFonts w:cs="Segoe UI"/>
          <w:szCs w:val="22"/>
          <w:lang w:eastAsia="zh-CN"/>
        </w:rPr>
        <w:t>（第二季度：</w:t>
      </w:r>
      <w:r w:rsidR="00C1124D">
        <w:rPr>
          <w:rFonts w:cs="Segoe UI" w:hint="eastAsia"/>
          <w:szCs w:val="22"/>
          <w:lang w:eastAsia="zh-CN"/>
        </w:rPr>
        <w:t>-</w:t>
      </w:r>
      <w:r>
        <w:rPr>
          <w:rFonts w:cs="Segoe UI"/>
          <w:szCs w:val="22"/>
          <w:lang w:eastAsia="zh-CN"/>
        </w:rPr>
        <w:t>1.7%</w:t>
      </w:r>
      <w:r>
        <w:rPr>
          <w:rFonts w:cs="Segoe UI"/>
          <w:szCs w:val="22"/>
          <w:lang w:eastAsia="zh-CN"/>
        </w:rPr>
        <w:t>），</w:t>
      </w:r>
      <w:r>
        <w:rPr>
          <w:rFonts w:cs="Segoe UI" w:hint="eastAsia"/>
          <w:szCs w:val="22"/>
          <w:lang w:eastAsia="zh-CN"/>
        </w:rPr>
        <w:t>主要</w:t>
      </w:r>
      <w:r w:rsidR="00CF0357">
        <w:rPr>
          <w:rFonts w:cs="Segoe UI" w:hint="eastAsia"/>
          <w:szCs w:val="22"/>
          <w:lang w:eastAsia="zh-CN"/>
        </w:rPr>
        <w:t>受</w:t>
      </w:r>
      <w:r>
        <w:rPr>
          <w:rFonts w:cs="Segoe UI"/>
          <w:szCs w:val="22"/>
          <w:lang w:eastAsia="zh-CN"/>
        </w:rPr>
        <w:t>北美和欧洲地区身体护理业务</w:t>
      </w:r>
      <w:r w:rsidR="00830A1B">
        <w:rPr>
          <w:rFonts w:cs="Segoe UI" w:hint="eastAsia"/>
          <w:szCs w:val="22"/>
          <w:lang w:eastAsia="zh-CN"/>
        </w:rPr>
        <w:t>表现疲软所</w:t>
      </w:r>
      <w:r w:rsidR="00CF0357">
        <w:rPr>
          <w:rFonts w:cs="Segoe UI" w:hint="eastAsia"/>
          <w:szCs w:val="22"/>
          <w:lang w:eastAsia="zh-CN"/>
        </w:rPr>
        <w:t>影响</w:t>
      </w:r>
      <w:r>
        <w:rPr>
          <w:rFonts w:cs="Segoe UI"/>
          <w:szCs w:val="22"/>
          <w:lang w:eastAsia="zh-CN"/>
        </w:rPr>
        <w:t>。</w:t>
      </w:r>
    </w:p>
    <w:p w14:paraId="7FD12A5C" w14:textId="77777777" w:rsidR="00DE6EFB" w:rsidRDefault="00DE6EFB">
      <w:pPr>
        <w:rPr>
          <w:rFonts w:cs="Segoe UI"/>
          <w:szCs w:val="22"/>
          <w:lang w:eastAsia="zh-CN"/>
        </w:rPr>
      </w:pPr>
    </w:p>
    <w:p w14:paraId="08E6A26A" w14:textId="5F83E887" w:rsidR="00DE6EFB" w:rsidRDefault="00B51E72">
      <w:pPr>
        <w:rPr>
          <w:bCs/>
          <w:lang w:eastAsia="zh-CN"/>
        </w:rPr>
      </w:pPr>
      <w:r>
        <w:rPr>
          <w:b/>
          <w:lang w:eastAsia="zh-CN"/>
        </w:rPr>
        <w:t>调整后</w:t>
      </w:r>
      <w:r>
        <w:rPr>
          <w:rFonts w:hint="eastAsia"/>
          <w:b/>
          <w:lang w:eastAsia="zh-CN"/>
        </w:rPr>
        <w:t>的</w:t>
      </w:r>
      <w:r>
        <w:rPr>
          <w:b/>
          <w:lang w:eastAsia="zh-CN"/>
        </w:rPr>
        <w:t>营业利润</w:t>
      </w:r>
      <w:r>
        <w:rPr>
          <w:bCs/>
          <w:lang w:eastAsia="zh-CN"/>
        </w:rPr>
        <w:t>为</w:t>
      </w:r>
      <w:r>
        <w:rPr>
          <w:bCs/>
          <w:lang w:eastAsia="zh-CN"/>
        </w:rPr>
        <w:t>7.48</w:t>
      </w:r>
      <w:r>
        <w:rPr>
          <w:bCs/>
          <w:lang w:eastAsia="zh-CN"/>
        </w:rPr>
        <w:t>亿欧元，略低于</w:t>
      </w:r>
      <w:r>
        <w:rPr>
          <w:rFonts w:hint="eastAsia"/>
          <w:bCs/>
          <w:lang w:eastAsia="zh-CN"/>
        </w:rPr>
        <w:t>去</w:t>
      </w:r>
      <w:r>
        <w:rPr>
          <w:bCs/>
          <w:lang w:eastAsia="zh-CN"/>
        </w:rPr>
        <w:t>年同期水平。</w:t>
      </w:r>
      <w:r>
        <w:rPr>
          <w:b/>
          <w:lang w:eastAsia="zh-CN"/>
        </w:rPr>
        <w:t>调整后</w:t>
      </w:r>
      <w:r>
        <w:rPr>
          <w:rFonts w:hint="eastAsia"/>
          <w:b/>
          <w:lang w:eastAsia="zh-CN"/>
        </w:rPr>
        <w:t>的</w:t>
      </w:r>
      <w:r>
        <w:rPr>
          <w:b/>
          <w:lang w:eastAsia="zh-CN"/>
        </w:rPr>
        <w:t>销售</w:t>
      </w:r>
      <w:r>
        <w:rPr>
          <w:rFonts w:hint="eastAsia"/>
          <w:b/>
          <w:lang w:eastAsia="zh-CN"/>
        </w:rPr>
        <w:t>回报</w:t>
      </w:r>
      <w:r>
        <w:rPr>
          <w:b/>
          <w:lang w:eastAsia="zh-CN"/>
        </w:rPr>
        <w:t>率</w:t>
      </w:r>
      <w:r>
        <w:rPr>
          <w:bCs/>
          <w:lang w:eastAsia="zh-CN"/>
        </w:rPr>
        <w:t>（调整后</w:t>
      </w:r>
      <w:r>
        <w:rPr>
          <w:rFonts w:hint="eastAsia"/>
          <w:bCs/>
          <w:lang w:eastAsia="zh-CN"/>
        </w:rPr>
        <w:t>的息税前</w:t>
      </w:r>
      <w:r>
        <w:rPr>
          <w:bCs/>
          <w:lang w:eastAsia="zh-CN"/>
        </w:rPr>
        <w:t>利润率）较</w:t>
      </w:r>
      <w:r>
        <w:rPr>
          <w:rFonts w:hint="eastAsia"/>
          <w:bCs/>
          <w:lang w:eastAsia="zh-CN"/>
        </w:rPr>
        <w:t>去</w:t>
      </w:r>
      <w:r>
        <w:rPr>
          <w:bCs/>
          <w:lang w:eastAsia="zh-CN"/>
        </w:rPr>
        <w:t>年同期的</w:t>
      </w:r>
      <w:r>
        <w:rPr>
          <w:bCs/>
          <w:lang w:eastAsia="zh-CN"/>
        </w:rPr>
        <w:t>14.3%</w:t>
      </w:r>
      <w:r>
        <w:rPr>
          <w:bCs/>
          <w:lang w:eastAsia="zh-CN"/>
        </w:rPr>
        <w:t>显著提升至</w:t>
      </w:r>
      <w:r>
        <w:rPr>
          <w:bCs/>
          <w:lang w:eastAsia="zh-CN"/>
        </w:rPr>
        <w:t>15.3%</w:t>
      </w:r>
      <w:r>
        <w:rPr>
          <w:bCs/>
          <w:lang w:eastAsia="zh-CN"/>
        </w:rPr>
        <w:t>。这主要得益于</w:t>
      </w:r>
      <w:r w:rsidR="00ED508A" w:rsidRPr="00ED508A">
        <w:rPr>
          <w:bCs/>
          <w:lang w:eastAsia="zh-CN"/>
        </w:rPr>
        <w:t>持续的业务组合优化以及通过供应链优化实现的成本节约</w:t>
      </w:r>
      <w:r>
        <w:rPr>
          <w:bCs/>
          <w:lang w:eastAsia="zh-CN"/>
        </w:rPr>
        <w:t>。</w:t>
      </w:r>
    </w:p>
    <w:p w14:paraId="12F16546" w14:textId="77777777" w:rsidR="00DE6EFB" w:rsidRDefault="00DE6EFB">
      <w:pPr>
        <w:rPr>
          <w:rFonts w:cs="Segoe UI"/>
          <w:szCs w:val="22"/>
          <w:lang w:eastAsia="zh-CN"/>
        </w:rPr>
      </w:pPr>
    </w:p>
    <w:p w14:paraId="54C15F5E" w14:textId="77777777" w:rsidR="00DE6EFB" w:rsidRDefault="00B51E72">
      <w:pPr>
        <w:spacing w:after="120"/>
        <w:rPr>
          <w:rFonts w:cs="Segoe UI"/>
          <w:b/>
          <w:szCs w:val="22"/>
          <w:lang w:eastAsia="zh-CN"/>
        </w:rPr>
      </w:pPr>
      <w:r>
        <w:rPr>
          <w:rFonts w:asciiTheme="majorHAnsi" w:hAnsiTheme="majorHAnsi" w:cstheme="majorHAnsi" w:hint="eastAsia"/>
          <w:b/>
          <w:szCs w:val="22"/>
          <w:lang w:eastAsia="zh-CN"/>
        </w:rPr>
        <w:t>进一步加快实施目标性增长议程</w:t>
      </w:r>
    </w:p>
    <w:p w14:paraId="2526D1AB" w14:textId="77777777" w:rsidR="00DE6EFB" w:rsidRDefault="00B51E72">
      <w:pPr>
        <w:autoSpaceDE w:val="0"/>
        <w:autoSpaceDN w:val="0"/>
        <w:adjustRightInd w:val="0"/>
        <w:rPr>
          <w:rFonts w:cs="Segoe UI"/>
          <w:szCs w:val="22"/>
          <w:lang w:eastAsia="zh-CN"/>
        </w:rPr>
      </w:pPr>
      <w:r>
        <w:rPr>
          <w:rFonts w:cs="Segoe UI"/>
          <w:szCs w:val="22"/>
          <w:lang w:eastAsia="zh-CN"/>
        </w:rPr>
        <w:lastRenderedPageBreak/>
        <w:t>2025</w:t>
      </w:r>
      <w:r>
        <w:rPr>
          <w:rFonts w:cs="Segoe UI"/>
          <w:szCs w:val="22"/>
          <w:lang w:eastAsia="zh-CN"/>
        </w:rPr>
        <w:t>年上半年，汉高继续成功</w:t>
      </w:r>
      <w:r>
        <w:rPr>
          <w:rFonts w:cs="Segoe UI" w:hint="eastAsia"/>
          <w:szCs w:val="22"/>
          <w:lang w:eastAsia="zh-CN"/>
        </w:rPr>
        <w:t>实施</w:t>
      </w:r>
      <w:r>
        <w:rPr>
          <w:rFonts w:cs="Segoe UI"/>
          <w:szCs w:val="22"/>
          <w:lang w:eastAsia="zh-CN"/>
        </w:rPr>
        <w:t>其</w:t>
      </w:r>
      <w:r>
        <w:rPr>
          <w:rFonts w:cs="Segoe UI" w:hint="eastAsia"/>
          <w:szCs w:val="22"/>
          <w:lang w:eastAsia="zh-CN"/>
        </w:rPr>
        <w:t>“目标性增长议程”的</w:t>
      </w:r>
      <w:r>
        <w:rPr>
          <w:rFonts w:cs="Segoe UI"/>
          <w:szCs w:val="22"/>
          <w:lang w:eastAsia="zh-CN"/>
        </w:rPr>
        <w:t>战略重点，并取得了良好进展。</w:t>
      </w:r>
    </w:p>
    <w:p w14:paraId="5D4651AE" w14:textId="77777777" w:rsidR="00DE6EFB" w:rsidRDefault="00DE6EFB">
      <w:pPr>
        <w:autoSpaceDE w:val="0"/>
        <w:autoSpaceDN w:val="0"/>
        <w:adjustRightInd w:val="0"/>
        <w:rPr>
          <w:rFonts w:cs="Segoe UI"/>
          <w:szCs w:val="22"/>
          <w:lang w:eastAsia="zh-CN"/>
        </w:rPr>
      </w:pPr>
    </w:p>
    <w:p w14:paraId="558B8913" w14:textId="7ECB5294" w:rsidR="00DE6EFB" w:rsidRDefault="00B51E72">
      <w:pPr>
        <w:autoSpaceDE w:val="0"/>
        <w:autoSpaceDN w:val="0"/>
        <w:adjustRightInd w:val="0"/>
        <w:rPr>
          <w:rFonts w:cs="Segoe UI"/>
          <w:szCs w:val="22"/>
          <w:lang w:eastAsia="zh-CN"/>
        </w:rPr>
      </w:pPr>
      <w:r>
        <w:rPr>
          <w:rFonts w:cs="Segoe UI"/>
          <w:szCs w:val="22"/>
          <w:lang w:eastAsia="zh-CN"/>
        </w:rPr>
        <w:t>在</w:t>
      </w:r>
      <w:r>
        <w:rPr>
          <w:rFonts w:cs="Segoe UI"/>
          <w:b/>
          <w:bCs/>
          <w:szCs w:val="22"/>
          <w:lang w:eastAsia="zh-CN"/>
        </w:rPr>
        <w:t>粘合剂技术</w:t>
      </w:r>
      <w:r>
        <w:rPr>
          <w:rFonts w:cs="Segoe UI"/>
          <w:szCs w:val="22"/>
          <w:lang w:eastAsia="zh-CN"/>
        </w:rPr>
        <w:t>业务</w:t>
      </w:r>
      <w:r>
        <w:rPr>
          <w:rFonts w:cs="Segoe UI" w:hint="eastAsia"/>
          <w:szCs w:val="22"/>
          <w:lang w:eastAsia="zh-CN"/>
        </w:rPr>
        <w:t>部</w:t>
      </w:r>
      <w:r>
        <w:rPr>
          <w:rFonts w:cs="Segoe UI"/>
          <w:szCs w:val="22"/>
          <w:lang w:eastAsia="zh-CN"/>
        </w:rPr>
        <w:t>，汉高</w:t>
      </w:r>
      <w:r>
        <w:rPr>
          <w:rFonts w:cs="Segoe UI" w:hint="eastAsia"/>
          <w:szCs w:val="22"/>
          <w:lang w:eastAsia="zh-CN"/>
        </w:rPr>
        <w:t>明确聚焦于</w:t>
      </w:r>
      <w:r>
        <w:rPr>
          <w:rFonts w:cs="Segoe UI"/>
          <w:szCs w:val="22"/>
          <w:lang w:eastAsia="zh-CN"/>
        </w:rPr>
        <w:t>全球</w:t>
      </w:r>
      <w:r>
        <w:rPr>
          <w:rFonts w:cs="Segoe UI" w:hint="eastAsia"/>
          <w:szCs w:val="22"/>
          <w:lang w:eastAsia="zh-CN"/>
        </w:rPr>
        <w:t>五</w:t>
      </w:r>
      <w:r>
        <w:rPr>
          <w:rFonts w:cs="Segoe UI"/>
          <w:szCs w:val="22"/>
          <w:lang w:eastAsia="zh-CN"/>
        </w:rPr>
        <w:t>大趋势</w:t>
      </w:r>
      <w:r w:rsidR="00AC72CB" w:rsidRPr="00BF380F">
        <w:rPr>
          <w:rFonts w:eastAsiaTheme="minorEastAsia" w:cs="Segoe UI"/>
          <w:color w:val="000000" w:themeColor="text1"/>
          <w:lang w:eastAsia="zh-CN"/>
        </w:rPr>
        <w:t>——</w:t>
      </w:r>
      <w:r>
        <w:rPr>
          <w:rFonts w:cs="Segoe UI" w:hint="eastAsia"/>
          <w:szCs w:val="22"/>
          <w:lang w:eastAsia="zh-CN"/>
        </w:rPr>
        <w:t>即</w:t>
      </w:r>
      <w:r>
        <w:rPr>
          <w:rFonts w:cs="Segoe UI"/>
          <w:szCs w:val="22"/>
          <w:lang w:eastAsia="zh-CN"/>
        </w:rPr>
        <w:t>移动出行、互联互通、数字化、城市化和可持续</w:t>
      </w:r>
      <w:r>
        <w:rPr>
          <w:rFonts w:cs="Segoe UI" w:hint="eastAsia"/>
          <w:szCs w:val="22"/>
          <w:lang w:eastAsia="zh-CN"/>
        </w:rPr>
        <w:t>发展，</w:t>
      </w:r>
      <w:r>
        <w:rPr>
          <w:rFonts w:cs="Segoe UI"/>
          <w:szCs w:val="22"/>
          <w:lang w:eastAsia="zh-CN"/>
        </w:rPr>
        <w:t>助力在充满挑战的市场环境中提升竞争力和韧性。以可持续</w:t>
      </w:r>
      <w:r>
        <w:rPr>
          <w:rFonts w:cs="Segoe UI" w:hint="eastAsia"/>
          <w:szCs w:val="22"/>
          <w:lang w:eastAsia="zh-CN"/>
        </w:rPr>
        <w:t>发展</w:t>
      </w:r>
      <w:r>
        <w:rPr>
          <w:rFonts w:cs="Segoe UI"/>
          <w:szCs w:val="22"/>
          <w:lang w:eastAsia="zh-CN"/>
        </w:rPr>
        <w:t>为例，汉高通过提供高效且环保的解决方案，支持各行业客户实现其可持续</w:t>
      </w:r>
      <w:r>
        <w:rPr>
          <w:rFonts w:cs="Segoe UI" w:hint="eastAsia"/>
          <w:szCs w:val="22"/>
          <w:lang w:eastAsia="zh-CN"/>
        </w:rPr>
        <w:t>发展</w:t>
      </w:r>
      <w:r>
        <w:rPr>
          <w:rFonts w:cs="Segoe UI"/>
          <w:szCs w:val="22"/>
          <w:lang w:eastAsia="zh-CN"/>
        </w:rPr>
        <w:t>目标。在</w:t>
      </w:r>
      <w:r>
        <w:rPr>
          <w:rFonts w:cs="Segoe UI"/>
          <w:b/>
          <w:bCs/>
          <w:szCs w:val="22"/>
          <w:lang w:eastAsia="zh-CN"/>
        </w:rPr>
        <w:t>消费品牌</w:t>
      </w:r>
      <w:r>
        <w:rPr>
          <w:rFonts w:cs="Segoe UI"/>
          <w:szCs w:val="22"/>
          <w:lang w:eastAsia="zh-CN"/>
        </w:rPr>
        <w:t>业务部，</w:t>
      </w:r>
      <w:r>
        <w:rPr>
          <w:rFonts w:cs="Segoe UI" w:hint="eastAsia"/>
          <w:szCs w:val="22"/>
          <w:lang w:eastAsia="zh-CN"/>
        </w:rPr>
        <w:t>汉高</w:t>
      </w:r>
      <w:r w:rsidR="00A846B7">
        <w:rPr>
          <w:rFonts w:cs="Segoe UI" w:hint="eastAsia"/>
          <w:szCs w:val="22"/>
          <w:lang w:eastAsia="zh-CN"/>
        </w:rPr>
        <w:t>进一步优化了产品组合结构</w:t>
      </w:r>
      <w:r>
        <w:rPr>
          <w:rFonts w:cs="Segoe UI"/>
          <w:szCs w:val="22"/>
          <w:lang w:eastAsia="zh-CN"/>
        </w:rPr>
        <w:t>。目前，十大</w:t>
      </w:r>
      <w:r w:rsidR="00890F6D">
        <w:rPr>
          <w:rFonts w:cs="Segoe UI" w:hint="eastAsia"/>
          <w:szCs w:val="22"/>
          <w:lang w:eastAsia="zh-CN"/>
        </w:rPr>
        <w:t>核心</w:t>
      </w:r>
      <w:r>
        <w:rPr>
          <w:rFonts w:cs="Segoe UI"/>
          <w:szCs w:val="22"/>
          <w:lang w:eastAsia="zh-CN"/>
        </w:rPr>
        <w:t>品牌销售额</w:t>
      </w:r>
      <w:r w:rsidR="00890F6D">
        <w:rPr>
          <w:rFonts w:cs="Segoe UI" w:hint="eastAsia"/>
          <w:szCs w:val="22"/>
          <w:lang w:eastAsia="zh-CN"/>
        </w:rPr>
        <w:t>占比</w:t>
      </w:r>
      <w:r>
        <w:rPr>
          <w:rFonts w:cs="Segoe UI"/>
          <w:szCs w:val="22"/>
          <w:lang w:eastAsia="zh-CN"/>
        </w:rPr>
        <w:t>约</w:t>
      </w:r>
      <w:r>
        <w:rPr>
          <w:rFonts w:cs="Segoe UI"/>
          <w:szCs w:val="22"/>
          <w:lang w:eastAsia="zh-CN"/>
        </w:rPr>
        <w:t>60%</w:t>
      </w:r>
      <w:r>
        <w:rPr>
          <w:rFonts w:cs="Segoe UI"/>
          <w:szCs w:val="22"/>
          <w:lang w:eastAsia="zh-CN"/>
        </w:rPr>
        <w:t>。第二季度，这十大品牌实现了超过</w:t>
      </w:r>
      <w:r>
        <w:rPr>
          <w:rFonts w:cs="Segoe UI"/>
          <w:szCs w:val="22"/>
          <w:lang w:eastAsia="zh-CN"/>
        </w:rPr>
        <w:t>3%</w:t>
      </w:r>
      <w:r>
        <w:rPr>
          <w:rFonts w:cs="Segoe UI"/>
          <w:szCs w:val="22"/>
          <w:lang w:eastAsia="zh-CN"/>
        </w:rPr>
        <w:t>的有机销售</w:t>
      </w:r>
      <w:r>
        <w:rPr>
          <w:rFonts w:cs="Segoe UI" w:hint="eastAsia"/>
          <w:szCs w:val="22"/>
          <w:lang w:eastAsia="zh-CN"/>
        </w:rPr>
        <w:t>额</w:t>
      </w:r>
      <w:r>
        <w:rPr>
          <w:rFonts w:cs="Segoe UI"/>
          <w:szCs w:val="22"/>
          <w:lang w:eastAsia="zh-CN"/>
        </w:rPr>
        <w:t>增长，</w:t>
      </w:r>
      <w:r>
        <w:rPr>
          <w:rFonts w:cs="Segoe UI" w:hint="eastAsia"/>
          <w:szCs w:val="22"/>
          <w:lang w:eastAsia="zh-CN"/>
        </w:rPr>
        <w:t>价格调整与销量增长</w:t>
      </w:r>
      <w:r w:rsidR="008B7A08">
        <w:rPr>
          <w:rFonts w:cs="Segoe UI" w:hint="eastAsia"/>
          <w:szCs w:val="22"/>
          <w:lang w:eastAsia="zh-CN"/>
        </w:rPr>
        <w:t>的</w:t>
      </w:r>
      <w:r w:rsidR="008B7A08" w:rsidRPr="008B7A08">
        <w:rPr>
          <w:rFonts w:cs="Segoe UI"/>
          <w:szCs w:val="22"/>
          <w:lang w:eastAsia="zh-CN"/>
        </w:rPr>
        <w:t>双重因素共同推动了这一积极态势。</w:t>
      </w:r>
    </w:p>
    <w:p w14:paraId="651674E4" w14:textId="77777777" w:rsidR="00DE6EFB" w:rsidRDefault="00DE6EFB">
      <w:pPr>
        <w:autoSpaceDE w:val="0"/>
        <w:autoSpaceDN w:val="0"/>
        <w:adjustRightInd w:val="0"/>
        <w:rPr>
          <w:rFonts w:cs="Segoe UI"/>
          <w:szCs w:val="22"/>
          <w:highlight w:val="yellow"/>
          <w:lang w:eastAsia="zh-CN"/>
        </w:rPr>
      </w:pPr>
    </w:p>
    <w:p w14:paraId="792E1F35" w14:textId="1FEF063F" w:rsidR="00DE6EFB" w:rsidRDefault="00B51E72">
      <w:pPr>
        <w:autoSpaceDE w:val="0"/>
        <w:autoSpaceDN w:val="0"/>
        <w:adjustRightInd w:val="0"/>
        <w:rPr>
          <w:rFonts w:cs="Segoe UI"/>
          <w:bCs/>
          <w:szCs w:val="22"/>
          <w:lang w:eastAsia="zh-CN"/>
        </w:rPr>
      </w:pPr>
      <w:r>
        <w:rPr>
          <w:rFonts w:cs="Segoe UI"/>
          <w:bCs/>
          <w:szCs w:val="22"/>
          <w:lang w:eastAsia="zh-CN"/>
        </w:rPr>
        <w:t>为了进一步提升</w:t>
      </w:r>
      <w:r>
        <w:rPr>
          <w:rFonts w:cs="Segoe UI"/>
          <w:b/>
          <w:szCs w:val="22"/>
          <w:lang w:eastAsia="zh-CN"/>
        </w:rPr>
        <w:t>竞争力</w:t>
      </w:r>
      <w:r>
        <w:rPr>
          <w:rFonts w:cs="Segoe UI"/>
          <w:bCs/>
          <w:szCs w:val="22"/>
          <w:lang w:eastAsia="zh-CN"/>
        </w:rPr>
        <w:t>，汉高</w:t>
      </w:r>
      <w:r w:rsidR="00DE04E9" w:rsidRPr="00DE04E9">
        <w:rPr>
          <w:rFonts w:cs="Segoe UI"/>
          <w:bCs/>
          <w:szCs w:val="22"/>
          <w:lang w:eastAsia="zh-CN"/>
        </w:rPr>
        <w:t>聚焦于高潜力业务领域的</w:t>
      </w:r>
      <w:r w:rsidR="00DE04E9" w:rsidRPr="00AE0967">
        <w:rPr>
          <w:rFonts w:cs="Segoe UI" w:hint="eastAsia"/>
          <w:b/>
          <w:szCs w:val="22"/>
          <w:lang w:eastAsia="zh-CN"/>
        </w:rPr>
        <w:t>创新</w:t>
      </w:r>
      <w:r w:rsidR="00DE04E9" w:rsidRPr="00DE04E9">
        <w:rPr>
          <w:rFonts w:cs="Segoe UI"/>
          <w:bCs/>
          <w:szCs w:val="22"/>
          <w:lang w:eastAsia="zh-CN"/>
        </w:rPr>
        <w:t>突破</w:t>
      </w:r>
      <w:r>
        <w:rPr>
          <w:rFonts w:cs="Segoe UI"/>
          <w:bCs/>
          <w:szCs w:val="22"/>
          <w:lang w:eastAsia="zh-CN"/>
        </w:rPr>
        <w:t>。这些创新再次推动了</w:t>
      </w:r>
      <w:r>
        <w:rPr>
          <w:rFonts w:cs="Segoe UI"/>
          <w:bCs/>
          <w:szCs w:val="22"/>
          <w:lang w:eastAsia="zh-CN"/>
        </w:rPr>
        <w:t>2025</w:t>
      </w:r>
      <w:r>
        <w:rPr>
          <w:rFonts w:cs="Segoe UI"/>
          <w:bCs/>
          <w:szCs w:val="22"/>
          <w:lang w:eastAsia="zh-CN"/>
        </w:rPr>
        <w:t>年上半年两大业务部的</w:t>
      </w:r>
      <w:r>
        <w:rPr>
          <w:rFonts w:cs="Segoe UI" w:hint="eastAsia"/>
          <w:bCs/>
          <w:szCs w:val="22"/>
          <w:lang w:eastAsia="zh-CN"/>
        </w:rPr>
        <w:t>业绩</w:t>
      </w:r>
      <w:r>
        <w:rPr>
          <w:rFonts w:cs="Segoe UI"/>
          <w:bCs/>
          <w:szCs w:val="22"/>
          <w:lang w:eastAsia="zh-CN"/>
        </w:rPr>
        <w:t>增长。在</w:t>
      </w:r>
      <w:r>
        <w:rPr>
          <w:rFonts w:cs="Segoe UI"/>
          <w:b/>
          <w:szCs w:val="22"/>
          <w:lang w:eastAsia="zh-CN"/>
        </w:rPr>
        <w:t>粘合剂技术</w:t>
      </w:r>
      <w:r>
        <w:rPr>
          <w:rFonts w:cs="Segoe UI"/>
          <w:bCs/>
          <w:szCs w:val="22"/>
          <w:lang w:eastAsia="zh-CN"/>
        </w:rPr>
        <w:t>业务</w:t>
      </w:r>
      <w:r>
        <w:rPr>
          <w:rFonts w:cs="Segoe UI" w:hint="eastAsia"/>
          <w:bCs/>
          <w:szCs w:val="22"/>
          <w:lang w:eastAsia="zh-CN"/>
        </w:rPr>
        <w:t>部</w:t>
      </w:r>
      <w:r>
        <w:rPr>
          <w:rFonts w:cs="Segoe UI"/>
          <w:bCs/>
          <w:szCs w:val="22"/>
          <w:lang w:eastAsia="zh-CN"/>
        </w:rPr>
        <w:t>，</w:t>
      </w:r>
      <w:r w:rsidR="00361FC3" w:rsidRPr="00361FC3">
        <w:rPr>
          <w:rFonts w:cs="Segoe UI"/>
          <w:bCs/>
          <w:szCs w:val="22"/>
          <w:lang w:eastAsia="zh-CN"/>
        </w:rPr>
        <w:t>汉高通过聚焦可持续及以客户为中心的创新解决方案，在金属包装业务实现高个位数增长，</w:t>
      </w:r>
      <w:r w:rsidR="00361FC3">
        <w:rPr>
          <w:rFonts w:cs="Segoe UI" w:hint="eastAsia"/>
          <w:bCs/>
          <w:szCs w:val="22"/>
          <w:lang w:eastAsia="zh-CN"/>
        </w:rPr>
        <w:t>从而</w:t>
      </w:r>
      <w:r w:rsidR="00361FC3" w:rsidRPr="00361FC3">
        <w:rPr>
          <w:rFonts w:cs="Segoe UI"/>
          <w:bCs/>
          <w:szCs w:val="22"/>
          <w:lang w:eastAsia="zh-CN"/>
        </w:rPr>
        <w:t>领跑市场。</w:t>
      </w:r>
      <w:r w:rsidR="008B6EA6">
        <w:rPr>
          <w:rFonts w:cs="Segoe UI" w:hint="eastAsia"/>
          <w:bCs/>
          <w:szCs w:val="22"/>
          <w:lang w:eastAsia="zh-CN"/>
        </w:rPr>
        <w:t>例如，</w:t>
      </w:r>
      <w:r>
        <w:rPr>
          <w:rFonts w:cs="Segoe UI"/>
          <w:bCs/>
          <w:szCs w:val="22"/>
          <w:lang w:eastAsia="zh-CN"/>
        </w:rPr>
        <w:t>该</w:t>
      </w:r>
      <w:r w:rsidR="008B6EA6">
        <w:rPr>
          <w:rFonts w:cs="Segoe UI" w:hint="eastAsia"/>
          <w:bCs/>
          <w:szCs w:val="22"/>
          <w:lang w:eastAsia="zh-CN"/>
        </w:rPr>
        <w:t>业务</w:t>
      </w:r>
      <w:r>
        <w:rPr>
          <w:rFonts w:cs="Segoe UI"/>
          <w:bCs/>
          <w:szCs w:val="22"/>
          <w:lang w:eastAsia="zh-CN"/>
        </w:rPr>
        <w:t>领域</w:t>
      </w:r>
      <w:r w:rsidR="008B6EA6">
        <w:rPr>
          <w:rFonts w:cs="Segoe UI" w:hint="eastAsia"/>
          <w:bCs/>
          <w:szCs w:val="22"/>
          <w:lang w:eastAsia="zh-CN"/>
        </w:rPr>
        <w:t>推出的</w:t>
      </w:r>
      <w:r w:rsidR="0082366F" w:rsidRPr="0082366F">
        <w:rPr>
          <w:rFonts w:cs="Segoe UI"/>
          <w:bCs/>
          <w:szCs w:val="22"/>
          <w:lang w:eastAsia="zh-CN"/>
        </w:rPr>
        <w:t>首款低温低泡易拉罐清洁剂</w:t>
      </w:r>
      <w:r w:rsidR="008B6EA6">
        <w:rPr>
          <w:rFonts w:cs="Segoe UI" w:hint="eastAsia"/>
          <w:bCs/>
          <w:szCs w:val="22"/>
          <w:lang w:eastAsia="zh-CN"/>
        </w:rPr>
        <w:t>，</w:t>
      </w:r>
      <w:r w:rsidR="008B6EA6" w:rsidRPr="008B6EA6">
        <w:rPr>
          <w:rFonts w:cs="Segoe UI"/>
          <w:bCs/>
          <w:szCs w:val="22"/>
          <w:lang w:eastAsia="zh-CN"/>
        </w:rPr>
        <w:t>可显著节省能源并降低高达</w:t>
      </w:r>
      <w:r w:rsidR="008B6EA6" w:rsidRPr="008B6EA6">
        <w:rPr>
          <w:rFonts w:cs="Segoe UI"/>
          <w:bCs/>
          <w:szCs w:val="22"/>
          <w:lang w:eastAsia="zh-CN"/>
        </w:rPr>
        <w:t>25%</w:t>
      </w:r>
      <w:r w:rsidR="008B6EA6" w:rsidRPr="008B6EA6">
        <w:rPr>
          <w:rFonts w:cs="Segoe UI"/>
          <w:bCs/>
          <w:szCs w:val="22"/>
          <w:lang w:eastAsia="zh-CN"/>
        </w:rPr>
        <w:t>的用水量，使饮料罐生产兼具高效与可持续性。</w:t>
      </w:r>
      <w:r>
        <w:rPr>
          <w:rFonts w:cs="Segoe UI"/>
          <w:bCs/>
          <w:szCs w:val="22"/>
          <w:lang w:eastAsia="zh-CN"/>
        </w:rPr>
        <w:t>过去三年间，汉高在该领域的业务规模已增长三倍。在</w:t>
      </w:r>
      <w:r>
        <w:rPr>
          <w:rFonts w:cs="Segoe UI"/>
          <w:b/>
          <w:szCs w:val="22"/>
          <w:lang w:eastAsia="zh-CN"/>
        </w:rPr>
        <w:t>消费品牌</w:t>
      </w:r>
      <w:r>
        <w:rPr>
          <w:rFonts w:cs="Segoe UI"/>
          <w:bCs/>
          <w:szCs w:val="22"/>
          <w:lang w:eastAsia="zh-CN"/>
        </w:rPr>
        <w:t>业务部，</w:t>
      </w:r>
      <w:r w:rsidR="002E758F">
        <w:rPr>
          <w:rFonts w:cs="Segoe UI" w:hint="eastAsia"/>
          <w:bCs/>
          <w:szCs w:val="22"/>
          <w:lang w:eastAsia="zh-CN"/>
        </w:rPr>
        <w:t>全</w:t>
      </w:r>
      <w:r>
        <w:rPr>
          <w:rFonts w:cs="Segoe UI"/>
          <w:bCs/>
          <w:szCs w:val="22"/>
          <w:lang w:eastAsia="zh-CN"/>
        </w:rPr>
        <w:t>新品牌</w:t>
      </w:r>
      <w:r>
        <w:rPr>
          <w:rFonts w:cs="Segoe UI"/>
          <w:bCs/>
          <w:szCs w:val="22"/>
          <w:lang w:eastAsia="zh-CN"/>
        </w:rPr>
        <w:t>Creme Supreme</w:t>
      </w:r>
      <w:r>
        <w:rPr>
          <w:rFonts w:cs="Segoe UI"/>
          <w:bCs/>
          <w:szCs w:val="22"/>
          <w:lang w:eastAsia="zh-CN"/>
        </w:rPr>
        <w:t>在更多市场的持续</w:t>
      </w:r>
      <w:r w:rsidR="002E758F">
        <w:rPr>
          <w:rFonts w:cs="Segoe UI" w:hint="eastAsia"/>
          <w:bCs/>
          <w:szCs w:val="22"/>
          <w:lang w:eastAsia="zh-CN"/>
        </w:rPr>
        <w:t>推广</w:t>
      </w:r>
      <w:r>
        <w:rPr>
          <w:rFonts w:cs="Segoe UI"/>
          <w:bCs/>
          <w:szCs w:val="22"/>
          <w:lang w:eastAsia="zh-CN"/>
        </w:rPr>
        <w:t>，推动了第二季度染发</w:t>
      </w:r>
      <w:r>
        <w:rPr>
          <w:rFonts w:cs="Segoe UI" w:hint="eastAsia"/>
          <w:bCs/>
          <w:szCs w:val="22"/>
          <w:lang w:eastAsia="zh-CN"/>
        </w:rPr>
        <w:t>品类</w:t>
      </w:r>
      <w:r w:rsidR="00AF5AEF">
        <w:rPr>
          <w:rFonts w:cs="Segoe UI" w:hint="eastAsia"/>
          <w:bCs/>
          <w:szCs w:val="22"/>
          <w:lang w:eastAsia="zh-CN"/>
        </w:rPr>
        <w:t>实现</w:t>
      </w:r>
      <w:r>
        <w:rPr>
          <w:rFonts w:cs="Segoe UI"/>
          <w:bCs/>
          <w:szCs w:val="22"/>
          <w:lang w:eastAsia="zh-CN"/>
        </w:rPr>
        <w:t>显著增长。</w:t>
      </w:r>
      <w:r w:rsidR="00CD7EC9" w:rsidRPr="00CD7EC9">
        <w:rPr>
          <w:rFonts w:cs="Segoe UI"/>
          <w:bCs/>
          <w:szCs w:val="22"/>
          <w:lang w:eastAsia="zh-CN"/>
        </w:rPr>
        <w:t>该产品作</w:t>
      </w:r>
      <w:proofErr w:type="gramStart"/>
      <w:r w:rsidR="00CD7EC9" w:rsidRPr="00CD7EC9">
        <w:rPr>
          <w:rFonts w:cs="Segoe UI"/>
          <w:bCs/>
          <w:szCs w:val="22"/>
          <w:lang w:eastAsia="zh-CN"/>
        </w:rPr>
        <w:t>为首款</w:t>
      </w:r>
      <w:proofErr w:type="gramEnd"/>
      <w:r w:rsidR="00CD7EC9" w:rsidRPr="00CD7EC9">
        <w:rPr>
          <w:rFonts w:cs="Segoe UI"/>
          <w:bCs/>
          <w:szCs w:val="22"/>
          <w:lang w:eastAsia="zh-CN"/>
        </w:rPr>
        <w:t>采用创新</w:t>
      </w:r>
      <w:proofErr w:type="gramStart"/>
      <w:r w:rsidR="00CD7EC9" w:rsidRPr="00CD7EC9">
        <w:rPr>
          <w:rFonts w:cs="Segoe UI"/>
          <w:bCs/>
          <w:szCs w:val="22"/>
          <w:lang w:eastAsia="zh-CN"/>
        </w:rPr>
        <w:t>键合技术</w:t>
      </w:r>
      <w:proofErr w:type="gramEnd"/>
      <w:r w:rsidR="00CD7EC9" w:rsidRPr="00CD7EC9">
        <w:rPr>
          <w:rFonts w:cs="Segoe UI"/>
          <w:bCs/>
          <w:szCs w:val="22"/>
          <w:lang w:eastAsia="zh-CN"/>
        </w:rPr>
        <w:t>的护发型染发剂，通过</w:t>
      </w:r>
      <w:r w:rsidR="00A36395" w:rsidRPr="00A36395">
        <w:rPr>
          <w:rFonts w:cs="Segoe UI" w:hint="eastAsia"/>
          <w:bCs/>
          <w:szCs w:val="22"/>
          <w:lang w:eastAsia="zh-CN"/>
        </w:rPr>
        <w:t>微观层面的连接技术</w:t>
      </w:r>
      <w:r w:rsidR="00CD7EC9" w:rsidRPr="00CD7EC9">
        <w:rPr>
          <w:rFonts w:cs="Segoe UI"/>
          <w:bCs/>
          <w:szCs w:val="22"/>
          <w:lang w:eastAsia="zh-CN"/>
        </w:rPr>
        <w:t>强化发丝结构，使</w:t>
      </w:r>
      <w:r w:rsidR="00A36395">
        <w:rPr>
          <w:rFonts w:cs="Segoe UI" w:hint="eastAsia"/>
          <w:bCs/>
          <w:szCs w:val="22"/>
          <w:lang w:eastAsia="zh-CN"/>
        </w:rPr>
        <w:t>发</w:t>
      </w:r>
      <w:proofErr w:type="gramStart"/>
      <w:r w:rsidR="00CD7EC9" w:rsidRPr="00CD7EC9">
        <w:rPr>
          <w:rFonts w:cs="Segoe UI"/>
          <w:bCs/>
          <w:szCs w:val="22"/>
          <w:lang w:eastAsia="zh-CN"/>
        </w:rPr>
        <w:t>纤</w:t>
      </w:r>
      <w:proofErr w:type="gramEnd"/>
      <w:r w:rsidR="00CD7EC9" w:rsidRPr="00CD7EC9">
        <w:rPr>
          <w:rFonts w:cs="Segoe UI"/>
          <w:bCs/>
          <w:szCs w:val="22"/>
          <w:lang w:eastAsia="zh-CN"/>
        </w:rPr>
        <w:t>更紧密聚合</w:t>
      </w:r>
      <w:r w:rsidR="00F72C76">
        <w:rPr>
          <w:rFonts w:cs="Segoe UI" w:hint="eastAsia"/>
          <w:bCs/>
          <w:szCs w:val="22"/>
          <w:lang w:eastAsia="zh-CN"/>
        </w:rPr>
        <w:t>。</w:t>
      </w:r>
      <w:r w:rsidR="00CE7D20">
        <w:rPr>
          <w:rFonts w:cs="Segoe UI" w:hint="eastAsia"/>
          <w:bCs/>
          <w:szCs w:val="22"/>
          <w:lang w:eastAsia="zh-CN"/>
        </w:rPr>
        <w:t>其</w:t>
      </w:r>
      <w:r w:rsidR="00CD7EC9" w:rsidRPr="00CD7EC9">
        <w:rPr>
          <w:rFonts w:cs="Segoe UI"/>
          <w:bCs/>
          <w:szCs w:val="22"/>
          <w:lang w:eastAsia="zh-CN"/>
        </w:rPr>
        <w:t>同时形成包裹发丝的保护层，有效预防断裂损伤。</w:t>
      </w:r>
    </w:p>
    <w:p w14:paraId="79701A9A" w14:textId="77777777" w:rsidR="00DE6EFB" w:rsidRDefault="00DE6EFB">
      <w:pPr>
        <w:autoSpaceDE w:val="0"/>
        <w:autoSpaceDN w:val="0"/>
        <w:adjustRightInd w:val="0"/>
        <w:rPr>
          <w:rFonts w:cs="Segoe UI"/>
          <w:bCs/>
          <w:szCs w:val="22"/>
          <w:lang w:eastAsia="zh-CN"/>
        </w:rPr>
      </w:pPr>
    </w:p>
    <w:p w14:paraId="55142946" w14:textId="047774C9" w:rsidR="00DE6EFB" w:rsidRDefault="00B51E72">
      <w:pPr>
        <w:rPr>
          <w:rFonts w:cs="Segoe UI"/>
          <w:szCs w:val="22"/>
          <w:lang w:eastAsia="zh-CN"/>
        </w:rPr>
      </w:pPr>
      <w:r>
        <w:rPr>
          <w:rFonts w:cs="Segoe UI"/>
          <w:szCs w:val="22"/>
          <w:lang w:eastAsia="zh-CN"/>
        </w:rPr>
        <w:t>卡斯</w:t>
      </w:r>
      <w:proofErr w:type="gramStart"/>
      <w:r>
        <w:rPr>
          <w:rFonts w:cs="Segoe UI"/>
          <w:szCs w:val="22"/>
          <w:lang w:eastAsia="zh-CN"/>
        </w:rPr>
        <w:t>滕</w:t>
      </w:r>
      <w:proofErr w:type="gramEnd"/>
      <w:r>
        <w:rPr>
          <w:rFonts w:cs="Segoe UI"/>
          <w:szCs w:val="22"/>
          <w:lang w:eastAsia="zh-CN"/>
        </w:rPr>
        <w:t>·</w:t>
      </w:r>
      <w:r>
        <w:rPr>
          <w:rFonts w:cs="Segoe UI" w:hint="eastAsia"/>
          <w:szCs w:val="22"/>
          <w:lang w:eastAsia="zh-CN"/>
        </w:rPr>
        <w:t>诺贝尔表示</w:t>
      </w:r>
      <w:r>
        <w:rPr>
          <w:rFonts w:cs="Segoe UI"/>
          <w:szCs w:val="22"/>
          <w:lang w:eastAsia="zh-CN"/>
        </w:rPr>
        <w:t>：</w:t>
      </w:r>
      <w:r>
        <w:rPr>
          <w:rFonts w:cs="Segoe UI" w:hint="eastAsia"/>
          <w:szCs w:val="22"/>
          <w:lang w:eastAsia="zh-CN"/>
        </w:rPr>
        <w:t>“</w:t>
      </w:r>
      <w:r>
        <w:rPr>
          <w:rFonts w:cs="Segoe UI" w:hint="eastAsia"/>
          <w:szCs w:val="22"/>
          <w:lang w:eastAsia="zh-CN"/>
        </w:rPr>
        <w:t>2025</w:t>
      </w:r>
      <w:r>
        <w:rPr>
          <w:rFonts w:cs="Segoe UI" w:hint="eastAsia"/>
          <w:szCs w:val="22"/>
          <w:lang w:eastAsia="zh-CN"/>
        </w:rPr>
        <w:t>财年的开局相对平稳，但在第二季度我们实现了显著的销售额增长，尤其是在消费品业务领域取得了突出的成绩。</w:t>
      </w:r>
      <w:r>
        <w:rPr>
          <w:rFonts w:cs="Segoe UI"/>
          <w:szCs w:val="22"/>
          <w:lang w:eastAsia="zh-CN"/>
        </w:rPr>
        <w:t>与此同时，我们</w:t>
      </w:r>
      <w:r w:rsidR="009271D1">
        <w:rPr>
          <w:rFonts w:cs="Segoe UI" w:hint="eastAsia"/>
          <w:szCs w:val="22"/>
          <w:lang w:eastAsia="zh-CN"/>
        </w:rPr>
        <w:t>持续提升</w:t>
      </w:r>
      <w:r>
        <w:rPr>
          <w:rFonts w:cs="Segoe UI"/>
          <w:szCs w:val="22"/>
          <w:lang w:eastAsia="zh-CN"/>
        </w:rPr>
        <w:t>两大业务部的盈利能力</w:t>
      </w:r>
      <w:r>
        <w:rPr>
          <w:rFonts w:cs="Segoe UI" w:hint="eastAsia"/>
          <w:szCs w:val="22"/>
          <w:lang w:eastAsia="zh-CN"/>
        </w:rPr>
        <w:t>。</w:t>
      </w:r>
      <w:r>
        <w:rPr>
          <w:rFonts w:cs="Segoe UI"/>
          <w:szCs w:val="22"/>
          <w:lang w:eastAsia="zh-CN"/>
        </w:rPr>
        <w:t>这充分证明了汉高</w:t>
      </w:r>
      <w:r>
        <w:rPr>
          <w:rFonts w:cs="Segoe UI" w:hint="eastAsia"/>
          <w:szCs w:val="22"/>
          <w:lang w:eastAsia="zh-CN"/>
        </w:rPr>
        <w:t>的</w:t>
      </w:r>
      <w:r>
        <w:rPr>
          <w:rFonts w:cs="Segoe UI"/>
          <w:szCs w:val="22"/>
          <w:lang w:eastAsia="zh-CN"/>
        </w:rPr>
        <w:t>转型已初见成效。我们将继续推进这一变革，</w:t>
      </w:r>
      <w:r w:rsidR="001D4A97" w:rsidRPr="001D4A97">
        <w:rPr>
          <w:rFonts w:cs="Segoe UI"/>
          <w:szCs w:val="22"/>
          <w:lang w:eastAsia="zh-CN"/>
        </w:rPr>
        <w:t>以夯实长期竞争优势，提升市场地位。</w:t>
      </w:r>
      <w:r w:rsidR="00827A00" w:rsidRPr="00827A00">
        <w:rPr>
          <w:rFonts w:cs="Segoe UI"/>
          <w:szCs w:val="22"/>
          <w:lang w:eastAsia="zh-CN"/>
        </w:rPr>
        <w:t>通过实施清晰的战略转型，汉高正朝着</w:t>
      </w:r>
      <w:r w:rsidR="0064195C" w:rsidRPr="00827A00">
        <w:rPr>
          <w:rFonts w:cs="Segoe UI"/>
          <w:szCs w:val="22"/>
          <w:lang w:eastAsia="zh-CN"/>
        </w:rPr>
        <w:t>正确方向迈进，</w:t>
      </w:r>
      <w:r w:rsidR="00605806">
        <w:rPr>
          <w:rFonts w:cs="Segoe UI" w:hint="eastAsia"/>
          <w:szCs w:val="22"/>
          <w:lang w:eastAsia="zh-CN"/>
        </w:rPr>
        <w:t>从而实现</w:t>
      </w:r>
      <w:r w:rsidR="005735FF">
        <w:rPr>
          <w:rFonts w:cs="Segoe UI" w:hint="eastAsia"/>
          <w:szCs w:val="22"/>
          <w:lang w:eastAsia="zh-CN"/>
        </w:rPr>
        <w:t>进一步</w:t>
      </w:r>
      <w:r w:rsidR="00827A00" w:rsidRPr="00827A00">
        <w:rPr>
          <w:rFonts w:cs="Segoe UI"/>
          <w:szCs w:val="22"/>
          <w:lang w:eastAsia="zh-CN"/>
        </w:rPr>
        <w:t>盈利增长</w:t>
      </w:r>
      <w:r w:rsidR="00605806">
        <w:rPr>
          <w:rFonts w:cs="Segoe UI" w:hint="eastAsia"/>
          <w:szCs w:val="22"/>
          <w:lang w:eastAsia="zh-CN"/>
        </w:rPr>
        <w:t>，并</w:t>
      </w:r>
      <w:r w:rsidR="00827A00" w:rsidRPr="00827A00">
        <w:rPr>
          <w:rFonts w:cs="Segoe UI"/>
          <w:szCs w:val="22"/>
          <w:lang w:eastAsia="zh-CN"/>
        </w:rPr>
        <w:t>为未来发展奠定坚实基础。</w:t>
      </w:r>
      <w:r>
        <w:rPr>
          <w:rFonts w:cs="Segoe UI" w:hint="eastAsia"/>
          <w:szCs w:val="22"/>
          <w:lang w:eastAsia="zh-CN"/>
        </w:rPr>
        <w:t>”</w:t>
      </w:r>
    </w:p>
    <w:p w14:paraId="01804796" w14:textId="77777777" w:rsidR="00DE6EFB" w:rsidRDefault="00DE6EFB">
      <w:pPr>
        <w:tabs>
          <w:tab w:val="left" w:pos="1080"/>
          <w:tab w:val="left" w:pos="4500"/>
        </w:tabs>
        <w:spacing w:line="264" w:lineRule="auto"/>
        <w:rPr>
          <w:rStyle w:val="Hyperlink"/>
          <w:color w:val="9A141B"/>
          <w:szCs w:val="24"/>
          <w:u w:val="none"/>
          <w:lang w:eastAsia="zh-CN"/>
        </w:rPr>
      </w:pPr>
    </w:p>
    <w:p w14:paraId="4D3C2261" w14:textId="799D431F" w:rsidR="005F6C9A" w:rsidRPr="00BF2906" w:rsidRDefault="005F6C9A">
      <w:pPr>
        <w:tabs>
          <w:tab w:val="left" w:pos="1080"/>
          <w:tab w:val="left" w:pos="4500"/>
        </w:tabs>
        <w:spacing w:line="264" w:lineRule="auto"/>
        <w:rPr>
          <w:rStyle w:val="Hyperlink"/>
          <w:color w:val="auto"/>
          <w:sz w:val="20"/>
          <w:szCs w:val="20"/>
          <w:u w:val="none"/>
          <w:lang w:eastAsia="zh-CN"/>
        </w:rPr>
      </w:pPr>
      <w:r w:rsidRPr="00BF2906">
        <w:rPr>
          <w:sz w:val="20"/>
          <w:szCs w:val="20"/>
          <w:lang w:eastAsia="zh-CN"/>
        </w:rPr>
        <w:t>*</w:t>
      </w:r>
      <w:r w:rsidRPr="00BF2906">
        <w:rPr>
          <w:rFonts w:hint="eastAsia"/>
          <w:sz w:val="20"/>
          <w:szCs w:val="20"/>
          <w:lang w:eastAsia="zh-CN"/>
        </w:rPr>
        <w:t>对一次性费用和收入以及重组费用进行了调整。</w:t>
      </w:r>
    </w:p>
    <w:p w14:paraId="7D6BC284" w14:textId="77777777" w:rsidR="005B0715" w:rsidRPr="005B0715" w:rsidRDefault="005B0715" w:rsidP="005B0715">
      <w:pPr>
        <w:spacing w:after="160" w:line="240" w:lineRule="auto"/>
        <w:jc w:val="center"/>
        <w:rPr>
          <w:rFonts w:cs="Segoe UI"/>
          <w:sz w:val="14"/>
          <w:szCs w:val="14"/>
          <w:lang w:eastAsia="zh-CN"/>
        </w:rPr>
      </w:pPr>
    </w:p>
    <w:p w14:paraId="2A1245C1" w14:textId="77777777" w:rsidR="005B0715" w:rsidRPr="005B0715" w:rsidRDefault="005B0715" w:rsidP="005B0715">
      <w:pPr>
        <w:spacing w:after="160" w:line="240" w:lineRule="auto"/>
        <w:jc w:val="center"/>
        <w:rPr>
          <w:rFonts w:cs="Segoe UI"/>
          <w:sz w:val="14"/>
          <w:szCs w:val="14"/>
          <w:lang w:eastAsia="zh-CN"/>
        </w:rPr>
      </w:pPr>
      <w:r w:rsidRPr="005B0715">
        <w:rPr>
          <w:rFonts w:cs="Segoe UI" w:hint="eastAsia"/>
          <w:sz w:val="14"/>
          <w:szCs w:val="14"/>
          <w:lang w:eastAsia="zh-CN"/>
        </w:rPr>
        <w:t>***</w:t>
      </w:r>
    </w:p>
    <w:p w14:paraId="1A0AC413" w14:textId="77777777" w:rsidR="005B0715" w:rsidRPr="005B0715" w:rsidRDefault="005B0715" w:rsidP="005B0715">
      <w:pPr>
        <w:spacing w:after="160" w:line="240" w:lineRule="auto"/>
        <w:jc w:val="left"/>
        <w:rPr>
          <w:rFonts w:cs="Segoe UI"/>
          <w:sz w:val="14"/>
          <w:szCs w:val="14"/>
          <w:lang w:eastAsia="zh-CN"/>
        </w:rPr>
      </w:pPr>
    </w:p>
    <w:p w14:paraId="2A10C0E7" w14:textId="77777777" w:rsidR="005B0715" w:rsidRPr="005B0715" w:rsidRDefault="005B0715" w:rsidP="005B0715">
      <w:pPr>
        <w:spacing w:after="113" w:line="240" w:lineRule="auto"/>
        <w:jc w:val="left"/>
        <w:rPr>
          <w:rFonts w:cs="Segoe UI"/>
          <w:b/>
          <w:bCs/>
          <w:sz w:val="20"/>
          <w:szCs w:val="28"/>
          <w:lang w:eastAsia="zh-CN"/>
        </w:rPr>
      </w:pPr>
      <w:r w:rsidRPr="005B0715">
        <w:rPr>
          <w:rFonts w:cs="Segoe UI"/>
          <w:b/>
          <w:bCs/>
          <w:sz w:val="20"/>
          <w:szCs w:val="28"/>
          <w:lang w:eastAsia="zh-CN"/>
        </w:rPr>
        <w:t>关于汉高</w:t>
      </w:r>
    </w:p>
    <w:p w14:paraId="5FC53A01" w14:textId="77777777" w:rsidR="005B0715" w:rsidRPr="005B0715" w:rsidRDefault="005B0715" w:rsidP="005B0715">
      <w:pPr>
        <w:spacing w:after="113" w:line="240" w:lineRule="auto"/>
        <w:jc w:val="left"/>
        <w:rPr>
          <w:rFonts w:cs="Segoe UI"/>
          <w:sz w:val="20"/>
          <w:szCs w:val="28"/>
          <w:lang w:eastAsia="zh-CN"/>
        </w:rPr>
      </w:pPr>
      <w:r w:rsidRPr="005B0715">
        <w:rPr>
          <w:rFonts w:cs="Segoe UI"/>
          <w:sz w:val="20"/>
          <w:szCs w:val="28"/>
          <w:lang w:eastAsia="zh-CN"/>
        </w:rPr>
        <w:t>汉高凭借其品牌、创新和技术，在全球工业和消费品领域中拥有领先的市场地位。汉高粘合剂技术业务部是全球粘合剂、密封剂和功能性涂层市场的领导者。汉高消费品牌在各国市场和品类占据领先地位，在洗涤剂及家用护理和美发领域尤为突出。乐泰（</w:t>
      </w:r>
      <w:r w:rsidRPr="005B0715">
        <w:rPr>
          <w:rFonts w:cs="Segoe UI"/>
          <w:sz w:val="20"/>
          <w:szCs w:val="28"/>
          <w:lang w:eastAsia="zh-CN"/>
        </w:rPr>
        <w:t>Loctite</w:t>
      </w:r>
      <w:r w:rsidRPr="005B0715">
        <w:rPr>
          <w:rFonts w:cs="Segoe UI"/>
          <w:sz w:val="20"/>
          <w:szCs w:val="28"/>
          <w:lang w:eastAsia="zh-CN"/>
        </w:rPr>
        <w:t>）、宝莹（</w:t>
      </w:r>
      <w:r w:rsidRPr="005B0715">
        <w:rPr>
          <w:rFonts w:cs="Segoe UI"/>
          <w:sz w:val="20"/>
          <w:szCs w:val="28"/>
          <w:lang w:eastAsia="zh-CN"/>
        </w:rPr>
        <w:t xml:space="preserve"> Persil</w:t>
      </w:r>
      <w:r w:rsidRPr="005B0715">
        <w:rPr>
          <w:rFonts w:cs="Segoe UI"/>
          <w:sz w:val="20"/>
          <w:szCs w:val="28"/>
          <w:lang w:eastAsia="zh-CN"/>
        </w:rPr>
        <w:t>）和施华</w:t>
      </w:r>
      <w:proofErr w:type="gramStart"/>
      <w:r w:rsidRPr="005B0715">
        <w:rPr>
          <w:rFonts w:cs="Segoe UI"/>
          <w:sz w:val="20"/>
          <w:szCs w:val="28"/>
          <w:lang w:eastAsia="zh-CN"/>
        </w:rPr>
        <w:t>蔻</w:t>
      </w:r>
      <w:proofErr w:type="gramEnd"/>
      <w:r w:rsidRPr="005B0715">
        <w:rPr>
          <w:rFonts w:cs="Segoe UI"/>
          <w:sz w:val="20"/>
          <w:szCs w:val="28"/>
          <w:lang w:eastAsia="zh-CN"/>
        </w:rPr>
        <w:t>（</w:t>
      </w:r>
      <w:r w:rsidRPr="005B0715">
        <w:rPr>
          <w:rFonts w:cs="Segoe UI"/>
          <w:sz w:val="20"/>
          <w:szCs w:val="28"/>
          <w:lang w:eastAsia="zh-CN"/>
        </w:rPr>
        <w:t>Schwarzkopf</w:t>
      </w:r>
      <w:r w:rsidRPr="005B0715">
        <w:rPr>
          <w:rFonts w:cs="Segoe UI"/>
          <w:sz w:val="20"/>
          <w:szCs w:val="28"/>
          <w:lang w:eastAsia="zh-CN"/>
        </w:rPr>
        <w:t>）是公司的三大核心品牌。</w:t>
      </w:r>
      <w:r w:rsidRPr="005B0715">
        <w:rPr>
          <w:rFonts w:cs="Segoe UI"/>
          <w:sz w:val="20"/>
          <w:szCs w:val="28"/>
          <w:lang w:eastAsia="zh-CN"/>
        </w:rPr>
        <w:t>2024</w:t>
      </w:r>
      <w:r w:rsidRPr="005B0715">
        <w:rPr>
          <w:rFonts w:cs="Segoe UI"/>
          <w:sz w:val="20"/>
          <w:szCs w:val="28"/>
          <w:lang w:eastAsia="zh-CN"/>
        </w:rPr>
        <w:t>财年，汉高实现销售额逾</w:t>
      </w:r>
      <w:r w:rsidRPr="005B0715">
        <w:rPr>
          <w:rFonts w:cs="Segoe UI"/>
          <w:sz w:val="20"/>
          <w:szCs w:val="28"/>
          <w:lang w:eastAsia="zh-CN"/>
        </w:rPr>
        <w:t>216</w:t>
      </w:r>
      <w:r w:rsidRPr="005B0715">
        <w:rPr>
          <w:rFonts w:cs="Segoe UI"/>
          <w:sz w:val="20"/>
          <w:szCs w:val="28"/>
          <w:lang w:eastAsia="zh-CN"/>
        </w:rPr>
        <w:t>亿欧元，调整后营业利润约为</w:t>
      </w:r>
      <w:r w:rsidRPr="005B0715">
        <w:rPr>
          <w:rFonts w:cs="Segoe UI"/>
          <w:sz w:val="20"/>
          <w:szCs w:val="28"/>
          <w:lang w:eastAsia="zh-CN"/>
        </w:rPr>
        <w:t>31</w:t>
      </w:r>
      <w:r w:rsidRPr="005B0715">
        <w:rPr>
          <w:rFonts w:cs="Segoe UI"/>
          <w:sz w:val="20"/>
          <w:szCs w:val="28"/>
          <w:lang w:eastAsia="zh-CN"/>
        </w:rPr>
        <w:t>亿欧元。汉高的优先股已列入德国</w:t>
      </w:r>
      <w:r w:rsidRPr="005B0715">
        <w:rPr>
          <w:rFonts w:cs="Segoe UI"/>
          <w:sz w:val="20"/>
          <w:szCs w:val="28"/>
          <w:lang w:eastAsia="zh-CN"/>
        </w:rPr>
        <w:t>DAX</w:t>
      </w:r>
      <w:r w:rsidRPr="005B0715">
        <w:rPr>
          <w:rFonts w:cs="Segoe UI"/>
          <w:sz w:val="20"/>
          <w:szCs w:val="28"/>
          <w:lang w:eastAsia="zh-CN"/>
        </w:rPr>
        <w:t>指数。可持续发展在汉高有着悠久的传统，公司确立有明晰的可持续发展战略和具体目标。成立于</w:t>
      </w:r>
      <w:r w:rsidRPr="005B0715">
        <w:rPr>
          <w:rFonts w:cs="Segoe UI"/>
          <w:sz w:val="20"/>
          <w:szCs w:val="28"/>
          <w:lang w:eastAsia="zh-CN"/>
        </w:rPr>
        <w:t>1876</w:t>
      </w:r>
      <w:r w:rsidRPr="005B0715">
        <w:rPr>
          <w:rFonts w:cs="Segoe UI"/>
          <w:sz w:val="20"/>
          <w:szCs w:val="28"/>
          <w:lang w:eastAsia="zh-CN"/>
        </w:rPr>
        <w:t>年，汉高如今在全球范围内约有</w:t>
      </w:r>
      <w:r w:rsidRPr="005B0715">
        <w:rPr>
          <w:rFonts w:cs="Segoe UI"/>
          <w:sz w:val="20"/>
          <w:szCs w:val="28"/>
          <w:lang w:eastAsia="zh-CN"/>
        </w:rPr>
        <w:t>4.7</w:t>
      </w:r>
      <w:r w:rsidRPr="005B0715">
        <w:rPr>
          <w:rFonts w:cs="Segoe UI"/>
          <w:sz w:val="20"/>
          <w:szCs w:val="28"/>
          <w:lang w:eastAsia="zh-CN"/>
        </w:rPr>
        <w:t>万名员工，在强大的企业文化、共同的价值观与企业目标</w:t>
      </w:r>
      <w:r w:rsidRPr="005B0715">
        <w:rPr>
          <w:rFonts w:cs="Segoe UI"/>
          <w:sz w:val="20"/>
          <w:szCs w:val="28"/>
          <w:lang w:eastAsia="zh-CN"/>
        </w:rPr>
        <w:t>“Pioneers at heart for the good of generations”</w:t>
      </w:r>
      <w:r w:rsidRPr="005B0715">
        <w:rPr>
          <w:rFonts w:cs="Segoe UI"/>
          <w:sz w:val="20"/>
          <w:szCs w:val="28"/>
          <w:lang w:eastAsia="zh-CN"/>
        </w:rPr>
        <w:t>的引领下，融合为一支多元化的团队。更多资讯，敬请访问</w:t>
      </w:r>
      <w:r w:rsidRPr="005B0715">
        <w:rPr>
          <w:rFonts w:cs="Segoe UI"/>
          <w:sz w:val="20"/>
          <w:szCs w:val="28"/>
          <w:lang w:eastAsia="zh-CN"/>
        </w:rPr>
        <w:t xml:space="preserve"> </w:t>
      </w:r>
      <w:hyperlink r:id="rId15" w:history="1">
        <w:r w:rsidRPr="005B0715">
          <w:rPr>
            <w:rFonts w:cs="Segoe UI"/>
            <w:color w:val="0000FF"/>
            <w:sz w:val="20"/>
            <w:szCs w:val="20"/>
            <w:u w:val="single"/>
            <w:lang w:eastAsia="zh-CN"/>
          </w:rPr>
          <w:t>www.henkel.com</w:t>
        </w:r>
      </w:hyperlink>
      <w:r w:rsidRPr="005B0715">
        <w:rPr>
          <w:rFonts w:cs="Segoe UI"/>
          <w:sz w:val="20"/>
          <w:szCs w:val="28"/>
          <w:lang w:eastAsia="zh-CN"/>
        </w:rPr>
        <w:t xml:space="preserve"> </w:t>
      </w:r>
    </w:p>
    <w:p w14:paraId="2C4F1B45" w14:textId="77777777" w:rsidR="005B0715" w:rsidRPr="005B0715" w:rsidRDefault="005B0715" w:rsidP="005B0715">
      <w:pPr>
        <w:tabs>
          <w:tab w:val="left" w:pos="1080"/>
          <w:tab w:val="left" w:pos="4500"/>
        </w:tabs>
        <w:spacing w:after="113" w:line="264" w:lineRule="auto"/>
        <w:jc w:val="left"/>
        <w:rPr>
          <w:rFonts w:cs="Segoe UI"/>
          <w:b/>
          <w:sz w:val="18"/>
          <w:szCs w:val="18"/>
          <w:lang w:eastAsia="zh-CN"/>
        </w:rPr>
      </w:pPr>
    </w:p>
    <w:p w14:paraId="71D5F6E9" w14:textId="77777777" w:rsidR="005B0715" w:rsidRPr="005B0715" w:rsidRDefault="005B0715" w:rsidP="005B0715">
      <w:pPr>
        <w:tabs>
          <w:tab w:val="left" w:pos="1080"/>
          <w:tab w:val="left" w:pos="4500"/>
        </w:tabs>
        <w:spacing w:after="113" w:line="264" w:lineRule="auto"/>
        <w:jc w:val="left"/>
        <w:rPr>
          <w:rFonts w:cs="Segoe UI"/>
          <w:b/>
          <w:sz w:val="18"/>
          <w:szCs w:val="18"/>
          <w:lang w:eastAsia="zh-CN"/>
        </w:rPr>
      </w:pPr>
    </w:p>
    <w:p w14:paraId="386E4879" w14:textId="77777777" w:rsidR="005B0715" w:rsidRPr="005B0715" w:rsidRDefault="005B0715" w:rsidP="005B0715">
      <w:pPr>
        <w:spacing w:after="160" w:line="240" w:lineRule="auto"/>
        <w:jc w:val="left"/>
        <w:rPr>
          <w:rFonts w:cs="Segoe UI"/>
          <w:color w:val="000000"/>
          <w:sz w:val="14"/>
          <w:szCs w:val="14"/>
          <w:lang w:eastAsia="zh-CN"/>
        </w:rPr>
      </w:pPr>
      <w:r w:rsidRPr="005B0715">
        <w:rPr>
          <w:rFonts w:cs="Segoe UI"/>
          <w:color w:val="000000"/>
          <w:sz w:val="14"/>
          <w:szCs w:val="22"/>
          <w:lang w:eastAsia="zh-CN"/>
        </w:rPr>
        <w:lastRenderedPageBreak/>
        <w:t>本文件所含提及未来业务发展、财务业绩及其他与汉高未来相关的事件或发展的声明，由此构成前瞻性声明。前瞻性表述的特点是使用诸如期望、打算、计划、预测、假设、相信、预计、预期、预见和类似的表述。这些表述乃汉高股份及两合公司管理层基于现有的预测和假设。该等表述在任何情况下都不应该被理解</w:t>
      </w:r>
      <w:proofErr w:type="gramStart"/>
      <w:r w:rsidRPr="005B0715">
        <w:rPr>
          <w:rFonts w:cs="Segoe UI"/>
          <w:color w:val="000000"/>
          <w:sz w:val="14"/>
          <w:szCs w:val="22"/>
          <w:lang w:eastAsia="zh-CN"/>
        </w:rPr>
        <w:t>成保证</w:t>
      </w:r>
      <w:proofErr w:type="gramEnd"/>
      <w:r w:rsidRPr="005B0715">
        <w:rPr>
          <w:rFonts w:cs="Segoe UI"/>
          <w:color w:val="000000"/>
          <w:sz w:val="14"/>
          <w:szCs w:val="22"/>
          <w:lang w:eastAsia="zh-CN"/>
        </w:rPr>
        <w:t>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p>
    <w:p w14:paraId="79DF1F4C" w14:textId="77777777" w:rsidR="005B0715" w:rsidRPr="005B0715" w:rsidRDefault="005B0715" w:rsidP="005B0715">
      <w:pPr>
        <w:spacing w:after="160" w:line="240" w:lineRule="auto"/>
        <w:jc w:val="left"/>
        <w:rPr>
          <w:rFonts w:cs="Segoe UI"/>
          <w:color w:val="000000"/>
          <w:sz w:val="14"/>
          <w:szCs w:val="14"/>
          <w:lang w:eastAsia="zh-CN"/>
        </w:rPr>
      </w:pPr>
      <w:r w:rsidRPr="005B0715">
        <w:rPr>
          <w:rFonts w:cs="Segoe UI"/>
          <w:color w:val="000000"/>
          <w:sz w:val="14"/>
          <w:szCs w:val="22"/>
          <w:lang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7FC0A28A" w14:textId="77777777" w:rsidR="005B0715" w:rsidRPr="005B0715" w:rsidRDefault="005B0715" w:rsidP="005B0715">
      <w:pPr>
        <w:spacing w:after="113" w:line="240" w:lineRule="auto"/>
        <w:jc w:val="left"/>
        <w:rPr>
          <w:rFonts w:cs="Segoe UI"/>
          <w:color w:val="000000"/>
          <w:sz w:val="14"/>
          <w:szCs w:val="22"/>
          <w:lang w:eastAsia="zh-CN"/>
        </w:rPr>
      </w:pPr>
      <w:r w:rsidRPr="005B0715">
        <w:rPr>
          <w:rFonts w:cs="Segoe UI"/>
          <w:color w:val="000000"/>
          <w:sz w:val="14"/>
          <w:szCs w:val="22"/>
          <w:lang w:eastAsia="zh-CN"/>
        </w:rPr>
        <w:t>本文件仅供参考，并不构成任何对证券的投资建议、出售要约或购买要约。</w:t>
      </w:r>
    </w:p>
    <w:p w14:paraId="1C2872C2" w14:textId="77777777" w:rsidR="005B0715" w:rsidRPr="005B0715" w:rsidRDefault="005B0715" w:rsidP="005B0715">
      <w:pPr>
        <w:tabs>
          <w:tab w:val="left" w:pos="1080"/>
          <w:tab w:val="left" w:pos="4500"/>
        </w:tabs>
        <w:spacing w:after="113" w:line="264" w:lineRule="auto"/>
        <w:jc w:val="left"/>
        <w:rPr>
          <w:rFonts w:cs="Segoe UI"/>
          <w:b/>
          <w:bCs/>
          <w:sz w:val="18"/>
          <w:szCs w:val="18"/>
          <w:lang w:eastAsia="zh-CN"/>
        </w:rPr>
      </w:pPr>
      <w:r w:rsidRPr="005B0715">
        <w:rPr>
          <w:rFonts w:cs="Segoe UI"/>
          <w:b/>
          <w:bCs/>
          <w:sz w:val="18"/>
          <w:szCs w:val="18"/>
          <w:lang w:eastAsia="zh-CN"/>
        </w:rPr>
        <w:t>媒体联系人</w:t>
      </w:r>
    </w:p>
    <w:p w14:paraId="56C7423C" w14:textId="77777777" w:rsidR="005B0715" w:rsidRPr="005B0715" w:rsidRDefault="005B0715" w:rsidP="005B0715">
      <w:pPr>
        <w:tabs>
          <w:tab w:val="left" w:pos="1080"/>
          <w:tab w:val="left" w:pos="4500"/>
        </w:tabs>
        <w:spacing w:after="113" w:line="264" w:lineRule="auto"/>
        <w:jc w:val="left"/>
        <w:rPr>
          <w:rFonts w:cs="Segoe UI"/>
          <w:b/>
          <w:sz w:val="18"/>
          <w:szCs w:val="18"/>
          <w:lang w:eastAsia="zh-CN"/>
        </w:rPr>
      </w:pPr>
    </w:p>
    <w:p w14:paraId="3544D5C2" w14:textId="77777777" w:rsidR="005B0715" w:rsidRPr="005B0715" w:rsidRDefault="005B0715" w:rsidP="005B0715">
      <w:pPr>
        <w:tabs>
          <w:tab w:val="left" w:pos="1080"/>
          <w:tab w:val="left" w:pos="4500"/>
        </w:tabs>
        <w:spacing w:after="113" w:line="264" w:lineRule="auto"/>
        <w:jc w:val="left"/>
        <w:rPr>
          <w:rFonts w:cs="Segoe UI"/>
          <w:bCs/>
          <w:sz w:val="18"/>
          <w:szCs w:val="18"/>
          <w:lang w:eastAsia="zh-CN"/>
        </w:rPr>
      </w:pPr>
      <w:r w:rsidRPr="005B0715">
        <w:rPr>
          <w:rFonts w:cs="Segoe UI"/>
          <w:b/>
          <w:sz w:val="20"/>
          <w:szCs w:val="22"/>
          <w:lang w:val="en-CA" w:eastAsia="zh-CN"/>
        </w:rPr>
        <w:t xml:space="preserve">Louise Cheung </w:t>
      </w:r>
      <w:r w:rsidRPr="005B0715">
        <w:rPr>
          <w:rFonts w:cs="Segoe UI"/>
          <w:b/>
          <w:sz w:val="20"/>
          <w:szCs w:val="22"/>
          <w:lang w:val="en-CA" w:eastAsia="zh-CN"/>
        </w:rPr>
        <w:t>张晓芸</w:t>
      </w:r>
      <w:r w:rsidRPr="005B0715">
        <w:rPr>
          <w:rFonts w:cs="Segoe UI"/>
          <w:sz w:val="18"/>
          <w:szCs w:val="18"/>
          <w:lang w:eastAsia="zh-CN"/>
        </w:rPr>
        <w:tab/>
      </w:r>
    </w:p>
    <w:p w14:paraId="2CC944C6" w14:textId="77777777" w:rsidR="005B0715" w:rsidRPr="005B0715" w:rsidRDefault="005B0715" w:rsidP="005B0715">
      <w:pPr>
        <w:tabs>
          <w:tab w:val="left" w:pos="709"/>
          <w:tab w:val="left" w:pos="4500"/>
          <w:tab w:val="left" w:pos="5245"/>
        </w:tabs>
        <w:spacing w:after="113" w:line="264" w:lineRule="auto"/>
        <w:jc w:val="left"/>
        <w:rPr>
          <w:rFonts w:cs="Segoe UI"/>
          <w:sz w:val="18"/>
          <w:szCs w:val="18"/>
          <w:lang w:eastAsia="zh-CN"/>
        </w:rPr>
      </w:pPr>
      <w:r w:rsidRPr="005B0715">
        <w:rPr>
          <w:rFonts w:cs="Segoe UI"/>
          <w:sz w:val="18"/>
          <w:szCs w:val="18"/>
          <w:lang w:eastAsia="zh-CN"/>
        </w:rPr>
        <w:t>电话：</w:t>
      </w:r>
      <w:r w:rsidRPr="005B0715">
        <w:rPr>
          <w:rFonts w:cs="Segoe UI"/>
          <w:sz w:val="18"/>
          <w:szCs w:val="18"/>
          <w:lang w:eastAsia="zh-CN"/>
        </w:rPr>
        <w:t>+86 21 2891 5152</w:t>
      </w:r>
      <w:r w:rsidRPr="005B0715">
        <w:rPr>
          <w:rFonts w:cs="Segoe UI"/>
          <w:sz w:val="18"/>
          <w:szCs w:val="18"/>
          <w:lang w:eastAsia="zh-CN"/>
        </w:rPr>
        <w:tab/>
      </w:r>
    </w:p>
    <w:p w14:paraId="40603CD7" w14:textId="77777777" w:rsidR="005B0715" w:rsidRPr="005B0715" w:rsidRDefault="005B0715" w:rsidP="005B0715">
      <w:pPr>
        <w:spacing w:after="113" w:line="240" w:lineRule="auto"/>
        <w:jc w:val="left"/>
        <w:rPr>
          <w:rFonts w:cs="Segoe UI"/>
          <w:sz w:val="18"/>
          <w:szCs w:val="18"/>
          <w:lang w:eastAsia="zh-CN"/>
        </w:rPr>
      </w:pPr>
      <w:r w:rsidRPr="005B0715">
        <w:rPr>
          <w:rFonts w:cs="Segoe UI"/>
          <w:sz w:val="18"/>
          <w:szCs w:val="18"/>
          <w:lang w:eastAsia="zh-CN"/>
        </w:rPr>
        <w:t>邮箱：</w:t>
      </w:r>
      <w:hyperlink r:id="rId16" w:history="1">
        <w:r w:rsidRPr="005B0715">
          <w:rPr>
            <w:rFonts w:cs="Segoe UI"/>
            <w:color w:val="0000FF"/>
            <w:szCs w:val="22"/>
            <w:u w:val="single"/>
            <w:lang w:eastAsia="zh-CN"/>
          </w:rPr>
          <w:t>louise.cheung@henkel.com</w:t>
        </w:r>
      </w:hyperlink>
    </w:p>
    <w:p w14:paraId="470AE6F0" w14:textId="77777777" w:rsidR="005B0715" w:rsidRPr="005B0715" w:rsidRDefault="005B0715" w:rsidP="005B0715">
      <w:pPr>
        <w:spacing w:after="113" w:line="240" w:lineRule="auto"/>
        <w:jc w:val="left"/>
        <w:rPr>
          <w:rFonts w:cs="Segoe UI"/>
          <w:sz w:val="18"/>
          <w:szCs w:val="18"/>
          <w:lang w:eastAsia="zh-CN"/>
        </w:rPr>
      </w:pPr>
    </w:p>
    <w:p w14:paraId="084A4F12" w14:textId="77777777" w:rsidR="005B0715" w:rsidRPr="005B0715" w:rsidRDefault="005B0715" w:rsidP="005B0715">
      <w:pPr>
        <w:tabs>
          <w:tab w:val="left" w:pos="851"/>
          <w:tab w:val="left" w:pos="4536"/>
          <w:tab w:val="left" w:pos="4962"/>
          <w:tab w:val="left" w:pos="5387"/>
        </w:tabs>
        <w:spacing w:after="113" w:line="360" w:lineRule="auto"/>
        <w:jc w:val="left"/>
        <w:rPr>
          <w:rFonts w:cs="Segoe UI"/>
          <w:b/>
          <w:sz w:val="20"/>
          <w:szCs w:val="18"/>
          <w:lang w:eastAsia="zh-CN"/>
        </w:rPr>
      </w:pPr>
      <w:r w:rsidRPr="005B0715">
        <w:rPr>
          <w:rFonts w:cs="Segoe UI"/>
          <w:b/>
          <w:sz w:val="20"/>
          <w:szCs w:val="18"/>
          <w:lang w:val="en-CA" w:eastAsia="zh-CN"/>
        </w:rPr>
        <w:t>Liki Qin</w:t>
      </w:r>
      <w:r w:rsidRPr="005B0715">
        <w:rPr>
          <w:rFonts w:cs="Segoe UI"/>
          <w:b/>
          <w:sz w:val="20"/>
          <w:szCs w:val="18"/>
          <w:lang w:val="en-CA" w:eastAsia="zh-CN"/>
        </w:rPr>
        <w:t>秦莉佳</w:t>
      </w:r>
      <w:r w:rsidRPr="005B0715">
        <w:rPr>
          <w:rFonts w:cs="Segoe UI"/>
          <w:b/>
          <w:sz w:val="20"/>
          <w:szCs w:val="18"/>
          <w:lang w:eastAsia="zh-CN"/>
        </w:rPr>
        <w:tab/>
      </w:r>
    </w:p>
    <w:p w14:paraId="25C81CC3" w14:textId="77777777" w:rsidR="005B0715" w:rsidRPr="005B0715" w:rsidRDefault="005B0715" w:rsidP="005B0715">
      <w:pPr>
        <w:tabs>
          <w:tab w:val="left" w:pos="709"/>
          <w:tab w:val="left" w:pos="4500"/>
          <w:tab w:val="left" w:pos="5245"/>
        </w:tabs>
        <w:spacing w:after="113" w:line="264" w:lineRule="auto"/>
        <w:jc w:val="left"/>
        <w:rPr>
          <w:rFonts w:cs="Segoe UI"/>
          <w:color w:val="000000"/>
          <w:sz w:val="20"/>
          <w:szCs w:val="18"/>
          <w:lang w:eastAsia="zh-CN"/>
        </w:rPr>
      </w:pPr>
      <w:r w:rsidRPr="005B0715">
        <w:rPr>
          <w:rFonts w:cs="Segoe UI"/>
          <w:sz w:val="18"/>
          <w:szCs w:val="22"/>
          <w:lang w:eastAsia="zh-CN"/>
        </w:rPr>
        <w:t>电话</w:t>
      </w:r>
      <w:r w:rsidRPr="005B0715">
        <w:rPr>
          <w:rFonts w:cs="Segoe UI"/>
          <w:sz w:val="18"/>
          <w:szCs w:val="22"/>
          <w:lang w:eastAsia="zh-CN"/>
        </w:rPr>
        <w:t>: +86 21 2891 4386</w:t>
      </w:r>
      <w:r w:rsidRPr="005B0715">
        <w:rPr>
          <w:rFonts w:cs="Segoe UI"/>
          <w:sz w:val="20"/>
          <w:szCs w:val="18"/>
          <w:lang w:eastAsia="zh-CN"/>
        </w:rPr>
        <w:tab/>
      </w:r>
    </w:p>
    <w:p w14:paraId="59F0480A" w14:textId="090439AA" w:rsidR="005B0715" w:rsidRPr="00B4523E" w:rsidRDefault="005B0715" w:rsidP="005B0715">
      <w:pPr>
        <w:tabs>
          <w:tab w:val="left" w:pos="1080"/>
          <w:tab w:val="left" w:pos="4500"/>
        </w:tabs>
        <w:spacing w:line="264" w:lineRule="auto"/>
        <w:rPr>
          <w:rStyle w:val="Hyperlink"/>
          <w:color w:val="9A141B"/>
          <w:szCs w:val="24"/>
          <w:u w:val="none"/>
          <w:lang w:eastAsia="zh-CN"/>
        </w:rPr>
      </w:pPr>
      <w:r w:rsidRPr="005B0715">
        <w:rPr>
          <w:rFonts w:cs="Segoe UI"/>
          <w:sz w:val="18"/>
          <w:szCs w:val="18"/>
          <w:lang w:eastAsia="zh-CN"/>
        </w:rPr>
        <w:t>邮件</w:t>
      </w:r>
      <w:r w:rsidRPr="005B0715">
        <w:rPr>
          <w:rFonts w:cs="Segoe UI"/>
          <w:sz w:val="18"/>
          <w:szCs w:val="18"/>
          <w:lang w:eastAsia="zh-CN"/>
        </w:rPr>
        <w:t xml:space="preserve">: </w:t>
      </w:r>
      <w:hyperlink r:id="rId17" w:history="1">
        <w:r w:rsidRPr="005B0715">
          <w:rPr>
            <w:rFonts w:cs="Segoe UI"/>
            <w:color w:val="0000FF"/>
            <w:szCs w:val="22"/>
            <w:u w:val="single"/>
            <w:lang w:val="en-CA" w:eastAsia="zh-CN"/>
          </w:rPr>
          <w:t>liki.qin@henkel.com</w:t>
        </w:r>
      </w:hyperlink>
    </w:p>
    <w:sectPr w:rsidR="005B0715" w:rsidRPr="00B4523E">
      <w:headerReference w:type="even" r:id="rId18"/>
      <w:footerReference w:type="default" r:id="rId19"/>
      <w:headerReference w:type="first" r:id="rId20"/>
      <w:footerReference w:type="first" r:id="rId21"/>
      <w:pgSz w:w="11907" w:h="16840"/>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C4E3B" w14:textId="77777777" w:rsidR="00474CEA" w:rsidRDefault="00474CEA">
      <w:pPr>
        <w:spacing w:line="240" w:lineRule="auto"/>
      </w:pPr>
      <w:r>
        <w:separator/>
      </w:r>
    </w:p>
  </w:endnote>
  <w:endnote w:type="continuationSeparator" w:id="0">
    <w:p w14:paraId="346AFA3B" w14:textId="77777777" w:rsidR="00474CEA" w:rsidRDefault="00474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55D1" w14:textId="77777777" w:rsidR="00DE6EFB" w:rsidRDefault="00B51E72">
    <w:pPr>
      <w:pStyle w:val="Footer"/>
      <w:tabs>
        <w:tab w:val="clear" w:pos="7083"/>
        <w:tab w:val="clear" w:pos="8640"/>
        <w:tab w:val="right" w:pos="9071"/>
      </w:tabs>
      <w:jc w:val="both"/>
    </w:pPr>
    <w:r>
      <w:rPr>
        <w:rFonts w:hint="eastAsia"/>
      </w:rPr>
      <w:t>Henkel AG &amp; Co. KGaA</w:t>
    </w:r>
    <w:r>
      <w:rPr>
        <w:rFonts w:hint="eastAsia"/>
      </w:rPr>
      <w:tab/>
      <w:t xml:space="preserve">Page </w:t>
    </w:r>
    <w:r>
      <w:rPr>
        <w:rFonts w:hint="eastAsia"/>
      </w:rPr>
      <w:fldChar w:fldCharType="begin"/>
    </w:r>
    <w:r>
      <w:rPr>
        <w:rFonts w:hint="eastAsia"/>
      </w:rPr>
      <w:instrText xml:space="preserve"> PAGE  \* Arabic  \* MERGEFORMAT </w:instrText>
    </w:r>
    <w:r>
      <w:rPr>
        <w:rFonts w:hint="eastAsia"/>
      </w:rPr>
      <w:fldChar w:fldCharType="separate"/>
    </w:r>
    <w:r>
      <w:t>3</w:t>
    </w:r>
    <w:r>
      <w:rPr>
        <w:rFonts w:hint="eastAsia"/>
      </w:rPr>
      <w:fldChar w:fldCharType="end"/>
    </w:r>
    <w:r>
      <w:rPr>
        <w:rFonts w:hint="eastAsia"/>
      </w:rPr>
      <w:t>/</w:t>
    </w:r>
    <w:fldSimple w:instr="NUMPAGES  \* Arabic  \* MERGEFORMAT">
      <w:r>
        <w:t>17</w:t>
      </w:r>
    </w:fldSimple>
  </w:p>
  <w:p w14:paraId="7A8514C7" w14:textId="77777777" w:rsidR="00DE6EFB" w:rsidRDefault="00B51E72">
    <w:pPr>
      <w:pStyle w:val="Footer"/>
      <w:tabs>
        <w:tab w:val="clear" w:pos="7083"/>
        <w:tab w:val="clear" w:pos="8640"/>
        <w:tab w:val="right" w:pos="9071"/>
      </w:tabs>
      <w:jc w:val="both"/>
      <w:rPr>
        <w:lang w:eastAsia="zh-CN"/>
      </w:rPr>
    </w:pPr>
    <w:r>
      <w:rPr>
        <w:rFonts w:hint="eastAsia"/>
        <w:lang w:eastAsia="zh-CN"/>
      </w:rPr>
      <w:t>汉高股份有限及两合公司</w:t>
    </w:r>
    <w:r>
      <w:rPr>
        <w:rFonts w:hint="eastAsia"/>
        <w:lang w:eastAsia="zh-CN"/>
      </w:rPr>
      <w:tab/>
    </w:r>
    <w:r>
      <w:fldChar w:fldCharType="begin"/>
    </w:r>
    <w:r>
      <w:rPr>
        <w:lang w:eastAsia="zh-CN"/>
      </w:rPr>
      <w:instrText xml:space="preserve"> PAGE  \* Arabic  \* MERGEFORMAT </w:instrText>
    </w:r>
    <w:r>
      <w:fldChar w:fldCharType="separate"/>
    </w:r>
    <w:r>
      <w:rPr>
        <w:lang w:eastAsia="zh-CN"/>
      </w:rPr>
      <w:t>3</w:t>
    </w:r>
    <w:r>
      <w:fldChar w:fldCharType="end"/>
    </w:r>
    <w:r>
      <w:rPr>
        <w:rFonts w:hint="eastAsia"/>
        <w:lang w:eastAsia="zh-CN"/>
      </w:rPr>
      <w:t>/</w:t>
    </w:r>
    <w:r>
      <w:fldChar w:fldCharType="begin"/>
    </w:r>
    <w:r>
      <w:rPr>
        <w:lang w:eastAsia="zh-CN"/>
      </w:rPr>
      <w:instrText>NUMPAGES  \* Arabic  \* MERGEFORMAT</w:instrText>
    </w:r>
    <w:r>
      <w:fldChar w:fldCharType="separate"/>
    </w:r>
    <w:r>
      <w:rPr>
        <w:lang w:eastAsia="zh-CN"/>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0516" w14:textId="77777777" w:rsidR="00DE6EFB" w:rsidRDefault="00B51E72">
    <w:pPr>
      <w:pStyle w:val="Footer"/>
    </w:pPr>
    <w:r>
      <w:rPr>
        <w:noProof/>
      </w:rPr>
      <w:drawing>
        <wp:inline distT="0" distB="0" distL="0" distR="0" wp14:anchorId="309B811A" wp14:editId="58B49FE1">
          <wp:extent cx="5422265" cy="548005"/>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a:picLocks noChangeAspect="1"/>
                  </pic:cNvPicPr>
                </pic:nvPicPr>
                <pic:blipFill>
                  <a:blip r:embed="rId1"/>
                  <a:srcRect b="19511"/>
                  <a:stretch>
                    <a:fillRect/>
                  </a:stretch>
                </pic:blipFill>
                <pic:spPr>
                  <a:xfrm>
                    <a:off x="0" y="0"/>
                    <a:ext cx="5422789" cy="548296"/>
                  </a:xfrm>
                  <a:prstGeom prst="rect">
                    <a:avLst/>
                  </a:prstGeom>
                  <a:ln>
                    <a:noFill/>
                  </a:ln>
                </pic:spPr>
              </pic:pic>
            </a:graphicData>
          </a:graphic>
        </wp:inline>
      </w:drawing>
    </w:r>
    <w:r>
      <w:t xml:space="preserve">Page </w:t>
    </w:r>
    <w:r>
      <w:fldChar w:fldCharType="begin"/>
    </w:r>
    <w:r>
      <w:instrText xml:space="preserve"> PAGE  \* Arabic  \* MERGEFORMAT </w:instrText>
    </w:r>
    <w:r>
      <w:fldChar w:fldCharType="separate"/>
    </w:r>
    <w:r>
      <w:t>1</w:t>
    </w:r>
    <w:r>
      <w:fldChar w:fldCharType="end"/>
    </w:r>
    <w:r>
      <w:t>/</w:t>
    </w:r>
    <w:fldSimple w:instr=" NUMPAGES  \* Arabic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AE070" w14:textId="77777777" w:rsidR="00474CEA" w:rsidRDefault="00474CEA">
      <w:r>
        <w:separator/>
      </w:r>
    </w:p>
  </w:footnote>
  <w:footnote w:type="continuationSeparator" w:id="0">
    <w:p w14:paraId="76577F44" w14:textId="77777777" w:rsidR="00474CEA" w:rsidRDefault="00474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ECEB" w14:textId="77777777" w:rsidR="00DE6EFB" w:rsidRDefault="00DE6EF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28924" w14:textId="1C1DEEB4" w:rsidR="00DE6EFB" w:rsidRDefault="00B51E72">
    <w:pPr>
      <w:pStyle w:val="Header"/>
    </w:pPr>
    <w:r>
      <w:rPr>
        <w:noProof/>
      </w:rPr>
      <w:drawing>
        <wp:anchor distT="0" distB="0" distL="114300" distR="114300" simplePos="0" relativeHeight="251657216" behindDoc="0" locked="1" layoutInCell="1" allowOverlap="1" wp14:anchorId="63BE3F29" wp14:editId="1489F837">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66876" name="Grafik 165306687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a:xfrm>
                    <a:off x="0" y="0"/>
                    <a:ext cx="1051560" cy="603250"/>
                  </a:xfrm>
                  <a:prstGeom prst="rect">
                    <a:avLst/>
                  </a:prstGeom>
                  <a:noFill/>
                </pic:spPr>
              </pic:pic>
            </a:graphicData>
          </a:graphic>
        </wp:anchor>
      </w:drawing>
    </w:r>
    <w:r>
      <w:rPr>
        <w:noProof/>
      </w:rPr>
      <mc:AlternateContent>
        <mc:Choice Requires="wpg">
          <w:drawing>
            <wp:anchor distT="0" distB="0" distL="114300" distR="114300" simplePos="0" relativeHeight="251658240" behindDoc="0" locked="0" layoutInCell="1" allowOverlap="1" wp14:anchorId="0C04142D" wp14:editId="1386ACAF">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 xmlns:a="http://schemas.openxmlformats.org/drawingml/2006/main">
                <a:graphicData uri="http://schemas.microsoft.com/office/word/2010/wordprocessingGroup">
                  <wpg:wgp>
                    <wpg:cNvGrpSpPr/>
                    <wpg:grpSpPr>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wps:spPr>
                      <wps:bodyPr/>
                    </wps:wsp>
                    <wps:wsp>
                      <wps:cNvPr id="4" name="Line 18"/>
                      <wps:cNvCnPr>
                        <a:cxnSpLocks noChangeShapeType="1"/>
                      </wps:cNvCnPr>
                      <wps:spPr bwMode="auto">
                        <a:xfrm>
                          <a:off x="0" y="8420"/>
                          <a:ext cx="283" cy="0"/>
                        </a:xfrm>
                        <a:prstGeom prst="line">
                          <a:avLst/>
                        </a:prstGeom>
                        <a:noFill/>
                        <a:ln>
                          <a:noFill/>
                        </a:ln>
                      </wps:spPr>
                      <wps:bodyPr/>
                    </wps:wsp>
                    <wps:wsp>
                      <wps:cNvPr id="5" name="Line 19"/>
                      <wps:cNvCnPr>
                        <a:cxnSpLocks noChangeShapeType="1"/>
                      </wps:cNvCnPr>
                      <wps:spPr bwMode="auto">
                        <a:xfrm>
                          <a:off x="0" y="11907"/>
                          <a:ext cx="283" cy="0"/>
                        </a:xfrm>
                        <a:prstGeom prst="line">
                          <a:avLst/>
                        </a:prstGeom>
                        <a:noFill/>
                        <a:ln>
                          <a:noFill/>
                        </a:ln>
                      </wps:spPr>
                      <wps:bodyPr/>
                    </wps:wsp>
                  </wpg:wgp>
                </a:graphicData>
              </a:graphic>
            </wp:anchor>
          </w:drawing>
        </mc:Choice>
        <mc:Fallback>
          <w:pict>
            <v:group w14:anchorId="413C9A8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w10:wrap anchorx="page" anchory="page"/>
            </v:group>
          </w:pict>
        </mc:Fallback>
      </mc:AlternateContent>
    </w:r>
    <w:r>
      <w:rPr>
        <w:rFonts w:hint="eastAsia"/>
      </w:rPr>
      <w:t xml:space="preserve"> News Release</w:t>
    </w:r>
    <w:r>
      <w:rPr>
        <w:rFonts w:hint="eastAsia"/>
      </w:rPr>
      <w:br/>
    </w:r>
    <w:proofErr w:type="spellStart"/>
    <w:r>
      <w:rPr>
        <w:rFonts w:hint="eastAsia"/>
      </w:rPr>
      <w:t>新闻稿</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multilevel"/>
    <w:tmpl w:val="00F614AC"/>
    <w:lvl w:ilvl="0">
      <w:start w:val="1"/>
      <w:numFmt w:val="bullet"/>
      <w:pStyle w:val="He01FlietextAufzhlung1Ebene"/>
      <w:lvlText w:val=""/>
      <w:lvlJc w:val="left"/>
      <w:pPr>
        <w:ind w:left="360" w:hanging="360"/>
      </w:pPr>
      <w:rPr>
        <w:rFonts w:ascii="Wingdings" w:hAnsi="Wingdings" w:hint="default"/>
        <w:color w:val="E1000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F4270"/>
    <w:multiLevelType w:val="multilevel"/>
    <w:tmpl w:val="07CF4270"/>
    <w:lvl w:ilvl="0">
      <w:start w:val="1"/>
      <w:numFmt w:val="bullet"/>
      <w:pStyle w:val="NumBullet"/>
      <w:lvlText w:val="•"/>
      <w:lvlJc w:val="left"/>
      <w:pPr>
        <w:tabs>
          <w:tab w:val="left" w:pos="567"/>
        </w:tabs>
        <w:ind w:left="567" w:hanging="567"/>
      </w:pPr>
      <w:rPr>
        <w:rFonts w:ascii="Times New Roman" w:hAnsi="Times New Roman" w:cs="Times New Roman" w:hint="default"/>
        <w:color w:val="E1000F"/>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29D4FBB"/>
    <w:multiLevelType w:val="multilevel"/>
    <w:tmpl w:val="129D4FBB"/>
    <w:lvl w:ilvl="0">
      <w:numFmt w:val="bullet"/>
      <w:lvlText w:val=""/>
      <w:lvlJc w:val="left"/>
      <w:pPr>
        <w:ind w:left="361" w:hanging="360"/>
      </w:pPr>
      <w:rPr>
        <w:rFonts w:ascii="Wingdings" w:eastAsia="Wingdings" w:hAnsi="Wingdings" w:cs="Wingdings" w:hint="default"/>
        <w:b w:val="0"/>
        <w:bCs w:val="0"/>
        <w:i w:val="0"/>
        <w:iCs w:val="0"/>
        <w:color w:val="E0000E"/>
        <w:spacing w:val="0"/>
        <w:w w:val="100"/>
        <w:sz w:val="22"/>
        <w:szCs w:val="22"/>
        <w:lang w:val="de-DE" w:eastAsia="en-US" w:bidi="ar-SA"/>
      </w:rPr>
    </w:lvl>
    <w:lvl w:ilvl="1">
      <w:numFmt w:val="bullet"/>
      <w:lvlText w:val="–"/>
      <w:lvlJc w:val="left"/>
      <w:pPr>
        <w:ind w:left="702" w:hanging="360"/>
      </w:pPr>
      <w:rPr>
        <w:rFonts w:ascii="Segoe UI" w:eastAsia="Segoe UI" w:hAnsi="Segoe UI" w:cs="Segoe UI" w:hint="default"/>
        <w:b w:val="0"/>
        <w:bCs w:val="0"/>
        <w:i w:val="0"/>
        <w:iCs w:val="0"/>
        <w:color w:val="E0000E"/>
        <w:spacing w:val="0"/>
        <w:w w:val="100"/>
        <w:sz w:val="22"/>
        <w:szCs w:val="22"/>
        <w:lang w:val="de-DE" w:eastAsia="en-US" w:bidi="ar-SA"/>
      </w:rPr>
    </w:lvl>
    <w:lvl w:ilvl="2">
      <w:numFmt w:val="bullet"/>
      <w:lvlText w:val="•"/>
      <w:lvlJc w:val="left"/>
      <w:pPr>
        <w:ind w:left="1724" w:hanging="360"/>
      </w:pPr>
      <w:rPr>
        <w:rFonts w:hint="default"/>
        <w:lang w:val="de-DE" w:eastAsia="en-US" w:bidi="ar-SA"/>
      </w:rPr>
    </w:lvl>
    <w:lvl w:ilvl="3">
      <w:numFmt w:val="bullet"/>
      <w:lvlText w:val="•"/>
      <w:lvlJc w:val="left"/>
      <w:pPr>
        <w:ind w:left="2749" w:hanging="360"/>
      </w:pPr>
      <w:rPr>
        <w:rFonts w:hint="default"/>
        <w:lang w:val="de-DE" w:eastAsia="en-US" w:bidi="ar-SA"/>
      </w:rPr>
    </w:lvl>
    <w:lvl w:ilvl="4">
      <w:numFmt w:val="bullet"/>
      <w:lvlText w:val="•"/>
      <w:lvlJc w:val="left"/>
      <w:pPr>
        <w:ind w:left="3774" w:hanging="360"/>
      </w:pPr>
      <w:rPr>
        <w:rFonts w:hint="default"/>
        <w:lang w:val="de-DE" w:eastAsia="en-US" w:bidi="ar-SA"/>
      </w:rPr>
    </w:lvl>
    <w:lvl w:ilvl="5">
      <w:numFmt w:val="bullet"/>
      <w:lvlText w:val="•"/>
      <w:lvlJc w:val="left"/>
      <w:pPr>
        <w:ind w:left="4799" w:hanging="360"/>
      </w:pPr>
      <w:rPr>
        <w:rFonts w:hint="default"/>
        <w:lang w:val="de-DE" w:eastAsia="en-US" w:bidi="ar-SA"/>
      </w:rPr>
    </w:lvl>
    <w:lvl w:ilvl="6">
      <w:numFmt w:val="bullet"/>
      <w:lvlText w:val="•"/>
      <w:lvlJc w:val="left"/>
      <w:pPr>
        <w:ind w:left="5824" w:hanging="360"/>
      </w:pPr>
      <w:rPr>
        <w:rFonts w:hint="default"/>
        <w:lang w:val="de-DE" w:eastAsia="en-US" w:bidi="ar-SA"/>
      </w:rPr>
    </w:lvl>
    <w:lvl w:ilvl="7">
      <w:numFmt w:val="bullet"/>
      <w:lvlText w:val="•"/>
      <w:lvlJc w:val="left"/>
      <w:pPr>
        <w:ind w:left="6848" w:hanging="360"/>
      </w:pPr>
      <w:rPr>
        <w:rFonts w:hint="default"/>
        <w:lang w:val="de-DE" w:eastAsia="en-US" w:bidi="ar-SA"/>
      </w:rPr>
    </w:lvl>
    <w:lvl w:ilvl="8">
      <w:numFmt w:val="bullet"/>
      <w:lvlText w:val="•"/>
      <w:lvlJc w:val="left"/>
      <w:pPr>
        <w:ind w:left="7873" w:hanging="360"/>
      </w:pPr>
      <w:rPr>
        <w:rFonts w:hint="default"/>
        <w:lang w:val="de-DE" w:eastAsia="en-US" w:bidi="ar-SA"/>
      </w:rPr>
    </w:lvl>
  </w:abstractNum>
  <w:abstractNum w:abstractNumId="3" w15:restartNumberingAfterBreak="0">
    <w:nsid w:val="16740AFE"/>
    <w:multiLevelType w:val="multilevel"/>
    <w:tmpl w:val="16740AFE"/>
    <w:lvl w:ilvl="0">
      <w:start w:val="1"/>
      <w:numFmt w:val="bullet"/>
      <w:pStyle w:val="He01FlietextAufzhlung2Ebene"/>
      <w:lvlText w:val="–"/>
      <w:lvlJc w:val="left"/>
      <w:pPr>
        <w:ind w:left="700" w:hanging="360"/>
      </w:pPr>
      <w:rPr>
        <w:rFonts w:ascii="Segoe UI" w:hAnsi="Segoe UI" w:hint="default"/>
        <w:color w:val="E1000F"/>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4" w15:restartNumberingAfterBreak="0">
    <w:nsid w:val="3F4B6752"/>
    <w:multiLevelType w:val="multilevel"/>
    <w:tmpl w:val="3F4B6752"/>
    <w:lvl w:ilvl="0">
      <w:start w:val="1"/>
      <w:numFmt w:val="bullet"/>
      <w:lvlText w:val=""/>
      <w:lvlJc w:val="left"/>
      <w:pPr>
        <w:ind w:left="360" w:hanging="360"/>
      </w:pPr>
      <w:rPr>
        <w:rFonts w:ascii="Wingdings" w:hAnsi="Wingdings" w:hint="default"/>
        <w:color w:val="E1000F"/>
        <w:sz w:val="24"/>
        <w:szCs w:val="24"/>
      </w:rPr>
    </w:lvl>
    <w:lvl w:ilvl="1">
      <w:numFmt w:val="bullet"/>
      <w:lvlText w:val="-"/>
      <w:lvlJc w:val="left"/>
      <w:pPr>
        <w:ind w:left="1080" w:hanging="360"/>
      </w:pPr>
      <w:rPr>
        <w:rFonts w:ascii="Arial" w:hAnsi="Arial" w:hint="default"/>
        <w:color w:val="FF000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21773281">
    <w:abstractNumId w:val="1"/>
  </w:num>
  <w:num w:numId="2" w16cid:durableId="657079685">
    <w:abstractNumId w:val="0"/>
  </w:num>
  <w:num w:numId="3" w16cid:durableId="949818223">
    <w:abstractNumId w:val="3"/>
  </w:num>
  <w:num w:numId="4" w16cid:durableId="1000044194">
    <w:abstractNumId w:val="4"/>
  </w:num>
  <w:num w:numId="5" w16cid:durableId="1681277344">
    <w:abstractNumId w:val="2"/>
  </w:num>
  <w:num w:numId="6" w16cid:durableId="774439939">
    <w:abstractNumId w:val="3"/>
  </w:num>
  <w:num w:numId="7" w16cid:durableId="2146191903">
    <w:abstractNumId w:val="3"/>
  </w:num>
  <w:num w:numId="8" w16cid:durableId="1991597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4621"/>
    <w:rsid w:val="00004F3C"/>
    <w:rsid w:val="000050F2"/>
    <w:rsid w:val="00005267"/>
    <w:rsid w:val="00006346"/>
    <w:rsid w:val="000069EB"/>
    <w:rsid w:val="00006A45"/>
    <w:rsid w:val="000070A8"/>
    <w:rsid w:val="00010AB8"/>
    <w:rsid w:val="00012E70"/>
    <w:rsid w:val="000136FE"/>
    <w:rsid w:val="00014FC1"/>
    <w:rsid w:val="00015C17"/>
    <w:rsid w:val="00016137"/>
    <w:rsid w:val="000177A1"/>
    <w:rsid w:val="00020DC3"/>
    <w:rsid w:val="00021C67"/>
    <w:rsid w:val="00024147"/>
    <w:rsid w:val="00024483"/>
    <w:rsid w:val="00025354"/>
    <w:rsid w:val="000256A9"/>
    <w:rsid w:val="00026EEE"/>
    <w:rsid w:val="000301F0"/>
    <w:rsid w:val="00030557"/>
    <w:rsid w:val="00030701"/>
    <w:rsid w:val="00030F51"/>
    <w:rsid w:val="00031E51"/>
    <w:rsid w:val="00033476"/>
    <w:rsid w:val="000343EB"/>
    <w:rsid w:val="00035A84"/>
    <w:rsid w:val="00036D5F"/>
    <w:rsid w:val="00037933"/>
    <w:rsid w:val="00040816"/>
    <w:rsid w:val="0004082A"/>
    <w:rsid w:val="00040CC9"/>
    <w:rsid w:val="00040DA0"/>
    <w:rsid w:val="00041F81"/>
    <w:rsid w:val="000425ED"/>
    <w:rsid w:val="00045CCB"/>
    <w:rsid w:val="000510FC"/>
    <w:rsid w:val="00051555"/>
    <w:rsid w:val="00051D25"/>
    <w:rsid w:val="00051E86"/>
    <w:rsid w:val="000525F1"/>
    <w:rsid w:val="00054AFE"/>
    <w:rsid w:val="0005544E"/>
    <w:rsid w:val="0005619D"/>
    <w:rsid w:val="00056A64"/>
    <w:rsid w:val="00056EEE"/>
    <w:rsid w:val="00057410"/>
    <w:rsid w:val="000575F9"/>
    <w:rsid w:val="0006148D"/>
    <w:rsid w:val="00061653"/>
    <w:rsid w:val="000618FC"/>
    <w:rsid w:val="00065466"/>
    <w:rsid w:val="000665F3"/>
    <w:rsid w:val="000669D1"/>
    <w:rsid w:val="00067071"/>
    <w:rsid w:val="00067F67"/>
    <w:rsid w:val="00070652"/>
    <w:rsid w:val="00070757"/>
    <w:rsid w:val="00071284"/>
    <w:rsid w:val="00072356"/>
    <w:rsid w:val="00073AED"/>
    <w:rsid w:val="00074942"/>
    <w:rsid w:val="000751A7"/>
    <w:rsid w:val="0007558F"/>
    <w:rsid w:val="0007733D"/>
    <w:rsid w:val="0007746E"/>
    <w:rsid w:val="00077AF9"/>
    <w:rsid w:val="00080229"/>
    <w:rsid w:val="00080D10"/>
    <w:rsid w:val="00081241"/>
    <w:rsid w:val="00081692"/>
    <w:rsid w:val="00081EF8"/>
    <w:rsid w:val="00082417"/>
    <w:rsid w:val="0008357F"/>
    <w:rsid w:val="00083A35"/>
    <w:rsid w:val="00083A61"/>
    <w:rsid w:val="00083DAB"/>
    <w:rsid w:val="0008406B"/>
    <w:rsid w:val="00084918"/>
    <w:rsid w:val="0008581D"/>
    <w:rsid w:val="00090DB6"/>
    <w:rsid w:val="00090E73"/>
    <w:rsid w:val="00091F11"/>
    <w:rsid w:val="00094235"/>
    <w:rsid w:val="00096AD4"/>
    <w:rsid w:val="00097DB9"/>
    <w:rsid w:val="000A05E0"/>
    <w:rsid w:val="000A06FB"/>
    <w:rsid w:val="000A31D3"/>
    <w:rsid w:val="000A4B52"/>
    <w:rsid w:val="000A50CF"/>
    <w:rsid w:val="000A511E"/>
    <w:rsid w:val="000A64B3"/>
    <w:rsid w:val="000A6C25"/>
    <w:rsid w:val="000A6D45"/>
    <w:rsid w:val="000B005C"/>
    <w:rsid w:val="000B032A"/>
    <w:rsid w:val="000B10DE"/>
    <w:rsid w:val="000B1FCA"/>
    <w:rsid w:val="000B2E86"/>
    <w:rsid w:val="000B5D2F"/>
    <w:rsid w:val="000B5E32"/>
    <w:rsid w:val="000B6244"/>
    <w:rsid w:val="000B695A"/>
    <w:rsid w:val="000B72A8"/>
    <w:rsid w:val="000C04C8"/>
    <w:rsid w:val="000C1D69"/>
    <w:rsid w:val="000C210A"/>
    <w:rsid w:val="000C27E5"/>
    <w:rsid w:val="000C30D6"/>
    <w:rsid w:val="000C47D1"/>
    <w:rsid w:val="000C50A1"/>
    <w:rsid w:val="000C540F"/>
    <w:rsid w:val="000C56DD"/>
    <w:rsid w:val="000C63F4"/>
    <w:rsid w:val="000C65FB"/>
    <w:rsid w:val="000C7373"/>
    <w:rsid w:val="000D0C11"/>
    <w:rsid w:val="000D11CB"/>
    <w:rsid w:val="000D14C4"/>
    <w:rsid w:val="000D1672"/>
    <w:rsid w:val="000D178A"/>
    <w:rsid w:val="000D18CE"/>
    <w:rsid w:val="000D40C6"/>
    <w:rsid w:val="000D4349"/>
    <w:rsid w:val="000D52F6"/>
    <w:rsid w:val="000D58A1"/>
    <w:rsid w:val="000D60D8"/>
    <w:rsid w:val="000D6C67"/>
    <w:rsid w:val="000D738C"/>
    <w:rsid w:val="000E0CAB"/>
    <w:rsid w:val="000E11D9"/>
    <w:rsid w:val="000E1B84"/>
    <w:rsid w:val="000E2EDC"/>
    <w:rsid w:val="000E2F62"/>
    <w:rsid w:val="000E38ED"/>
    <w:rsid w:val="000E45C7"/>
    <w:rsid w:val="000E5A02"/>
    <w:rsid w:val="000E6962"/>
    <w:rsid w:val="000E7F24"/>
    <w:rsid w:val="000F03BE"/>
    <w:rsid w:val="000F1757"/>
    <w:rsid w:val="000F225B"/>
    <w:rsid w:val="000F333E"/>
    <w:rsid w:val="000F41BC"/>
    <w:rsid w:val="000F48E9"/>
    <w:rsid w:val="000F4DAE"/>
    <w:rsid w:val="000F5821"/>
    <w:rsid w:val="000F689C"/>
    <w:rsid w:val="000F7ADB"/>
    <w:rsid w:val="000F7FAF"/>
    <w:rsid w:val="001002DD"/>
    <w:rsid w:val="0010048F"/>
    <w:rsid w:val="00100D8B"/>
    <w:rsid w:val="00102045"/>
    <w:rsid w:val="00102264"/>
    <w:rsid w:val="00103537"/>
    <w:rsid w:val="00103B01"/>
    <w:rsid w:val="0010421C"/>
    <w:rsid w:val="0010465B"/>
    <w:rsid w:val="001055BE"/>
    <w:rsid w:val="0010570F"/>
    <w:rsid w:val="00105975"/>
    <w:rsid w:val="00105DD4"/>
    <w:rsid w:val="00110090"/>
    <w:rsid w:val="0011116D"/>
    <w:rsid w:val="00111386"/>
    <w:rsid w:val="001118DF"/>
    <w:rsid w:val="00111F4D"/>
    <w:rsid w:val="00112A28"/>
    <w:rsid w:val="00113571"/>
    <w:rsid w:val="00114DDF"/>
    <w:rsid w:val="00115230"/>
    <w:rsid w:val="00115B5F"/>
    <w:rsid w:val="001162B4"/>
    <w:rsid w:val="00116B3A"/>
    <w:rsid w:val="00116DF3"/>
    <w:rsid w:val="00122B90"/>
    <w:rsid w:val="00122CBC"/>
    <w:rsid w:val="0012397D"/>
    <w:rsid w:val="0012414B"/>
    <w:rsid w:val="00124FA3"/>
    <w:rsid w:val="00126C65"/>
    <w:rsid w:val="00126D4A"/>
    <w:rsid w:val="00130D2C"/>
    <w:rsid w:val="00131762"/>
    <w:rsid w:val="001318EB"/>
    <w:rsid w:val="00132DA9"/>
    <w:rsid w:val="0013305B"/>
    <w:rsid w:val="001331DC"/>
    <w:rsid w:val="00133B99"/>
    <w:rsid w:val="0013464E"/>
    <w:rsid w:val="0013569C"/>
    <w:rsid w:val="00135939"/>
    <w:rsid w:val="001369E3"/>
    <w:rsid w:val="001375DD"/>
    <w:rsid w:val="00142046"/>
    <w:rsid w:val="00142EFB"/>
    <w:rsid w:val="001438BF"/>
    <w:rsid w:val="001443BD"/>
    <w:rsid w:val="00144A87"/>
    <w:rsid w:val="00145B62"/>
    <w:rsid w:val="00146193"/>
    <w:rsid w:val="00150993"/>
    <w:rsid w:val="00152022"/>
    <w:rsid w:val="00152026"/>
    <w:rsid w:val="00152A41"/>
    <w:rsid w:val="00154D35"/>
    <w:rsid w:val="00156CD6"/>
    <w:rsid w:val="001577E9"/>
    <w:rsid w:val="00157A59"/>
    <w:rsid w:val="0016138C"/>
    <w:rsid w:val="00162D60"/>
    <w:rsid w:val="001640D5"/>
    <w:rsid w:val="001653D7"/>
    <w:rsid w:val="001659FB"/>
    <w:rsid w:val="00166F97"/>
    <w:rsid w:val="00172C99"/>
    <w:rsid w:val="001731CE"/>
    <w:rsid w:val="00175C72"/>
    <w:rsid w:val="00177B37"/>
    <w:rsid w:val="00180F93"/>
    <w:rsid w:val="00181B06"/>
    <w:rsid w:val="00182629"/>
    <w:rsid w:val="001827BF"/>
    <w:rsid w:val="00186010"/>
    <w:rsid w:val="0018672E"/>
    <w:rsid w:val="0018689A"/>
    <w:rsid w:val="00186AB1"/>
    <w:rsid w:val="00191458"/>
    <w:rsid w:val="0019156C"/>
    <w:rsid w:val="00191DD2"/>
    <w:rsid w:val="00192778"/>
    <w:rsid w:val="001945F1"/>
    <w:rsid w:val="00196A14"/>
    <w:rsid w:val="00197E9B"/>
    <w:rsid w:val="001A1185"/>
    <w:rsid w:val="001A1FEB"/>
    <w:rsid w:val="001A2003"/>
    <w:rsid w:val="001A3D77"/>
    <w:rsid w:val="001A4C03"/>
    <w:rsid w:val="001A7411"/>
    <w:rsid w:val="001B3094"/>
    <w:rsid w:val="001B30F7"/>
    <w:rsid w:val="001B31F0"/>
    <w:rsid w:val="001B4862"/>
    <w:rsid w:val="001B5147"/>
    <w:rsid w:val="001B65FF"/>
    <w:rsid w:val="001B710A"/>
    <w:rsid w:val="001B771D"/>
    <w:rsid w:val="001B7C20"/>
    <w:rsid w:val="001B7F28"/>
    <w:rsid w:val="001C0B32"/>
    <w:rsid w:val="001C2B63"/>
    <w:rsid w:val="001C2D66"/>
    <w:rsid w:val="001C36F7"/>
    <w:rsid w:val="001C4BE1"/>
    <w:rsid w:val="001C4CE3"/>
    <w:rsid w:val="001C5338"/>
    <w:rsid w:val="001C77C3"/>
    <w:rsid w:val="001C7F21"/>
    <w:rsid w:val="001D1497"/>
    <w:rsid w:val="001D361C"/>
    <w:rsid w:val="001D4A97"/>
    <w:rsid w:val="001D5534"/>
    <w:rsid w:val="001D63D9"/>
    <w:rsid w:val="001D750B"/>
    <w:rsid w:val="001D7ADF"/>
    <w:rsid w:val="001E0F71"/>
    <w:rsid w:val="001E17FB"/>
    <w:rsid w:val="001E255E"/>
    <w:rsid w:val="001E2B9B"/>
    <w:rsid w:val="001E2C06"/>
    <w:rsid w:val="001E35BA"/>
    <w:rsid w:val="001E4650"/>
    <w:rsid w:val="001E49D3"/>
    <w:rsid w:val="001E4CCB"/>
    <w:rsid w:val="001E51A6"/>
    <w:rsid w:val="001E52CB"/>
    <w:rsid w:val="001E6D05"/>
    <w:rsid w:val="001E73E8"/>
    <w:rsid w:val="001E785E"/>
    <w:rsid w:val="001E7C28"/>
    <w:rsid w:val="001F11A1"/>
    <w:rsid w:val="001F1AB5"/>
    <w:rsid w:val="001F1BDF"/>
    <w:rsid w:val="001F1D6D"/>
    <w:rsid w:val="001F35F8"/>
    <w:rsid w:val="001F39FC"/>
    <w:rsid w:val="001F4966"/>
    <w:rsid w:val="001F4AC3"/>
    <w:rsid w:val="001F4CAC"/>
    <w:rsid w:val="001F52E0"/>
    <w:rsid w:val="001F590C"/>
    <w:rsid w:val="001F7110"/>
    <w:rsid w:val="001F75DB"/>
    <w:rsid w:val="001F773D"/>
    <w:rsid w:val="001F7754"/>
    <w:rsid w:val="001F7E96"/>
    <w:rsid w:val="002005F5"/>
    <w:rsid w:val="002013D5"/>
    <w:rsid w:val="00201D91"/>
    <w:rsid w:val="00202284"/>
    <w:rsid w:val="00202C65"/>
    <w:rsid w:val="0020528D"/>
    <w:rsid w:val="0020543B"/>
    <w:rsid w:val="00205A66"/>
    <w:rsid w:val="002063CF"/>
    <w:rsid w:val="00206613"/>
    <w:rsid w:val="0020756B"/>
    <w:rsid w:val="00207E75"/>
    <w:rsid w:val="00210AE0"/>
    <w:rsid w:val="00210D86"/>
    <w:rsid w:val="0021158F"/>
    <w:rsid w:val="00212488"/>
    <w:rsid w:val="002129A6"/>
    <w:rsid w:val="002151DB"/>
    <w:rsid w:val="0021591A"/>
    <w:rsid w:val="002168C6"/>
    <w:rsid w:val="00217E9D"/>
    <w:rsid w:val="00220628"/>
    <w:rsid w:val="00221A45"/>
    <w:rsid w:val="00221BA0"/>
    <w:rsid w:val="00223BD5"/>
    <w:rsid w:val="00224B7D"/>
    <w:rsid w:val="002260C7"/>
    <w:rsid w:val="002304D2"/>
    <w:rsid w:val="002333DA"/>
    <w:rsid w:val="002338C1"/>
    <w:rsid w:val="00233D04"/>
    <w:rsid w:val="00234ABD"/>
    <w:rsid w:val="00234CE9"/>
    <w:rsid w:val="00236491"/>
    <w:rsid w:val="00236969"/>
    <w:rsid w:val="00236C3B"/>
    <w:rsid w:val="00236E2A"/>
    <w:rsid w:val="00237F62"/>
    <w:rsid w:val="00240316"/>
    <w:rsid w:val="00241E10"/>
    <w:rsid w:val="00242367"/>
    <w:rsid w:val="0024458B"/>
    <w:rsid w:val="0024586A"/>
    <w:rsid w:val="0024601F"/>
    <w:rsid w:val="002502E1"/>
    <w:rsid w:val="00250F80"/>
    <w:rsid w:val="0025124F"/>
    <w:rsid w:val="002518A2"/>
    <w:rsid w:val="00252807"/>
    <w:rsid w:val="002528B3"/>
    <w:rsid w:val="002533CC"/>
    <w:rsid w:val="0025551F"/>
    <w:rsid w:val="00255F8C"/>
    <w:rsid w:val="00256174"/>
    <w:rsid w:val="00256F0C"/>
    <w:rsid w:val="00257231"/>
    <w:rsid w:val="00260318"/>
    <w:rsid w:val="002617D6"/>
    <w:rsid w:val="00261C23"/>
    <w:rsid w:val="00262C05"/>
    <w:rsid w:val="00263868"/>
    <w:rsid w:val="00264E86"/>
    <w:rsid w:val="00266192"/>
    <w:rsid w:val="00266359"/>
    <w:rsid w:val="00266DCF"/>
    <w:rsid w:val="002715AF"/>
    <w:rsid w:val="002717F0"/>
    <w:rsid w:val="0027301C"/>
    <w:rsid w:val="00273099"/>
    <w:rsid w:val="00276C44"/>
    <w:rsid w:val="00277220"/>
    <w:rsid w:val="00281089"/>
    <w:rsid w:val="00281D14"/>
    <w:rsid w:val="00282953"/>
    <w:rsid w:val="00282C13"/>
    <w:rsid w:val="002833D8"/>
    <w:rsid w:val="00285669"/>
    <w:rsid w:val="00286BF6"/>
    <w:rsid w:val="00287DEE"/>
    <w:rsid w:val="002903B7"/>
    <w:rsid w:val="00291187"/>
    <w:rsid w:val="00293BE2"/>
    <w:rsid w:val="00293D0F"/>
    <w:rsid w:val="00294B60"/>
    <w:rsid w:val="00294B7B"/>
    <w:rsid w:val="00294EB3"/>
    <w:rsid w:val="002955A0"/>
    <w:rsid w:val="00295E54"/>
    <w:rsid w:val="002962D7"/>
    <w:rsid w:val="00296C33"/>
    <w:rsid w:val="00297C3A"/>
    <w:rsid w:val="002A00A0"/>
    <w:rsid w:val="002A0167"/>
    <w:rsid w:val="002A0D7B"/>
    <w:rsid w:val="002A0DF7"/>
    <w:rsid w:val="002A268C"/>
    <w:rsid w:val="002A28D5"/>
    <w:rsid w:val="002A2975"/>
    <w:rsid w:val="002A460D"/>
    <w:rsid w:val="002A4CEA"/>
    <w:rsid w:val="002A505B"/>
    <w:rsid w:val="002A5EE9"/>
    <w:rsid w:val="002A60E0"/>
    <w:rsid w:val="002B03A5"/>
    <w:rsid w:val="002B0BB4"/>
    <w:rsid w:val="002B1AA8"/>
    <w:rsid w:val="002B1E51"/>
    <w:rsid w:val="002B1E87"/>
    <w:rsid w:val="002B233F"/>
    <w:rsid w:val="002B2345"/>
    <w:rsid w:val="002B3555"/>
    <w:rsid w:val="002B45C2"/>
    <w:rsid w:val="002B687A"/>
    <w:rsid w:val="002C05DF"/>
    <w:rsid w:val="002C1344"/>
    <w:rsid w:val="002C252E"/>
    <w:rsid w:val="002C3A2A"/>
    <w:rsid w:val="002C458A"/>
    <w:rsid w:val="002C45E8"/>
    <w:rsid w:val="002C5BA6"/>
    <w:rsid w:val="002C6552"/>
    <w:rsid w:val="002C6773"/>
    <w:rsid w:val="002C6F51"/>
    <w:rsid w:val="002C73EC"/>
    <w:rsid w:val="002C79C4"/>
    <w:rsid w:val="002D0FE0"/>
    <w:rsid w:val="002D269A"/>
    <w:rsid w:val="002D27C9"/>
    <w:rsid w:val="002D2A3D"/>
    <w:rsid w:val="002D3E72"/>
    <w:rsid w:val="002D3EAC"/>
    <w:rsid w:val="002D46A9"/>
    <w:rsid w:val="002D5D1D"/>
    <w:rsid w:val="002D6EFD"/>
    <w:rsid w:val="002D71E6"/>
    <w:rsid w:val="002D74CF"/>
    <w:rsid w:val="002E0A45"/>
    <w:rsid w:val="002E0B17"/>
    <w:rsid w:val="002E1A8B"/>
    <w:rsid w:val="002E26B4"/>
    <w:rsid w:val="002E3FF5"/>
    <w:rsid w:val="002E4B4E"/>
    <w:rsid w:val="002E4FFB"/>
    <w:rsid w:val="002E512B"/>
    <w:rsid w:val="002E6110"/>
    <w:rsid w:val="002E63A7"/>
    <w:rsid w:val="002E650E"/>
    <w:rsid w:val="002E670C"/>
    <w:rsid w:val="002E6E2F"/>
    <w:rsid w:val="002E758F"/>
    <w:rsid w:val="002E7DED"/>
    <w:rsid w:val="002F0334"/>
    <w:rsid w:val="002F2A7B"/>
    <w:rsid w:val="002F4AB2"/>
    <w:rsid w:val="002F51C6"/>
    <w:rsid w:val="002F5944"/>
    <w:rsid w:val="002F7BC2"/>
    <w:rsid w:val="002F7E11"/>
    <w:rsid w:val="0030037C"/>
    <w:rsid w:val="00301C72"/>
    <w:rsid w:val="00304087"/>
    <w:rsid w:val="003053DC"/>
    <w:rsid w:val="003054B0"/>
    <w:rsid w:val="003057B1"/>
    <w:rsid w:val="003062AD"/>
    <w:rsid w:val="00310ACD"/>
    <w:rsid w:val="00312C23"/>
    <w:rsid w:val="00312ED8"/>
    <w:rsid w:val="00312EDF"/>
    <w:rsid w:val="0031379F"/>
    <w:rsid w:val="00313A9C"/>
    <w:rsid w:val="00314A97"/>
    <w:rsid w:val="0031621E"/>
    <w:rsid w:val="00316A16"/>
    <w:rsid w:val="00316D81"/>
    <w:rsid w:val="00320228"/>
    <w:rsid w:val="00320289"/>
    <w:rsid w:val="00320A26"/>
    <w:rsid w:val="003212F3"/>
    <w:rsid w:val="00321344"/>
    <w:rsid w:val="00321788"/>
    <w:rsid w:val="00325064"/>
    <w:rsid w:val="00325630"/>
    <w:rsid w:val="00325EC9"/>
    <w:rsid w:val="00326D29"/>
    <w:rsid w:val="003279C6"/>
    <w:rsid w:val="0032B295"/>
    <w:rsid w:val="00331A3E"/>
    <w:rsid w:val="0033451C"/>
    <w:rsid w:val="00335660"/>
    <w:rsid w:val="00335FBD"/>
    <w:rsid w:val="00336854"/>
    <w:rsid w:val="00337668"/>
    <w:rsid w:val="0033769B"/>
    <w:rsid w:val="0034015C"/>
    <w:rsid w:val="00341409"/>
    <w:rsid w:val="00341CAE"/>
    <w:rsid w:val="003442F4"/>
    <w:rsid w:val="00344546"/>
    <w:rsid w:val="003455CF"/>
    <w:rsid w:val="00345FA1"/>
    <w:rsid w:val="0034716E"/>
    <w:rsid w:val="00350439"/>
    <w:rsid w:val="00350B86"/>
    <w:rsid w:val="00350CB4"/>
    <w:rsid w:val="00351EA9"/>
    <w:rsid w:val="00352D9F"/>
    <w:rsid w:val="00353705"/>
    <w:rsid w:val="00354C69"/>
    <w:rsid w:val="00355536"/>
    <w:rsid w:val="003562E8"/>
    <w:rsid w:val="0035764F"/>
    <w:rsid w:val="003614D7"/>
    <w:rsid w:val="00361FB0"/>
    <w:rsid w:val="00361FC3"/>
    <w:rsid w:val="0036357D"/>
    <w:rsid w:val="003649BC"/>
    <w:rsid w:val="00364F7E"/>
    <w:rsid w:val="0036577C"/>
    <w:rsid w:val="00365E44"/>
    <w:rsid w:val="003662B1"/>
    <w:rsid w:val="003667AD"/>
    <w:rsid w:val="00367AA1"/>
    <w:rsid w:val="00370A5B"/>
    <w:rsid w:val="00371AE6"/>
    <w:rsid w:val="003720EC"/>
    <w:rsid w:val="00372497"/>
    <w:rsid w:val="00372E36"/>
    <w:rsid w:val="00373D53"/>
    <w:rsid w:val="00375653"/>
    <w:rsid w:val="00375DFA"/>
    <w:rsid w:val="00375F7D"/>
    <w:rsid w:val="003767D3"/>
    <w:rsid w:val="00376EE9"/>
    <w:rsid w:val="00376FFC"/>
    <w:rsid w:val="00377C3F"/>
    <w:rsid w:val="00377CBB"/>
    <w:rsid w:val="00383839"/>
    <w:rsid w:val="00384BFC"/>
    <w:rsid w:val="00384F62"/>
    <w:rsid w:val="003851C4"/>
    <w:rsid w:val="00385438"/>
    <w:rsid w:val="003858E5"/>
    <w:rsid w:val="003866E6"/>
    <w:rsid w:val="00387494"/>
    <w:rsid w:val="003877B6"/>
    <w:rsid w:val="003910BB"/>
    <w:rsid w:val="00391539"/>
    <w:rsid w:val="003921B7"/>
    <w:rsid w:val="0039297C"/>
    <w:rsid w:val="00393887"/>
    <w:rsid w:val="00393F1B"/>
    <w:rsid w:val="00394C6B"/>
    <w:rsid w:val="00395318"/>
    <w:rsid w:val="0039610B"/>
    <w:rsid w:val="00396BE1"/>
    <w:rsid w:val="00397C2B"/>
    <w:rsid w:val="00397C90"/>
    <w:rsid w:val="003A0961"/>
    <w:rsid w:val="003A290F"/>
    <w:rsid w:val="003A33EF"/>
    <w:rsid w:val="003A392C"/>
    <w:rsid w:val="003A4AAA"/>
    <w:rsid w:val="003A4B10"/>
    <w:rsid w:val="003A4E2E"/>
    <w:rsid w:val="003A4E62"/>
    <w:rsid w:val="003A56EB"/>
    <w:rsid w:val="003A5A6A"/>
    <w:rsid w:val="003A6F7B"/>
    <w:rsid w:val="003A775E"/>
    <w:rsid w:val="003A7AB2"/>
    <w:rsid w:val="003B02F2"/>
    <w:rsid w:val="003B0BD0"/>
    <w:rsid w:val="003B0CDD"/>
    <w:rsid w:val="003B1069"/>
    <w:rsid w:val="003B13E8"/>
    <w:rsid w:val="003B15FB"/>
    <w:rsid w:val="003B2577"/>
    <w:rsid w:val="003B2BB0"/>
    <w:rsid w:val="003B2CC9"/>
    <w:rsid w:val="003B38CC"/>
    <w:rsid w:val="003B390A"/>
    <w:rsid w:val="003B3D53"/>
    <w:rsid w:val="003B4E3A"/>
    <w:rsid w:val="003B6373"/>
    <w:rsid w:val="003B6DC6"/>
    <w:rsid w:val="003B79E1"/>
    <w:rsid w:val="003C0E8C"/>
    <w:rsid w:val="003C15DE"/>
    <w:rsid w:val="003C2096"/>
    <w:rsid w:val="003C2889"/>
    <w:rsid w:val="003C34C9"/>
    <w:rsid w:val="003C4EB2"/>
    <w:rsid w:val="003C4FA9"/>
    <w:rsid w:val="003C5E05"/>
    <w:rsid w:val="003C63D0"/>
    <w:rsid w:val="003C7959"/>
    <w:rsid w:val="003D0CE6"/>
    <w:rsid w:val="003D0E54"/>
    <w:rsid w:val="003D0FD1"/>
    <w:rsid w:val="003D21D0"/>
    <w:rsid w:val="003D2E79"/>
    <w:rsid w:val="003D3968"/>
    <w:rsid w:val="003D42AF"/>
    <w:rsid w:val="003D4AD2"/>
    <w:rsid w:val="003D5E11"/>
    <w:rsid w:val="003D6C7E"/>
    <w:rsid w:val="003D73C0"/>
    <w:rsid w:val="003E031D"/>
    <w:rsid w:val="003E6849"/>
    <w:rsid w:val="003E7305"/>
    <w:rsid w:val="003E7B45"/>
    <w:rsid w:val="003F0C1C"/>
    <w:rsid w:val="003F1AF3"/>
    <w:rsid w:val="003F25E4"/>
    <w:rsid w:val="003F4743"/>
    <w:rsid w:val="003F4804"/>
    <w:rsid w:val="003F48D9"/>
    <w:rsid w:val="003F4AAA"/>
    <w:rsid w:val="003F4D8D"/>
    <w:rsid w:val="003F5BA8"/>
    <w:rsid w:val="003F64A2"/>
    <w:rsid w:val="003F66A4"/>
    <w:rsid w:val="00401267"/>
    <w:rsid w:val="00401508"/>
    <w:rsid w:val="00401688"/>
    <w:rsid w:val="004024D9"/>
    <w:rsid w:val="0040257E"/>
    <w:rsid w:val="004025C3"/>
    <w:rsid w:val="0040386D"/>
    <w:rsid w:val="00403A2C"/>
    <w:rsid w:val="00404188"/>
    <w:rsid w:val="00406435"/>
    <w:rsid w:val="004066F9"/>
    <w:rsid w:val="00406CBE"/>
    <w:rsid w:val="004073DC"/>
    <w:rsid w:val="0041035D"/>
    <w:rsid w:val="004128C1"/>
    <w:rsid w:val="004137C0"/>
    <w:rsid w:val="004138F3"/>
    <w:rsid w:val="00417EC9"/>
    <w:rsid w:val="00421217"/>
    <w:rsid w:val="00421F20"/>
    <w:rsid w:val="00423B63"/>
    <w:rsid w:val="00423FDF"/>
    <w:rsid w:val="00426A7C"/>
    <w:rsid w:val="0042764B"/>
    <w:rsid w:val="00427BEA"/>
    <w:rsid w:val="00427EDC"/>
    <w:rsid w:val="00430120"/>
    <w:rsid w:val="004313E7"/>
    <w:rsid w:val="00431BBC"/>
    <w:rsid w:val="00432542"/>
    <w:rsid w:val="004339B2"/>
    <w:rsid w:val="00433FB8"/>
    <w:rsid w:val="00435BD9"/>
    <w:rsid w:val="00436CCB"/>
    <w:rsid w:val="004379C2"/>
    <w:rsid w:val="00440223"/>
    <w:rsid w:val="00442C16"/>
    <w:rsid w:val="00444A70"/>
    <w:rsid w:val="004456C0"/>
    <w:rsid w:val="0044763B"/>
    <w:rsid w:val="004514E8"/>
    <w:rsid w:val="00451681"/>
    <w:rsid w:val="00451E88"/>
    <w:rsid w:val="00452696"/>
    <w:rsid w:val="00453F32"/>
    <w:rsid w:val="004542DA"/>
    <w:rsid w:val="00454665"/>
    <w:rsid w:val="004565AD"/>
    <w:rsid w:val="00456A53"/>
    <w:rsid w:val="00457B39"/>
    <w:rsid w:val="00460CD2"/>
    <w:rsid w:val="0046100E"/>
    <w:rsid w:val="0046213C"/>
    <w:rsid w:val="00462518"/>
    <w:rsid w:val="0046266D"/>
    <w:rsid w:val="004629B3"/>
    <w:rsid w:val="00462B28"/>
    <w:rsid w:val="00463022"/>
    <w:rsid w:val="0046376E"/>
    <w:rsid w:val="00463B50"/>
    <w:rsid w:val="00464155"/>
    <w:rsid w:val="00464447"/>
    <w:rsid w:val="0046587C"/>
    <w:rsid w:val="0046690F"/>
    <w:rsid w:val="0046792B"/>
    <w:rsid w:val="00471116"/>
    <w:rsid w:val="00472788"/>
    <w:rsid w:val="00472FEC"/>
    <w:rsid w:val="00474CEA"/>
    <w:rsid w:val="0047503A"/>
    <w:rsid w:val="00476830"/>
    <w:rsid w:val="0047696E"/>
    <w:rsid w:val="004770F6"/>
    <w:rsid w:val="004812D2"/>
    <w:rsid w:val="00481477"/>
    <w:rsid w:val="00481710"/>
    <w:rsid w:val="00483B28"/>
    <w:rsid w:val="004851ED"/>
    <w:rsid w:val="004858E1"/>
    <w:rsid w:val="00485EF2"/>
    <w:rsid w:val="004864A1"/>
    <w:rsid w:val="00486AEB"/>
    <w:rsid w:val="0048769E"/>
    <w:rsid w:val="00490787"/>
    <w:rsid w:val="00490A03"/>
    <w:rsid w:val="00490B0D"/>
    <w:rsid w:val="00490E5D"/>
    <w:rsid w:val="00492449"/>
    <w:rsid w:val="00492B0A"/>
    <w:rsid w:val="00492D88"/>
    <w:rsid w:val="00493327"/>
    <w:rsid w:val="0049382E"/>
    <w:rsid w:val="00493B38"/>
    <w:rsid w:val="00494DBE"/>
    <w:rsid w:val="004958DA"/>
    <w:rsid w:val="00495CE6"/>
    <w:rsid w:val="00497524"/>
    <w:rsid w:val="00497D5E"/>
    <w:rsid w:val="004A03F3"/>
    <w:rsid w:val="004A144D"/>
    <w:rsid w:val="004A1D27"/>
    <w:rsid w:val="004A2A8B"/>
    <w:rsid w:val="004A323C"/>
    <w:rsid w:val="004A476A"/>
    <w:rsid w:val="004B0801"/>
    <w:rsid w:val="004B1117"/>
    <w:rsid w:val="004B1A6B"/>
    <w:rsid w:val="004B1FC8"/>
    <w:rsid w:val="004B339A"/>
    <w:rsid w:val="004B511F"/>
    <w:rsid w:val="004B522C"/>
    <w:rsid w:val="004B54E8"/>
    <w:rsid w:val="004B6523"/>
    <w:rsid w:val="004B773C"/>
    <w:rsid w:val="004C0138"/>
    <w:rsid w:val="004C0599"/>
    <w:rsid w:val="004C0686"/>
    <w:rsid w:val="004C08BC"/>
    <w:rsid w:val="004C12E8"/>
    <w:rsid w:val="004C130C"/>
    <w:rsid w:val="004C1578"/>
    <w:rsid w:val="004C174B"/>
    <w:rsid w:val="004C286B"/>
    <w:rsid w:val="004C33BA"/>
    <w:rsid w:val="004C47EA"/>
    <w:rsid w:val="004C4FEB"/>
    <w:rsid w:val="004C6570"/>
    <w:rsid w:val="004C678C"/>
    <w:rsid w:val="004C6B79"/>
    <w:rsid w:val="004C7345"/>
    <w:rsid w:val="004C7570"/>
    <w:rsid w:val="004D059B"/>
    <w:rsid w:val="004D09E8"/>
    <w:rsid w:val="004D09F9"/>
    <w:rsid w:val="004D0E64"/>
    <w:rsid w:val="004D2963"/>
    <w:rsid w:val="004D304E"/>
    <w:rsid w:val="004D38CD"/>
    <w:rsid w:val="004D4543"/>
    <w:rsid w:val="004D48A8"/>
    <w:rsid w:val="004D4CB6"/>
    <w:rsid w:val="004D4DCB"/>
    <w:rsid w:val="004E0332"/>
    <w:rsid w:val="004E0907"/>
    <w:rsid w:val="004E1491"/>
    <w:rsid w:val="004E20CF"/>
    <w:rsid w:val="004E2324"/>
    <w:rsid w:val="004E28C9"/>
    <w:rsid w:val="004E3341"/>
    <w:rsid w:val="004E5124"/>
    <w:rsid w:val="004E531A"/>
    <w:rsid w:val="004E7BE2"/>
    <w:rsid w:val="004E7E3A"/>
    <w:rsid w:val="004F10C1"/>
    <w:rsid w:val="004F1C5E"/>
    <w:rsid w:val="004F3E47"/>
    <w:rsid w:val="004F4CC8"/>
    <w:rsid w:val="004F4F5A"/>
    <w:rsid w:val="004F51FF"/>
    <w:rsid w:val="004F56E7"/>
    <w:rsid w:val="004F5AD9"/>
    <w:rsid w:val="004F699F"/>
    <w:rsid w:val="0050008F"/>
    <w:rsid w:val="00500955"/>
    <w:rsid w:val="0050159C"/>
    <w:rsid w:val="005018C2"/>
    <w:rsid w:val="00501A24"/>
    <w:rsid w:val="005022B7"/>
    <w:rsid w:val="00502E62"/>
    <w:rsid w:val="00503719"/>
    <w:rsid w:val="00504DA3"/>
    <w:rsid w:val="00506B8A"/>
    <w:rsid w:val="005110D3"/>
    <w:rsid w:val="00512692"/>
    <w:rsid w:val="00515B6A"/>
    <w:rsid w:val="0052056F"/>
    <w:rsid w:val="00520A65"/>
    <w:rsid w:val="00521280"/>
    <w:rsid w:val="00521891"/>
    <w:rsid w:val="005218B8"/>
    <w:rsid w:val="0052212B"/>
    <w:rsid w:val="005221A8"/>
    <w:rsid w:val="005224A4"/>
    <w:rsid w:val="005230C7"/>
    <w:rsid w:val="0052625A"/>
    <w:rsid w:val="005266EA"/>
    <w:rsid w:val="00526944"/>
    <w:rsid w:val="00527072"/>
    <w:rsid w:val="0053001D"/>
    <w:rsid w:val="005332C7"/>
    <w:rsid w:val="00534B46"/>
    <w:rsid w:val="00534CE8"/>
    <w:rsid w:val="00535018"/>
    <w:rsid w:val="00535180"/>
    <w:rsid w:val="0053558B"/>
    <w:rsid w:val="005355DB"/>
    <w:rsid w:val="00535866"/>
    <w:rsid w:val="00536EC6"/>
    <w:rsid w:val="00540358"/>
    <w:rsid w:val="00540A05"/>
    <w:rsid w:val="00540D47"/>
    <w:rsid w:val="005428D7"/>
    <w:rsid w:val="005429B7"/>
    <w:rsid w:val="00542D43"/>
    <w:rsid w:val="00544504"/>
    <w:rsid w:val="00545BC8"/>
    <w:rsid w:val="005463C3"/>
    <w:rsid w:val="005465A3"/>
    <w:rsid w:val="00547C7C"/>
    <w:rsid w:val="00550391"/>
    <w:rsid w:val="005506D5"/>
    <w:rsid w:val="00550864"/>
    <w:rsid w:val="00550B92"/>
    <w:rsid w:val="00551D6C"/>
    <w:rsid w:val="00552747"/>
    <w:rsid w:val="00552BFD"/>
    <w:rsid w:val="00553580"/>
    <w:rsid w:val="00553B15"/>
    <w:rsid w:val="005550A8"/>
    <w:rsid w:val="00555138"/>
    <w:rsid w:val="00555414"/>
    <w:rsid w:val="0055571E"/>
    <w:rsid w:val="00556F67"/>
    <w:rsid w:val="00557849"/>
    <w:rsid w:val="00560D23"/>
    <w:rsid w:val="00563009"/>
    <w:rsid w:val="005635B7"/>
    <w:rsid w:val="00564E6E"/>
    <w:rsid w:val="005652E8"/>
    <w:rsid w:val="0056637D"/>
    <w:rsid w:val="0056772E"/>
    <w:rsid w:val="00567A17"/>
    <w:rsid w:val="005735FF"/>
    <w:rsid w:val="005750FB"/>
    <w:rsid w:val="0057667C"/>
    <w:rsid w:val="00576BDA"/>
    <w:rsid w:val="00577BD0"/>
    <w:rsid w:val="00577DB4"/>
    <w:rsid w:val="00580D2D"/>
    <w:rsid w:val="00581B1C"/>
    <w:rsid w:val="005826DA"/>
    <w:rsid w:val="005826FB"/>
    <w:rsid w:val="00582943"/>
    <w:rsid w:val="00582D0E"/>
    <w:rsid w:val="00582E09"/>
    <w:rsid w:val="005833F0"/>
    <w:rsid w:val="005837C7"/>
    <w:rsid w:val="00586280"/>
    <w:rsid w:val="005865FC"/>
    <w:rsid w:val="005869CE"/>
    <w:rsid w:val="00586CAF"/>
    <w:rsid w:val="005873E9"/>
    <w:rsid w:val="00587A90"/>
    <w:rsid w:val="00587F6C"/>
    <w:rsid w:val="00591180"/>
    <w:rsid w:val="00592CEB"/>
    <w:rsid w:val="00592E9F"/>
    <w:rsid w:val="005948A6"/>
    <w:rsid w:val="00595286"/>
    <w:rsid w:val="0059722C"/>
    <w:rsid w:val="005977A6"/>
    <w:rsid w:val="00597D07"/>
    <w:rsid w:val="00597DD6"/>
    <w:rsid w:val="005A16E6"/>
    <w:rsid w:val="005A30D7"/>
    <w:rsid w:val="005A3846"/>
    <w:rsid w:val="005A5E6B"/>
    <w:rsid w:val="005A678F"/>
    <w:rsid w:val="005A7DE8"/>
    <w:rsid w:val="005A7E97"/>
    <w:rsid w:val="005B0715"/>
    <w:rsid w:val="005B0DFE"/>
    <w:rsid w:val="005B2CD2"/>
    <w:rsid w:val="005B632A"/>
    <w:rsid w:val="005B6A58"/>
    <w:rsid w:val="005B7690"/>
    <w:rsid w:val="005C2D0E"/>
    <w:rsid w:val="005C5A83"/>
    <w:rsid w:val="005C6F40"/>
    <w:rsid w:val="005C7112"/>
    <w:rsid w:val="005D0561"/>
    <w:rsid w:val="005D0AD9"/>
    <w:rsid w:val="005D1A67"/>
    <w:rsid w:val="005D22F6"/>
    <w:rsid w:val="005D4F92"/>
    <w:rsid w:val="005D629E"/>
    <w:rsid w:val="005D62EA"/>
    <w:rsid w:val="005D6774"/>
    <w:rsid w:val="005D68AA"/>
    <w:rsid w:val="005D6BD1"/>
    <w:rsid w:val="005E060E"/>
    <w:rsid w:val="005E0C30"/>
    <w:rsid w:val="005E1657"/>
    <w:rsid w:val="005E1BBB"/>
    <w:rsid w:val="005E1DCB"/>
    <w:rsid w:val="005E2377"/>
    <w:rsid w:val="005E2EE4"/>
    <w:rsid w:val="005E326D"/>
    <w:rsid w:val="005E33E0"/>
    <w:rsid w:val="005E3FBB"/>
    <w:rsid w:val="005E5458"/>
    <w:rsid w:val="005E66B4"/>
    <w:rsid w:val="005E69D9"/>
    <w:rsid w:val="005E6CB1"/>
    <w:rsid w:val="005E7116"/>
    <w:rsid w:val="005E7971"/>
    <w:rsid w:val="005F17D1"/>
    <w:rsid w:val="005F27F4"/>
    <w:rsid w:val="005F3239"/>
    <w:rsid w:val="005F39BF"/>
    <w:rsid w:val="005F566C"/>
    <w:rsid w:val="005F6567"/>
    <w:rsid w:val="005F676D"/>
    <w:rsid w:val="005F6C9A"/>
    <w:rsid w:val="005F7A8A"/>
    <w:rsid w:val="00600998"/>
    <w:rsid w:val="00600ACF"/>
    <w:rsid w:val="006019EB"/>
    <w:rsid w:val="006027CA"/>
    <w:rsid w:val="00602BDC"/>
    <w:rsid w:val="00604527"/>
    <w:rsid w:val="006051BA"/>
    <w:rsid w:val="00605806"/>
    <w:rsid w:val="00605DFE"/>
    <w:rsid w:val="00606A00"/>
    <w:rsid w:val="00607094"/>
    <w:rsid w:val="00607256"/>
    <w:rsid w:val="0060790C"/>
    <w:rsid w:val="0060791E"/>
    <w:rsid w:val="00610215"/>
    <w:rsid w:val="00611F08"/>
    <w:rsid w:val="00613104"/>
    <w:rsid w:val="00613BF1"/>
    <w:rsid w:val="006144B1"/>
    <w:rsid w:val="00615A5C"/>
    <w:rsid w:val="006177FF"/>
    <w:rsid w:val="00617FC0"/>
    <w:rsid w:val="0062077F"/>
    <w:rsid w:val="00621BC7"/>
    <w:rsid w:val="00622033"/>
    <w:rsid w:val="0062232C"/>
    <w:rsid w:val="006275E5"/>
    <w:rsid w:val="00630644"/>
    <w:rsid w:val="006335F1"/>
    <w:rsid w:val="006336FD"/>
    <w:rsid w:val="00633B49"/>
    <w:rsid w:val="006345B6"/>
    <w:rsid w:val="006349FD"/>
    <w:rsid w:val="00635616"/>
    <w:rsid w:val="00635712"/>
    <w:rsid w:val="00635984"/>
    <w:rsid w:val="00635F41"/>
    <w:rsid w:val="00636050"/>
    <w:rsid w:val="006368FF"/>
    <w:rsid w:val="006377D4"/>
    <w:rsid w:val="006400E8"/>
    <w:rsid w:val="00640135"/>
    <w:rsid w:val="006402FF"/>
    <w:rsid w:val="0064107F"/>
    <w:rsid w:val="0064195C"/>
    <w:rsid w:val="006427DB"/>
    <w:rsid w:val="00643D8A"/>
    <w:rsid w:val="00645A5C"/>
    <w:rsid w:val="006460BB"/>
    <w:rsid w:val="00647AB9"/>
    <w:rsid w:val="0065018A"/>
    <w:rsid w:val="00650894"/>
    <w:rsid w:val="0065112B"/>
    <w:rsid w:val="00652091"/>
    <w:rsid w:val="00652229"/>
    <w:rsid w:val="00652793"/>
    <w:rsid w:val="006528DE"/>
    <w:rsid w:val="00652909"/>
    <w:rsid w:val="00657789"/>
    <w:rsid w:val="00660320"/>
    <w:rsid w:val="0066187E"/>
    <w:rsid w:val="00662375"/>
    <w:rsid w:val="006626CA"/>
    <w:rsid w:val="00663487"/>
    <w:rsid w:val="00665769"/>
    <w:rsid w:val="006662DE"/>
    <w:rsid w:val="00672382"/>
    <w:rsid w:val="006733BB"/>
    <w:rsid w:val="00676E80"/>
    <w:rsid w:val="006802BC"/>
    <w:rsid w:val="00681257"/>
    <w:rsid w:val="00681C3E"/>
    <w:rsid w:val="006822E9"/>
    <w:rsid w:val="006823EE"/>
    <w:rsid w:val="00682643"/>
    <w:rsid w:val="00682EB9"/>
    <w:rsid w:val="00682F1E"/>
    <w:rsid w:val="006832C1"/>
    <w:rsid w:val="0068378C"/>
    <w:rsid w:val="006839D3"/>
    <w:rsid w:val="0068441A"/>
    <w:rsid w:val="00684CF3"/>
    <w:rsid w:val="0068699A"/>
    <w:rsid w:val="00686ACC"/>
    <w:rsid w:val="00687028"/>
    <w:rsid w:val="00690B19"/>
    <w:rsid w:val="0069650C"/>
    <w:rsid w:val="0069681A"/>
    <w:rsid w:val="006A0A3C"/>
    <w:rsid w:val="006A1ED8"/>
    <w:rsid w:val="006A255D"/>
    <w:rsid w:val="006A59E9"/>
    <w:rsid w:val="006A5AB1"/>
    <w:rsid w:val="006A75B8"/>
    <w:rsid w:val="006A79F0"/>
    <w:rsid w:val="006B048F"/>
    <w:rsid w:val="006B0AE4"/>
    <w:rsid w:val="006B2169"/>
    <w:rsid w:val="006B359D"/>
    <w:rsid w:val="006B47EE"/>
    <w:rsid w:val="006B499F"/>
    <w:rsid w:val="006B54C6"/>
    <w:rsid w:val="006B617F"/>
    <w:rsid w:val="006C1FB8"/>
    <w:rsid w:val="006C2BB0"/>
    <w:rsid w:val="006C33BE"/>
    <w:rsid w:val="006C4B3D"/>
    <w:rsid w:val="006C5B53"/>
    <w:rsid w:val="006C72CA"/>
    <w:rsid w:val="006C7E78"/>
    <w:rsid w:val="006D064D"/>
    <w:rsid w:val="006D098F"/>
    <w:rsid w:val="006D1B7D"/>
    <w:rsid w:val="006D20E3"/>
    <w:rsid w:val="006D2218"/>
    <w:rsid w:val="006D33E1"/>
    <w:rsid w:val="006D4996"/>
    <w:rsid w:val="006D4EE6"/>
    <w:rsid w:val="006D535B"/>
    <w:rsid w:val="006D54AB"/>
    <w:rsid w:val="006D58E5"/>
    <w:rsid w:val="006E03A6"/>
    <w:rsid w:val="006E095F"/>
    <w:rsid w:val="006E1084"/>
    <w:rsid w:val="006E10B2"/>
    <w:rsid w:val="006E1FA9"/>
    <w:rsid w:val="006E2D24"/>
    <w:rsid w:val="006E3006"/>
    <w:rsid w:val="006E3BB0"/>
    <w:rsid w:val="006E4F02"/>
    <w:rsid w:val="006E5032"/>
    <w:rsid w:val="006E5BDA"/>
    <w:rsid w:val="006E7AC9"/>
    <w:rsid w:val="006F0FC7"/>
    <w:rsid w:val="006F1A3A"/>
    <w:rsid w:val="006F39A9"/>
    <w:rsid w:val="006F3D9D"/>
    <w:rsid w:val="006F524E"/>
    <w:rsid w:val="006F5D57"/>
    <w:rsid w:val="006F643F"/>
    <w:rsid w:val="006F670F"/>
    <w:rsid w:val="006F77F3"/>
    <w:rsid w:val="00700581"/>
    <w:rsid w:val="0070063C"/>
    <w:rsid w:val="00700939"/>
    <w:rsid w:val="00700D69"/>
    <w:rsid w:val="00702921"/>
    <w:rsid w:val="0070298D"/>
    <w:rsid w:val="00703272"/>
    <w:rsid w:val="0070362C"/>
    <w:rsid w:val="0070471B"/>
    <w:rsid w:val="00704A68"/>
    <w:rsid w:val="00705BBE"/>
    <w:rsid w:val="00706893"/>
    <w:rsid w:val="00706A8D"/>
    <w:rsid w:val="0070733C"/>
    <w:rsid w:val="007101A5"/>
    <w:rsid w:val="007102CF"/>
    <w:rsid w:val="007102D5"/>
    <w:rsid w:val="0071043A"/>
    <w:rsid w:val="00710C5D"/>
    <w:rsid w:val="0071348C"/>
    <w:rsid w:val="00715598"/>
    <w:rsid w:val="00715CD5"/>
    <w:rsid w:val="00717273"/>
    <w:rsid w:val="00720FD4"/>
    <w:rsid w:val="00721072"/>
    <w:rsid w:val="007230AD"/>
    <w:rsid w:val="0072314B"/>
    <w:rsid w:val="00723C6D"/>
    <w:rsid w:val="00724550"/>
    <w:rsid w:val="007246A0"/>
    <w:rsid w:val="00724737"/>
    <w:rsid w:val="00724AF2"/>
    <w:rsid w:val="00724FCD"/>
    <w:rsid w:val="00727D2B"/>
    <w:rsid w:val="00730624"/>
    <w:rsid w:val="0073096C"/>
    <w:rsid w:val="0073100D"/>
    <w:rsid w:val="00731368"/>
    <w:rsid w:val="00733429"/>
    <w:rsid w:val="00733A46"/>
    <w:rsid w:val="00735E2D"/>
    <w:rsid w:val="00736624"/>
    <w:rsid w:val="00736DDC"/>
    <w:rsid w:val="00736F2C"/>
    <w:rsid w:val="007419C8"/>
    <w:rsid w:val="00741D9F"/>
    <w:rsid w:val="00742398"/>
    <w:rsid w:val="0074299B"/>
    <w:rsid w:val="007432A9"/>
    <w:rsid w:val="0074457C"/>
    <w:rsid w:val="00745C0B"/>
    <w:rsid w:val="00746050"/>
    <w:rsid w:val="00746118"/>
    <w:rsid w:val="00746C7F"/>
    <w:rsid w:val="007507B5"/>
    <w:rsid w:val="0075091D"/>
    <w:rsid w:val="00750EC4"/>
    <w:rsid w:val="00751831"/>
    <w:rsid w:val="0075201B"/>
    <w:rsid w:val="007523F8"/>
    <w:rsid w:val="00753A24"/>
    <w:rsid w:val="0075430D"/>
    <w:rsid w:val="007558B1"/>
    <w:rsid w:val="00756048"/>
    <w:rsid w:val="00756424"/>
    <w:rsid w:val="0075779F"/>
    <w:rsid w:val="00760198"/>
    <w:rsid w:val="0076354B"/>
    <w:rsid w:val="00763570"/>
    <w:rsid w:val="007644D3"/>
    <w:rsid w:val="0076553B"/>
    <w:rsid w:val="007658F3"/>
    <w:rsid w:val="007661FA"/>
    <w:rsid w:val="007664AF"/>
    <w:rsid w:val="00766EA2"/>
    <w:rsid w:val="00767034"/>
    <w:rsid w:val="007712DB"/>
    <w:rsid w:val="00772188"/>
    <w:rsid w:val="0077222A"/>
    <w:rsid w:val="00772D30"/>
    <w:rsid w:val="00773909"/>
    <w:rsid w:val="0077411B"/>
    <w:rsid w:val="0077433B"/>
    <w:rsid w:val="00774E1E"/>
    <w:rsid w:val="0078094C"/>
    <w:rsid w:val="0078118A"/>
    <w:rsid w:val="007813D0"/>
    <w:rsid w:val="00782DD7"/>
    <w:rsid w:val="007845AC"/>
    <w:rsid w:val="007845F0"/>
    <w:rsid w:val="00785993"/>
    <w:rsid w:val="00785A0D"/>
    <w:rsid w:val="00785FC4"/>
    <w:rsid w:val="007863BF"/>
    <w:rsid w:val="007866E2"/>
    <w:rsid w:val="00786BA3"/>
    <w:rsid w:val="00790993"/>
    <w:rsid w:val="0079202F"/>
    <w:rsid w:val="0079203E"/>
    <w:rsid w:val="007934C3"/>
    <w:rsid w:val="00794903"/>
    <w:rsid w:val="00795486"/>
    <w:rsid w:val="00795AF2"/>
    <w:rsid w:val="00795E4F"/>
    <w:rsid w:val="007A0287"/>
    <w:rsid w:val="007A09FC"/>
    <w:rsid w:val="007A15BB"/>
    <w:rsid w:val="007A2AAD"/>
    <w:rsid w:val="007A4432"/>
    <w:rsid w:val="007A59E9"/>
    <w:rsid w:val="007A784E"/>
    <w:rsid w:val="007A7E31"/>
    <w:rsid w:val="007B02A0"/>
    <w:rsid w:val="007B278C"/>
    <w:rsid w:val="007B2DAD"/>
    <w:rsid w:val="007B3774"/>
    <w:rsid w:val="007B453B"/>
    <w:rsid w:val="007B459E"/>
    <w:rsid w:val="007B4939"/>
    <w:rsid w:val="007B499C"/>
    <w:rsid w:val="007B4D4B"/>
    <w:rsid w:val="007B58C6"/>
    <w:rsid w:val="007B5EE2"/>
    <w:rsid w:val="007B5F6B"/>
    <w:rsid w:val="007B76D8"/>
    <w:rsid w:val="007C0646"/>
    <w:rsid w:val="007C1E5E"/>
    <w:rsid w:val="007C1E9D"/>
    <w:rsid w:val="007C36C2"/>
    <w:rsid w:val="007C3827"/>
    <w:rsid w:val="007C3AE3"/>
    <w:rsid w:val="007C459E"/>
    <w:rsid w:val="007C53C3"/>
    <w:rsid w:val="007C6C51"/>
    <w:rsid w:val="007C6CC2"/>
    <w:rsid w:val="007D0000"/>
    <w:rsid w:val="007D03F4"/>
    <w:rsid w:val="007D1543"/>
    <w:rsid w:val="007D1788"/>
    <w:rsid w:val="007D1926"/>
    <w:rsid w:val="007D2A02"/>
    <w:rsid w:val="007D4ACB"/>
    <w:rsid w:val="007D5587"/>
    <w:rsid w:val="007D5EA2"/>
    <w:rsid w:val="007D6144"/>
    <w:rsid w:val="007D62A4"/>
    <w:rsid w:val="007D6CE5"/>
    <w:rsid w:val="007D77BC"/>
    <w:rsid w:val="007E0503"/>
    <w:rsid w:val="007E0917"/>
    <w:rsid w:val="007E1736"/>
    <w:rsid w:val="007E25DD"/>
    <w:rsid w:val="007E2887"/>
    <w:rsid w:val="007E3318"/>
    <w:rsid w:val="007E3B2C"/>
    <w:rsid w:val="007E6EA1"/>
    <w:rsid w:val="007E7EFB"/>
    <w:rsid w:val="007F0F63"/>
    <w:rsid w:val="007F2B1E"/>
    <w:rsid w:val="007F4590"/>
    <w:rsid w:val="007F62B4"/>
    <w:rsid w:val="007F7DF9"/>
    <w:rsid w:val="00800FD6"/>
    <w:rsid w:val="00801517"/>
    <w:rsid w:val="00804053"/>
    <w:rsid w:val="00804966"/>
    <w:rsid w:val="0080510A"/>
    <w:rsid w:val="0080596A"/>
    <w:rsid w:val="00805CBF"/>
    <w:rsid w:val="008079E2"/>
    <w:rsid w:val="00810891"/>
    <w:rsid w:val="00810AC4"/>
    <w:rsid w:val="00811469"/>
    <w:rsid w:val="0081218E"/>
    <w:rsid w:val="0081228B"/>
    <w:rsid w:val="0081278B"/>
    <w:rsid w:val="00813492"/>
    <w:rsid w:val="00813A7E"/>
    <w:rsid w:val="00814903"/>
    <w:rsid w:val="00814DE2"/>
    <w:rsid w:val="00815423"/>
    <w:rsid w:val="008155E7"/>
    <w:rsid w:val="008177EE"/>
    <w:rsid w:val="00817895"/>
    <w:rsid w:val="00817AE8"/>
    <w:rsid w:val="00817DE8"/>
    <w:rsid w:val="008229F5"/>
    <w:rsid w:val="0082366F"/>
    <w:rsid w:val="008259DE"/>
    <w:rsid w:val="0082699A"/>
    <w:rsid w:val="00827A00"/>
    <w:rsid w:val="00827D15"/>
    <w:rsid w:val="00827E24"/>
    <w:rsid w:val="00827F2A"/>
    <w:rsid w:val="00830A1B"/>
    <w:rsid w:val="00832633"/>
    <w:rsid w:val="00832837"/>
    <w:rsid w:val="0083342C"/>
    <w:rsid w:val="00833869"/>
    <w:rsid w:val="00833CEB"/>
    <w:rsid w:val="0083662B"/>
    <w:rsid w:val="008372D2"/>
    <w:rsid w:val="008377BC"/>
    <w:rsid w:val="00844C17"/>
    <w:rsid w:val="00846017"/>
    <w:rsid w:val="00847726"/>
    <w:rsid w:val="00851033"/>
    <w:rsid w:val="00851A55"/>
    <w:rsid w:val="00851CB1"/>
    <w:rsid w:val="00852511"/>
    <w:rsid w:val="0085252F"/>
    <w:rsid w:val="00855FD0"/>
    <w:rsid w:val="00857408"/>
    <w:rsid w:val="008578A9"/>
    <w:rsid w:val="0086072A"/>
    <w:rsid w:val="0086088F"/>
    <w:rsid w:val="008614F1"/>
    <w:rsid w:val="00862FD6"/>
    <w:rsid w:val="008639B3"/>
    <w:rsid w:val="00863C1A"/>
    <w:rsid w:val="00863DA3"/>
    <w:rsid w:val="00863ED7"/>
    <w:rsid w:val="0086470F"/>
    <w:rsid w:val="00865882"/>
    <w:rsid w:val="00866CDD"/>
    <w:rsid w:val="00867A66"/>
    <w:rsid w:val="008712FE"/>
    <w:rsid w:val="0087142D"/>
    <w:rsid w:val="00871FF6"/>
    <w:rsid w:val="00872928"/>
    <w:rsid w:val="00872DA6"/>
    <w:rsid w:val="00873416"/>
    <w:rsid w:val="00873956"/>
    <w:rsid w:val="0087538C"/>
    <w:rsid w:val="00875CB0"/>
    <w:rsid w:val="008770CC"/>
    <w:rsid w:val="00877800"/>
    <w:rsid w:val="00877C32"/>
    <w:rsid w:val="00877F6E"/>
    <w:rsid w:val="0088094B"/>
    <w:rsid w:val="00880E08"/>
    <w:rsid w:val="00880E72"/>
    <w:rsid w:val="0088176E"/>
    <w:rsid w:val="008825EE"/>
    <w:rsid w:val="00882DE4"/>
    <w:rsid w:val="0088313E"/>
    <w:rsid w:val="008840B2"/>
    <w:rsid w:val="0088596E"/>
    <w:rsid w:val="00885D26"/>
    <w:rsid w:val="008860A4"/>
    <w:rsid w:val="00886A4B"/>
    <w:rsid w:val="00886C54"/>
    <w:rsid w:val="00886F34"/>
    <w:rsid w:val="008870ED"/>
    <w:rsid w:val="008877FC"/>
    <w:rsid w:val="00887E5A"/>
    <w:rsid w:val="00890F6D"/>
    <w:rsid w:val="008911AA"/>
    <w:rsid w:val="00891D8A"/>
    <w:rsid w:val="00896F8E"/>
    <w:rsid w:val="0089796A"/>
    <w:rsid w:val="0089799B"/>
    <w:rsid w:val="008A057F"/>
    <w:rsid w:val="008A169F"/>
    <w:rsid w:val="008A2375"/>
    <w:rsid w:val="008A399F"/>
    <w:rsid w:val="008A54B6"/>
    <w:rsid w:val="008A56FE"/>
    <w:rsid w:val="008A584C"/>
    <w:rsid w:val="008A7D22"/>
    <w:rsid w:val="008A7DEB"/>
    <w:rsid w:val="008B16E1"/>
    <w:rsid w:val="008B1B65"/>
    <w:rsid w:val="008B3557"/>
    <w:rsid w:val="008B3936"/>
    <w:rsid w:val="008B39E0"/>
    <w:rsid w:val="008B4302"/>
    <w:rsid w:val="008B605A"/>
    <w:rsid w:val="008B6EA6"/>
    <w:rsid w:val="008B7A08"/>
    <w:rsid w:val="008C093B"/>
    <w:rsid w:val="008C0E76"/>
    <w:rsid w:val="008C2665"/>
    <w:rsid w:val="008C5CD8"/>
    <w:rsid w:val="008C5EB0"/>
    <w:rsid w:val="008C6041"/>
    <w:rsid w:val="008C68D0"/>
    <w:rsid w:val="008C74E3"/>
    <w:rsid w:val="008D056F"/>
    <w:rsid w:val="008D0936"/>
    <w:rsid w:val="008D403B"/>
    <w:rsid w:val="008D4707"/>
    <w:rsid w:val="008D7698"/>
    <w:rsid w:val="008D76C5"/>
    <w:rsid w:val="008E0768"/>
    <w:rsid w:val="008E0A04"/>
    <w:rsid w:val="008E0AFA"/>
    <w:rsid w:val="008E131A"/>
    <w:rsid w:val="008E16B8"/>
    <w:rsid w:val="008E2799"/>
    <w:rsid w:val="008E3A7E"/>
    <w:rsid w:val="008E411B"/>
    <w:rsid w:val="008E4F56"/>
    <w:rsid w:val="008E75D3"/>
    <w:rsid w:val="008E7E48"/>
    <w:rsid w:val="008F02E9"/>
    <w:rsid w:val="008F0CE4"/>
    <w:rsid w:val="008F125E"/>
    <w:rsid w:val="008F1CC5"/>
    <w:rsid w:val="008F2B54"/>
    <w:rsid w:val="008F2CC5"/>
    <w:rsid w:val="008F2F3B"/>
    <w:rsid w:val="008F3CFA"/>
    <w:rsid w:val="008F4C1E"/>
    <w:rsid w:val="008F4D2F"/>
    <w:rsid w:val="008F510A"/>
    <w:rsid w:val="008F55A2"/>
    <w:rsid w:val="00900235"/>
    <w:rsid w:val="009004CC"/>
    <w:rsid w:val="00900D3C"/>
    <w:rsid w:val="00906292"/>
    <w:rsid w:val="00914B5B"/>
    <w:rsid w:val="00917162"/>
    <w:rsid w:val="009172B9"/>
    <w:rsid w:val="009178AA"/>
    <w:rsid w:val="00920DBB"/>
    <w:rsid w:val="009218AE"/>
    <w:rsid w:val="00921B5F"/>
    <w:rsid w:val="00923001"/>
    <w:rsid w:val="0092358D"/>
    <w:rsid w:val="009238BF"/>
    <w:rsid w:val="009251CC"/>
    <w:rsid w:val="00925656"/>
    <w:rsid w:val="00925692"/>
    <w:rsid w:val="0092714E"/>
    <w:rsid w:val="009271D1"/>
    <w:rsid w:val="00927661"/>
    <w:rsid w:val="00931E24"/>
    <w:rsid w:val="009324F0"/>
    <w:rsid w:val="00932993"/>
    <w:rsid w:val="00932AF8"/>
    <w:rsid w:val="009338D2"/>
    <w:rsid w:val="0093478F"/>
    <w:rsid w:val="0093520D"/>
    <w:rsid w:val="00936826"/>
    <w:rsid w:val="00936896"/>
    <w:rsid w:val="00940B3D"/>
    <w:rsid w:val="00942002"/>
    <w:rsid w:val="00942359"/>
    <w:rsid w:val="00943D07"/>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7E1"/>
    <w:rsid w:val="00960CBC"/>
    <w:rsid w:val="009612CE"/>
    <w:rsid w:val="009621EE"/>
    <w:rsid w:val="00963A06"/>
    <w:rsid w:val="00964B2B"/>
    <w:rsid w:val="00965192"/>
    <w:rsid w:val="00967DD4"/>
    <w:rsid w:val="009700B1"/>
    <w:rsid w:val="0097043F"/>
    <w:rsid w:val="00970ECF"/>
    <w:rsid w:val="00971261"/>
    <w:rsid w:val="00971FD4"/>
    <w:rsid w:val="009722CB"/>
    <w:rsid w:val="009739A0"/>
    <w:rsid w:val="00974EE4"/>
    <w:rsid w:val="00974F84"/>
    <w:rsid w:val="00975D5B"/>
    <w:rsid w:val="00976216"/>
    <w:rsid w:val="009767C7"/>
    <w:rsid w:val="00977D30"/>
    <w:rsid w:val="009809DA"/>
    <w:rsid w:val="00980D2C"/>
    <w:rsid w:val="00980E69"/>
    <w:rsid w:val="00983159"/>
    <w:rsid w:val="0098334C"/>
    <w:rsid w:val="009839AE"/>
    <w:rsid w:val="00984643"/>
    <w:rsid w:val="0098576C"/>
    <w:rsid w:val="0098579A"/>
    <w:rsid w:val="00987D1D"/>
    <w:rsid w:val="00991475"/>
    <w:rsid w:val="009918DD"/>
    <w:rsid w:val="0099195A"/>
    <w:rsid w:val="00991BD2"/>
    <w:rsid w:val="00992407"/>
    <w:rsid w:val="00992A11"/>
    <w:rsid w:val="00994681"/>
    <w:rsid w:val="0099486A"/>
    <w:rsid w:val="009A0B33"/>
    <w:rsid w:val="009A0E26"/>
    <w:rsid w:val="009A16EC"/>
    <w:rsid w:val="009A1C88"/>
    <w:rsid w:val="009A22C2"/>
    <w:rsid w:val="009A6655"/>
    <w:rsid w:val="009A743E"/>
    <w:rsid w:val="009A7CF6"/>
    <w:rsid w:val="009B146F"/>
    <w:rsid w:val="009B1B55"/>
    <w:rsid w:val="009B29B7"/>
    <w:rsid w:val="009B3199"/>
    <w:rsid w:val="009B36CE"/>
    <w:rsid w:val="009B3B37"/>
    <w:rsid w:val="009B63F4"/>
    <w:rsid w:val="009B731E"/>
    <w:rsid w:val="009B7D1F"/>
    <w:rsid w:val="009C088E"/>
    <w:rsid w:val="009C17DC"/>
    <w:rsid w:val="009C37AB"/>
    <w:rsid w:val="009C4C57"/>
    <w:rsid w:val="009C4C7A"/>
    <w:rsid w:val="009C4D35"/>
    <w:rsid w:val="009C5E51"/>
    <w:rsid w:val="009C7B68"/>
    <w:rsid w:val="009D1522"/>
    <w:rsid w:val="009D51F0"/>
    <w:rsid w:val="009D51F7"/>
    <w:rsid w:val="009D7252"/>
    <w:rsid w:val="009E0F4F"/>
    <w:rsid w:val="009E1FF6"/>
    <w:rsid w:val="009E2A7E"/>
    <w:rsid w:val="009E3CAF"/>
    <w:rsid w:val="009E3F48"/>
    <w:rsid w:val="009E53A5"/>
    <w:rsid w:val="009E5B95"/>
    <w:rsid w:val="009E5CCE"/>
    <w:rsid w:val="009E5EB4"/>
    <w:rsid w:val="009F1549"/>
    <w:rsid w:val="009F21DA"/>
    <w:rsid w:val="009F563C"/>
    <w:rsid w:val="009F610E"/>
    <w:rsid w:val="00A00DA9"/>
    <w:rsid w:val="00A00E4B"/>
    <w:rsid w:val="00A00F7E"/>
    <w:rsid w:val="00A02ED4"/>
    <w:rsid w:val="00A0384F"/>
    <w:rsid w:val="00A03E9A"/>
    <w:rsid w:val="00A044D6"/>
    <w:rsid w:val="00A04ADB"/>
    <w:rsid w:val="00A04F89"/>
    <w:rsid w:val="00A05F11"/>
    <w:rsid w:val="00A10F76"/>
    <w:rsid w:val="00A11E0F"/>
    <w:rsid w:val="00A12378"/>
    <w:rsid w:val="00A141E9"/>
    <w:rsid w:val="00A15D78"/>
    <w:rsid w:val="00A15EBE"/>
    <w:rsid w:val="00A15FD2"/>
    <w:rsid w:val="00A17F5B"/>
    <w:rsid w:val="00A20196"/>
    <w:rsid w:val="00A2022D"/>
    <w:rsid w:val="00A216E5"/>
    <w:rsid w:val="00A22C2B"/>
    <w:rsid w:val="00A24752"/>
    <w:rsid w:val="00A25041"/>
    <w:rsid w:val="00A25884"/>
    <w:rsid w:val="00A26744"/>
    <w:rsid w:val="00A26CB6"/>
    <w:rsid w:val="00A30A00"/>
    <w:rsid w:val="00A32F82"/>
    <w:rsid w:val="00A32F8B"/>
    <w:rsid w:val="00A3431E"/>
    <w:rsid w:val="00A34B41"/>
    <w:rsid w:val="00A34F9F"/>
    <w:rsid w:val="00A36395"/>
    <w:rsid w:val="00A36481"/>
    <w:rsid w:val="00A36675"/>
    <w:rsid w:val="00A3756F"/>
    <w:rsid w:val="00A37C5E"/>
    <w:rsid w:val="00A41CC3"/>
    <w:rsid w:val="00A41DBE"/>
    <w:rsid w:val="00A41F0F"/>
    <w:rsid w:val="00A42D6F"/>
    <w:rsid w:val="00A43870"/>
    <w:rsid w:val="00A44642"/>
    <w:rsid w:val="00A4474B"/>
    <w:rsid w:val="00A45A62"/>
    <w:rsid w:val="00A462DC"/>
    <w:rsid w:val="00A4657C"/>
    <w:rsid w:val="00A46C7E"/>
    <w:rsid w:val="00A518AE"/>
    <w:rsid w:val="00A51CE8"/>
    <w:rsid w:val="00A51DB8"/>
    <w:rsid w:val="00A52E0B"/>
    <w:rsid w:val="00A52FA1"/>
    <w:rsid w:val="00A546B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4AC4"/>
    <w:rsid w:val="00A65278"/>
    <w:rsid w:val="00A66DB1"/>
    <w:rsid w:val="00A67A92"/>
    <w:rsid w:val="00A70DC6"/>
    <w:rsid w:val="00A74FDC"/>
    <w:rsid w:val="00A76C09"/>
    <w:rsid w:val="00A77192"/>
    <w:rsid w:val="00A80737"/>
    <w:rsid w:val="00A8089F"/>
    <w:rsid w:val="00A83F98"/>
    <w:rsid w:val="00A842D5"/>
    <w:rsid w:val="00A846B7"/>
    <w:rsid w:val="00A87870"/>
    <w:rsid w:val="00A903F3"/>
    <w:rsid w:val="00A90F18"/>
    <w:rsid w:val="00A90FFB"/>
    <w:rsid w:val="00A9149D"/>
    <w:rsid w:val="00A91A70"/>
    <w:rsid w:val="00A92659"/>
    <w:rsid w:val="00A9302F"/>
    <w:rsid w:val="00A940AF"/>
    <w:rsid w:val="00A957F6"/>
    <w:rsid w:val="00A959CF"/>
    <w:rsid w:val="00A96119"/>
    <w:rsid w:val="00A97316"/>
    <w:rsid w:val="00A974AA"/>
    <w:rsid w:val="00AA010B"/>
    <w:rsid w:val="00AA0D54"/>
    <w:rsid w:val="00AA17CD"/>
    <w:rsid w:val="00AA1B85"/>
    <w:rsid w:val="00AA24E8"/>
    <w:rsid w:val="00AA3290"/>
    <w:rsid w:val="00AA34E8"/>
    <w:rsid w:val="00AA4353"/>
    <w:rsid w:val="00AA46F0"/>
    <w:rsid w:val="00AA4CA2"/>
    <w:rsid w:val="00AA6481"/>
    <w:rsid w:val="00AA6C11"/>
    <w:rsid w:val="00AA7270"/>
    <w:rsid w:val="00AA7D68"/>
    <w:rsid w:val="00AB0C08"/>
    <w:rsid w:val="00AB12AC"/>
    <w:rsid w:val="00AB1CB6"/>
    <w:rsid w:val="00AB1D9A"/>
    <w:rsid w:val="00AB2D3A"/>
    <w:rsid w:val="00AB4A1F"/>
    <w:rsid w:val="00AB5C61"/>
    <w:rsid w:val="00AB60F7"/>
    <w:rsid w:val="00AC2C10"/>
    <w:rsid w:val="00AC3540"/>
    <w:rsid w:val="00AC3D15"/>
    <w:rsid w:val="00AC5055"/>
    <w:rsid w:val="00AC668B"/>
    <w:rsid w:val="00AC72CB"/>
    <w:rsid w:val="00AC735A"/>
    <w:rsid w:val="00AD0C22"/>
    <w:rsid w:val="00AD1AD7"/>
    <w:rsid w:val="00AD1AE2"/>
    <w:rsid w:val="00AD3290"/>
    <w:rsid w:val="00AD442C"/>
    <w:rsid w:val="00AD44FE"/>
    <w:rsid w:val="00AD5A37"/>
    <w:rsid w:val="00AD72D3"/>
    <w:rsid w:val="00AD73BF"/>
    <w:rsid w:val="00AD7C94"/>
    <w:rsid w:val="00AE05A4"/>
    <w:rsid w:val="00AE0967"/>
    <w:rsid w:val="00AE177E"/>
    <w:rsid w:val="00AE2147"/>
    <w:rsid w:val="00AE25FC"/>
    <w:rsid w:val="00AE3F99"/>
    <w:rsid w:val="00AE400C"/>
    <w:rsid w:val="00AE4765"/>
    <w:rsid w:val="00AE49F1"/>
    <w:rsid w:val="00AE4A1C"/>
    <w:rsid w:val="00AE4B7A"/>
    <w:rsid w:val="00AE4D8B"/>
    <w:rsid w:val="00AE5532"/>
    <w:rsid w:val="00AE74D8"/>
    <w:rsid w:val="00AF0B6F"/>
    <w:rsid w:val="00AF1D69"/>
    <w:rsid w:val="00AF30D0"/>
    <w:rsid w:val="00AF3FEC"/>
    <w:rsid w:val="00AF41FA"/>
    <w:rsid w:val="00AF4918"/>
    <w:rsid w:val="00AF5AEF"/>
    <w:rsid w:val="00AF617E"/>
    <w:rsid w:val="00AF71EB"/>
    <w:rsid w:val="00AF7D76"/>
    <w:rsid w:val="00B00988"/>
    <w:rsid w:val="00B01405"/>
    <w:rsid w:val="00B038D9"/>
    <w:rsid w:val="00B052E8"/>
    <w:rsid w:val="00B05CCA"/>
    <w:rsid w:val="00B100C9"/>
    <w:rsid w:val="00B10E8A"/>
    <w:rsid w:val="00B11099"/>
    <w:rsid w:val="00B1118A"/>
    <w:rsid w:val="00B14271"/>
    <w:rsid w:val="00B16270"/>
    <w:rsid w:val="00B20272"/>
    <w:rsid w:val="00B22578"/>
    <w:rsid w:val="00B23C16"/>
    <w:rsid w:val="00B23C52"/>
    <w:rsid w:val="00B241F2"/>
    <w:rsid w:val="00B247C7"/>
    <w:rsid w:val="00B259E1"/>
    <w:rsid w:val="00B2685D"/>
    <w:rsid w:val="00B26D1E"/>
    <w:rsid w:val="00B27A4F"/>
    <w:rsid w:val="00B27DA3"/>
    <w:rsid w:val="00B30351"/>
    <w:rsid w:val="00B30375"/>
    <w:rsid w:val="00B312C0"/>
    <w:rsid w:val="00B32601"/>
    <w:rsid w:val="00B3270B"/>
    <w:rsid w:val="00B33837"/>
    <w:rsid w:val="00B33C2A"/>
    <w:rsid w:val="00B33C35"/>
    <w:rsid w:val="00B34A14"/>
    <w:rsid w:val="00B35967"/>
    <w:rsid w:val="00B363D9"/>
    <w:rsid w:val="00B3671E"/>
    <w:rsid w:val="00B422EC"/>
    <w:rsid w:val="00B44324"/>
    <w:rsid w:val="00B44875"/>
    <w:rsid w:val="00B44C07"/>
    <w:rsid w:val="00B44E44"/>
    <w:rsid w:val="00B4523E"/>
    <w:rsid w:val="00B458AB"/>
    <w:rsid w:val="00B46320"/>
    <w:rsid w:val="00B4657A"/>
    <w:rsid w:val="00B471F4"/>
    <w:rsid w:val="00B47F0A"/>
    <w:rsid w:val="00B50061"/>
    <w:rsid w:val="00B50B6B"/>
    <w:rsid w:val="00B50FD4"/>
    <w:rsid w:val="00B51E72"/>
    <w:rsid w:val="00B52E6E"/>
    <w:rsid w:val="00B53BE4"/>
    <w:rsid w:val="00B53FF8"/>
    <w:rsid w:val="00B54329"/>
    <w:rsid w:val="00B54885"/>
    <w:rsid w:val="00B54BFF"/>
    <w:rsid w:val="00B5508F"/>
    <w:rsid w:val="00B554C9"/>
    <w:rsid w:val="00B56AD9"/>
    <w:rsid w:val="00B56EE3"/>
    <w:rsid w:val="00B57158"/>
    <w:rsid w:val="00B5778D"/>
    <w:rsid w:val="00B60B76"/>
    <w:rsid w:val="00B614C0"/>
    <w:rsid w:val="00B634AB"/>
    <w:rsid w:val="00B63533"/>
    <w:rsid w:val="00B63624"/>
    <w:rsid w:val="00B6678B"/>
    <w:rsid w:val="00B66E4D"/>
    <w:rsid w:val="00B7037B"/>
    <w:rsid w:val="00B71798"/>
    <w:rsid w:val="00B719F6"/>
    <w:rsid w:val="00B726D4"/>
    <w:rsid w:val="00B72969"/>
    <w:rsid w:val="00B74E38"/>
    <w:rsid w:val="00B758FD"/>
    <w:rsid w:val="00B76807"/>
    <w:rsid w:val="00B76890"/>
    <w:rsid w:val="00B77D24"/>
    <w:rsid w:val="00B818C3"/>
    <w:rsid w:val="00B81A6C"/>
    <w:rsid w:val="00B8214F"/>
    <w:rsid w:val="00B82B43"/>
    <w:rsid w:val="00B82B48"/>
    <w:rsid w:val="00B85133"/>
    <w:rsid w:val="00B8643A"/>
    <w:rsid w:val="00B86A4F"/>
    <w:rsid w:val="00B9025B"/>
    <w:rsid w:val="00B93035"/>
    <w:rsid w:val="00B940EB"/>
    <w:rsid w:val="00B9431C"/>
    <w:rsid w:val="00B95798"/>
    <w:rsid w:val="00B958E8"/>
    <w:rsid w:val="00B974C3"/>
    <w:rsid w:val="00B97637"/>
    <w:rsid w:val="00B97E4A"/>
    <w:rsid w:val="00BA09B2"/>
    <w:rsid w:val="00BA0B44"/>
    <w:rsid w:val="00BA0F35"/>
    <w:rsid w:val="00BA1103"/>
    <w:rsid w:val="00BA465D"/>
    <w:rsid w:val="00BA52C0"/>
    <w:rsid w:val="00BA5B46"/>
    <w:rsid w:val="00BA5BF2"/>
    <w:rsid w:val="00BA63D4"/>
    <w:rsid w:val="00BA67F9"/>
    <w:rsid w:val="00BA7671"/>
    <w:rsid w:val="00BB00CB"/>
    <w:rsid w:val="00BB1E13"/>
    <w:rsid w:val="00BB2D73"/>
    <w:rsid w:val="00BB400D"/>
    <w:rsid w:val="00BB45BA"/>
    <w:rsid w:val="00BB45EF"/>
    <w:rsid w:val="00BB48B2"/>
    <w:rsid w:val="00BB4A3A"/>
    <w:rsid w:val="00BB4D6A"/>
    <w:rsid w:val="00BB5AFE"/>
    <w:rsid w:val="00BB5D0B"/>
    <w:rsid w:val="00BB629C"/>
    <w:rsid w:val="00BC0254"/>
    <w:rsid w:val="00BC0995"/>
    <w:rsid w:val="00BC1761"/>
    <w:rsid w:val="00BC19ED"/>
    <w:rsid w:val="00BC26B9"/>
    <w:rsid w:val="00BC308B"/>
    <w:rsid w:val="00BC36D4"/>
    <w:rsid w:val="00BC3960"/>
    <w:rsid w:val="00BC513A"/>
    <w:rsid w:val="00BC696C"/>
    <w:rsid w:val="00BC6C56"/>
    <w:rsid w:val="00BC6DE2"/>
    <w:rsid w:val="00BC6E62"/>
    <w:rsid w:val="00BD013A"/>
    <w:rsid w:val="00BD2510"/>
    <w:rsid w:val="00BD3A53"/>
    <w:rsid w:val="00BD40B9"/>
    <w:rsid w:val="00BD4E7E"/>
    <w:rsid w:val="00BD5A19"/>
    <w:rsid w:val="00BD656A"/>
    <w:rsid w:val="00BD6D1B"/>
    <w:rsid w:val="00BE13AB"/>
    <w:rsid w:val="00BE2403"/>
    <w:rsid w:val="00BE26AC"/>
    <w:rsid w:val="00BE2C8C"/>
    <w:rsid w:val="00BE2D0A"/>
    <w:rsid w:val="00BE47D4"/>
    <w:rsid w:val="00BE6622"/>
    <w:rsid w:val="00BE793A"/>
    <w:rsid w:val="00BE7A0B"/>
    <w:rsid w:val="00BE7FF3"/>
    <w:rsid w:val="00BF114D"/>
    <w:rsid w:val="00BF2906"/>
    <w:rsid w:val="00BF2B82"/>
    <w:rsid w:val="00BF2CEB"/>
    <w:rsid w:val="00BF432A"/>
    <w:rsid w:val="00BF5D70"/>
    <w:rsid w:val="00BF64A6"/>
    <w:rsid w:val="00BF6796"/>
    <w:rsid w:val="00BF6E82"/>
    <w:rsid w:val="00BF7730"/>
    <w:rsid w:val="00C060C7"/>
    <w:rsid w:val="00C06DCC"/>
    <w:rsid w:val="00C07F92"/>
    <w:rsid w:val="00C10EA4"/>
    <w:rsid w:val="00C1124D"/>
    <w:rsid w:val="00C11D25"/>
    <w:rsid w:val="00C13217"/>
    <w:rsid w:val="00C14684"/>
    <w:rsid w:val="00C15BEC"/>
    <w:rsid w:val="00C15DB5"/>
    <w:rsid w:val="00C208E2"/>
    <w:rsid w:val="00C20D11"/>
    <w:rsid w:val="00C21897"/>
    <w:rsid w:val="00C21DC1"/>
    <w:rsid w:val="00C22054"/>
    <w:rsid w:val="00C2288E"/>
    <w:rsid w:val="00C22B54"/>
    <w:rsid w:val="00C24279"/>
    <w:rsid w:val="00C24C17"/>
    <w:rsid w:val="00C26792"/>
    <w:rsid w:val="00C31595"/>
    <w:rsid w:val="00C31B25"/>
    <w:rsid w:val="00C3309D"/>
    <w:rsid w:val="00C3411D"/>
    <w:rsid w:val="00C34357"/>
    <w:rsid w:val="00C34829"/>
    <w:rsid w:val="00C3503D"/>
    <w:rsid w:val="00C363B8"/>
    <w:rsid w:val="00C3758F"/>
    <w:rsid w:val="00C40B88"/>
    <w:rsid w:val="00C44489"/>
    <w:rsid w:val="00C44FC2"/>
    <w:rsid w:val="00C452D4"/>
    <w:rsid w:val="00C47D87"/>
    <w:rsid w:val="00C47FCD"/>
    <w:rsid w:val="00C50FA6"/>
    <w:rsid w:val="00C5368E"/>
    <w:rsid w:val="00C5376E"/>
    <w:rsid w:val="00C53A95"/>
    <w:rsid w:val="00C53F04"/>
    <w:rsid w:val="00C550D9"/>
    <w:rsid w:val="00C554C1"/>
    <w:rsid w:val="00C55AEE"/>
    <w:rsid w:val="00C5701B"/>
    <w:rsid w:val="00C6069A"/>
    <w:rsid w:val="00C61BDC"/>
    <w:rsid w:val="00C64158"/>
    <w:rsid w:val="00C64D40"/>
    <w:rsid w:val="00C6565D"/>
    <w:rsid w:val="00C65957"/>
    <w:rsid w:val="00C66218"/>
    <w:rsid w:val="00C66D7F"/>
    <w:rsid w:val="00C677C9"/>
    <w:rsid w:val="00C70DBC"/>
    <w:rsid w:val="00C711E7"/>
    <w:rsid w:val="00C71E80"/>
    <w:rsid w:val="00C74123"/>
    <w:rsid w:val="00C74198"/>
    <w:rsid w:val="00C74F1A"/>
    <w:rsid w:val="00C756B4"/>
    <w:rsid w:val="00C7750A"/>
    <w:rsid w:val="00C80467"/>
    <w:rsid w:val="00C808A6"/>
    <w:rsid w:val="00C84AC6"/>
    <w:rsid w:val="00C855DB"/>
    <w:rsid w:val="00C855F3"/>
    <w:rsid w:val="00C86270"/>
    <w:rsid w:val="00C86C49"/>
    <w:rsid w:val="00C90C20"/>
    <w:rsid w:val="00C948CF"/>
    <w:rsid w:val="00C94F6F"/>
    <w:rsid w:val="00C95327"/>
    <w:rsid w:val="00C95798"/>
    <w:rsid w:val="00C95A74"/>
    <w:rsid w:val="00C95B71"/>
    <w:rsid w:val="00C97091"/>
    <w:rsid w:val="00C97260"/>
    <w:rsid w:val="00C97391"/>
    <w:rsid w:val="00CA14A5"/>
    <w:rsid w:val="00CA1A7C"/>
    <w:rsid w:val="00CA1AB8"/>
    <w:rsid w:val="00CA2001"/>
    <w:rsid w:val="00CA2B10"/>
    <w:rsid w:val="00CA3F11"/>
    <w:rsid w:val="00CA5256"/>
    <w:rsid w:val="00CA5564"/>
    <w:rsid w:val="00CA7E40"/>
    <w:rsid w:val="00CB078E"/>
    <w:rsid w:val="00CB2416"/>
    <w:rsid w:val="00CB3782"/>
    <w:rsid w:val="00CB4D20"/>
    <w:rsid w:val="00CB537B"/>
    <w:rsid w:val="00CB5B6C"/>
    <w:rsid w:val="00CB74E3"/>
    <w:rsid w:val="00CC052E"/>
    <w:rsid w:val="00CC0657"/>
    <w:rsid w:val="00CC06E5"/>
    <w:rsid w:val="00CC08A8"/>
    <w:rsid w:val="00CC0B14"/>
    <w:rsid w:val="00CC2ACD"/>
    <w:rsid w:val="00CC2F3A"/>
    <w:rsid w:val="00CC31D6"/>
    <w:rsid w:val="00CC5B9C"/>
    <w:rsid w:val="00CC68F8"/>
    <w:rsid w:val="00CC7AF9"/>
    <w:rsid w:val="00CD02DF"/>
    <w:rsid w:val="00CD10A5"/>
    <w:rsid w:val="00CD16BE"/>
    <w:rsid w:val="00CD179F"/>
    <w:rsid w:val="00CD1F32"/>
    <w:rsid w:val="00CD2268"/>
    <w:rsid w:val="00CD4616"/>
    <w:rsid w:val="00CD56AF"/>
    <w:rsid w:val="00CD5FFA"/>
    <w:rsid w:val="00CD608B"/>
    <w:rsid w:val="00CD61BB"/>
    <w:rsid w:val="00CD6EB1"/>
    <w:rsid w:val="00CD7EC9"/>
    <w:rsid w:val="00CE33D5"/>
    <w:rsid w:val="00CE3FC9"/>
    <w:rsid w:val="00CE4712"/>
    <w:rsid w:val="00CE5828"/>
    <w:rsid w:val="00CE6073"/>
    <w:rsid w:val="00CE761C"/>
    <w:rsid w:val="00CE7D20"/>
    <w:rsid w:val="00CE7FFD"/>
    <w:rsid w:val="00CF0357"/>
    <w:rsid w:val="00CF1115"/>
    <w:rsid w:val="00CF4118"/>
    <w:rsid w:val="00CF4FF1"/>
    <w:rsid w:val="00CF53F5"/>
    <w:rsid w:val="00CF5773"/>
    <w:rsid w:val="00CF5D37"/>
    <w:rsid w:val="00CF6353"/>
    <w:rsid w:val="00CF6F33"/>
    <w:rsid w:val="00CF76AF"/>
    <w:rsid w:val="00CF7C7B"/>
    <w:rsid w:val="00D0176E"/>
    <w:rsid w:val="00D02248"/>
    <w:rsid w:val="00D0340B"/>
    <w:rsid w:val="00D04429"/>
    <w:rsid w:val="00D04B47"/>
    <w:rsid w:val="00D04E37"/>
    <w:rsid w:val="00D063B8"/>
    <w:rsid w:val="00D06825"/>
    <w:rsid w:val="00D06E0B"/>
    <w:rsid w:val="00D072F9"/>
    <w:rsid w:val="00D07467"/>
    <w:rsid w:val="00D076E6"/>
    <w:rsid w:val="00D10594"/>
    <w:rsid w:val="00D15CDD"/>
    <w:rsid w:val="00D17185"/>
    <w:rsid w:val="00D17E3B"/>
    <w:rsid w:val="00D20AA1"/>
    <w:rsid w:val="00D224DA"/>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4CBB"/>
    <w:rsid w:val="00D35790"/>
    <w:rsid w:val="00D41971"/>
    <w:rsid w:val="00D442D5"/>
    <w:rsid w:val="00D45043"/>
    <w:rsid w:val="00D45C1D"/>
    <w:rsid w:val="00D45C81"/>
    <w:rsid w:val="00D46C5F"/>
    <w:rsid w:val="00D4757A"/>
    <w:rsid w:val="00D47B72"/>
    <w:rsid w:val="00D51576"/>
    <w:rsid w:val="00D519AF"/>
    <w:rsid w:val="00D532A9"/>
    <w:rsid w:val="00D5437A"/>
    <w:rsid w:val="00D5611E"/>
    <w:rsid w:val="00D5653B"/>
    <w:rsid w:val="00D56C30"/>
    <w:rsid w:val="00D56DF7"/>
    <w:rsid w:val="00D5726D"/>
    <w:rsid w:val="00D572AC"/>
    <w:rsid w:val="00D604A7"/>
    <w:rsid w:val="00D6071F"/>
    <w:rsid w:val="00D6084C"/>
    <w:rsid w:val="00D60AA4"/>
    <w:rsid w:val="00D61D6E"/>
    <w:rsid w:val="00D62A31"/>
    <w:rsid w:val="00D62EF1"/>
    <w:rsid w:val="00D6309D"/>
    <w:rsid w:val="00D634F9"/>
    <w:rsid w:val="00D6389F"/>
    <w:rsid w:val="00D644CA"/>
    <w:rsid w:val="00D64EA0"/>
    <w:rsid w:val="00D64FE1"/>
    <w:rsid w:val="00D65913"/>
    <w:rsid w:val="00D66FC2"/>
    <w:rsid w:val="00D677CD"/>
    <w:rsid w:val="00D7044E"/>
    <w:rsid w:val="00D704A8"/>
    <w:rsid w:val="00D70A2B"/>
    <w:rsid w:val="00D70CA5"/>
    <w:rsid w:val="00D743AE"/>
    <w:rsid w:val="00D74E1F"/>
    <w:rsid w:val="00D74F48"/>
    <w:rsid w:val="00D758F4"/>
    <w:rsid w:val="00D76C7E"/>
    <w:rsid w:val="00D771DE"/>
    <w:rsid w:val="00D775CB"/>
    <w:rsid w:val="00D7776D"/>
    <w:rsid w:val="00D80C6C"/>
    <w:rsid w:val="00D81AEF"/>
    <w:rsid w:val="00D82A42"/>
    <w:rsid w:val="00D834F1"/>
    <w:rsid w:val="00D83609"/>
    <w:rsid w:val="00D83AA6"/>
    <w:rsid w:val="00D83E4C"/>
    <w:rsid w:val="00D84295"/>
    <w:rsid w:val="00D846BE"/>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44B"/>
    <w:rsid w:val="00D97A5B"/>
    <w:rsid w:val="00DA1E18"/>
    <w:rsid w:val="00DA2009"/>
    <w:rsid w:val="00DA296C"/>
    <w:rsid w:val="00DA585A"/>
    <w:rsid w:val="00DA7741"/>
    <w:rsid w:val="00DA7769"/>
    <w:rsid w:val="00DB05B1"/>
    <w:rsid w:val="00DB0B55"/>
    <w:rsid w:val="00DB2823"/>
    <w:rsid w:val="00DB2D74"/>
    <w:rsid w:val="00DB3786"/>
    <w:rsid w:val="00DB481A"/>
    <w:rsid w:val="00DB59E8"/>
    <w:rsid w:val="00DB5A79"/>
    <w:rsid w:val="00DB60DB"/>
    <w:rsid w:val="00DB6177"/>
    <w:rsid w:val="00DB7A76"/>
    <w:rsid w:val="00DC20D1"/>
    <w:rsid w:val="00DC2272"/>
    <w:rsid w:val="00DC2465"/>
    <w:rsid w:val="00DC307D"/>
    <w:rsid w:val="00DC329B"/>
    <w:rsid w:val="00DC4BCA"/>
    <w:rsid w:val="00DC5CA4"/>
    <w:rsid w:val="00DC5CDA"/>
    <w:rsid w:val="00DC5E2C"/>
    <w:rsid w:val="00DC6B80"/>
    <w:rsid w:val="00DC7D48"/>
    <w:rsid w:val="00DD0253"/>
    <w:rsid w:val="00DD145A"/>
    <w:rsid w:val="00DD512E"/>
    <w:rsid w:val="00DD5EC8"/>
    <w:rsid w:val="00DD7B34"/>
    <w:rsid w:val="00DD7BEC"/>
    <w:rsid w:val="00DE04E9"/>
    <w:rsid w:val="00DE083E"/>
    <w:rsid w:val="00DE0C22"/>
    <w:rsid w:val="00DE1177"/>
    <w:rsid w:val="00DE23BE"/>
    <w:rsid w:val="00DE2CEA"/>
    <w:rsid w:val="00DE3CFE"/>
    <w:rsid w:val="00DE4634"/>
    <w:rsid w:val="00DE4A8F"/>
    <w:rsid w:val="00DE567C"/>
    <w:rsid w:val="00DE6154"/>
    <w:rsid w:val="00DE634D"/>
    <w:rsid w:val="00DE6A3C"/>
    <w:rsid w:val="00DE6C0E"/>
    <w:rsid w:val="00DE6EFB"/>
    <w:rsid w:val="00DE74F4"/>
    <w:rsid w:val="00DE7C8B"/>
    <w:rsid w:val="00DE7F97"/>
    <w:rsid w:val="00DF0AAF"/>
    <w:rsid w:val="00DF1010"/>
    <w:rsid w:val="00DF2244"/>
    <w:rsid w:val="00DF2C13"/>
    <w:rsid w:val="00DF334D"/>
    <w:rsid w:val="00DF4D68"/>
    <w:rsid w:val="00DF53D9"/>
    <w:rsid w:val="00DF5837"/>
    <w:rsid w:val="00DF5AEA"/>
    <w:rsid w:val="00DF5D49"/>
    <w:rsid w:val="00DF63F6"/>
    <w:rsid w:val="00DF7441"/>
    <w:rsid w:val="00DF7992"/>
    <w:rsid w:val="00DF7BD0"/>
    <w:rsid w:val="00E003E6"/>
    <w:rsid w:val="00E008AC"/>
    <w:rsid w:val="00E00C8E"/>
    <w:rsid w:val="00E0219D"/>
    <w:rsid w:val="00E0276A"/>
    <w:rsid w:val="00E0374B"/>
    <w:rsid w:val="00E0632F"/>
    <w:rsid w:val="00E06C36"/>
    <w:rsid w:val="00E071A9"/>
    <w:rsid w:val="00E07D26"/>
    <w:rsid w:val="00E10B28"/>
    <w:rsid w:val="00E117FD"/>
    <w:rsid w:val="00E13747"/>
    <w:rsid w:val="00E14758"/>
    <w:rsid w:val="00E16505"/>
    <w:rsid w:val="00E177DB"/>
    <w:rsid w:val="00E17A13"/>
    <w:rsid w:val="00E21088"/>
    <w:rsid w:val="00E22514"/>
    <w:rsid w:val="00E23C5E"/>
    <w:rsid w:val="00E23E29"/>
    <w:rsid w:val="00E245DC"/>
    <w:rsid w:val="00E24632"/>
    <w:rsid w:val="00E25155"/>
    <w:rsid w:val="00E25AEA"/>
    <w:rsid w:val="00E27C2C"/>
    <w:rsid w:val="00E3051B"/>
    <w:rsid w:val="00E30ABD"/>
    <w:rsid w:val="00E30AE4"/>
    <w:rsid w:val="00E30D26"/>
    <w:rsid w:val="00E30DEF"/>
    <w:rsid w:val="00E30ED2"/>
    <w:rsid w:val="00E31276"/>
    <w:rsid w:val="00E3155D"/>
    <w:rsid w:val="00E31875"/>
    <w:rsid w:val="00E32102"/>
    <w:rsid w:val="00E33B7E"/>
    <w:rsid w:val="00E345E0"/>
    <w:rsid w:val="00E34666"/>
    <w:rsid w:val="00E346E8"/>
    <w:rsid w:val="00E347CA"/>
    <w:rsid w:val="00E35684"/>
    <w:rsid w:val="00E36A66"/>
    <w:rsid w:val="00E37C6A"/>
    <w:rsid w:val="00E37F70"/>
    <w:rsid w:val="00E409CA"/>
    <w:rsid w:val="00E41377"/>
    <w:rsid w:val="00E41985"/>
    <w:rsid w:val="00E42B89"/>
    <w:rsid w:val="00E446C1"/>
    <w:rsid w:val="00E46BCD"/>
    <w:rsid w:val="00E505AA"/>
    <w:rsid w:val="00E51CCC"/>
    <w:rsid w:val="00E52079"/>
    <w:rsid w:val="00E520E7"/>
    <w:rsid w:val="00E545D7"/>
    <w:rsid w:val="00E547FE"/>
    <w:rsid w:val="00E54960"/>
    <w:rsid w:val="00E55927"/>
    <w:rsid w:val="00E5669C"/>
    <w:rsid w:val="00E56A58"/>
    <w:rsid w:val="00E60ECA"/>
    <w:rsid w:val="00E613AB"/>
    <w:rsid w:val="00E637B6"/>
    <w:rsid w:val="00E645AE"/>
    <w:rsid w:val="00E663B6"/>
    <w:rsid w:val="00E66BBE"/>
    <w:rsid w:val="00E670B5"/>
    <w:rsid w:val="00E6780D"/>
    <w:rsid w:val="00E67B4F"/>
    <w:rsid w:val="00E71DFE"/>
    <w:rsid w:val="00E73083"/>
    <w:rsid w:val="00E74990"/>
    <w:rsid w:val="00E756E4"/>
    <w:rsid w:val="00E758B9"/>
    <w:rsid w:val="00E76025"/>
    <w:rsid w:val="00E76B45"/>
    <w:rsid w:val="00E806A5"/>
    <w:rsid w:val="00E807BE"/>
    <w:rsid w:val="00E81BC1"/>
    <w:rsid w:val="00E82FE5"/>
    <w:rsid w:val="00E83724"/>
    <w:rsid w:val="00E83871"/>
    <w:rsid w:val="00E83F47"/>
    <w:rsid w:val="00E84236"/>
    <w:rsid w:val="00E84C02"/>
    <w:rsid w:val="00E85569"/>
    <w:rsid w:val="00E856AF"/>
    <w:rsid w:val="00E859D9"/>
    <w:rsid w:val="00E86B83"/>
    <w:rsid w:val="00E86D6E"/>
    <w:rsid w:val="00E874A2"/>
    <w:rsid w:val="00E878FB"/>
    <w:rsid w:val="00E87C64"/>
    <w:rsid w:val="00E912E1"/>
    <w:rsid w:val="00E919C3"/>
    <w:rsid w:val="00E91C4B"/>
    <w:rsid w:val="00E93A01"/>
    <w:rsid w:val="00E93FF8"/>
    <w:rsid w:val="00E948D8"/>
    <w:rsid w:val="00E94EB6"/>
    <w:rsid w:val="00E94F16"/>
    <w:rsid w:val="00E950CA"/>
    <w:rsid w:val="00E95CA8"/>
    <w:rsid w:val="00E96643"/>
    <w:rsid w:val="00E9689A"/>
    <w:rsid w:val="00E96CE0"/>
    <w:rsid w:val="00E96EAF"/>
    <w:rsid w:val="00EA044C"/>
    <w:rsid w:val="00EA1752"/>
    <w:rsid w:val="00EA1911"/>
    <w:rsid w:val="00EA539B"/>
    <w:rsid w:val="00EA5A89"/>
    <w:rsid w:val="00EA5BDB"/>
    <w:rsid w:val="00EA5C39"/>
    <w:rsid w:val="00EA63FA"/>
    <w:rsid w:val="00EA7DEB"/>
    <w:rsid w:val="00EB0325"/>
    <w:rsid w:val="00EB0A73"/>
    <w:rsid w:val="00EB0A9C"/>
    <w:rsid w:val="00EB0B55"/>
    <w:rsid w:val="00EB3A98"/>
    <w:rsid w:val="00EB46D9"/>
    <w:rsid w:val="00EB4909"/>
    <w:rsid w:val="00EB6EF6"/>
    <w:rsid w:val="00EB7D66"/>
    <w:rsid w:val="00EC0199"/>
    <w:rsid w:val="00EC0E64"/>
    <w:rsid w:val="00EC11AB"/>
    <w:rsid w:val="00EC142D"/>
    <w:rsid w:val="00EC1E16"/>
    <w:rsid w:val="00EC2DD1"/>
    <w:rsid w:val="00EC4BA5"/>
    <w:rsid w:val="00EC52DA"/>
    <w:rsid w:val="00EC69EA"/>
    <w:rsid w:val="00EC6F28"/>
    <w:rsid w:val="00EC73C2"/>
    <w:rsid w:val="00ED0024"/>
    <w:rsid w:val="00ED0EA0"/>
    <w:rsid w:val="00ED0F85"/>
    <w:rsid w:val="00ED2B5C"/>
    <w:rsid w:val="00ED3269"/>
    <w:rsid w:val="00ED3A18"/>
    <w:rsid w:val="00ED3AB7"/>
    <w:rsid w:val="00ED3C57"/>
    <w:rsid w:val="00ED508A"/>
    <w:rsid w:val="00EE0565"/>
    <w:rsid w:val="00EE1A8C"/>
    <w:rsid w:val="00EE1C03"/>
    <w:rsid w:val="00EE3FED"/>
    <w:rsid w:val="00EE410E"/>
    <w:rsid w:val="00EE4643"/>
    <w:rsid w:val="00EE529F"/>
    <w:rsid w:val="00EE65B6"/>
    <w:rsid w:val="00EE7C86"/>
    <w:rsid w:val="00EF1330"/>
    <w:rsid w:val="00EF15FF"/>
    <w:rsid w:val="00EF31D8"/>
    <w:rsid w:val="00EF5269"/>
    <w:rsid w:val="00EF55E6"/>
    <w:rsid w:val="00EF5707"/>
    <w:rsid w:val="00EF69E8"/>
    <w:rsid w:val="00EF6F1F"/>
    <w:rsid w:val="00EF70EC"/>
    <w:rsid w:val="00EF7111"/>
    <w:rsid w:val="00EF7D1A"/>
    <w:rsid w:val="00F007BC"/>
    <w:rsid w:val="00F02759"/>
    <w:rsid w:val="00F03B49"/>
    <w:rsid w:val="00F0448F"/>
    <w:rsid w:val="00F04E9B"/>
    <w:rsid w:val="00F0716C"/>
    <w:rsid w:val="00F105AE"/>
    <w:rsid w:val="00F108A8"/>
    <w:rsid w:val="00F13319"/>
    <w:rsid w:val="00F14353"/>
    <w:rsid w:val="00F1628B"/>
    <w:rsid w:val="00F16EBE"/>
    <w:rsid w:val="00F21398"/>
    <w:rsid w:val="00F22E81"/>
    <w:rsid w:val="00F25468"/>
    <w:rsid w:val="00F26998"/>
    <w:rsid w:val="00F270E9"/>
    <w:rsid w:val="00F273EF"/>
    <w:rsid w:val="00F27440"/>
    <w:rsid w:val="00F275BB"/>
    <w:rsid w:val="00F275C0"/>
    <w:rsid w:val="00F317B5"/>
    <w:rsid w:val="00F33348"/>
    <w:rsid w:val="00F346B6"/>
    <w:rsid w:val="00F3608D"/>
    <w:rsid w:val="00F36145"/>
    <w:rsid w:val="00F37BDD"/>
    <w:rsid w:val="00F40716"/>
    <w:rsid w:val="00F41503"/>
    <w:rsid w:val="00F417D4"/>
    <w:rsid w:val="00F432CF"/>
    <w:rsid w:val="00F43506"/>
    <w:rsid w:val="00F437FD"/>
    <w:rsid w:val="00F43B69"/>
    <w:rsid w:val="00F43DD4"/>
    <w:rsid w:val="00F440E6"/>
    <w:rsid w:val="00F4479A"/>
    <w:rsid w:val="00F44D82"/>
    <w:rsid w:val="00F45589"/>
    <w:rsid w:val="00F46207"/>
    <w:rsid w:val="00F466C8"/>
    <w:rsid w:val="00F469A9"/>
    <w:rsid w:val="00F46B50"/>
    <w:rsid w:val="00F47C20"/>
    <w:rsid w:val="00F50B46"/>
    <w:rsid w:val="00F50D1F"/>
    <w:rsid w:val="00F51545"/>
    <w:rsid w:val="00F521DE"/>
    <w:rsid w:val="00F5393F"/>
    <w:rsid w:val="00F54162"/>
    <w:rsid w:val="00F541D4"/>
    <w:rsid w:val="00F553CE"/>
    <w:rsid w:val="00F56043"/>
    <w:rsid w:val="00F5664E"/>
    <w:rsid w:val="00F56BD8"/>
    <w:rsid w:val="00F56FA9"/>
    <w:rsid w:val="00F6136B"/>
    <w:rsid w:val="00F6171A"/>
    <w:rsid w:val="00F62303"/>
    <w:rsid w:val="00F62306"/>
    <w:rsid w:val="00F635FC"/>
    <w:rsid w:val="00F63D03"/>
    <w:rsid w:val="00F65E2F"/>
    <w:rsid w:val="00F66520"/>
    <w:rsid w:val="00F66B33"/>
    <w:rsid w:val="00F66EA7"/>
    <w:rsid w:val="00F67385"/>
    <w:rsid w:val="00F67DF1"/>
    <w:rsid w:val="00F67F22"/>
    <w:rsid w:val="00F7054E"/>
    <w:rsid w:val="00F7137C"/>
    <w:rsid w:val="00F72405"/>
    <w:rsid w:val="00F72A09"/>
    <w:rsid w:val="00F72C76"/>
    <w:rsid w:val="00F74E67"/>
    <w:rsid w:val="00F7552B"/>
    <w:rsid w:val="00F77677"/>
    <w:rsid w:val="00F8309B"/>
    <w:rsid w:val="00F831E2"/>
    <w:rsid w:val="00F833C9"/>
    <w:rsid w:val="00F84FD2"/>
    <w:rsid w:val="00F8533A"/>
    <w:rsid w:val="00F90064"/>
    <w:rsid w:val="00F9022A"/>
    <w:rsid w:val="00F90520"/>
    <w:rsid w:val="00F90961"/>
    <w:rsid w:val="00F938B1"/>
    <w:rsid w:val="00F94217"/>
    <w:rsid w:val="00F9586C"/>
    <w:rsid w:val="00F96AFD"/>
    <w:rsid w:val="00F96F4C"/>
    <w:rsid w:val="00FA07F4"/>
    <w:rsid w:val="00FA1398"/>
    <w:rsid w:val="00FA1515"/>
    <w:rsid w:val="00FA2D18"/>
    <w:rsid w:val="00FA2E19"/>
    <w:rsid w:val="00FA43C8"/>
    <w:rsid w:val="00FA5495"/>
    <w:rsid w:val="00FA5C99"/>
    <w:rsid w:val="00FA697F"/>
    <w:rsid w:val="00FB0147"/>
    <w:rsid w:val="00FB0823"/>
    <w:rsid w:val="00FB0F92"/>
    <w:rsid w:val="00FB1C39"/>
    <w:rsid w:val="00FB2FB3"/>
    <w:rsid w:val="00FB3846"/>
    <w:rsid w:val="00FB5059"/>
    <w:rsid w:val="00FB52E9"/>
    <w:rsid w:val="00FB5521"/>
    <w:rsid w:val="00FB610D"/>
    <w:rsid w:val="00FB626E"/>
    <w:rsid w:val="00FC2B60"/>
    <w:rsid w:val="00FC4477"/>
    <w:rsid w:val="00FC46FB"/>
    <w:rsid w:val="00FC51FF"/>
    <w:rsid w:val="00FC6615"/>
    <w:rsid w:val="00FC6630"/>
    <w:rsid w:val="00FC7B66"/>
    <w:rsid w:val="00FD06E6"/>
    <w:rsid w:val="00FD0D94"/>
    <w:rsid w:val="00FD106C"/>
    <w:rsid w:val="00FD2BD3"/>
    <w:rsid w:val="00FD3DEF"/>
    <w:rsid w:val="00FD3E98"/>
    <w:rsid w:val="00FD4CCA"/>
    <w:rsid w:val="00FD58B1"/>
    <w:rsid w:val="00FD60E3"/>
    <w:rsid w:val="00FD6BB8"/>
    <w:rsid w:val="00FD6FBC"/>
    <w:rsid w:val="00FD7002"/>
    <w:rsid w:val="00FD7610"/>
    <w:rsid w:val="00FE04BA"/>
    <w:rsid w:val="00FE234B"/>
    <w:rsid w:val="00FE2A9E"/>
    <w:rsid w:val="00FE2EBA"/>
    <w:rsid w:val="00FE34B3"/>
    <w:rsid w:val="00FE46B7"/>
    <w:rsid w:val="00FE4CEC"/>
    <w:rsid w:val="00FF0420"/>
    <w:rsid w:val="00FF13C9"/>
    <w:rsid w:val="00FF41B8"/>
    <w:rsid w:val="00FF5237"/>
    <w:rsid w:val="00FF5B79"/>
    <w:rsid w:val="06763376"/>
    <w:rsid w:val="06D79157"/>
    <w:rsid w:val="0A431CB0"/>
    <w:rsid w:val="0DD79F36"/>
    <w:rsid w:val="11E43BAB"/>
    <w:rsid w:val="121534C5"/>
    <w:rsid w:val="15C37E50"/>
    <w:rsid w:val="161E678D"/>
    <w:rsid w:val="1712079B"/>
    <w:rsid w:val="19090967"/>
    <w:rsid w:val="194E0F99"/>
    <w:rsid w:val="1B3C24C5"/>
    <w:rsid w:val="1CED1726"/>
    <w:rsid w:val="1F675568"/>
    <w:rsid w:val="210B7837"/>
    <w:rsid w:val="23B4E6BE"/>
    <w:rsid w:val="24F18C83"/>
    <w:rsid w:val="25653D02"/>
    <w:rsid w:val="27AA7305"/>
    <w:rsid w:val="2F2F7FB2"/>
    <w:rsid w:val="318370B6"/>
    <w:rsid w:val="3310C0BE"/>
    <w:rsid w:val="38EF0D05"/>
    <w:rsid w:val="39A07357"/>
    <w:rsid w:val="3FB14142"/>
    <w:rsid w:val="42088138"/>
    <w:rsid w:val="48A740C0"/>
    <w:rsid w:val="4E024287"/>
    <w:rsid w:val="4F101443"/>
    <w:rsid w:val="4F7B4331"/>
    <w:rsid w:val="511D528A"/>
    <w:rsid w:val="5123303D"/>
    <w:rsid w:val="52707BDA"/>
    <w:rsid w:val="588ADAF6"/>
    <w:rsid w:val="59DA2621"/>
    <w:rsid w:val="5CE173DD"/>
    <w:rsid w:val="66EB6E8A"/>
    <w:rsid w:val="69981A89"/>
    <w:rsid w:val="6C930666"/>
    <w:rsid w:val="70022791"/>
    <w:rsid w:val="73970744"/>
    <w:rsid w:val="7629CDD5"/>
    <w:rsid w:val="772E53B0"/>
    <w:rsid w:val="78612A25"/>
    <w:rsid w:val="791D4915"/>
    <w:rsid w:val="7A7150E3"/>
    <w:rsid w:val="7AFF7404"/>
    <w:rsid w:val="7DC24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42A2F1"/>
  <w15:docId w15:val="{4C15F051-D00F-4286-A133-176E08F4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qFormat="1"/>
    <w:lsdException w:name="header" w:qFormat="1"/>
    <w:lsdException w:name="footer" w:uiPriority="99"/>
    <w:lsdException w:name="caption" w:semiHidden="1" w:unhideWhenUsed="1" w:qFormat="1"/>
    <w:lsdException w:name="footnote reference" w:uiPriority="99" w:unhideWhenUsed="1"/>
    <w:lsdException w:name="annotation reference" w:qFormat="1"/>
    <w:lsdException w:name="Title" w:qFormat="1"/>
    <w:lsdException w:name="Default Paragraph Font" w:uiPriority="1" w:unhideWhenUsed="1"/>
    <w:lsdException w:name="Body Text" w:uiPriority="1" w:qFormat="1"/>
    <w:lsdException w:name="Subtitle" w:qFormat="1"/>
    <w:lsdException w:name="Dat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Samp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jc w:val="both"/>
    </w:pPr>
    <w:rPr>
      <w:rFonts w:ascii="Segoe UI" w:hAnsi="Segoe UI"/>
      <w:sz w:val="22"/>
      <w:szCs w:val="24"/>
      <w:lang w:eastAsia="en-US"/>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qFormat/>
    <w:pPr>
      <w:keepNext/>
      <w:outlineLvl w:val="1"/>
    </w:pPr>
    <w:rPr>
      <w:rFonts w:cs="Arial"/>
      <w:bCs/>
      <w:iCs/>
      <w:color w:val="E1000F"/>
      <w:szCs w:val="28"/>
    </w:rPr>
  </w:style>
  <w:style w:type="paragraph" w:styleId="Heading3">
    <w:name w:val="heading 3"/>
    <w:basedOn w:val="Heading2"/>
    <w:next w:val="Normal"/>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spacing w:line="260" w:lineRule="atLeast"/>
      <w:jc w:val="left"/>
    </w:pPr>
    <w:rPr>
      <w:rFonts w:ascii="Arial" w:hAnsi="Arial"/>
      <w:sz w:val="20"/>
      <w:szCs w:val="20"/>
      <w:lang w:val="de-DE"/>
    </w:rPr>
  </w:style>
  <w:style w:type="paragraph" w:styleId="BodyText">
    <w:name w:val="Body Text"/>
    <w:basedOn w:val="Normal"/>
    <w:link w:val="BodyTextChar"/>
    <w:uiPriority w:val="1"/>
    <w:qFormat/>
    <w:pPr>
      <w:widowControl w:val="0"/>
      <w:autoSpaceDE w:val="0"/>
      <w:autoSpaceDN w:val="0"/>
      <w:spacing w:line="240" w:lineRule="auto"/>
      <w:ind w:left="1"/>
      <w:jc w:val="left"/>
    </w:pPr>
    <w:rPr>
      <w:rFonts w:eastAsia="Segoe UI" w:cs="Segoe UI"/>
      <w:szCs w:val="22"/>
      <w:lang w:val="de-DE"/>
    </w:rPr>
  </w:style>
  <w:style w:type="paragraph" w:styleId="Date">
    <w:name w:val="Date"/>
    <w:basedOn w:val="Normal"/>
    <w:next w:val="Normal"/>
    <w:link w:val="DateChar"/>
    <w:qFormat/>
    <w:pPr>
      <w:ind w:leftChars="2500" w:left="100"/>
    </w:pPr>
  </w:style>
  <w:style w:type="paragraph" w:styleId="BalloonText">
    <w:name w:val="Balloon Text"/>
    <w:basedOn w:val="Normal"/>
    <w:link w:val="BalloonTextChar"/>
    <w:qFormat/>
    <w:pPr>
      <w:spacing w:line="240" w:lineRule="auto"/>
    </w:pPr>
    <w:rPr>
      <w:sz w:val="18"/>
      <w:szCs w:val="18"/>
    </w:rPr>
  </w:style>
  <w:style w:type="paragraph" w:styleId="Footer">
    <w:name w:val="footer"/>
    <w:basedOn w:val="Normal"/>
    <w:link w:val="FooterChar"/>
    <w:uiPriority w:val="99"/>
    <w:pPr>
      <w:tabs>
        <w:tab w:val="right" w:pos="7083"/>
        <w:tab w:val="right" w:pos="8640"/>
      </w:tabs>
      <w:spacing w:line="180" w:lineRule="atLeast"/>
      <w:jc w:val="right"/>
    </w:pPr>
    <w:rPr>
      <w:bCs/>
      <w:sz w:val="12"/>
    </w:rPr>
  </w:style>
  <w:style w:type="paragraph" w:styleId="Header">
    <w:name w:val="header"/>
    <w:basedOn w:val="Normal"/>
    <w:qFormat/>
    <w:pPr>
      <w:tabs>
        <w:tab w:val="left" w:pos="2607"/>
        <w:tab w:val="center" w:pos="4320"/>
        <w:tab w:val="right" w:pos="9356"/>
      </w:tabs>
      <w:spacing w:before="1440" w:line="100" w:lineRule="atLeast"/>
      <w:jc w:val="right"/>
    </w:pPr>
    <w:rPr>
      <w:rFonts w:cs="Segoe UI"/>
      <w:b/>
      <w:bCs/>
      <w:color w:val="3E3C3C"/>
      <w:sz w:val="40"/>
      <w:szCs w:val="40"/>
    </w:rPr>
  </w:style>
  <w:style w:type="paragraph" w:styleId="FootnoteText">
    <w:name w:val="footnote text"/>
    <w:basedOn w:val="Normal"/>
    <w:link w:val="FootnoteTextChar"/>
    <w:uiPriority w:val="99"/>
    <w:unhideWhenUsed/>
    <w:qFormat/>
    <w:pPr>
      <w:spacing w:line="240" w:lineRule="auto"/>
      <w:jc w:val="left"/>
    </w:pPr>
    <w:rPr>
      <w:rFonts w:eastAsiaTheme="minorHAnsi" w:cstheme="minorBidi"/>
      <w:szCs w:val="20"/>
      <w:lang w:val="de-DE"/>
    </w:rPr>
  </w:style>
  <w:style w:type="paragraph" w:styleId="NormalWeb">
    <w:name w:val="Normal (Web)"/>
    <w:basedOn w:val="Normal"/>
    <w:uiPriority w:val="99"/>
    <w:unhideWhenUsed/>
    <w:pPr>
      <w:spacing w:before="100" w:beforeAutospacing="1" w:after="100" w:afterAutospacing="1" w:line="240" w:lineRule="auto"/>
      <w:jc w:val="left"/>
    </w:pPr>
    <w:rPr>
      <w:rFonts w:ascii="Times New Roman" w:hAnsi="Times New Roman"/>
      <w:sz w:val="24"/>
      <w:lang w:val="de-DE" w:eastAsia="de-DE"/>
    </w:rPr>
  </w:style>
  <w:style w:type="paragraph" w:styleId="CommentSubject">
    <w:name w:val="annotation subject"/>
    <w:basedOn w:val="CommentText"/>
    <w:next w:val="CommentText"/>
    <w:link w:val="CommentSubjectChar"/>
    <w:qFormat/>
    <w:pPr>
      <w:spacing w:line="240" w:lineRule="auto"/>
      <w:jc w:val="both"/>
    </w:pPr>
    <w:rPr>
      <w:rFonts w:ascii="Segoe UI" w:hAnsi="Segoe UI"/>
      <w:b/>
      <w:bCs/>
      <w:lang w:val="en-US"/>
    </w:rPr>
  </w:style>
  <w:style w:type="table" w:styleId="TableGrid">
    <w:name w:val="Table Grid"/>
    <w:basedOn w:val="TableNormal"/>
    <w:qFormat/>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rPr>
      <w:color w:val="954F72" w:themeColor="followedHyperlink"/>
      <w:u w:val="single"/>
    </w:rPr>
  </w:style>
  <w:style w:type="character" w:styleId="Hyperlink">
    <w:name w:val="Hyperlink"/>
    <w:qFormat/>
    <w:rPr>
      <w:rFonts w:ascii="Segoe UI" w:hAnsi="Segoe UI"/>
      <w:color w:val="0000FF"/>
      <w:sz w:val="18"/>
      <w:szCs w:val="18"/>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rPr>
      <w:vertAlign w:val="superscript"/>
    </w:rPr>
  </w:style>
  <w:style w:type="paragraph" w:customStyle="1" w:styleId="Intro">
    <w:name w:val="Intro"/>
    <w:basedOn w:val="Normal"/>
    <w:pPr>
      <w:spacing w:after="300"/>
    </w:pPr>
    <w:rPr>
      <w:color w:val="415055"/>
      <w:sz w:val="24"/>
    </w:rPr>
  </w:style>
  <w:style w:type="paragraph" w:customStyle="1" w:styleId="NumBullet">
    <w:name w:val="Num_Bullet"/>
    <w:basedOn w:val="Normal"/>
    <w:qFormat/>
    <w:pPr>
      <w:numPr>
        <w:numId w:val="1"/>
      </w:numPr>
      <w:tabs>
        <w:tab w:val="clear" w:pos="567"/>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qFormat/>
    <w:pPr>
      <w:spacing w:before="240" w:after="0"/>
    </w:pPr>
    <w:rPr>
      <w:b w:val="0"/>
      <w:bCs/>
    </w:rPr>
  </w:style>
  <w:style w:type="paragraph" w:customStyle="1" w:styleId="Info">
    <w:name w:val="Info"/>
    <w:basedOn w:val="Normal"/>
    <w:link w:val="InfoZchn"/>
    <w:qFormat/>
    <w:pPr>
      <w:spacing w:line="240" w:lineRule="atLeast"/>
    </w:pPr>
    <w:rPr>
      <w:sz w:val="13"/>
    </w:rPr>
  </w:style>
  <w:style w:type="character" w:customStyle="1" w:styleId="InfoZchn">
    <w:name w:val="Info Zchn"/>
    <w:link w:val="Info"/>
    <w:qFormat/>
    <w:rPr>
      <w:rFonts w:ascii="Arial" w:hAnsi="Arial"/>
      <w:sz w:val="13"/>
      <w:szCs w:val="24"/>
      <w:lang w:val="de-DE" w:eastAsia="en-US" w:bidi="ar-SA"/>
    </w:rPr>
  </w:style>
  <w:style w:type="paragraph" w:customStyle="1" w:styleId="Standard12pt">
    <w:name w:val="Standard_12pt"/>
    <w:basedOn w:val="Normal"/>
    <w:qFormat/>
    <w:pPr>
      <w:spacing w:line="300" w:lineRule="atLeast"/>
    </w:pPr>
    <w:rPr>
      <w:sz w:val="24"/>
    </w:rPr>
  </w:style>
  <w:style w:type="character" w:customStyle="1" w:styleId="Heading1Char">
    <w:name w:val="Heading 1 Char"/>
    <w:link w:val="Heading1"/>
    <w:uiPriority w:val="99"/>
    <w:qFormat/>
    <w:locked/>
    <w:rPr>
      <w:rFonts w:ascii="Arial" w:hAnsi="Arial" w:cs="Arial"/>
      <w:b/>
      <w:bCs/>
      <w:kern w:val="32"/>
      <w:sz w:val="36"/>
      <w:szCs w:val="32"/>
      <w:lang w:val="de-DE"/>
    </w:rPr>
  </w:style>
  <w:style w:type="paragraph" w:customStyle="1" w:styleId="MittleresRaster1-Akzent21">
    <w:name w:val="Mittleres Raster 1 - Akzent 21"/>
    <w:basedOn w:val="Normal"/>
    <w:uiPriority w:val="34"/>
    <w:qFormat/>
    <w:pPr>
      <w:ind w:left="720"/>
    </w:pPr>
  </w:style>
  <w:style w:type="character" w:customStyle="1" w:styleId="BalloonTextChar">
    <w:name w:val="Balloon Text Char"/>
    <w:link w:val="BalloonText"/>
    <w:qFormat/>
    <w:rPr>
      <w:rFonts w:ascii="Segoe UI" w:hAnsi="Segoe UI"/>
      <w:sz w:val="18"/>
      <w:szCs w:val="18"/>
      <w:lang w:val="de-DE"/>
    </w:rPr>
  </w:style>
  <w:style w:type="paragraph" w:customStyle="1" w:styleId="MittlereListe2-Akzent21">
    <w:name w:val="Mittlere Liste 2 - Akzent 21"/>
    <w:hidden/>
    <w:uiPriority w:val="99"/>
    <w:semiHidden/>
    <w:qFormat/>
    <w:rPr>
      <w:rFonts w:ascii="Arial" w:hAnsi="Arial"/>
      <w:sz w:val="18"/>
      <w:szCs w:val="24"/>
      <w:lang w:val="de-DE" w:eastAsia="en-US"/>
    </w:rPr>
  </w:style>
  <w:style w:type="character" w:customStyle="1" w:styleId="FooterChar">
    <w:name w:val="Footer Char"/>
    <w:link w:val="Footer"/>
    <w:uiPriority w:val="99"/>
    <w:qFormat/>
    <w:rPr>
      <w:rFonts w:ascii="Segoe UI" w:hAnsi="Segoe UI"/>
      <w:bCs/>
      <w:sz w:val="12"/>
      <w:szCs w:val="24"/>
      <w:lang w:val="de-DE"/>
    </w:rPr>
  </w:style>
  <w:style w:type="character" w:customStyle="1" w:styleId="1">
    <w:name w:val="未处理的提及1"/>
    <w:uiPriority w:val="99"/>
    <w:semiHidden/>
    <w:unhideWhenUsed/>
    <w:qFormat/>
    <w:rPr>
      <w:color w:val="605E5C"/>
      <w:shd w:val="clear" w:color="auto" w:fill="E1DFDD"/>
    </w:rPr>
  </w:style>
  <w:style w:type="paragraph" w:customStyle="1" w:styleId="Style12ptJustifiedLinespacing15lines">
    <w:name w:val="Style 12 pt Justified Line spacing:  1.5 lines"/>
    <w:basedOn w:val="Normal"/>
    <w:qFormat/>
    <w:rPr>
      <w:szCs w:val="20"/>
    </w:rPr>
  </w:style>
  <w:style w:type="paragraph" w:customStyle="1" w:styleId="Style12ptJustifiedLinespacing15lines1">
    <w:name w:val="Style 12 pt Justified Line spacing:  1.5 lines1"/>
    <w:basedOn w:val="Normal"/>
    <w:qFormat/>
    <w:pPr>
      <w:spacing w:before="120"/>
    </w:pPr>
    <w:rPr>
      <w:szCs w:val="20"/>
    </w:rPr>
  </w:style>
  <w:style w:type="character" w:customStyle="1" w:styleId="Headline">
    <w:name w:val="Headline"/>
    <w:basedOn w:val="DefaultParagraphFont"/>
    <w:qFormat/>
    <w:rPr>
      <w:b/>
      <w:bCs/>
      <w:sz w:val="32"/>
    </w:rPr>
  </w:style>
  <w:style w:type="paragraph" w:customStyle="1" w:styleId="MonthDayYear">
    <w:name w:val="Month Day Year"/>
    <w:basedOn w:val="Normal"/>
    <w:qFormat/>
    <w:pPr>
      <w:spacing w:before="120"/>
      <w:ind w:right="-1"/>
      <w:jc w:val="right"/>
    </w:pPr>
    <w:rPr>
      <w:szCs w:val="20"/>
    </w:rPr>
  </w:style>
  <w:style w:type="paragraph" w:customStyle="1" w:styleId="Topline">
    <w:name w:val="Topline"/>
    <w:basedOn w:val="Normal"/>
    <w:qFormat/>
    <w:pPr>
      <w:spacing w:before="560" w:after="560"/>
    </w:pPr>
    <w:rPr>
      <w:rFonts w:cs="Segoe UI"/>
      <w:szCs w:val="22"/>
    </w:rPr>
  </w:style>
  <w:style w:type="character" w:customStyle="1" w:styleId="AboutandContactBody">
    <w:name w:val="About and Contact Body"/>
    <w:basedOn w:val="DefaultParagraphFont"/>
    <w:qFormat/>
    <w:rPr>
      <w:rFonts w:ascii="Segoe UI" w:hAnsi="Segoe UI"/>
      <w:sz w:val="18"/>
    </w:rPr>
  </w:style>
  <w:style w:type="character" w:customStyle="1" w:styleId="AboutandContactHeadline">
    <w:name w:val="About and Contact Headline"/>
    <w:basedOn w:val="DefaultParagraphFont"/>
    <w:qFormat/>
    <w:rPr>
      <w:rFonts w:ascii="Segoe UI" w:hAnsi="Segoe UI"/>
      <w:b/>
      <w:bCs/>
      <w:sz w:val="18"/>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rFonts w:ascii="Arial" w:hAnsi="Arial"/>
      <w:sz w:val="20"/>
      <w:szCs w:val="20"/>
      <w:lang w:val="de-DE"/>
    </w:rPr>
  </w:style>
  <w:style w:type="character" w:customStyle="1" w:styleId="CommentSubjectChar">
    <w:name w:val="Comment Subject Char"/>
    <w:basedOn w:val="CommentTextChar"/>
    <w:link w:val="CommentSubject"/>
    <w:qFormat/>
    <w:rPr>
      <w:rFonts w:ascii="Arial" w:hAnsi="Arial"/>
      <w:b/>
      <w:bCs/>
      <w:sz w:val="20"/>
      <w:szCs w:val="20"/>
      <w:lang w:val="de-DE"/>
    </w:rPr>
  </w:style>
  <w:style w:type="paragraph" w:customStyle="1" w:styleId="10">
    <w:name w:val="修订1"/>
    <w:hidden/>
    <w:uiPriority w:val="62"/>
    <w:unhideWhenUsed/>
    <w:qFormat/>
    <w:rPr>
      <w:rFonts w:ascii="Segoe UI" w:hAnsi="Segoe UI"/>
      <w:sz w:val="22"/>
      <w:szCs w:val="24"/>
      <w:lang w:eastAsia="en-US"/>
    </w:rPr>
  </w:style>
  <w:style w:type="paragraph" w:customStyle="1" w:styleId="He04Funote">
    <w:name w:val="_He_04_Fußnote"/>
    <w:next w:val="Normal"/>
    <w:qFormat/>
    <w:pPr>
      <w:tabs>
        <w:tab w:val="left" w:pos="85"/>
      </w:tabs>
      <w:spacing w:line="256" w:lineRule="auto"/>
      <w:ind w:left="85" w:hanging="85"/>
    </w:pPr>
    <w:rPr>
      <w:rFonts w:ascii="Segoe UI" w:eastAsiaTheme="minorHAnsi" w:hAnsi="Segoe UI" w:cstheme="minorBidi"/>
      <w:sz w:val="15"/>
      <w:szCs w:val="22"/>
      <w:lang w:val="de-DE" w:eastAsia="en-US"/>
      <w14:numForm w14:val="lining"/>
    </w:rPr>
  </w:style>
  <w:style w:type="paragraph" w:customStyle="1" w:styleId="He01FlietextAufzhlung1Ebene">
    <w:name w:val="_He_01_Fließtext Aufzählung 1. Ebene"/>
    <w:next w:val="Normal"/>
    <w:qFormat/>
    <w:pPr>
      <w:numPr>
        <w:numId w:val="2"/>
      </w:numPr>
      <w:spacing w:after="113"/>
    </w:pPr>
    <w:rPr>
      <w:rFonts w:ascii="Segoe UI" w:eastAsiaTheme="minorHAnsi" w:hAnsi="Segoe UI" w:cstheme="minorBidi"/>
      <w:sz w:val="22"/>
      <w:szCs w:val="22"/>
      <w:lang w:val="de-DE" w:eastAsia="en-US"/>
    </w:rPr>
  </w:style>
  <w:style w:type="character" w:customStyle="1" w:styleId="ui-provider">
    <w:name w:val="ui-provider"/>
    <w:basedOn w:val="DefaultParagraphFont"/>
  </w:style>
  <w:style w:type="paragraph" w:customStyle="1" w:styleId="He01Flietext">
    <w:name w:val="_He_01_Fließtext"/>
    <w:qFormat/>
    <w:pPr>
      <w:spacing w:after="160"/>
    </w:pPr>
    <w:rPr>
      <w:rFonts w:ascii="Segoe UI" w:eastAsiaTheme="minorHAnsi" w:hAnsi="Segoe UI" w:cstheme="minorBidi"/>
      <w:sz w:val="22"/>
      <w:szCs w:val="22"/>
      <w:lang w:val="de-DE" w:eastAsia="en-US"/>
    </w:rPr>
  </w:style>
  <w:style w:type="character" w:customStyle="1" w:styleId="FootnoteTextChar">
    <w:name w:val="Footnote Text Char"/>
    <w:basedOn w:val="DefaultParagraphFont"/>
    <w:link w:val="FootnoteText"/>
    <w:uiPriority w:val="99"/>
    <w:rPr>
      <w:rFonts w:eastAsiaTheme="minorHAnsi" w:cstheme="minorBidi"/>
      <w:sz w:val="22"/>
      <w:szCs w:val="20"/>
      <w:lang w:val="de-DE"/>
    </w:rPr>
  </w:style>
  <w:style w:type="paragraph" w:customStyle="1" w:styleId="He01FlietextAufzhlung2Ebene">
    <w:name w:val="_He_01_Fließtext Aufzählung 2. Ebene"/>
    <w:next w:val="He01Flietext"/>
    <w:qFormat/>
    <w:pPr>
      <w:numPr>
        <w:numId w:val="3"/>
      </w:numPr>
      <w:spacing w:after="160"/>
    </w:pPr>
    <w:rPr>
      <w:rFonts w:ascii="Segoe UI" w:eastAsiaTheme="minorHAnsi" w:hAnsi="Segoe UI" w:cstheme="minorBidi"/>
      <w:sz w:val="22"/>
      <w:szCs w:val="22"/>
      <w:lang w:val="de-DE" w:eastAsia="en-US"/>
    </w:rPr>
  </w:style>
  <w:style w:type="paragraph" w:customStyle="1" w:styleId="He05Fett">
    <w:name w:val="_He_05_Fett"/>
    <w:next w:val="He01Flietext"/>
    <w:link w:val="He05FettZchn"/>
    <w:qFormat/>
    <w:pPr>
      <w:spacing w:after="160" w:line="259" w:lineRule="auto"/>
    </w:pPr>
    <w:rPr>
      <w:rFonts w:ascii="Segoe UI" w:eastAsiaTheme="minorHAnsi" w:hAnsi="Segoe UI" w:cstheme="minorBidi"/>
      <w:b/>
      <w:sz w:val="18"/>
      <w:szCs w:val="22"/>
      <w:lang w:val="de-DE" w:eastAsia="en-US"/>
    </w:rPr>
  </w:style>
  <w:style w:type="character" w:customStyle="1" w:styleId="He05FettZchn">
    <w:name w:val="_He_05_Fett Zchn"/>
    <w:basedOn w:val="DefaultParagraphFont"/>
    <w:link w:val="He05Fett"/>
    <w:rPr>
      <w:rFonts w:eastAsiaTheme="minorHAnsi" w:cstheme="minorBidi"/>
      <w:b/>
      <w:szCs w:val="22"/>
      <w:lang w:val="de-DE"/>
    </w:rPr>
  </w:style>
  <w:style w:type="character" w:customStyle="1" w:styleId="BodyTextChar">
    <w:name w:val="Body Text Char"/>
    <w:basedOn w:val="DefaultParagraphFont"/>
    <w:link w:val="BodyText"/>
    <w:uiPriority w:val="1"/>
    <w:rPr>
      <w:rFonts w:eastAsia="Segoe UI" w:cs="Segoe UI"/>
      <w:sz w:val="22"/>
      <w:szCs w:val="22"/>
      <w:lang w:val="de-DE"/>
    </w:rPr>
  </w:style>
  <w:style w:type="character" w:customStyle="1" w:styleId="DateChar">
    <w:name w:val="Date Char"/>
    <w:basedOn w:val="DefaultParagraphFont"/>
    <w:link w:val="Date"/>
    <w:qFormat/>
    <w:rPr>
      <w:sz w:val="22"/>
    </w:rPr>
  </w:style>
  <w:style w:type="paragraph" w:styleId="Revision">
    <w:name w:val="Revision"/>
    <w:hidden/>
    <w:uiPriority w:val="99"/>
    <w:unhideWhenUsed/>
    <w:rsid w:val="005D4F92"/>
    <w:rPr>
      <w:rFonts w:ascii="Segoe UI" w:hAnsi="Segoe UI"/>
      <w:sz w:val="22"/>
      <w:szCs w:val="24"/>
      <w:lang w:eastAsia="en-US"/>
    </w:rPr>
  </w:style>
  <w:style w:type="paragraph" w:styleId="EndnoteText">
    <w:name w:val="endnote text"/>
    <w:basedOn w:val="Normal"/>
    <w:link w:val="EndnoteTextChar"/>
    <w:rsid w:val="00B66E4D"/>
    <w:pPr>
      <w:snapToGrid w:val="0"/>
      <w:jc w:val="left"/>
    </w:pPr>
  </w:style>
  <w:style w:type="character" w:customStyle="1" w:styleId="EndnoteTextChar">
    <w:name w:val="Endnote Text Char"/>
    <w:basedOn w:val="DefaultParagraphFont"/>
    <w:link w:val="EndnoteText"/>
    <w:rsid w:val="00B66E4D"/>
    <w:rPr>
      <w:rFonts w:ascii="Segoe UI" w:hAnsi="Segoe UI"/>
      <w:sz w:val="22"/>
      <w:szCs w:val="24"/>
      <w:lang w:eastAsia="en-US"/>
    </w:rPr>
  </w:style>
  <w:style w:type="character" w:styleId="EndnoteReference">
    <w:name w:val="endnote reference"/>
    <w:basedOn w:val="DefaultParagraphFont"/>
    <w:rsid w:val="00B66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ki.qin@henkel.com" TargetMode="External"/><Relationship Id="rId2" Type="http://schemas.openxmlformats.org/officeDocument/2006/relationships/customXml" Target="../customXml/item2.xml"/><Relationship Id="rId16" Type="http://schemas.openxmlformats.org/officeDocument/2006/relationships/hyperlink" Target="mailto:louise.cheung@henke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rotect.checkpoint.com/v2/___http://www.henkel.com___.YzJ1OndlY29tbXVuaWNhdGlvbnM6YzpvOmM1ZDRlMDJhYjlmMDNjY2Y3MTNjZmQ0MDJkNjM2NjBkOjY6ODUwZTo1ZmM4YmM4ZDE5NzBiYzljNmI3ZDI1NTJiZDlmMzFiMzA5MGY1MmJkNTA2MWEzZmRkYmZkYjVlMGUyY2JiMDRiOnA6VDp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spPr>
      <a:bodyPr vert="horz" wrap="none" lIns="90000" tIns="46800" rIns="90000" bIns="46800" numCol="1" anchor="ctr" anchorCtr="0" compatLnSpc="1"/>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2" ma:contentTypeDescription="Create a new document." ma:contentTypeScope="" ma:versionID="e8b64b52e1ac86ee121164444417b25c">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9c7c8f3a356123b03710f7456b134ef0"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5580E192-6FC8-46C4-8E80-19D6D1031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6</Pages>
  <Words>4559</Words>
  <Characters>1302</Characters>
  <Application>Microsoft Office Word</Application>
  <DocSecurity>4</DocSecurity>
  <Lines>10</Lines>
  <Paragraphs>11</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Liki Qin</cp:lastModifiedBy>
  <cp:revision>2</cp:revision>
  <cp:lastPrinted>2025-07-30T08:03:00Z</cp:lastPrinted>
  <dcterms:created xsi:type="dcterms:W3CDTF">2025-08-11T08:16:00Z</dcterms:created>
  <dcterms:modified xsi:type="dcterms:W3CDTF">2025-08-11T08:16:00Z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y fmtid="{D5CDD505-2E9C-101B-9397-08002B2CF9AE}" pid="4" name="KSOTemplateDocerSaveRecord">
    <vt:lpwstr>eyJoZGlkIjoiOTc3M2Y5NzIzMDFlZjAyY2Q4Njk5ODkyYjFjNzBiNTQiLCJ1c2VySWQiOiIxMzM3MjcwOTMwIn0=</vt:lpwstr>
  </property>
  <property fmtid="{D5CDD505-2E9C-101B-9397-08002B2CF9AE}" pid="5" name="KSOProductBuildVer">
    <vt:lpwstr>2052-12.1.0.21915</vt:lpwstr>
  </property>
  <property fmtid="{D5CDD505-2E9C-101B-9397-08002B2CF9AE}" pid="6" name="ICV">
    <vt:lpwstr>0C6719613B49475688EDCE980747BFCC_12</vt:lpwstr>
  </property>
</Properties>
</file>