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569B" w14:textId="5F6BE383" w:rsidR="00DE6EFB" w:rsidRDefault="00E15CFD" w:rsidP="001D750B">
      <w:pPr>
        <w:pStyle w:val="MonthDayYear"/>
        <w:rPr>
          <w:lang w:eastAsia="zh-CN"/>
        </w:rPr>
      </w:pPr>
      <w:r>
        <w:rPr>
          <w:lang w:eastAsia="zh-TW"/>
        </w:rPr>
        <w:tab/>
      </w:r>
      <w:proofErr w:type="gramStart"/>
      <w:r w:rsidRPr="001D750B">
        <w:rPr>
          <w:lang w:eastAsia="zh-TW"/>
        </w:rPr>
        <w:t>2025</w:t>
      </w:r>
      <w:r w:rsidRPr="001D750B">
        <w:rPr>
          <w:rFonts w:hint="eastAsia"/>
          <w:lang w:eastAsia="zh-TW"/>
        </w:rPr>
        <w:t>年</w:t>
      </w:r>
      <w:r w:rsidRPr="001D750B">
        <w:rPr>
          <w:lang w:eastAsia="zh-TW"/>
        </w:rPr>
        <w:t>8</w:t>
      </w:r>
      <w:r w:rsidRPr="001D750B">
        <w:rPr>
          <w:rFonts w:hint="eastAsia"/>
          <w:lang w:eastAsia="zh-TW"/>
        </w:rPr>
        <w:t>月</w:t>
      </w:r>
      <w:r w:rsidRPr="001D750B">
        <w:rPr>
          <w:lang w:eastAsia="zh-TW"/>
        </w:rPr>
        <w:t>7</w:t>
      </w:r>
      <w:r w:rsidRPr="001D750B">
        <w:rPr>
          <w:rFonts w:hint="eastAsia"/>
          <w:lang w:eastAsia="zh-TW"/>
        </w:rPr>
        <w:t>日</w:t>
      </w:r>
      <w:proofErr w:type="gramEnd"/>
    </w:p>
    <w:p w14:paraId="06420E33" w14:textId="1A6A5DAA" w:rsidR="00DE6EFB" w:rsidRDefault="006427DB">
      <w:pPr>
        <w:pStyle w:val="Topline"/>
        <w:spacing w:after="360"/>
        <w:rPr>
          <w:rFonts w:asciiTheme="majorHAnsi" w:hAnsiTheme="majorHAnsi" w:cstheme="majorHAnsi"/>
          <w:lang w:eastAsia="zh-CN"/>
        </w:rPr>
      </w:pPr>
      <w:r>
        <w:rPr>
          <w:rFonts w:asciiTheme="majorHAnsi" w:hAnsiTheme="majorHAnsi" w:cstheme="majorHAnsi"/>
          <w:lang w:eastAsia="zh-CN"/>
        </w:rPr>
        <w:br/>
      </w:r>
      <w:r w:rsidR="00E15CFD">
        <w:rPr>
          <w:rFonts w:asciiTheme="majorHAnsi" w:hAnsiTheme="majorHAnsi" w:cstheme="majorHAnsi" w:hint="eastAsia"/>
          <w:lang w:eastAsia="zh-TW"/>
        </w:rPr>
        <w:t>漢高預計在</w:t>
      </w:r>
      <w:r w:rsidR="00E15CFD">
        <w:rPr>
          <w:rFonts w:asciiTheme="majorHAnsi" w:hAnsiTheme="majorHAnsi" w:cstheme="majorHAnsi"/>
          <w:lang w:eastAsia="zh-TW"/>
        </w:rPr>
        <w:t>2025</w:t>
      </w:r>
      <w:r w:rsidR="00E15CFD">
        <w:rPr>
          <w:rFonts w:asciiTheme="majorHAnsi" w:hAnsiTheme="majorHAnsi" w:cstheme="majorHAnsi" w:hint="eastAsia"/>
          <w:lang w:eastAsia="zh-TW"/>
        </w:rPr>
        <w:t>財年實現進一步盈利增長</w:t>
      </w:r>
    </w:p>
    <w:p w14:paraId="17A8430C" w14:textId="1A769452" w:rsidR="00DE6EFB" w:rsidRDefault="00E15CFD">
      <w:pPr>
        <w:jc w:val="left"/>
        <w:rPr>
          <w:rStyle w:val="Headline"/>
          <w:rFonts w:asciiTheme="majorHAnsi" w:hAnsiTheme="majorHAnsi" w:cstheme="majorHAnsi"/>
          <w:lang w:eastAsia="zh-CN"/>
        </w:rPr>
      </w:pPr>
      <w:r>
        <w:rPr>
          <w:rStyle w:val="Headline"/>
          <w:rFonts w:asciiTheme="majorHAnsi" w:hAnsiTheme="majorHAnsi" w:cstheme="majorHAnsi" w:hint="eastAsia"/>
          <w:lang w:eastAsia="zh-TW"/>
        </w:rPr>
        <w:t>漢高上半年銷售額加速增長，利潤率和盈利水準顯著提升</w:t>
      </w:r>
    </w:p>
    <w:p w14:paraId="2D20D15E" w14:textId="77777777" w:rsidR="00DE6EFB" w:rsidRDefault="00DE6EFB">
      <w:pPr>
        <w:rPr>
          <w:lang w:eastAsia="zh-CN"/>
        </w:rPr>
      </w:pPr>
    </w:p>
    <w:p w14:paraId="08CF06E2" w14:textId="4D0C98EF" w:rsidR="00DE6EFB" w:rsidRDefault="00E15CFD"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bookmarkStart w:id="0" w:name="_Hlk140061525"/>
      <w:bookmarkStart w:id="1" w:name="_Hlk43712519"/>
      <w:r>
        <w:rPr>
          <w:rFonts w:asciiTheme="majorHAnsi" w:hAnsiTheme="majorHAnsi" w:cstheme="majorHAnsi" w:hint="eastAsia"/>
          <w:b/>
          <w:szCs w:val="22"/>
          <w:lang w:eastAsia="zh-TW"/>
        </w:rPr>
        <w:t>上半年集團有機銷售額與去年持平：</w:t>
      </w:r>
      <w:r>
        <w:rPr>
          <w:rFonts w:asciiTheme="majorHAnsi" w:hAnsiTheme="majorHAnsi" w:cstheme="majorHAnsi"/>
          <w:b/>
          <w:szCs w:val="22"/>
          <w:lang w:eastAsia="zh-TW"/>
        </w:rPr>
        <w:t>104</w:t>
      </w:r>
      <w:r>
        <w:rPr>
          <w:rFonts w:asciiTheme="majorHAnsi" w:hAnsiTheme="majorHAnsi" w:cstheme="majorHAnsi" w:hint="eastAsia"/>
          <w:b/>
          <w:szCs w:val="22"/>
          <w:lang w:eastAsia="zh-TW"/>
        </w:rPr>
        <w:t>億歐元（有機下滑</w:t>
      </w:r>
      <w:r>
        <w:rPr>
          <w:rFonts w:asciiTheme="majorHAnsi" w:hAnsiTheme="majorHAnsi" w:cstheme="majorHAnsi"/>
          <w:b/>
          <w:szCs w:val="22"/>
          <w:lang w:eastAsia="zh-TW"/>
        </w:rPr>
        <w:t>0.1%</w:t>
      </w:r>
      <w:r>
        <w:rPr>
          <w:rFonts w:asciiTheme="majorHAnsi" w:hAnsiTheme="majorHAnsi" w:cstheme="majorHAnsi" w:hint="eastAsia"/>
          <w:b/>
          <w:szCs w:val="22"/>
          <w:lang w:eastAsia="zh-TW"/>
        </w:rPr>
        <w:t>；第二季度：增長</w:t>
      </w:r>
      <w:r>
        <w:rPr>
          <w:rFonts w:asciiTheme="majorHAnsi" w:hAnsiTheme="majorHAnsi" w:cstheme="majorHAnsi"/>
          <w:b/>
          <w:szCs w:val="22"/>
          <w:lang w:eastAsia="zh-TW"/>
        </w:rPr>
        <w:t>0.9%</w:t>
      </w:r>
      <w:r>
        <w:rPr>
          <w:rFonts w:asciiTheme="majorHAnsi" w:hAnsiTheme="majorHAnsi" w:cstheme="majorHAnsi" w:hint="eastAsia"/>
          <w:b/>
          <w:szCs w:val="22"/>
          <w:lang w:eastAsia="zh-TW"/>
        </w:rPr>
        <w:t>）</w:t>
      </w:r>
    </w:p>
    <w:p w14:paraId="20766379" w14:textId="1B6B97FC" w:rsidR="00DE6EFB" w:rsidRDefault="00E15CFD"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TW"/>
        </w:rPr>
        <w:t>營業利潤（息稅前利潤）</w:t>
      </w:r>
      <w:r>
        <w:rPr>
          <w:rFonts w:asciiTheme="majorHAnsi" w:hAnsiTheme="majorHAnsi" w:cstheme="majorHAnsi"/>
          <w:b/>
          <w:szCs w:val="22"/>
          <w:lang w:eastAsia="zh-TW"/>
        </w:rPr>
        <w:t>*</w:t>
      </w:r>
      <w:r>
        <w:rPr>
          <w:rFonts w:asciiTheme="majorHAnsi" w:hAnsiTheme="majorHAnsi" w:cstheme="majorHAnsi" w:hint="eastAsia"/>
          <w:b/>
          <w:szCs w:val="22"/>
          <w:lang w:eastAsia="zh-TW"/>
        </w:rPr>
        <w:t>增至</w:t>
      </w:r>
      <w:r>
        <w:rPr>
          <w:rFonts w:asciiTheme="majorHAnsi" w:hAnsiTheme="majorHAnsi" w:cstheme="majorHAnsi"/>
          <w:b/>
          <w:szCs w:val="22"/>
          <w:lang w:eastAsia="zh-TW"/>
        </w:rPr>
        <w:t>16.14</w:t>
      </w:r>
      <w:r>
        <w:rPr>
          <w:rFonts w:asciiTheme="majorHAnsi" w:hAnsiTheme="majorHAnsi" w:cstheme="majorHAnsi" w:hint="eastAsia"/>
          <w:b/>
          <w:szCs w:val="22"/>
          <w:lang w:eastAsia="zh-TW"/>
        </w:rPr>
        <w:t>億歐元（增長</w:t>
      </w:r>
      <w:r>
        <w:rPr>
          <w:rFonts w:asciiTheme="majorHAnsi" w:hAnsiTheme="majorHAnsi" w:cstheme="majorHAnsi"/>
          <w:b/>
          <w:szCs w:val="22"/>
          <w:lang w:eastAsia="zh-TW"/>
        </w:rPr>
        <w:t>0.2%</w:t>
      </w:r>
      <w:r>
        <w:rPr>
          <w:rFonts w:asciiTheme="majorHAnsi" w:hAnsiTheme="majorHAnsi" w:cstheme="majorHAnsi" w:hint="eastAsia"/>
          <w:b/>
          <w:szCs w:val="22"/>
          <w:lang w:eastAsia="zh-TW"/>
        </w:rPr>
        <w:t>）</w:t>
      </w:r>
    </w:p>
    <w:p w14:paraId="4ED917DE" w14:textId="0B978360" w:rsidR="00DE6EFB" w:rsidRDefault="00E15CFD"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TW"/>
        </w:rPr>
        <w:t>息稅前利潤率</w:t>
      </w:r>
      <w:r>
        <w:rPr>
          <w:rFonts w:asciiTheme="majorHAnsi" w:hAnsiTheme="majorHAnsi" w:cstheme="majorHAnsi"/>
          <w:b/>
          <w:szCs w:val="22"/>
          <w:lang w:eastAsia="zh-TW"/>
        </w:rPr>
        <w:t>*</w:t>
      </w:r>
      <w:r>
        <w:rPr>
          <w:rFonts w:asciiTheme="majorHAnsi" w:hAnsiTheme="majorHAnsi" w:cstheme="majorHAnsi" w:hint="eastAsia"/>
          <w:b/>
          <w:szCs w:val="22"/>
          <w:lang w:eastAsia="zh-TW"/>
        </w:rPr>
        <w:t>提高至</w:t>
      </w:r>
      <w:r>
        <w:rPr>
          <w:rFonts w:asciiTheme="majorHAnsi" w:hAnsiTheme="majorHAnsi" w:cstheme="majorHAnsi"/>
          <w:b/>
          <w:szCs w:val="22"/>
          <w:lang w:eastAsia="zh-TW"/>
        </w:rPr>
        <w:t>15.5%</w:t>
      </w:r>
      <w:r>
        <w:rPr>
          <w:rFonts w:asciiTheme="majorHAnsi" w:hAnsiTheme="majorHAnsi" w:cstheme="majorHAnsi" w:hint="eastAsia"/>
          <w:b/>
          <w:szCs w:val="22"/>
          <w:lang w:eastAsia="zh-TW"/>
        </w:rPr>
        <w:t>（增長</w:t>
      </w:r>
      <w:r>
        <w:rPr>
          <w:rFonts w:asciiTheme="majorHAnsi" w:hAnsiTheme="majorHAnsi" w:cstheme="majorHAnsi"/>
          <w:b/>
          <w:szCs w:val="22"/>
          <w:lang w:eastAsia="zh-TW"/>
        </w:rPr>
        <w:t>60</w:t>
      </w:r>
      <w:r>
        <w:rPr>
          <w:rFonts w:asciiTheme="majorHAnsi" w:hAnsiTheme="majorHAnsi" w:cstheme="majorHAnsi" w:hint="eastAsia"/>
          <w:b/>
          <w:szCs w:val="22"/>
          <w:lang w:eastAsia="zh-TW"/>
        </w:rPr>
        <w:t>個基點）</w:t>
      </w:r>
    </w:p>
    <w:p w14:paraId="2CDEE9C5" w14:textId="01F14EC3" w:rsidR="00DE6EFB" w:rsidRDefault="00E15CFD"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TW"/>
        </w:rPr>
        <w:t>優先股每股收益（</w:t>
      </w:r>
      <w:r>
        <w:rPr>
          <w:rFonts w:asciiTheme="majorHAnsi" w:hAnsiTheme="majorHAnsi" w:cstheme="majorHAnsi"/>
          <w:b/>
          <w:szCs w:val="22"/>
          <w:lang w:eastAsia="zh-TW"/>
        </w:rPr>
        <w:t>EPS</w:t>
      </w:r>
      <w:r>
        <w:rPr>
          <w:rFonts w:asciiTheme="majorHAnsi" w:hAnsiTheme="majorHAnsi" w:cstheme="majorHAnsi" w:hint="eastAsia"/>
          <w:b/>
          <w:szCs w:val="22"/>
          <w:lang w:eastAsia="zh-TW"/>
        </w:rPr>
        <w:t>）</w:t>
      </w:r>
      <w:r>
        <w:rPr>
          <w:rFonts w:asciiTheme="majorHAnsi" w:hAnsiTheme="majorHAnsi" w:cstheme="majorHAnsi"/>
          <w:b/>
          <w:szCs w:val="22"/>
          <w:lang w:eastAsia="zh-TW"/>
        </w:rPr>
        <w:t>*</w:t>
      </w:r>
      <w:r>
        <w:rPr>
          <w:rFonts w:asciiTheme="majorHAnsi" w:hAnsiTheme="majorHAnsi" w:cstheme="majorHAnsi" w:hint="eastAsia"/>
          <w:b/>
          <w:szCs w:val="22"/>
          <w:lang w:eastAsia="zh-TW"/>
        </w:rPr>
        <w:t>增至</w:t>
      </w:r>
      <w:r>
        <w:rPr>
          <w:rFonts w:asciiTheme="majorHAnsi" w:hAnsiTheme="majorHAnsi" w:cstheme="majorHAnsi"/>
          <w:b/>
          <w:szCs w:val="22"/>
          <w:lang w:eastAsia="zh-TW"/>
        </w:rPr>
        <w:t>2.81</w:t>
      </w:r>
      <w:r>
        <w:rPr>
          <w:rFonts w:asciiTheme="majorHAnsi" w:hAnsiTheme="majorHAnsi" w:cstheme="majorHAnsi" w:hint="eastAsia"/>
          <w:b/>
          <w:szCs w:val="22"/>
          <w:lang w:eastAsia="zh-TW"/>
        </w:rPr>
        <w:t>歐元，按固定匯率計算增長</w:t>
      </w:r>
      <w:r>
        <w:rPr>
          <w:rFonts w:asciiTheme="majorHAnsi" w:hAnsiTheme="majorHAnsi" w:cstheme="majorHAnsi"/>
          <w:b/>
          <w:szCs w:val="22"/>
          <w:lang w:eastAsia="zh-TW"/>
        </w:rPr>
        <w:t>5.0%</w:t>
      </w:r>
    </w:p>
    <w:bookmarkEnd w:id="0"/>
    <w:p w14:paraId="6679E8E7" w14:textId="116ACEF9" w:rsidR="00DE6EFB" w:rsidRDefault="00E15CFD"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TW"/>
        </w:rPr>
        <w:t>進一步加快實施目標性增長議程</w:t>
      </w:r>
    </w:p>
    <w:p w14:paraId="1602BC4A" w14:textId="374373A7" w:rsidR="00DE6EFB" w:rsidRDefault="00E15CFD" w:rsidP="00AE0967">
      <w:pPr>
        <w:pStyle w:val="ListParagraph"/>
        <w:widowControl w:val="0"/>
        <w:numPr>
          <w:ilvl w:val="1"/>
          <w:numId w:val="5"/>
        </w:numPr>
        <w:tabs>
          <w:tab w:val="left" w:pos="702"/>
        </w:tabs>
        <w:autoSpaceDE w:val="0"/>
        <w:autoSpaceDN w:val="0"/>
        <w:spacing w:before="113" w:after="120" w:line="240" w:lineRule="auto"/>
        <w:contextualSpacing w:val="0"/>
        <w:jc w:val="left"/>
        <w:rPr>
          <w:lang w:eastAsia="zh-CN"/>
        </w:rPr>
      </w:pPr>
      <w:r>
        <w:rPr>
          <w:rFonts w:hint="eastAsia"/>
          <w:lang w:eastAsia="zh-TW"/>
        </w:rPr>
        <w:t>在充滿挑戰的市場環境中，明確關注聚焦全球大趨勢，強化了粘合劑技術業務部的競爭力和韌性</w:t>
      </w:r>
    </w:p>
    <w:p w14:paraId="0B7E9B2B" w14:textId="40F9ED22" w:rsidR="00DE6EFB" w:rsidRDefault="00E15CFD" w:rsidP="00AE0967">
      <w:pPr>
        <w:pStyle w:val="ListParagraph"/>
        <w:widowControl w:val="0"/>
        <w:numPr>
          <w:ilvl w:val="1"/>
          <w:numId w:val="5"/>
        </w:numPr>
        <w:tabs>
          <w:tab w:val="left" w:pos="702"/>
        </w:tabs>
        <w:autoSpaceDE w:val="0"/>
        <w:autoSpaceDN w:val="0"/>
        <w:spacing w:before="113" w:after="120" w:line="240" w:lineRule="auto"/>
        <w:ind w:left="697" w:hanging="357"/>
        <w:contextualSpacing w:val="0"/>
        <w:jc w:val="left"/>
        <w:rPr>
          <w:lang w:eastAsia="zh-CN"/>
        </w:rPr>
      </w:pPr>
      <w:r>
        <w:rPr>
          <w:rFonts w:hint="eastAsia"/>
          <w:lang w:eastAsia="zh-TW"/>
        </w:rPr>
        <w:t>消費品牌業務部銷量顯著提升</w:t>
      </w:r>
      <w:r w:rsidRPr="00BF380F">
        <w:rPr>
          <w:rFonts w:eastAsiaTheme="minorEastAsia" w:cs="Segoe UI"/>
          <w:color w:val="000000" w:themeColor="text1"/>
          <w:lang w:eastAsia="zh-TW"/>
        </w:rPr>
        <w:t>——</w:t>
      </w:r>
      <w:r>
        <w:rPr>
          <w:rFonts w:hint="eastAsia"/>
          <w:lang w:eastAsia="zh-TW"/>
        </w:rPr>
        <w:t>十大核心品牌均實現良好有機銷售額增長</w:t>
      </w:r>
    </w:p>
    <w:p w14:paraId="6AAA9F25" w14:textId="73BF3F3B" w:rsidR="00DE6EFB" w:rsidRDefault="00B51E72" w:rsidP="00AE0967">
      <w:pPr>
        <w:pStyle w:val="He01FlietextAufzhlung1Ebene"/>
        <w:ind w:hanging="357"/>
        <w:rPr>
          <w:b/>
        </w:rPr>
      </w:pPr>
      <w:r>
        <w:rPr>
          <w:rFonts w:hint="eastAsia"/>
          <w:b/>
        </w:rPr>
        <w:t>2025</w:t>
      </w:r>
      <w:r w:rsidR="00E15CFD">
        <w:rPr>
          <w:rFonts w:ascii="微软雅黑" w:eastAsia="微软雅黑" w:hAnsi="微软雅黑" w:cs="微软雅黑" w:hint="eastAsia"/>
          <w:b/>
          <w:lang w:eastAsia="zh-TW"/>
        </w:rPr>
        <w:t>財年展望更新：</w:t>
      </w:r>
    </w:p>
    <w:p w14:paraId="06CE94E5" w14:textId="46A56196" w:rsidR="00DE6EFB" w:rsidRPr="00E15CFD" w:rsidRDefault="00E15CFD" w:rsidP="00AE0967">
      <w:pPr>
        <w:pStyle w:val="He01FlietextAufzhlung2Ebene"/>
        <w:rPr>
          <w:rFonts w:eastAsia="宋体" w:cs="Segoe UI"/>
          <w:lang w:eastAsia="zh-CN"/>
        </w:rPr>
      </w:pPr>
      <w:r w:rsidRPr="00B51E72">
        <w:rPr>
          <w:rFonts w:eastAsia="宋体" w:cs="Segoe UI" w:hint="eastAsia"/>
          <w:lang w:val="en-US" w:eastAsia="zh-TW"/>
        </w:rPr>
        <w:t>有機銷售額增長</w:t>
      </w:r>
      <w:r w:rsidRPr="00E15CFD">
        <w:rPr>
          <w:rFonts w:eastAsia="宋体" w:cs="Segoe UI" w:hint="eastAsia"/>
          <w:lang w:eastAsia="zh-TW"/>
        </w:rPr>
        <w:t>：</w:t>
      </w:r>
      <w:r w:rsidRPr="00E15CFD">
        <w:rPr>
          <w:rFonts w:eastAsia="宋体" w:cs="Segoe UI"/>
          <w:lang w:eastAsia="zh-TW"/>
        </w:rPr>
        <w:t xml:space="preserve">1.0% </w:t>
      </w:r>
      <w:r>
        <w:rPr>
          <w:rFonts w:eastAsia="宋体" w:cs="Segoe UI" w:hint="eastAsia"/>
          <w:lang w:val="en-US" w:eastAsia="zh-TW"/>
        </w:rPr>
        <w:t>至</w:t>
      </w:r>
      <w:r w:rsidRPr="00E15CFD">
        <w:rPr>
          <w:rFonts w:eastAsia="宋体" w:cs="Segoe UI"/>
          <w:lang w:eastAsia="zh-TW"/>
        </w:rPr>
        <w:t xml:space="preserve"> 2.0%</w:t>
      </w:r>
      <w:r w:rsidRPr="00E15CFD">
        <w:rPr>
          <w:rFonts w:eastAsia="宋体" w:cs="Segoe UI" w:hint="eastAsia"/>
          <w:lang w:eastAsia="zh-TW"/>
        </w:rPr>
        <w:t>（</w:t>
      </w:r>
      <w:r w:rsidRPr="00E67281">
        <w:rPr>
          <w:rFonts w:eastAsia="宋体" w:cs="Segoe UI" w:hint="eastAsia"/>
          <w:lang w:val="en-US" w:eastAsia="zh-TW"/>
        </w:rPr>
        <w:t>此前預期：</w:t>
      </w:r>
      <w:r w:rsidRPr="00E15CFD">
        <w:rPr>
          <w:rFonts w:eastAsia="宋体" w:cs="Segoe UI"/>
          <w:lang w:eastAsia="zh-TW"/>
        </w:rPr>
        <w:t xml:space="preserve">1.5% </w:t>
      </w:r>
      <w:r>
        <w:rPr>
          <w:rFonts w:eastAsia="宋体" w:cs="Segoe UI" w:hint="eastAsia"/>
          <w:lang w:val="en-US" w:eastAsia="zh-TW"/>
        </w:rPr>
        <w:t>至</w:t>
      </w:r>
      <w:r w:rsidRPr="00E15CFD">
        <w:rPr>
          <w:rFonts w:eastAsia="宋体" w:cs="Segoe UI"/>
          <w:lang w:eastAsia="zh-TW"/>
        </w:rPr>
        <w:t xml:space="preserve"> 3.5%</w:t>
      </w:r>
      <w:r w:rsidRPr="00E15CFD">
        <w:rPr>
          <w:rFonts w:eastAsia="宋体" w:cs="Segoe UI" w:hint="eastAsia"/>
          <w:lang w:eastAsia="zh-TW"/>
        </w:rPr>
        <w:t>）</w:t>
      </w:r>
    </w:p>
    <w:p w14:paraId="0F5EB8CA" w14:textId="0323473C" w:rsidR="005B0715" w:rsidRPr="00E15CFD" w:rsidRDefault="00E15CFD" w:rsidP="00F72405">
      <w:pPr>
        <w:pStyle w:val="He01FlietextAufzhlung2Ebene"/>
        <w:rPr>
          <w:rFonts w:eastAsia="宋体"/>
          <w:lang w:eastAsia="zh-CN"/>
        </w:rPr>
      </w:pPr>
      <w:r w:rsidRPr="00B51E72">
        <w:rPr>
          <w:rFonts w:eastAsia="宋体" w:cs="Segoe UI" w:hint="eastAsia"/>
          <w:lang w:val="en-US" w:eastAsia="zh-TW"/>
        </w:rPr>
        <w:t>調整後的銷售回報率</w:t>
      </w:r>
      <w:r w:rsidRPr="00E15CFD">
        <w:rPr>
          <w:rFonts w:eastAsia="宋体" w:cs="Segoe UI" w:hint="eastAsia"/>
          <w:lang w:eastAsia="zh-TW"/>
        </w:rPr>
        <w:t>：</w:t>
      </w:r>
      <w:r w:rsidRPr="00E15CFD">
        <w:rPr>
          <w:rFonts w:eastAsia="宋体" w:cs="Segoe UI"/>
          <w:lang w:eastAsia="zh-TW"/>
        </w:rPr>
        <w:t xml:space="preserve">14.5% </w:t>
      </w:r>
      <w:r>
        <w:rPr>
          <w:rFonts w:eastAsia="宋体" w:cs="Segoe UI" w:hint="eastAsia"/>
          <w:lang w:val="en-US" w:eastAsia="zh-TW"/>
        </w:rPr>
        <w:t>至</w:t>
      </w:r>
      <w:r w:rsidRPr="00E15CFD">
        <w:rPr>
          <w:rFonts w:eastAsia="宋体" w:cs="Segoe UI"/>
          <w:lang w:eastAsia="zh-TW"/>
        </w:rPr>
        <w:t xml:space="preserve"> 15.5%</w:t>
      </w:r>
      <w:r w:rsidRPr="00E15CFD">
        <w:rPr>
          <w:rFonts w:eastAsia="宋体" w:cs="Segoe UI" w:hint="eastAsia"/>
          <w:lang w:eastAsia="zh-TW"/>
        </w:rPr>
        <w:t>（</w:t>
      </w:r>
      <w:r w:rsidRPr="00E67281">
        <w:rPr>
          <w:rFonts w:eastAsia="宋体" w:cs="Segoe UI" w:hint="eastAsia"/>
          <w:lang w:val="en-US" w:eastAsia="zh-TW"/>
        </w:rPr>
        <w:t>此前預期：</w:t>
      </w:r>
      <w:r w:rsidRPr="00E15CFD">
        <w:rPr>
          <w:rFonts w:eastAsia="宋体" w:cs="Segoe UI"/>
          <w:lang w:eastAsia="zh-TW"/>
        </w:rPr>
        <w:t xml:space="preserve">14.0% </w:t>
      </w:r>
      <w:r>
        <w:rPr>
          <w:rFonts w:eastAsia="宋体" w:cs="Segoe UI" w:hint="eastAsia"/>
          <w:lang w:val="en-US" w:eastAsia="zh-TW"/>
        </w:rPr>
        <w:t>至</w:t>
      </w:r>
      <w:r w:rsidRPr="00E15CFD">
        <w:rPr>
          <w:rFonts w:eastAsia="宋体" w:cs="Segoe UI"/>
          <w:lang w:eastAsia="zh-TW"/>
        </w:rPr>
        <w:t xml:space="preserve"> 15.5%</w:t>
      </w:r>
      <w:r w:rsidRPr="00E15CFD">
        <w:rPr>
          <w:rFonts w:eastAsia="宋体" w:cs="Segoe UI" w:hint="eastAsia"/>
          <w:lang w:eastAsia="zh-TW"/>
        </w:rPr>
        <w:t>）</w:t>
      </w:r>
    </w:p>
    <w:p w14:paraId="748A236F" w14:textId="03CACA3D" w:rsidR="00DE6EFB" w:rsidRPr="00E15CFD" w:rsidRDefault="00E15CFD" w:rsidP="00AE0967">
      <w:pPr>
        <w:pStyle w:val="He01FlietextAufzhlung2Ebene"/>
        <w:rPr>
          <w:rFonts w:eastAsia="宋体" w:cs="Segoe UI"/>
          <w:lang w:eastAsia="zh-CN"/>
        </w:rPr>
      </w:pPr>
      <w:r w:rsidRPr="00B51E72">
        <w:rPr>
          <w:rFonts w:eastAsia="宋体" w:cs="Segoe UI" w:hint="eastAsia"/>
          <w:lang w:val="en-US" w:eastAsia="zh-TW"/>
        </w:rPr>
        <w:t>調整後的優先股每股收益</w:t>
      </w:r>
      <w:r w:rsidRPr="00E15CFD">
        <w:rPr>
          <w:rFonts w:eastAsia="宋体" w:cs="Segoe UI" w:hint="eastAsia"/>
          <w:lang w:eastAsia="zh-TW"/>
        </w:rPr>
        <w:t>（</w:t>
      </w:r>
      <w:r w:rsidRPr="00E15CFD">
        <w:rPr>
          <w:rFonts w:eastAsia="宋体" w:cs="Segoe UI"/>
          <w:lang w:eastAsia="zh-TW"/>
        </w:rPr>
        <w:t>EPS</w:t>
      </w:r>
      <w:r w:rsidRPr="00E15CFD">
        <w:rPr>
          <w:rFonts w:eastAsia="宋体" w:cs="Segoe UI" w:hint="eastAsia"/>
          <w:lang w:eastAsia="zh-TW"/>
        </w:rPr>
        <w:t>）：</w:t>
      </w:r>
      <w:r w:rsidRPr="00B51E72">
        <w:rPr>
          <w:rFonts w:eastAsia="宋体" w:cs="Segoe UI" w:hint="eastAsia"/>
          <w:lang w:val="en-US" w:eastAsia="zh-TW"/>
        </w:rPr>
        <w:t>按固定匯率計算</w:t>
      </w:r>
      <w:r w:rsidRPr="00E15CFD">
        <w:rPr>
          <w:rFonts w:eastAsia="宋体" w:cs="Segoe UI" w:hint="eastAsia"/>
          <w:lang w:eastAsia="zh-TW"/>
        </w:rPr>
        <w:t>，</w:t>
      </w:r>
      <w:r w:rsidRPr="00293BE2">
        <w:rPr>
          <w:rFonts w:eastAsia="宋体" w:cs="Segoe UI" w:hint="eastAsia"/>
          <w:lang w:val="en-US" w:eastAsia="zh-TW"/>
        </w:rPr>
        <w:t>低至高個位數百分比增長</w:t>
      </w:r>
      <w:r w:rsidRPr="00E15CFD">
        <w:rPr>
          <w:rFonts w:eastAsia="宋体" w:cs="Segoe UI" w:hint="eastAsia"/>
          <w:lang w:eastAsia="zh-TW"/>
        </w:rPr>
        <w:t>（</w:t>
      </w:r>
      <w:r w:rsidRPr="00B51E72">
        <w:rPr>
          <w:rFonts w:eastAsia="宋体" w:cs="Segoe UI" w:hint="eastAsia"/>
          <w:lang w:val="en-US" w:eastAsia="zh-TW"/>
        </w:rPr>
        <w:t>不變</w:t>
      </w:r>
      <w:r w:rsidRPr="00E15CFD">
        <w:rPr>
          <w:rFonts w:eastAsia="宋体" w:cs="Segoe UI" w:hint="eastAsia"/>
          <w:lang w:eastAsia="zh-TW"/>
        </w:rPr>
        <w:t>）</w:t>
      </w:r>
    </w:p>
    <w:p w14:paraId="6566B859" w14:textId="135170D2" w:rsidR="001331DC" w:rsidRDefault="00E15CFD" w:rsidP="00B4523E">
      <w:pPr>
        <w:pStyle w:val="He01Flietext"/>
        <w:spacing w:after="0" w:line="276" w:lineRule="auto"/>
        <w:jc w:val="both"/>
        <w:rPr>
          <w:rFonts w:eastAsia="宋体" w:cs="Segoe UI"/>
          <w:lang w:val="en-US" w:eastAsia="zh-CN"/>
        </w:rPr>
      </w:pPr>
      <w:bookmarkStart w:id="2" w:name="_Hlk204078858"/>
      <w:r>
        <w:rPr>
          <w:rFonts w:eastAsia="宋体" w:cs="Segoe UI" w:hint="eastAsia"/>
          <w:lang w:val="en-US" w:eastAsia="zh-TW"/>
        </w:rPr>
        <w:t>杜塞爾多夫</w:t>
      </w:r>
      <w:r w:rsidRPr="00BF380F">
        <w:rPr>
          <w:rFonts w:eastAsiaTheme="minorEastAsia" w:cs="Segoe UI" w:hint="eastAsia"/>
          <w:color w:val="000000" w:themeColor="text1"/>
          <w:lang w:eastAsia="zh-TW"/>
        </w:rPr>
        <w:t>，</w:t>
      </w:r>
      <w:r w:rsidR="00266192" w:rsidRPr="00BF380F">
        <w:rPr>
          <w:rFonts w:eastAsiaTheme="minorEastAsia" w:cs="Segoe UI"/>
          <w:color w:val="000000" w:themeColor="text1"/>
          <w:lang w:eastAsia="zh-CN"/>
        </w:rPr>
        <w:t>2025</w:t>
      </w:r>
      <w:r w:rsidRPr="00BF380F">
        <w:rPr>
          <w:rFonts w:eastAsiaTheme="minorEastAsia" w:cs="Segoe UI" w:hint="eastAsia"/>
          <w:color w:val="000000" w:themeColor="text1"/>
          <w:lang w:eastAsia="zh-TW"/>
        </w:rPr>
        <w:t>年</w:t>
      </w:r>
      <w:r w:rsidR="001F7754">
        <w:rPr>
          <w:rFonts w:eastAsia="宋体" w:cs="Segoe UI" w:hint="eastAsia"/>
          <w:color w:val="000000" w:themeColor="text1"/>
          <w:lang w:eastAsia="zh-CN"/>
        </w:rPr>
        <w:t>8</w:t>
      </w:r>
      <w:r w:rsidRPr="00BF380F">
        <w:rPr>
          <w:rFonts w:eastAsiaTheme="minorEastAsia" w:cs="Segoe UI" w:hint="eastAsia"/>
          <w:color w:val="000000" w:themeColor="text1"/>
          <w:lang w:eastAsia="zh-TW"/>
        </w:rPr>
        <w:t>月</w:t>
      </w:r>
      <w:r w:rsidR="001F7754">
        <w:rPr>
          <w:rFonts w:eastAsia="宋体" w:cs="Segoe UI" w:hint="eastAsia"/>
          <w:color w:val="000000" w:themeColor="text1"/>
          <w:lang w:eastAsia="zh-CN"/>
        </w:rPr>
        <w:t>7</w:t>
      </w:r>
      <w:r w:rsidRPr="00BF380F">
        <w:rPr>
          <w:rFonts w:eastAsiaTheme="minorEastAsia" w:cs="Segoe UI" w:hint="eastAsia"/>
          <w:color w:val="000000" w:themeColor="text1"/>
          <w:lang w:eastAsia="zh-TW"/>
        </w:rPr>
        <w:t>日</w:t>
      </w:r>
      <w:r w:rsidR="00266192" w:rsidRPr="00BF380F">
        <w:rPr>
          <w:rFonts w:eastAsiaTheme="minorEastAsia" w:cs="Segoe UI"/>
          <w:color w:val="000000" w:themeColor="text1"/>
          <w:lang w:eastAsia="zh-CN"/>
        </w:rPr>
        <w:t>——</w:t>
      </w:r>
      <w:r>
        <w:rPr>
          <w:rFonts w:eastAsia="宋体" w:cs="Segoe UI" w:hint="eastAsia"/>
          <w:lang w:val="en-US" w:eastAsia="zh-TW"/>
        </w:rPr>
        <w:t>繼年初平穩開局之後</w:t>
      </w:r>
      <w:r w:rsidRPr="00E15CFD">
        <w:rPr>
          <w:rFonts w:eastAsia="宋体" w:cs="Segoe UI" w:hint="eastAsia"/>
          <w:lang w:eastAsia="zh-TW"/>
        </w:rPr>
        <w:t>，</w:t>
      </w:r>
      <w:r>
        <w:rPr>
          <w:rFonts w:eastAsia="宋体" w:cs="Segoe UI" w:hint="eastAsia"/>
          <w:lang w:val="en-US" w:eastAsia="zh-TW"/>
        </w:rPr>
        <w:t>得益於第二季度的良好業績</w:t>
      </w:r>
      <w:r w:rsidRPr="00E15CFD">
        <w:rPr>
          <w:rFonts w:eastAsia="宋体" w:cs="Segoe UI" w:hint="eastAsia"/>
          <w:lang w:eastAsia="zh-TW"/>
        </w:rPr>
        <w:t>，</w:t>
      </w:r>
      <w:r>
        <w:rPr>
          <w:rFonts w:eastAsia="宋体" w:cs="Segoe UI" w:hint="eastAsia"/>
          <w:lang w:val="en-US" w:eastAsia="zh-TW"/>
        </w:rPr>
        <w:t>漢高在</w:t>
      </w:r>
      <w:r w:rsidRPr="00E15CFD">
        <w:rPr>
          <w:rFonts w:eastAsia="宋体" w:cs="Segoe UI"/>
          <w:lang w:eastAsia="zh-TW"/>
        </w:rPr>
        <w:t>2025</w:t>
      </w:r>
      <w:r>
        <w:rPr>
          <w:rFonts w:eastAsia="宋体" w:cs="Segoe UI" w:hint="eastAsia"/>
          <w:lang w:val="en-US" w:eastAsia="zh-TW"/>
        </w:rPr>
        <w:t>上半財年有機銷售額增長加速。與此同時，盈利能力也大幅提升。漢高首席執行官卡斯滕</w:t>
      </w:r>
      <w:r>
        <w:rPr>
          <w:rFonts w:eastAsia="宋体" w:cs="Segoe UI"/>
          <w:lang w:val="en-US" w:eastAsia="zh-TW"/>
        </w:rPr>
        <w:t>·</w:t>
      </w:r>
      <w:r>
        <w:rPr>
          <w:rFonts w:eastAsia="宋体" w:cs="Segoe UI" w:hint="eastAsia"/>
          <w:lang w:val="en-US" w:eastAsia="zh-TW"/>
        </w:rPr>
        <w:t>諾貝爾（</w:t>
      </w:r>
      <w:r>
        <w:rPr>
          <w:rFonts w:eastAsia="宋体" w:cs="Segoe UI"/>
          <w:lang w:val="en-US" w:eastAsia="zh-TW"/>
        </w:rPr>
        <w:t>Carsten Knobel</w:t>
      </w:r>
      <w:r>
        <w:rPr>
          <w:rFonts w:eastAsia="宋体" w:cs="Segoe UI" w:hint="eastAsia"/>
          <w:lang w:val="en-US" w:eastAsia="zh-TW"/>
        </w:rPr>
        <w:t>）表示</w:t>
      </w:r>
      <w:proofErr w:type="gramStart"/>
      <w:r>
        <w:rPr>
          <w:rFonts w:eastAsia="宋体" w:cs="Segoe UI" w:hint="eastAsia"/>
          <w:lang w:val="en-US" w:eastAsia="zh-TW"/>
        </w:rPr>
        <w:t>：“</w:t>
      </w:r>
      <w:proofErr w:type="gramEnd"/>
      <w:r>
        <w:rPr>
          <w:rFonts w:eastAsia="宋体" w:cs="Segoe UI" w:hint="eastAsia"/>
          <w:lang w:val="en-US" w:eastAsia="zh-TW"/>
        </w:rPr>
        <w:t>有機銷售額的增長由兩大業務部門共同推動，其中消費品牌業務部連續的銷量增長表現尤為突出，再加上價格上漲的助力，使其在第二季度實現了有機銷售額的正增長。粘合劑技術業務部在上半年也實現了有機銷售額的正增長，這主要得益於價格策略與銷量提升的協同效應。”</w:t>
      </w:r>
    </w:p>
    <w:p w14:paraId="4AB42E9E" w14:textId="77777777" w:rsidR="009F1549" w:rsidRDefault="009F1549">
      <w:pPr>
        <w:pStyle w:val="He01Flietext"/>
        <w:spacing w:after="0" w:line="276" w:lineRule="auto"/>
        <w:jc w:val="both"/>
        <w:rPr>
          <w:rFonts w:eastAsia="宋体" w:cs="Segoe UI"/>
          <w:lang w:val="en-US" w:eastAsia="zh-CN"/>
        </w:rPr>
      </w:pPr>
    </w:p>
    <w:p w14:paraId="11448CB2" w14:textId="3E21C01C" w:rsidR="00DE6EFB" w:rsidRDefault="001331DC" w:rsidP="001331DC">
      <w:pPr>
        <w:pStyle w:val="He01Flietext"/>
        <w:spacing w:after="0" w:line="276" w:lineRule="auto"/>
        <w:jc w:val="center"/>
        <w:rPr>
          <w:rFonts w:eastAsia="宋体"/>
          <w:lang w:eastAsia="zh-CN"/>
        </w:rPr>
      </w:pPr>
      <w:r>
        <w:rPr>
          <w:noProof/>
        </w:rPr>
        <w:lastRenderedPageBreak/>
        <w:drawing>
          <wp:inline distT="0" distB="0" distL="0" distR="0" wp14:anchorId="5D03F1B8" wp14:editId="60C05C0B">
            <wp:extent cx="2160000" cy="1618869"/>
            <wp:effectExtent l="0" t="0" r="0" b="635"/>
            <wp:docPr id="2487545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54531"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618869"/>
                    </a:xfrm>
                    <a:prstGeom prst="rect">
                      <a:avLst/>
                    </a:prstGeom>
                    <a:noFill/>
                    <a:ln>
                      <a:noFill/>
                    </a:ln>
                  </pic:spPr>
                </pic:pic>
              </a:graphicData>
            </a:graphic>
          </wp:inline>
        </w:drawing>
      </w:r>
    </w:p>
    <w:p w14:paraId="57C3E02E" w14:textId="696A0B4E" w:rsidR="00C756B4" w:rsidRPr="00E15CFD" w:rsidRDefault="00E15CFD" w:rsidP="00C756B4">
      <w:pPr>
        <w:pStyle w:val="He01Flietext"/>
        <w:jc w:val="center"/>
        <w:rPr>
          <w:rFonts w:eastAsia="宋体" w:cs="Segoe UI"/>
          <w:i/>
          <w:iCs/>
          <w:lang w:eastAsia="zh-CN"/>
        </w:rPr>
      </w:pPr>
      <w:r w:rsidRPr="00756048">
        <w:rPr>
          <w:rFonts w:eastAsia="宋体" w:cs="Segoe UI" w:hint="eastAsia"/>
          <w:i/>
          <w:iCs/>
          <w:lang w:val="en-US" w:eastAsia="zh-TW"/>
        </w:rPr>
        <w:t>漢高發佈</w:t>
      </w:r>
      <w:r w:rsidRPr="00E15CFD">
        <w:rPr>
          <w:rFonts w:eastAsia="宋体" w:cs="Segoe UI"/>
          <w:i/>
          <w:iCs/>
          <w:lang w:eastAsia="zh-TW"/>
        </w:rPr>
        <w:t>2025</w:t>
      </w:r>
      <w:r w:rsidRPr="00756048">
        <w:rPr>
          <w:rFonts w:eastAsia="宋体" w:cs="Segoe UI" w:hint="eastAsia"/>
          <w:i/>
          <w:iCs/>
          <w:lang w:val="en-US" w:eastAsia="zh-TW"/>
        </w:rPr>
        <w:t>財年半年報</w:t>
      </w:r>
    </w:p>
    <w:p w14:paraId="548E4CEA" w14:textId="77777777" w:rsidR="001331DC" w:rsidRPr="00F007BC" w:rsidRDefault="001331DC" w:rsidP="00F007BC">
      <w:pPr>
        <w:pStyle w:val="He01Flietext"/>
        <w:spacing w:after="0" w:line="276" w:lineRule="auto"/>
        <w:jc w:val="center"/>
        <w:rPr>
          <w:rFonts w:eastAsia="宋体"/>
          <w:b/>
          <w:bCs/>
          <w:lang w:eastAsia="zh-CN"/>
        </w:rPr>
      </w:pPr>
    </w:p>
    <w:bookmarkEnd w:id="2"/>
    <w:p w14:paraId="70A56D8A" w14:textId="47C471CE" w:rsidR="00DE6EFB" w:rsidRDefault="00E15CFD">
      <w:pPr>
        <w:rPr>
          <w:rFonts w:cs="Segoe UI"/>
          <w:szCs w:val="22"/>
          <w:lang w:val="de-DE" w:eastAsia="zh-TW"/>
        </w:rPr>
      </w:pPr>
      <w:r>
        <w:rPr>
          <w:rFonts w:cs="Segoe UI" w:hint="eastAsia"/>
          <w:szCs w:val="22"/>
          <w:lang w:eastAsia="zh-TW"/>
        </w:rPr>
        <w:t>卡斯滕</w:t>
      </w:r>
      <w:r w:rsidRPr="00E15CFD">
        <w:rPr>
          <w:rFonts w:cs="Segoe UI"/>
          <w:szCs w:val="22"/>
          <w:lang w:val="de-DE" w:eastAsia="zh-TW"/>
        </w:rPr>
        <w:t>·</w:t>
      </w:r>
      <w:r>
        <w:rPr>
          <w:rFonts w:cs="Segoe UI" w:hint="eastAsia"/>
          <w:szCs w:val="22"/>
          <w:lang w:eastAsia="zh-TW"/>
        </w:rPr>
        <w:t>諾貝爾補充道</w:t>
      </w:r>
      <w:r w:rsidRPr="00E15CFD">
        <w:rPr>
          <w:rFonts w:cs="Segoe UI" w:hint="eastAsia"/>
          <w:szCs w:val="22"/>
          <w:lang w:val="de-DE" w:eastAsia="zh-TW"/>
        </w:rPr>
        <w:t>：“</w:t>
      </w:r>
      <w:r>
        <w:rPr>
          <w:rFonts w:cs="Segoe UI" w:hint="eastAsia"/>
          <w:szCs w:val="22"/>
          <w:lang w:eastAsia="zh-TW"/>
        </w:rPr>
        <w:t>此外</w:t>
      </w:r>
      <w:r w:rsidRPr="00E15CFD">
        <w:rPr>
          <w:rFonts w:cs="Segoe UI" w:hint="eastAsia"/>
          <w:szCs w:val="22"/>
          <w:lang w:val="de-DE" w:eastAsia="zh-TW"/>
        </w:rPr>
        <w:t>，</w:t>
      </w:r>
      <w:r>
        <w:rPr>
          <w:rFonts w:cs="Segoe UI" w:hint="eastAsia"/>
          <w:szCs w:val="22"/>
          <w:lang w:eastAsia="zh-TW"/>
        </w:rPr>
        <w:t>今年上半年我們的息稅前利潤率實現顯著提升</w:t>
      </w:r>
      <w:r w:rsidRPr="00E15CFD">
        <w:rPr>
          <w:rFonts w:cs="Segoe UI" w:hint="eastAsia"/>
          <w:szCs w:val="22"/>
          <w:lang w:val="de-DE" w:eastAsia="zh-TW"/>
        </w:rPr>
        <w:t>，</w:t>
      </w:r>
      <w:r>
        <w:rPr>
          <w:rFonts w:cs="Segoe UI" w:hint="eastAsia"/>
          <w:szCs w:val="22"/>
          <w:lang w:eastAsia="zh-TW"/>
        </w:rPr>
        <w:t>主要得益於兩大業務部門極為強勁的毛利率表現</w:t>
      </w:r>
      <w:r w:rsidRPr="00E15CFD">
        <w:rPr>
          <w:rFonts w:cs="Segoe UI" w:hint="eastAsia"/>
          <w:szCs w:val="22"/>
          <w:lang w:val="de-DE" w:eastAsia="zh-TW"/>
        </w:rPr>
        <w:t>，</w:t>
      </w:r>
      <w:r>
        <w:rPr>
          <w:rFonts w:cs="Segoe UI" w:hint="eastAsia"/>
          <w:szCs w:val="22"/>
          <w:lang w:eastAsia="zh-TW"/>
        </w:rPr>
        <w:t>以及有效的業務組合結構。我們持續推進效率提升，</w:t>
      </w:r>
      <w:r>
        <w:rPr>
          <w:rFonts w:cs="Segoe UI" w:hint="eastAsia"/>
          <w:szCs w:val="22"/>
          <w:lang w:val="de-DE" w:eastAsia="zh-TW"/>
        </w:rPr>
        <w:t>並有望達到甚至超過消費品牌業務部設定的成本</w:t>
      </w:r>
      <w:r>
        <w:rPr>
          <w:rFonts w:cs="Segoe UI" w:hint="eastAsia"/>
          <w:szCs w:val="22"/>
          <w:lang w:eastAsia="zh-TW"/>
        </w:rPr>
        <w:t>節約</w:t>
      </w:r>
      <w:r>
        <w:rPr>
          <w:rFonts w:cs="Segoe UI" w:hint="eastAsia"/>
          <w:szCs w:val="22"/>
          <w:lang w:val="de-DE" w:eastAsia="zh-TW"/>
        </w:rPr>
        <w:t>目標。與此同時，</w:t>
      </w:r>
      <w:r w:rsidRPr="00EB7D66">
        <w:rPr>
          <w:rFonts w:cs="Segoe UI" w:hint="eastAsia"/>
          <w:szCs w:val="22"/>
          <w:lang w:eastAsia="zh-TW"/>
        </w:rPr>
        <w:t>我們持續加大對品牌建設與技術研發的投入，為未來的增長潛力奠定堅實基礎。</w:t>
      </w:r>
      <w:r>
        <w:rPr>
          <w:rFonts w:cs="Segoe UI" w:hint="eastAsia"/>
          <w:szCs w:val="22"/>
          <w:lang w:val="de-DE" w:eastAsia="zh-TW"/>
        </w:rPr>
        <w:t>”</w:t>
      </w:r>
    </w:p>
    <w:p w14:paraId="20DE1B28" w14:textId="5D2A4538" w:rsidR="001331DC" w:rsidRDefault="00FF13C9" w:rsidP="00FF13C9">
      <w:pPr>
        <w:jc w:val="center"/>
        <w:rPr>
          <w:rFonts w:cs="Segoe UI"/>
          <w:szCs w:val="22"/>
          <w:lang w:val="de-DE" w:eastAsia="zh-CN"/>
        </w:rPr>
      </w:pPr>
      <w:r>
        <w:rPr>
          <w:noProof/>
        </w:rPr>
        <w:drawing>
          <wp:inline distT="0" distB="0" distL="0" distR="0" wp14:anchorId="2735DCB5" wp14:editId="4602D1D9">
            <wp:extent cx="2160000" cy="1441506"/>
            <wp:effectExtent l="0" t="0" r="0" b="6350"/>
            <wp:docPr id="1882406273" name="图片 5" descr="穿西装的男子站在门前&#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6273" name="图片 5" descr="穿西装的男子站在门前&#10;&#10;AI 生成的内容可能不正确。"/>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41506"/>
                    </a:xfrm>
                    <a:prstGeom prst="rect">
                      <a:avLst/>
                    </a:prstGeom>
                    <a:noFill/>
                    <a:ln>
                      <a:noFill/>
                    </a:ln>
                  </pic:spPr>
                </pic:pic>
              </a:graphicData>
            </a:graphic>
          </wp:inline>
        </w:drawing>
      </w:r>
    </w:p>
    <w:p w14:paraId="2DB7DCED" w14:textId="408F721A" w:rsidR="00435BD9" w:rsidRPr="00E15CFD" w:rsidRDefault="00E15CFD" w:rsidP="00435BD9">
      <w:pPr>
        <w:pStyle w:val="He01Flietext"/>
        <w:jc w:val="center"/>
        <w:rPr>
          <w:rFonts w:eastAsia="宋体" w:cs="Segoe UI"/>
          <w:i/>
          <w:iCs/>
          <w:lang w:eastAsia="zh-CN"/>
        </w:rPr>
      </w:pPr>
      <w:r w:rsidRPr="001D750B">
        <w:rPr>
          <w:rFonts w:eastAsia="宋体" w:cs="Segoe UI" w:hint="eastAsia"/>
          <w:i/>
          <w:iCs/>
          <w:lang w:val="en-US" w:eastAsia="zh-TW"/>
        </w:rPr>
        <w:t>漢高首席執行官卡斯滕</w:t>
      </w:r>
      <w:r w:rsidRPr="00E15CFD">
        <w:rPr>
          <w:rFonts w:eastAsia="宋体" w:cs="Segoe UI"/>
          <w:i/>
          <w:iCs/>
          <w:lang w:eastAsia="zh-TW"/>
        </w:rPr>
        <w:t>·</w:t>
      </w:r>
      <w:r w:rsidRPr="001D750B">
        <w:rPr>
          <w:rFonts w:eastAsia="宋体" w:cs="Segoe UI" w:hint="eastAsia"/>
          <w:i/>
          <w:iCs/>
          <w:lang w:val="en-US" w:eastAsia="zh-TW"/>
        </w:rPr>
        <w:t>諾貝爾</w:t>
      </w:r>
      <w:r w:rsidRPr="00E15CFD">
        <w:rPr>
          <w:rFonts w:eastAsia="宋体" w:cs="Segoe UI" w:hint="eastAsia"/>
          <w:i/>
          <w:iCs/>
          <w:lang w:eastAsia="zh-TW"/>
        </w:rPr>
        <w:t>（</w:t>
      </w:r>
      <w:r w:rsidRPr="00E15CFD">
        <w:rPr>
          <w:rFonts w:eastAsia="宋体" w:cs="Segoe UI"/>
          <w:i/>
          <w:iCs/>
          <w:lang w:eastAsia="zh-TW"/>
        </w:rPr>
        <w:t>Carsten Knobel</w:t>
      </w:r>
      <w:r w:rsidRPr="00E15CFD">
        <w:rPr>
          <w:rFonts w:eastAsia="宋体" w:cs="Segoe UI" w:hint="eastAsia"/>
          <w:i/>
          <w:iCs/>
          <w:lang w:eastAsia="zh-TW"/>
        </w:rPr>
        <w:t>）</w:t>
      </w:r>
    </w:p>
    <w:p w14:paraId="6C10FF87" w14:textId="77777777" w:rsidR="00C756B4" w:rsidRPr="00492449" w:rsidRDefault="00C756B4" w:rsidP="00492449">
      <w:pPr>
        <w:jc w:val="center"/>
        <w:rPr>
          <w:rFonts w:cs="Segoe UI"/>
          <w:b/>
          <w:bCs/>
          <w:szCs w:val="22"/>
          <w:lang w:val="de-DE" w:eastAsia="zh-CN"/>
        </w:rPr>
      </w:pPr>
    </w:p>
    <w:p w14:paraId="15682F36" w14:textId="77777777" w:rsidR="00DE6EFB" w:rsidRPr="00E15CFD" w:rsidRDefault="00DE6EFB">
      <w:pPr>
        <w:rPr>
          <w:rFonts w:cs="Segoe UI"/>
          <w:szCs w:val="22"/>
          <w:lang w:val="de-DE" w:eastAsia="zh-CN"/>
        </w:rPr>
      </w:pPr>
    </w:p>
    <w:bookmarkEnd w:id="1"/>
    <w:p w14:paraId="53FABC79" w14:textId="46A44F44" w:rsidR="00DE6EFB" w:rsidRPr="00E15CFD" w:rsidRDefault="00E15CFD">
      <w:pPr>
        <w:spacing w:after="120"/>
        <w:ind w:right="-108"/>
        <w:jc w:val="left"/>
        <w:rPr>
          <w:rFonts w:cs="Segoe UI"/>
          <w:b/>
          <w:bCs/>
          <w:szCs w:val="22"/>
          <w:lang w:val="de-DE" w:eastAsia="zh-CN"/>
        </w:rPr>
      </w:pPr>
      <w:r w:rsidRPr="00E15CFD">
        <w:rPr>
          <w:rFonts w:cs="Segoe UI"/>
          <w:b/>
          <w:bCs/>
          <w:szCs w:val="22"/>
          <w:lang w:val="de-DE" w:eastAsia="zh-TW"/>
        </w:rPr>
        <w:t>2025</w:t>
      </w:r>
      <w:r>
        <w:rPr>
          <w:rFonts w:cs="Segoe UI" w:hint="eastAsia"/>
          <w:b/>
          <w:bCs/>
          <w:szCs w:val="22"/>
          <w:lang w:eastAsia="zh-TW"/>
        </w:rPr>
        <w:t>財年展望更新</w:t>
      </w:r>
    </w:p>
    <w:p w14:paraId="61E7914B" w14:textId="5BDCC90B" w:rsidR="00DE6EFB" w:rsidRPr="00E15CFD" w:rsidRDefault="00E15CFD">
      <w:pPr>
        <w:rPr>
          <w:rFonts w:cs="Segoe UI"/>
          <w:szCs w:val="22"/>
          <w:lang w:val="de-DE" w:eastAsia="zh-CN"/>
        </w:rPr>
      </w:pPr>
      <w:r>
        <w:rPr>
          <w:rFonts w:cs="Segoe UI" w:hint="eastAsia"/>
          <w:szCs w:val="22"/>
          <w:lang w:eastAsia="zh-TW"/>
        </w:rPr>
        <w:t>根據</w:t>
      </w:r>
      <w:r w:rsidRPr="00E15CFD">
        <w:rPr>
          <w:rFonts w:cs="Segoe UI"/>
          <w:szCs w:val="22"/>
          <w:lang w:val="de-DE" w:eastAsia="zh-TW"/>
        </w:rPr>
        <w:t>2025</w:t>
      </w:r>
      <w:r>
        <w:rPr>
          <w:rFonts w:cs="Segoe UI" w:hint="eastAsia"/>
          <w:szCs w:val="22"/>
          <w:lang w:eastAsia="zh-TW"/>
        </w:rPr>
        <w:t>財年上半年取得的業績以及對下半年的預測</w:t>
      </w:r>
      <w:r w:rsidRPr="00E15CFD">
        <w:rPr>
          <w:rFonts w:cs="Segoe UI" w:hint="eastAsia"/>
          <w:szCs w:val="22"/>
          <w:lang w:val="de-DE" w:eastAsia="zh-TW"/>
        </w:rPr>
        <w:t>，</w:t>
      </w:r>
      <w:r>
        <w:rPr>
          <w:rFonts w:cs="Segoe UI" w:hint="eastAsia"/>
          <w:szCs w:val="22"/>
          <w:lang w:eastAsia="zh-TW"/>
        </w:rPr>
        <w:t>漢高更新了</w:t>
      </w:r>
      <w:r w:rsidRPr="00E15CFD">
        <w:rPr>
          <w:rFonts w:cs="Segoe UI"/>
          <w:szCs w:val="22"/>
          <w:lang w:val="de-DE" w:eastAsia="zh-TW"/>
        </w:rPr>
        <w:t>2025</w:t>
      </w:r>
      <w:r>
        <w:rPr>
          <w:rFonts w:cs="Segoe UI" w:hint="eastAsia"/>
          <w:szCs w:val="22"/>
          <w:lang w:eastAsia="zh-TW"/>
        </w:rPr>
        <w:t>財年的業績展望。</w:t>
      </w:r>
    </w:p>
    <w:p w14:paraId="7574504A" w14:textId="77777777" w:rsidR="00CF1115" w:rsidRPr="00E15CFD" w:rsidRDefault="00CF1115">
      <w:pPr>
        <w:rPr>
          <w:rFonts w:cs="Segoe UI"/>
          <w:szCs w:val="22"/>
          <w:lang w:val="de-DE" w:eastAsia="zh-CN"/>
        </w:rPr>
      </w:pPr>
    </w:p>
    <w:p w14:paraId="4BDED060" w14:textId="1511434E" w:rsidR="00DE6EFB" w:rsidRDefault="00E15CFD">
      <w:pPr>
        <w:rPr>
          <w:rFonts w:cs="Segoe UI"/>
          <w:szCs w:val="22"/>
          <w:lang w:eastAsia="zh-TW"/>
        </w:rPr>
      </w:pPr>
      <w:r>
        <w:rPr>
          <w:rFonts w:cs="Segoe UI" w:hint="eastAsia"/>
          <w:szCs w:val="22"/>
          <w:lang w:eastAsia="zh-TW"/>
        </w:rPr>
        <w:t>對於更新後的財年展望</w:t>
      </w:r>
      <w:r w:rsidRPr="00E15CFD">
        <w:rPr>
          <w:rFonts w:cs="Segoe UI" w:hint="eastAsia"/>
          <w:szCs w:val="22"/>
          <w:lang w:val="de-DE" w:eastAsia="zh-TW"/>
        </w:rPr>
        <w:t>，</w:t>
      </w:r>
      <w:r>
        <w:rPr>
          <w:rFonts w:cs="Segoe UI" w:hint="eastAsia"/>
          <w:szCs w:val="22"/>
          <w:lang w:eastAsia="zh-TW"/>
        </w:rPr>
        <w:t>卡斯滕</w:t>
      </w:r>
      <w:r w:rsidRPr="00E15CFD">
        <w:rPr>
          <w:rFonts w:cs="Segoe UI"/>
          <w:szCs w:val="22"/>
          <w:lang w:val="de-DE" w:eastAsia="zh-TW"/>
        </w:rPr>
        <w:t>·</w:t>
      </w:r>
      <w:r>
        <w:rPr>
          <w:rFonts w:cs="Segoe UI" w:hint="eastAsia"/>
          <w:szCs w:val="22"/>
          <w:lang w:eastAsia="zh-TW"/>
        </w:rPr>
        <w:t>諾貝爾解釋道</w:t>
      </w:r>
      <w:r w:rsidRPr="00E15CFD">
        <w:rPr>
          <w:rFonts w:cs="Segoe UI" w:hint="eastAsia"/>
          <w:szCs w:val="22"/>
          <w:lang w:val="de-DE" w:eastAsia="zh-TW"/>
        </w:rPr>
        <w:t>：“</w:t>
      </w:r>
      <w:r>
        <w:rPr>
          <w:rFonts w:cs="Segoe UI" w:hint="eastAsia"/>
          <w:szCs w:val="22"/>
          <w:lang w:eastAsia="zh-TW"/>
        </w:rPr>
        <w:t>我們預計</w:t>
      </w:r>
      <w:r w:rsidRPr="00E15CFD">
        <w:rPr>
          <w:rFonts w:cs="Segoe UI"/>
          <w:szCs w:val="22"/>
          <w:lang w:val="de-DE" w:eastAsia="zh-TW"/>
        </w:rPr>
        <w:t>2025</w:t>
      </w:r>
      <w:r>
        <w:rPr>
          <w:rFonts w:cs="Segoe UI" w:hint="eastAsia"/>
          <w:szCs w:val="22"/>
          <w:lang w:eastAsia="zh-TW"/>
        </w:rPr>
        <w:t>財年將實現進一步盈利增長</w:t>
      </w:r>
      <w:r w:rsidRPr="00E15CFD">
        <w:rPr>
          <w:rFonts w:cs="Segoe UI" w:hint="eastAsia"/>
          <w:szCs w:val="22"/>
          <w:lang w:val="de-DE" w:eastAsia="zh-TW"/>
        </w:rPr>
        <w:t>，</w:t>
      </w:r>
      <w:r>
        <w:rPr>
          <w:rFonts w:cs="Segoe UI" w:hint="eastAsia"/>
          <w:szCs w:val="22"/>
          <w:lang w:eastAsia="zh-TW"/>
        </w:rPr>
        <w:t>預期下半年的銷售額增長將更為強勁。更新後的業績展望一方面考慮了宏觀經濟環境對公司兩大業務部有機銷售額增長的影響，另一方面，盈利預期的提升反映了公司毛利率的增長、業務組合優化的收益以及公司內部效率的提升。此次更新後的業績展望</w:t>
      </w:r>
      <w:r w:rsidRPr="007C6CC2">
        <w:rPr>
          <w:rFonts w:cs="Segoe UI" w:hint="eastAsia"/>
          <w:szCs w:val="22"/>
          <w:lang w:eastAsia="zh-TW"/>
        </w:rPr>
        <w:t>仍考慮了當前全球關稅協定帶來的可預見影響，並與市場對漢高全年業務發展的普遍預期基本吻合。</w:t>
      </w:r>
      <w:r>
        <w:rPr>
          <w:rFonts w:cs="Segoe UI" w:hint="eastAsia"/>
          <w:szCs w:val="22"/>
          <w:lang w:eastAsia="zh-TW"/>
        </w:rPr>
        <w:t>”</w:t>
      </w:r>
    </w:p>
    <w:p w14:paraId="65597290" w14:textId="77777777" w:rsidR="00EC69EA" w:rsidRDefault="00EC69EA">
      <w:pPr>
        <w:rPr>
          <w:rFonts w:cs="Segoe UI"/>
          <w:szCs w:val="22"/>
          <w:lang w:eastAsia="zh-TW"/>
        </w:rPr>
      </w:pPr>
    </w:p>
    <w:p w14:paraId="4A75079C" w14:textId="2368AFEA" w:rsidR="00DE6EFB" w:rsidRDefault="00E15CFD">
      <w:pPr>
        <w:rPr>
          <w:rFonts w:cs="Segoe UI"/>
          <w:szCs w:val="22"/>
          <w:lang w:eastAsia="zh-CN"/>
        </w:rPr>
      </w:pPr>
      <w:r>
        <w:rPr>
          <w:rFonts w:cs="Segoe UI" w:hint="eastAsia"/>
          <w:szCs w:val="22"/>
          <w:lang w:eastAsia="zh-TW"/>
        </w:rPr>
        <w:t>基於更新後的財年展望，漢高目前預計本財年有機銷售增長</w:t>
      </w:r>
      <w:r>
        <w:rPr>
          <w:rFonts w:cs="Segoe UI"/>
          <w:szCs w:val="22"/>
          <w:lang w:eastAsia="zh-TW"/>
        </w:rPr>
        <w:t>1.0%</w:t>
      </w:r>
      <w:r>
        <w:rPr>
          <w:rFonts w:cs="Segoe UI" w:hint="eastAsia"/>
          <w:szCs w:val="22"/>
          <w:lang w:eastAsia="zh-TW"/>
        </w:rPr>
        <w:t>至</w:t>
      </w:r>
      <w:r>
        <w:rPr>
          <w:rFonts w:cs="Segoe UI"/>
          <w:szCs w:val="22"/>
          <w:lang w:eastAsia="zh-TW"/>
        </w:rPr>
        <w:t>2.0%</w:t>
      </w:r>
      <w:r>
        <w:rPr>
          <w:rFonts w:cs="Segoe UI" w:hint="eastAsia"/>
          <w:szCs w:val="22"/>
          <w:lang w:eastAsia="zh-TW"/>
        </w:rPr>
        <w:t>（</w:t>
      </w:r>
      <w:r w:rsidRPr="00293BE2">
        <w:rPr>
          <w:rFonts w:cs="Segoe UI" w:hint="eastAsia"/>
          <w:szCs w:val="22"/>
          <w:lang w:eastAsia="zh-TW"/>
        </w:rPr>
        <w:t>此前預期</w:t>
      </w:r>
      <w:r>
        <w:rPr>
          <w:rFonts w:cs="Segoe UI" w:hint="eastAsia"/>
          <w:szCs w:val="22"/>
          <w:lang w:eastAsia="zh-TW"/>
        </w:rPr>
        <w:t>：</w:t>
      </w:r>
      <w:r>
        <w:rPr>
          <w:rFonts w:cs="Segoe UI"/>
          <w:szCs w:val="22"/>
          <w:lang w:eastAsia="zh-TW"/>
        </w:rPr>
        <w:t>1.5%</w:t>
      </w:r>
      <w:r>
        <w:rPr>
          <w:rFonts w:cs="Segoe UI" w:hint="eastAsia"/>
          <w:szCs w:val="22"/>
          <w:lang w:eastAsia="zh-TW"/>
        </w:rPr>
        <w:t>至</w:t>
      </w:r>
      <w:r>
        <w:rPr>
          <w:rFonts w:cs="Segoe UI"/>
          <w:szCs w:val="22"/>
          <w:lang w:eastAsia="zh-TW"/>
        </w:rPr>
        <w:t>3.5%</w:t>
      </w:r>
      <w:r>
        <w:rPr>
          <w:rFonts w:cs="Segoe UI" w:hint="eastAsia"/>
          <w:szCs w:val="22"/>
          <w:lang w:eastAsia="zh-TW"/>
        </w:rPr>
        <w:t>）。其中，粘合劑技術業務部預計有機銷售增長</w:t>
      </w:r>
      <w:r>
        <w:rPr>
          <w:rFonts w:cs="Segoe UI"/>
          <w:szCs w:val="22"/>
          <w:lang w:eastAsia="zh-TW"/>
        </w:rPr>
        <w:t>2.0%</w:t>
      </w:r>
      <w:r>
        <w:rPr>
          <w:rFonts w:cs="Segoe UI" w:hint="eastAsia"/>
          <w:szCs w:val="22"/>
          <w:lang w:eastAsia="zh-TW"/>
        </w:rPr>
        <w:t>至</w:t>
      </w:r>
      <w:r>
        <w:rPr>
          <w:rFonts w:cs="Segoe UI"/>
          <w:szCs w:val="22"/>
          <w:lang w:eastAsia="zh-TW"/>
        </w:rPr>
        <w:t>3.0%</w:t>
      </w:r>
      <w:r>
        <w:rPr>
          <w:rFonts w:cs="Segoe UI" w:hint="eastAsia"/>
          <w:szCs w:val="22"/>
          <w:lang w:eastAsia="zh-TW"/>
        </w:rPr>
        <w:t>（</w:t>
      </w:r>
      <w:r w:rsidRPr="00293BE2">
        <w:rPr>
          <w:rFonts w:cs="Segoe UI" w:hint="eastAsia"/>
          <w:szCs w:val="22"/>
          <w:lang w:eastAsia="zh-TW"/>
        </w:rPr>
        <w:t>此前預期</w:t>
      </w:r>
      <w:r>
        <w:rPr>
          <w:rFonts w:cs="Segoe UI" w:hint="eastAsia"/>
          <w:szCs w:val="22"/>
          <w:lang w:eastAsia="zh-TW"/>
        </w:rPr>
        <w:t>：</w:t>
      </w:r>
      <w:r>
        <w:rPr>
          <w:rFonts w:cs="Segoe UI"/>
          <w:szCs w:val="22"/>
          <w:lang w:eastAsia="zh-TW"/>
        </w:rPr>
        <w:t>2.0%</w:t>
      </w:r>
      <w:r>
        <w:rPr>
          <w:rFonts w:cs="Segoe UI" w:hint="eastAsia"/>
          <w:szCs w:val="22"/>
          <w:lang w:eastAsia="zh-TW"/>
        </w:rPr>
        <w:t>至</w:t>
      </w:r>
      <w:r>
        <w:rPr>
          <w:rFonts w:cs="Segoe UI"/>
          <w:szCs w:val="22"/>
          <w:lang w:eastAsia="zh-TW"/>
        </w:rPr>
        <w:t>4.0%</w:t>
      </w:r>
      <w:r>
        <w:rPr>
          <w:rFonts w:cs="Segoe UI" w:hint="eastAsia"/>
          <w:szCs w:val="22"/>
          <w:lang w:eastAsia="zh-TW"/>
        </w:rPr>
        <w:t>）。消費品牌業務部預計有機銷售額增長</w:t>
      </w:r>
      <w:r>
        <w:rPr>
          <w:rFonts w:cs="Segoe UI"/>
          <w:szCs w:val="22"/>
          <w:lang w:eastAsia="zh-TW"/>
        </w:rPr>
        <w:t>0.5%</w:t>
      </w:r>
      <w:r>
        <w:rPr>
          <w:rFonts w:cs="Segoe UI" w:hint="eastAsia"/>
          <w:szCs w:val="22"/>
          <w:lang w:eastAsia="zh-TW"/>
        </w:rPr>
        <w:t>至</w:t>
      </w:r>
      <w:r>
        <w:rPr>
          <w:rFonts w:cs="Segoe UI"/>
          <w:szCs w:val="22"/>
          <w:lang w:eastAsia="zh-TW"/>
        </w:rPr>
        <w:t>1.5%</w:t>
      </w:r>
      <w:r>
        <w:rPr>
          <w:rFonts w:cs="Segoe UI" w:hint="eastAsia"/>
          <w:szCs w:val="22"/>
          <w:lang w:eastAsia="zh-TW"/>
        </w:rPr>
        <w:t>（</w:t>
      </w:r>
      <w:r w:rsidRPr="00293BE2">
        <w:rPr>
          <w:rFonts w:cs="Segoe UI" w:hint="eastAsia"/>
          <w:szCs w:val="22"/>
          <w:lang w:eastAsia="zh-TW"/>
        </w:rPr>
        <w:t>此前預期</w:t>
      </w:r>
      <w:r>
        <w:rPr>
          <w:rFonts w:cs="Segoe UI" w:hint="eastAsia"/>
          <w:szCs w:val="22"/>
          <w:lang w:eastAsia="zh-TW"/>
        </w:rPr>
        <w:t>：</w:t>
      </w:r>
      <w:r>
        <w:rPr>
          <w:rFonts w:cs="Segoe UI"/>
          <w:szCs w:val="22"/>
          <w:lang w:eastAsia="zh-TW"/>
        </w:rPr>
        <w:t>1.0%</w:t>
      </w:r>
      <w:r>
        <w:rPr>
          <w:rFonts w:cs="Segoe UI" w:hint="eastAsia"/>
          <w:szCs w:val="22"/>
          <w:lang w:eastAsia="zh-TW"/>
        </w:rPr>
        <w:t>至</w:t>
      </w:r>
      <w:r>
        <w:rPr>
          <w:rFonts w:cs="Segoe UI"/>
          <w:szCs w:val="22"/>
          <w:lang w:eastAsia="zh-TW"/>
        </w:rPr>
        <w:t>3.0%</w:t>
      </w:r>
      <w:r>
        <w:rPr>
          <w:rFonts w:cs="Segoe UI" w:hint="eastAsia"/>
          <w:szCs w:val="22"/>
          <w:lang w:eastAsia="zh-TW"/>
        </w:rPr>
        <w:t>）。同時，</w:t>
      </w:r>
      <w:r>
        <w:rPr>
          <w:rFonts w:cs="Segoe UI" w:hint="eastAsia"/>
          <w:b/>
          <w:bCs/>
          <w:szCs w:val="22"/>
          <w:lang w:eastAsia="zh-TW"/>
        </w:rPr>
        <w:t>調整後的銷售回報率</w:t>
      </w:r>
      <w:r>
        <w:rPr>
          <w:rFonts w:cs="Segoe UI" w:hint="eastAsia"/>
          <w:szCs w:val="22"/>
          <w:lang w:eastAsia="zh-TW"/>
        </w:rPr>
        <w:t>（調整後的息稅前利潤率）的預期區間上調至</w:t>
      </w:r>
      <w:r>
        <w:rPr>
          <w:rFonts w:cs="Segoe UI"/>
          <w:szCs w:val="22"/>
          <w:lang w:eastAsia="zh-TW"/>
        </w:rPr>
        <w:t>14.5%</w:t>
      </w:r>
      <w:r>
        <w:rPr>
          <w:rFonts w:cs="Segoe UI" w:hint="eastAsia"/>
          <w:szCs w:val="22"/>
          <w:lang w:eastAsia="zh-TW"/>
        </w:rPr>
        <w:t>至</w:t>
      </w:r>
      <w:r>
        <w:rPr>
          <w:rFonts w:cs="Segoe UI"/>
          <w:szCs w:val="22"/>
          <w:lang w:eastAsia="zh-TW"/>
        </w:rPr>
        <w:t>15.5%</w:t>
      </w:r>
      <w:r>
        <w:rPr>
          <w:rFonts w:cs="Segoe UI" w:hint="eastAsia"/>
          <w:szCs w:val="22"/>
          <w:lang w:eastAsia="zh-TW"/>
        </w:rPr>
        <w:t>（</w:t>
      </w:r>
      <w:r w:rsidRPr="00293BE2">
        <w:rPr>
          <w:rFonts w:cs="Segoe UI" w:hint="eastAsia"/>
          <w:szCs w:val="22"/>
          <w:lang w:eastAsia="zh-TW"/>
        </w:rPr>
        <w:t>此前預期</w:t>
      </w:r>
      <w:r>
        <w:rPr>
          <w:rFonts w:cs="Segoe UI" w:hint="eastAsia"/>
          <w:szCs w:val="22"/>
          <w:lang w:eastAsia="zh-TW"/>
        </w:rPr>
        <w:t>：</w:t>
      </w:r>
      <w:r>
        <w:rPr>
          <w:rFonts w:cs="Segoe UI"/>
          <w:szCs w:val="22"/>
          <w:lang w:eastAsia="zh-TW"/>
        </w:rPr>
        <w:t>14.0%</w:t>
      </w:r>
      <w:r>
        <w:rPr>
          <w:rFonts w:cs="Segoe UI" w:hint="eastAsia"/>
          <w:szCs w:val="22"/>
          <w:lang w:eastAsia="zh-TW"/>
        </w:rPr>
        <w:t>至</w:t>
      </w:r>
      <w:r>
        <w:rPr>
          <w:rFonts w:cs="Segoe UI"/>
          <w:szCs w:val="22"/>
          <w:lang w:eastAsia="zh-TW"/>
        </w:rPr>
        <w:t>15.5%</w:t>
      </w:r>
      <w:r>
        <w:rPr>
          <w:rFonts w:cs="Segoe UI" w:hint="eastAsia"/>
          <w:szCs w:val="22"/>
          <w:lang w:eastAsia="zh-TW"/>
        </w:rPr>
        <w:t>）。具體而言，粘合劑技術業務部調整後的銷售回報率</w:t>
      </w:r>
      <w:r w:rsidRPr="00293BE2">
        <w:rPr>
          <w:rFonts w:cs="Segoe UI" w:hint="eastAsia"/>
          <w:szCs w:val="22"/>
          <w:lang w:eastAsia="zh-TW"/>
        </w:rPr>
        <w:t>預期調整為</w:t>
      </w:r>
      <w:r>
        <w:rPr>
          <w:rFonts w:cs="Segoe UI"/>
          <w:szCs w:val="22"/>
          <w:lang w:eastAsia="zh-TW"/>
        </w:rPr>
        <w:t>16.5%</w:t>
      </w:r>
      <w:r>
        <w:rPr>
          <w:rFonts w:cs="Segoe UI" w:hint="eastAsia"/>
          <w:szCs w:val="22"/>
          <w:lang w:eastAsia="zh-TW"/>
        </w:rPr>
        <w:t>至</w:t>
      </w:r>
      <w:r>
        <w:rPr>
          <w:rFonts w:cs="Segoe UI"/>
          <w:szCs w:val="22"/>
          <w:lang w:eastAsia="zh-TW"/>
        </w:rPr>
        <w:t>17.5%</w:t>
      </w:r>
      <w:r>
        <w:rPr>
          <w:rFonts w:cs="Segoe UI" w:hint="eastAsia"/>
          <w:szCs w:val="22"/>
          <w:lang w:eastAsia="zh-TW"/>
        </w:rPr>
        <w:lastRenderedPageBreak/>
        <w:t>（</w:t>
      </w:r>
      <w:r w:rsidRPr="00293BE2">
        <w:rPr>
          <w:rFonts w:cs="Segoe UI" w:hint="eastAsia"/>
          <w:szCs w:val="22"/>
          <w:lang w:eastAsia="zh-TW"/>
        </w:rPr>
        <w:t>此前預期</w:t>
      </w:r>
      <w:r>
        <w:rPr>
          <w:rFonts w:cs="Segoe UI" w:hint="eastAsia"/>
          <w:szCs w:val="22"/>
          <w:lang w:eastAsia="zh-TW"/>
        </w:rPr>
        <w:t>：</w:t>
      </w:r>
      <w:r>
        <w:rPr>
          <w:rFonts w:cs="Segoe UI"/>
          <w:szCs w:val="22"/>
          <w:lang w:eastAsia="zh-TW"/>
        </w:rPr>
        <w:t>16.0%</w:t>
      </w:r>
      <w:r>
        <w:rPr>
          <w:rFonts w:cs="Segoe UI" w:hint="eastAsia"/>
          <w:szCs w:val="22"/>
          <w:lang w:eastAsia="zh-TW"/>
        </w:rPr>
        <w:t>至</w:t>
      </w:r>
      <w:r>
        <w:rPr>
          <w:rFonts w:cs="Segoe UI"/>
          <w:szCs w:val="22"/>
          <w:lang w:eastAsia="zh-TW"/>
        </w:rPr>
        <w:t>17.5%</w:t>
      </w:r>
      <w:r>
        <w:rPr>
          <w:rFonts w:cs="Segoe UI" w:hint="eastAsia"/>
          <w:szCs w:val="22"/>
          <w:lang w:eastAsia="zh-TW"/>
        </w:rPr>
        <w:t>），消費品牌業務部預期區間為</w:t>
      </w:r>
      <w:r>
        <w:rPr>
          <w:rFonts w:cs="Segoe UI"/>
          <w:szCs w:val="22"/>
          <w:lang w:eastAsia="zh-TW"/>
        </w:rPr>
        <w:t>14.0%</w:t>
      </w:r>
      <w:r>
        <w:rPr>
          <w:rFonts w:cs="Segoe UI" w:hint="eastAsia"/>
          <w:szCs w:val="22"/>
          <w:lang w:eastAsia="zh-TW"/>
        </w:rPr>
        <w:t>至</w:t>
      </w:r>
      <w:r>
        <w:rPr>
          <w:rFonts w:cs="Segoe UI"/>
          <w:szCs w:val="22"/>
          <w:lang w:eastAsia="zh-TW"/>
        </w:rPr>
        <w:t>15.0%</w:t>
      </w:r>
      <w:r>
        <w:rPr>
          <w:rFonts w:cs="Segoe UI" w:hint="eastAsia"/>
          <w:szCs w:val="22"/>
          <w:lang w:eastAsia="zh-TW"/>
        </w:rPr>
        <w:t>（</w:t>
      </w:r>
      <w:r w:rsidRPr="00293BE2">
        <w:rPr>
          <w:rFonts w:cs="Segoe UI" w:hint="eastAsia"/>
          <w:szCs w:val="22"/>
          <w:lang w:eastAsia="zh-TW"/>
        </w:rPr>
        <w:t>此前預期</w:t>
      </w:r>
      <w:r>
        <w:rPr>
          <w:rFonts w:cs="Segoe UI" w:hint="eastAsia"/>
          <w:szCs w:val="22"/>
          <w:lang w:eastAsia="zh-TW"/>
        </w:rPr>
        <w:t>：</w:t>
      </w:r>
      <w:r>
        <w:rPr>
          <w:rFonts w:cs="Segoe UI"/>
          <w:szCs w:val="22"/>
          <w:lang w:eastAsia="zh-TW"/>
        </w:rPr>
        <w:t>13.5%</w:t>
      </w:r>
      <w:r>
        <w:rPr>
          <w:rFonts w:cs="Segoe UI" w:hint="eastAsia"/>
          <w:szCs w:val="22"/>
          <w:lang w:eastAsia="zh-TW"/>
        </w:rPr>
        <w:t>至</w:t>
      </w:r>
      <w:r>
        <w:rPr>
          <w:rFonts w:cs="Segoe UI"/>
          <w:szCs w:val="22"/>
          <w:lang w:eastAsia="zh-TW"/>
        </w:rPr>
        <w:t>15.0%</w:t>
      </w:r>
      <w:r>
        <w:rPr>
          <w:rFonts w:cs="Segoe UI" w:hint="eastAsia"/>
          <w:szCs w:val="22"/>
          <w:lang w:eastAsia="zh-TW"/>
        </w:rPr>
        <w:t>）。</w:t>
      </w:r>
      <w:r>
        <w:rPr>
          <w:rFonts w:hint="eastAsia"/>
          <w:lang w:eastAsia="zh-TW"/>
        </w:rPr>
        <w:t>按固定匯率計算的</w:t>
      </w:r>
      <w:r>
        <w:rPr>
          <w:rFonts w:hint="eastAsia"/>
          <w:b/>
          <w:bCs/>
          <w:lang w:eastAsia="zh-TW"/>
        </w:rPr>
        <w:t>調整後優先股每股收益</w:t>
      </w:r>
      <w:r>
        <w:rPr>
          <w:rFonts w:hint="eastAsia"/>
          <w:lang w:eastAsia="zh-TW"/>
        </w:rPr>
        <w:t>（</w:t>
      </w:r>
      <w:r>
        <w:rPr>
          <w:lang w:eastAsia="zh-TW"/>
        </w:rPr>
        <w:t>EPS</w:t>
      </w:r>
      <w:r>
        <w:rPr>
          <w:rFonts w:hint="eastAsia"/>
          <w:lang w:eastAsia="zh-TW"/>
        </w:rPr>
        <w:t>）仍</w:t>
      </w:r>
      <w:r w:rsidRPr="00293BE2">
        <w:rPr>
          <w:rFonts w:hint="eastAsia"/>
          <w:lang w:eastAsia="zh-TW"/>
        </w:rPr>
        <w:t>維持低至高個位數百分比增長的預期</w:t>
      </w:r>
      <w:r>
        <w:rPr>
          <w:rFonts w:hint="eastAsia"/>
          <w:lang w:eastAsia="zh-TW"/>
        </w:rPr>
        <w:t>。</w:t>
      </w:r>
    </w:p>
    <w:p w14:paraId="06B1B5A1" w14:textId="77777777" w:rsidR="00DE6EFB" w:rsidRDefault="00DE6EFB">
      <w:pPr>
        <w:rPr>
          <w:rFonts w:cs="Segoe UI"/>
          <w:szCs w:val="22"/>
          <w:lang w:eastAsia="zh-CN"/>
        </w:rPr>
      </w:pPr>
    </w:p>
    <w:p w14:paraId="6FA7A6E8" w14:textId="35F3AC31" w:rsidR="00DE6EFB" w:rsidRDefault="00E15CFD">
      <w:pPr>
        <w:spacing w:after="120"/>
        <w:jc w:val="left"/>
        <w:rPr>
          <w:rFonts w:cs="Segoe UI"/>
          <w:b/>
          <w:bCs/>
          <w:szCs w:val="22"/>
          <w:lang w:eastAsia="zh-CN"/>
        </w:rPr>
      </w:pPr>
      <w:r>
        <w:rPr>
          <w:rFonts w:cs="Segoe UI"/>
          <w:b/>
          <w:bCs/>
          <w:szCs w:val="22"/>
          <w:lang w:eastAsia="zh-TW"/>
        </w:rPr>
        <w:t>2025</w:t>
      </w:r>
      <w:r>
        <w:rPr>
          <w:rFonts w:cs="Segoe UI" w:hint="eastAsia"/>
          <w:b/>
          <w:bCs/>
          <w:szCs w:val="22"/>
          <w:lang w:eastAsia="zh-TW"/>
        </w:rPr>
        <w:t>財年上半年銷售額與利潤增長情況</w:t>
      </w:r>
    </w:p>
    <w:p w14:paraId="5A9BE96B" w14:textId="578FF634" w:rsidR="00DE6EFB" w:rsidRDefault="00E15CFD">
      <w:pPr>
        <w:rPr>
          <w:rFonts w:cs="Segoe UI"/>
          <w:szCs w:val="22"/>
          <w:lang w:eastAsia="zh-TW"/>
        </w:rPr>
      </w:pPr>
      <w:r>
        <w:rPr>
          <w:rFonts w:cs="Segoe UI" w:hint="eastAsia"/>
          <w:szCs w:val="22"/>
          <w:lang w:eastAsia="zh-TW"/>
        </w:rPr>
        <w:t>漢高</w:t>
      </w:r>
      <w:r w:rsidRPr="000F5821">
        <w:rPr>
          <w:rFonts w:cs="Segoe UI"/>
          <w:szCs w:val="22"/>
          <w:lang w:eastAsia="zh-TW"/>
        </w:rPr>
        <w:t>2025</w:t>
      </w:r>
      <w:r w:rsidRPr="000F5821">
        <w:rPr>
          <w:rFonts w:cs="Segoe UI" w:hint="eastAsia"/>
          <w:szCs w:val="22"/>
          <w:lang w:eastAsia="zh-TW"/>
        </w:rPr>
        <w:t>年上半年</w:t>
      </w:r>
      <w:r>
        <w:rPr>
          <w:rFonts w:cs="Segoe UI" w:hint="eastAsia"/>
          <w:b/>
          <w:bCs/>
          <w:szCs w:val="22"/>
          <w:lang w:eastAsia="zh-TW"/>
        </w:rPr>
        <w:t>集團銷售額</w:t>
      </w:r>
      <w:r>
        <w:rPr>
          <w:rFonts w:cs="Segoe UI" w:hint="eastAsia"/>
          <w:szCs w:val="22"/>
          <w:lang w:eastAsia="zh-TW"/>
        </w:rPr>
        <w:t>達</w:t>
      </w:r>
      <w:r>
        <w:rPr>
          <w:rFonts w:cs="Segoe UI"/>
          <w:szCs w:val="22"/>
          <w:lang w:eastAsia="zh-TW"/>
        </w:rPr>
        <w:t>104.02</w:t>
      </w:r>
      <w:r>
        <w:rPr>
          <w:rFonts w:cs="Segoe UI" w:hint="eastAsia"/>
          <w:szCs w:val="22"/>
          <w:lang w:eastAsia="zh-TW"/>
        </w:rPr>
        <w:t>億歐元，名義下滑</w:t>
      </w:r>
      <w:r>
        <w:rPr>
          <w:rFonts w:cs="Segoe UI"/>
          <w:szCs w:val="22"/>
          <w:lang w:eastAsia="zh-TW"/>
        </w:rPr>
        <w:t>3.8%</w:t>
      </w:r>
      <w:r>
        <w:rPr>
          <w:rFonts w:cs="Segoe UI" w:hint="eastAsia"/>
          <w:szCs w:val="22"/>
          <w:lang w:eastAsia="zh-TW"/>
        </w:rPr>
        <w:t>（第二季度：</w:t>
      </w:r>
      <w:r>
        <w:rPr>
          <w:rFonts w:cs="Segoe UI"/>
          <w:szCs w:val="22"/>
          <w:lang w:eastAsia="zh-TW"/>
        </w:rPr>
        <w:t>51.60</w:t>
      </w:r>
      <w:r>
        <w:rPr>
          <w:rFonts w:cs="Segoe UI" w:hint="eastAsia"/>
          <w:szCs w:val="22"/>
          <w:lang w:eastAsia="zh-TW"/>
        </w:rPr>
        <w:t>億歐元，</w:t>
      </w:r>
      <w:r>
        <w:rPr>
          <w:rFonts w:cs="Segoe UI"/>
          <w:szCs w:val="22"/>
          <w:lang w:eastAsia="zh-TW"/>
        </w:rPr>
        <w:t>-6.1%</w:t>
      </w:r>
      <w:r>
        <w:rPr>
          <w:rFonts w:cs="Segoe UI" w:hint="eastAsia"/>
          <w:szCs w:val="22"/>
          <w:lang w:eastAsia="zh-TW"/>
        </w:rPr>
        <w:t>）。匯率因素導致銷售額下滑</w:t>
      </w:r>
      <w:r>
        <w:rPr>
          <w:rFonts w:cs="Segoe UI"/>
          <w:szCs w:val="22"/>
          <w:lang w:eastAsia="zh-TW"/>
        </w:rPr>
        <w:t>2.8%</w:t>
      </w:r>
      <w:r>
        <w:rPr>
          <w:rFonts w:cs="Segoe UI" w:hint="eastAsia"/>
          <w:szCs w:val="22"/>
          <w:lang w:eastAsia="zh-TW"/>
        </w:rPr>
        <w:t>（第二季度：</w:t>
      </w:r>
      <w:r>
        <w:rPr>
          <w:rFonts w:cs="Segoe UI"/>
          <w:szCs w:val="22"/>
          <w:lang w:eastAsia="zh-TW"/>
        </w:rPr>
        <w:t>-</w:t>
      </w:r>
      <w:proofErr w:type="gramStart"/>
      <w:r>
        <w:rPr>
          <w:rFonts w:cs="Segoe UI"/>
          <w:szCs w:val="22"/>
          <w:lang w:eastAsia="zh-TW"/>
        </w:rPr>
        <w:t>4.1%</w:t>
      </w:r>
      <w:r>
        <w:rPr>
          <w:rFonts w:cs="Segoe UI" w:hint="eastAsia"/>
          <w:szCs w:val="22"/>
          <w:lang w:eastAsia="zh-TW"/>
        </w:rPr>
        <w:t>）。收購和撤資導致銷售額下滑</w:t>
      </w:r>
      <w:proofErr w:type="gramEnd"/>
      <w:r>
        <w:rPr>
          <w:rFonts w:cs="Segoe UI"/>
          <w:szCs w:val="22"/>
          <w:lang w:eastAsia="zh-TW"/>
        </w:rPr>
        <w:t>0.9%</w:t>
      </w:r>
      <w:r>
        <w:rPr>
          <w:rFonts w:cs="Segoe UI" w:hint="eastAsia"/>
          <w:szCs w:val="22"/>
          <w:lang w:eastAsia="zh-TW"/>
        </w:rPr>
        <w:t>（第二季度：</w:t>
      </w:r>
      <w:r>
        <w:rPr>
          <w:rFonts w:cs="Segoe UI"/>
          <w:szCs w:val="22"/>
          <w:lang w:eastAsia="zh-TW"/>
        </w:rPr>
        <w:t>-</w:t>
      </w:r>
      <w:proofErr w:type="gramStart"/>
      <w:r>
        <w:rPr>
          <w:rFonts w:cs="Segoe UI"/>
          <w:szCs w:val="22"/>
          <w:lang w:eastAsia="zh-TW"/>
        </w:rPr>
        <w:t>2.9%</w:t>
      </w:r>
      <w:r>
        <w:rPr>
          <w:rFonts w:cs="Segoe UI" w:hint="eastAsia"/>
          <w:szCs w:val="22"/>
          <w:lang w:eastAsia="zh-TW"/>
        </w:rPr>
        <w:t>）。儘管</w:t>
      </w:r>
      <w:proofErr w:type="gramEnd"/>
      <w:r>
        <w:rPr>
          <w:rFonts w:cs="Segoe UI"/>
          <w:szCs w:val="22"/>
          <w:lang w:eastAsia="zh-TW"/>
        </w:rPr>
        <w:t>2025</w:t>
      </w:r>
      <w:r>
        <w:rPr>
          <w:rFonts w:cs="Segoe UI" w:hint="eastAsia"/>
          <w:szCs w:val="22"/>
          <w:lang w:eastAsia="zh-TW"/>
        </w:rPr>
        <w:t>年</w:t>
      </w:r>
      <w:r>
        <w:rPr>
          <w:rFonts w:cs="Segoe UI"/>
          <w:szCs w:val="22"/>
          <w:lang w:eastAsia="zh-TW"/>
        </w:rPr>
        <w:t>4</w:t>
      </w:r>
      <w:r>
        <w:rPr>
          <w:rFonts w:cs="Segoe UI" w:hint="eastAsia"/>
          <w:szCs w:val="22"/>
          <w:lang w:eastAsia="zh-TW"/>
        </w:rPr>
        <w:t>月北美零售品牌業務的撤資產生了負面影響，但去年對</w:t>
      </w:r>
      <w:r>
        <w:rPr>
          <w:rFonts w:cs="Segoe UI"/>
          <w:szCs w:val="22"/>
          <w:lang w:eastAsia="zh-TW"/>
        </w:rPr>
        <w:t>Seal for Life</w:t>
      </w:r>
      <w:r>
        <w:rPr>
          <w:rFonts w:cs="Segoe UI" w:hint="eastAsia"/>
          <w:szCs w:val="22"/>
          <w:lang w:eastAsia="zh-TW"/>
        </w:rPr>
        <w:t>和沙宣的並購帶來了積極貢獻。在</w:t>
      </w:r>
      <w:r>
        <w:rPr>
          <w:rFonts w:cs="Segoe UI" w:hint="eastAsia"/>
          <w:b/>
          <w:bCs/>
          <w:szCs w:val="22"/>
          <w:lang w:eastAsia="zh-TW"/>
        </w:rPr>
        <w:t>有機</w:t>
      </w:r>
      <w:r>
        <w:rPr>
          <w:rFonts w:cs="Segoe UI" w:hint="eastAsia"/>
          <w:szCs w:val="22"/>
          <w:lang w:eastAsia="zh-TW"/>
        </w:rPr>
        <w:t>增長方面（即對匯率因素和收購</w:t>
      </w:r>
      <w:r>
        <w:rPr>
          <w:rFonts w:cs="Segoe UI"/>
          <w:szCs w:val="22"/>
          <w:lang w:eastAsia="zh-TW"/>
        </w:rPr>
        <w:t>/</w:t>
      </w:r>
      <w:r>
        <w:rPr>
          <w:rFonts w:cs="Segoe UI" w:hint="eastAsia"/>
          <w:szCs w:val="22"/>
          <w:lang w:eastAsia="zh-TW"/>
        </w:rPr>
        <w:t>撤資進行調整後），銷售額與去年同期持平，微降</w:t>
      </w:r>
      <w:r>
        <w:rPr>
          <w:rFonts w:cs="Segoe UI"/>
          <w:szCs w:val="22"/>
          <w:lang w:eastAsia="zh-TW"/>
        </w:rPr>
        <w:t>0.1%</w:t>
      </w:r>
      <w:r>
        <w:rPr>
          <w:rFonts w:cs="Segoe UI" w:hint="eastAsia"/>
          <w:szCs w:val="22"/>
          <w:lang w:eastAsia="zh-TW"/>
        </w:rPr>
        <w:t>（第二季度：</w:t>
      </w:r>
      <w:r>
        <w:rPr>
          <w:rFonts w:cs="Segoe UI"/>
          <w:szCs w:val="22"/>
          <w:lang w:eastAsia="zh-TW"/>
        </w:rPr>
        <w:t>+0.9%</w:t>
      </w:r>
      <w:r>
        <w:rPr>
          <w:rFonts w:cs="Segoe UI" w:hint="eastAsia"/>
          <w:szCs w:val="22"/>
          <w:lang w:eastAsia="zh-TW"/>
        </w:rPr>
        <w:t>）。這一變化主要得益於兩大業務部門的價格提升。然而，上半年集團層面的銷量略有下滑，主要是由於嚴峻的地緣政治和宏觀經濟環境對工業需求和消費者信心造成了影響，其中北美地區在第一季度受其影響尤為明顯。</w:t>
      </w:r>
    </w:p>
    <w:p w14:paraId="2A569B1E" w14:textId="77777777" w:rsidR="00DE6EFB" w:rsidRDefault="00DE6EFB">
      <w:pPr>
        <w:rPr>
          <w:rFonts w:cs="Segoe UI"/>
          <w:szCs w:val="22"/>
          <w:lang w:eastAsia="zh-TW"/>
        </w:rPr>
      </w:pPr>
    </w:p>
    <w:p w14:paraId="55FD9A74" w14:textId="7B9B122B" w:rsidR="00DE6EFB" w:rsidRDefault="00E15CFD">
      <w:pPr>
        <w:rPr>
          <w:rFonts w:cs="Segoe UI"/>
          <w:szCs w:val="22"/>
          <w:lang w:eastAsia="zh-TW"/>
        </w:rPr>
      </w:pPr>
      <w:r>
        <w:rPr>
          <w:rFonts w:cs="Segoe UI" w:hint="eastAsia"/>
          <w:b/>
          <w:bCs/>
          <w:szCs w:val="22"/>
          <w:lang w:eastAsia="zh-TW"/>
        </w:rPr>
        <w:t>粘合劑技術</w:t>
      </w:r>
      <w:r>
        <w:rPr>
          <w:rFonts w:cs="Segoe UI" w:hint="eastAsia"/>
          <w:szCs w:val="22"/>
          <w:lang w:eastAsia="zh-TW"/>
        </w:rPr>
        <w:t>業務部在移動和電子業務的推動下，</w:t>
      </w:r>
      <w:r>
        <w:rPr>
          <w:rFonts w:cs="Segoe UI"/>
          <w:szCs w:val="22"/>
          <w:lang w:eastAsia="zh-TW"/>
        </w:rPr>
        <w:t>2025</w:t>
      </w:r>
      <w:r>
        <w:rPr>
          <w:rFonts w:cs="Segoe UI" w:hint="eastAsia"/>
          <w:szCs w:val="22"/>
          <w:lang w:eastAsia="zh-TW"/>
        </w:rPr>
        <w:t>年上半年有機銷售額增長</w:t>
      </w:r>
      <w:r>
        <w:rPr>
          <w:rFonts w:cs="Segoe UI"/>
          <w:szCs w:val="22"/>
          <w:lang w:eastAsia="zh-TW"/>
        </w:rPr>
        <w:t>1.2%</w:t>
      </w:r>
      <w:r>
        <w:rPr>
          <w:rFonts w:cs="Segoe UI" w:hint="eastAsia"/>
          <w:szCs w:val="22"/>
          <w:lang w:eastAsia="zh-TW"/>
        </w:rPr>
        <w:t>（第二季度：</w:t>
      </w:r>
      <w:r>
        <w:rPr>
          <w:rFonts w:cs="Segoe UI"/>
          <w:szCs w:val="22"/>
          <w:lang w:eastAsia="zh-TW"/>
        </w:rPr>
        <w:t>+1.3%</w:t>
      </w:r>
      <w:r>
        <w:rPr>
          <w:rFonts w:cs="Segoe UI" w:hint="eastAsia"/>
          <w:szCs w:val="22"/>
          <w:lang w:eastAsia="zh-TW"/>
        </w:rPr>
        <w:t>）。</w:t>
      </w:r>
      <w:r>
        <w:rPr>
          <w:rFonts w:cs="Segoe UI" w:hint="eastAsia"/>
          <w:b/>
          <w:bCs/>
          <w:szCs w:val="22"/>
          <w:lang w:eastAsia="zh-TW"/>
        </w:rPr>
        <w:t>消費品牌</w:t>
      </w:r>
      <w:r>
        <w:rPr>
          <w:rFonts w:cs="Segoe UI" w:hint="eastAsia"/>
          <w:szCs w:val="22"/>
          <w:lang w:eastAsia="zh-TW"/>
        </w:rPr>
        <w:t>業務部的有機銷售額下滑</w:t>
      </w:r>
      <w:r>
        <w:rPr>
          <w:rFonts w:cs="Segoe UI"/>
          <w:szCs w:val="22"/>
          <w:lang w:eastAsia="zh-TW"/>
        </w:rPr>
        <w:t>1.6%</w:t>
      </w:r>
      <w:r>
        <w:rPr>
          <w:rFonts w:cs="Segoe UI" w:hint="eastAsia"/>
          <w:szCs w:val="22"/>
          <w:lang w:eastAsia="zh-TW"/>
        </w:rPr>
        <w:t>（第二季度：</w:t>
      </w:r>
      <w:r>
        <w:rPr>
          <w:rFonts w:cs="Segoe UI"/>
          <w:szCs w:val="22"/>
          <w:lang w:eastAsia="zh-TW"/>
        </w:rPr>
        <w:t>+0.4%</w:t>
      </w:r>
      <w:r>
        <w:rPr>
          <w:rFonts w:cs="Segoe UI" w:hint="eastAsia"/>
          <w:szCs w:val="22"/>
          <w:lang w:eastAsia="zh-TW"/>
        </w:rPr>
        <w:t>）。儘管美髮業務領域實現了有機銷售額增長，但洗滌劑及家用護理業務領域和其他消費業務領域的有機銷售額均有下滑。</w:t>
      </w:r>
    </w:p>
    <w:p w14:paraId="7D1B36AB" w14:textId="77777777" w:rsidR="00DE6EFB" w:rsidRDefault="00DE6EFB">
      <w:pPr>
        <w:rPr>
          <w:rFonts w:cs="Segoe UI"/>
          <w:szCs w:val="22"/>
          <w:lang w:eastAsia="zh-TW"/>
        </w:rPr>
      </w:pPr>
    </w:p>
    <w:p w14:paraId="4E4AF16A" w14:textId="5BA0AE3A" w:rsidR="00DE6EFB" w:rsidRDefault="00E15CFD">
      <w:pPr>
        <w:rPr>
          <w:rFonts w:cs="Segoe UI"/>
          <w:szCs w:val="22"/>
          <w:lang w:eastAsia="zh-TW"/>
        </w:rPr>
      </w:pPr>
      <w:r>
        <w:rPr>
          <w:rFonts w:cs="Segoe UI" w:hint="eastAsia"/>
          <w:b/>
          <w:bCs/>
          <w:szCs w:val="22"/>
          <w:lang w:eastAsia="zh-TW"/>
        </w:rPr>
        <w:t>歐洲</w:t>
      </w:r>
      <w:r>
        <w:rPr>
          <w:rFonts w:cs="Segoe UI" w:hint="eastAsia"/>
          <w:szCs w:val="22"/>
          <w:lang w:eastAsia="zh-TW"/>
        </w:rPr>
        <w:t>和</w:t>
      </w:r>
      <w:r>
        <w:rPr>
          <w:rFonts w:cs="Segoe UI" w:hint="eastAsia"/>
          <w:b/>
          <w:bCs/>
          <w:szCs w:val="22"/>
          <w:lang w:eastAsia="zh-TW"/>
        </w:rPr>
        <w:t>北美</w:t>
      </w:r>
      <w:r>
        <w:rPr>
          <w:rFonts w:cs="Segoe UI" w:hint="eastAsia"/>
          <w:szCs w:val="22"/>
          <w:lang w:eastAsia="zh-TW"/>
        </w:rPr>
        <w:t>地區有機銷售額分別下滑</w:t>
      </w:r>
      <w:r>
        <w:rPr>
          <w:rFonts w:cs="Segoe UI"/>
          <w:szCs w:val="22"/>
          <w:lang w:eastAsia="zh-TW"/>
        </w:rPr>
        <w:t>1.9%</w:t>
      </w:r>
      <w:r>
        <w:rPr>
          <w:rFonts w:cs="Segoe UI" w:hint="eastAsia"/>
          <w:szCs w:val="22"/>
          <w:lang w:eastAsia="zh-TW"/>
        </w:rPr>
        <w:t>（第二季度：</w:t>
      </w:r>
      <w:r>
        <w:rPr>
          <w:rFonts w:cs="Segoe UI"/>
          <w:szCs w:val="22"/>
          <w:lang w:eastAsia="zh-TW"/>
        </w:rPr>
        <w:t>-1.8%</w:t>
      </w:r>
      <w:r>
        <w:rPr>
          <w:rFonts w:cs="Segoe UI" w:hint="eastAsia"/>
          <w:szCs w:val="22"/>
          <w:lang w:eastAsia="zh-TW"/>
        </w:rPr>
        <w:t>）和</w:t>
      </w:r>
      <w:r>
        <w:rPr>
          <w:rFonts w:cs="Segoe UI"/>
          <w:szCs w:val="22"/>
          <w:lang w:eastAsia="zh-TW"/>
        </w:rPr>
        <w:t>3.4%</w:t>
      </w:r>
      <w:r>
        <w:rPr>
          <w:rFonts w:cs="Segoe UI" w:hint="eastAsia"/>
          <w:szCs w:val="22"/>
          <w:lang w:eastAsia="zh-TW"/>
        </w:rPr>
        <w:t>（第二季度：</w:t>
      </w:r>
      <w:r>
        <w:rPr>
          <w:rFonts w:cs="Segoe UI"/>
          <w:szCs w:val="22"/>
          <w:lang w:eastAsia="zh-TW"/>
        </w:rPr>
        <w:t>-1.2%</w:t>
      </w:r>
      <w:r>
        <w:rPr>
          <w:rFonts w:cs="Segoe UI" w:hint="eastAsia"/>
          <w:szCs w:val="22"/>
          <w:lang w:eastAsia="zh-TW"/>
        </w:rPr>
        <w:t>），主要原因是受到嚴峻的地緣政治和宏觀經濟環境的影響。相比之下，漢高在</w:t>
      </w:r>
      <w:r>
        <w:rPr>
          <w:rFonts w:hint="eastAsia"/>
          <w:b/>
          <w:bCs/>
          <w:lang w:eastAsia="zh-TW"/>
        </w:rPr>
        <w:t>印度、中東和非洲</w:t>
      </w:r>
      <w:r>
        <w:rPr>
          <w:rFonts w:cs="Segoe UI" w:hint="eastAsia"/>
          <w:szCs w:val="22"/>
          <w:lang w:eastAsia="zh-TW"/>
        </w:rPr>
        <w:t>地區有機銷售實現了</w:t>
      </w:r>
      <w:r>
        <w:rPr>
          <w:rFonts w:cs="Segoe UI"/>
          <w:szCs w:val="22"/>
          <w:lang w:eastAsia="zh-TW"/>
        </w:rPr>
        <w:t>9.1%</w:t>
      </w:r>
      <w:r>
        <w:rPr>
          <w:rFonts w:cs="Segoe UI" w:hint="eastAsia"/>
          <w:szCs w:val="22"/>
          <w:lang w:eastAsia="zh-TW"/>
        </w:rPr>
        <w:t>的顯著增長（第二季度：</w:t>
      </w:r>
      <w:r>
        <w:rPr>
          <w:rFonts w:cs="Segoe UI"/>
          <w:szCs w:val="22"/>
          <w:lang w:eastAsia="zh-TW"/>
        </w:rPr>
        <w:t>+13.9%</w:t>
      </w:r>
      <w:r>
        <w:rPr>
          <w:rFonts w:cs="Segoe UI" w:hint="eastAsia"/>
          <w:szCs w:val="22"/>
          <w:lang w:eastAsia="zh-TW"/>
        </w:rPr>
        <w:t>）。</w:t>
      </w:r>
      <w:r>
        <w:rPr>
          <w:rFonts w:cs="Segoe UI" w:hint="eastAsia"/>
          <w:b/>
          <w:bCs/>
          <w:szCs w:val="22"/>
          <w:lang w:eastAsia="zh-TW"/>
        </w:rPr>
        <w:t>拉美</w:t>
      </w:r>
      <w:r>
        <w:rPr>
          <w:rFonts w:cs="Segoe UI" w:hint="eastAsia"/>
          <w:szCs w:val="22"/>
          <w:lang w:eastAsia="zh-TW"/>
        </w:rPr>
        <w:t>地區則實現了</w:t>
      </w:r>
      <w:r>
        <w:rPr>
          <w:rFonts w:cs="Segoe UI"/>
          <w:szCs w:val="22"/>
          <w:lang w:eastAsia="zh-TW"/>
        </w:rPr>
        <w:t>0.4%</w:t>
      </w:r>
      <w:r>
        <w:rPr>
          <w:rFonts w:cs="Segoe UI" w:hint="eastAsia"/>
          <w:szCs w:val="22"/>
          <w:lang w:eastAsia="zh-TW"/>
        </w:rPr>
        <w:t>的有機銷售增長（第二季度：</w:t>
      </w:r>
      <w:r>
        <w:rPr>
          <w:rFonts w:cs="Segoe UI"/>
          <w:szCs w:val="22"/>
          <w:lang w:eastAsia="zh-TW"/>
        </w:rPr>
        <w:t>-</w:t>
      </w:r>
      <w:proofErr w:type="gramStart"/>
      <w:r>
        <w:rPr>
          <w:rFonts w:cs="Segoe UI"/>
          <w:szCs w:val="22"/>
          <w:lang w:eastAsia="zh-TW"/>
        </w:rPr>
        <w:t>0.6%</w:t>
      </w:r>
      <w:r>
        <w:rPr>
          <w:rFonts w:cs="Segoe UI" w:hint="eastAsia"/>
          <w:szCs w:val="22"/>
          <w:lang w:eastAsia="zh-TW"/>
        </w:rPr>
        <w:t>）。</w:t>
      </w:r>
      <w:r>
        <w:rPr>
          <w:rFonts w:cs="Segoe UI" w:hint="eastAsia"/>
          <w:b/>
          <w:bCs/>
          <w:szCs w:val="22"/>
          <w:lang w:eastAsia="zh-TW"/>
        </w:rPr>
        <w:t>亞太</w:t>
      </w:r>
      <w:r>
        <w:rPr>
          <w:rFonts w:cs="Segoe UI" w:hint="eastAsia"/>
          <w:szCs w:val="22"/>
          <w:lang w:eastAsia="zh-TW"/>
        </w:rPr>
        <w:t>地區的有機銷售額增長</w:t>
      </w:r>
      <w:proofErr w:type="gramEnd"/>
      <w:r>
        <w:rPr>
          <w:rFonts w:cs="Segoe UI"/>
          <w:szCs w:val="22"/>
          <w:lang w:eastAsia="zh-TW"/>
        </w:rPr>
        <w:t>3.4%</w:t>
      </w:r>
      <w:r>
        <w:rPr>
          <w:rFonts w:cs="Segoe UI" w:hint="eastAsia"/>
          <w:szCs w:val="22"/>
          <w:lang w:eastAsia="zh-TW"/>
        </w:rPr>
        <w:t>（第二季度：</w:t>
      </w:r>
      <w:r>
        <w:rPr>
          <w:rFonts w:cs="Segoe UI"/>
          <w:szCs w:val="22"/>
          <w:lang w:eastAsia="zh-TW"/>
        </w:rPr>
        <w:t>+</w:t>
      </w:r>
      <w:proofErr w:type="gramStart"/>
      <w:r>
        <w:rPr>
          <w:rFonts w:cs="Segoe UI"/>
          <w:szCs w:val="22"/>
          <w:lang w:eastAsia="zh-TW"/>
        </w:rPr>
        <w:t>3.1%</w:t>
      </w:r>
      <w:r>
        <w:rPr>
          <w:rFonts w:cs="Segoe UI" w:hint="eastAsia"/>
          <w:szCs w:val="22"/>
          <w:lang w:eastAsia="zh-TW"/>
        </w:rPr>
        <w:t>）。</w:t>
      </w:r>
      <w:proofErr w:type="gramEnd"/>
    </w:p>
    <w:p w14:paraId="2C1C50C4" w14:textId="77777777" w:rsidR="00DE6EFB" w:rsidRDefault="00DE6EFB">
      <w:pPr>
        <w:rPr>
          <w:rFonts w:cs="Segoe UI"/>
          <w:szCs w:val="22"/>
          <w:lang w:eastAsia="zh-TW"/>
        </w:rPr>
      </w:pPr>
    </w:p>
    <w:p w14:paraId="75D2CBED" w14:textId="0F18A0E8" w:rsidR="00DE6EFB" w:rsidRDefault="00E15CFD">
      <w:pPr>
        <w:rPr>
          <w:rFonts w:cs="Segoe UI"/>
          <w:bCs/>
          <w:szCs w:val="22"/>
          <w:lang w:eastAsia="zh-TW"/>
        </w:rPr>
      </w:pPr>
      <w:r>
        <w:rPr>
          <w:rFonts w:cs="Segoe UI" w:hint="eastAsia"/>
          <w:b/>
          <w:szCs w:val="22"/>
          <w:lang w:eastAsia="zh-TW"/>
        </w:rPr>
        <w:t>調整後的營業利潤（調整後的息稅前利潤）</w:t>
      </w:r>
      <w:r>
        <w:rPr>
          <w:rFonts w:cs="Segoe UI" w:hint="eastAsia"/>
          <w:bCs/>
          <w:szCs w:val="22"/>
          <w:lang w:eastAsia="zh-TW"/>
        </w:rPr>
        <w:t>從</w:t>
      </w:r>
      <w:r>
        <w:rPr>
          <w:rFonts w:cs="Segoe UI"/>
          <w:bCs/>
          <w:szCs w:val="22"/>
          <w:lang w:eastAsia="zh-TW"/>
        </w:rPr>
        <w:t>2024</w:t>
      </w:r>
      <w:r>
        <w:rPr>
          <w:rFonts w:cs="Segoe UI" w:hint="eastAsia"/>
          <w:bCs/>
          <w:szCs w:val="22"/>
          <w:lang w:eastAsia="zh-TW"/>
        </w:rPr>
        <w:t>年上半年的</w:t>
      </w:r>
      <w:r>
        <w:rPr>
          <w:rFonts w:cs="Segoe UI"/>
          <w:bCs/>
          <w:szCs w:val="22"/>
          <w:lang w:eastAsia="zh-TW"/>
        </w:rPr>
        <w:t>16.10</w:t>
      </w:r>
      <w:r>
        <w:rPr>
          <w:rFonts w:cs="Segoe UI" w:hint="eastAsia"/>
          <w:bCs/>
          <w:szCs w:val="22"/>
          <w:lang w:eastAsia="zh-TW"/>
        </w:rPr>
        <w:t>億歐元小幅增至</w:t>
      </w:r>
      <w:r>
        <w:rPr>
          <w:rFonts w:cs="Segoe UI"/>
          <w:bCs/>
          <w:szCs w:val="22"/>
          <w:lang w:eastAsia="zh-TW"/>
        </w:rPr>
        <w:t>16.14</w:t>
      </w:r>
      <w:r>
        <w:rPr>
          <w:rFonts w:cs="Segoe UI" w:hint="eastAsia"/>
          <w:bCs/>
          <w:szCs w:val="22"/>
          <w:lang w:eastAsia="zh-TW"/>
        </w:rPr>
        <w:t>億歐元。</w:t>
      </w:r>
    </w:p>
    <w:p w14:paraId="32E6366A" w14:textId="77777777" w:rsidR="00DE6EFB" w:rsidRDefault="00DE6EFB">
      <w:pPr>
        <w:rPr>
          <w:rFonts w:cs="Segoe UI"/>
          <w:bCs/>
          <w:szCs w:val="22"/>
          <w:lang w:eastAsia="zh-TW"/>
        </w:rPr>
      </w:pPr>
    </w:p>
    <w:p w14:paraId="6C75F801" w14:textId="5E343B0D" w:rsidR="00DE6EFB" w:rsidRDefault="00E15CFD">
      <w:pPr>
        <w:rPr>
          <w:rFonts w:cs="Segoe UI"/>
          <w:bCs/>
          <w:szCs w:val="22"/>
          <w:lang w:eastAsia="zh-CN"/>
        </w:rPr>
      </w:pPr>
      <w:r>
        <w:rPr>
          <w:rFonts w:cs="Segoe UI" w:hint="eastAsia"/>
          <w:bCs/>
          <w:szCs w:val="22"/>
          <w:lang w:eastAsia="zh-TW"/>
        </w:rPr>
        <w:t>漢高集團</w:t>
      </w:r>
      <w:r>
        <w:rPr>
          <w:rFonts w:cs="Segoe UI" w:hint="eastAsia"/>
          <w:b/>
          <w:szCs w:val="22"/>
          <w:lang w:eastAsia="zh-TW"/>
        </w:rPr>
        <w:t>調整後的銷售回報率（調整後的息稅前利潤率）</w:t>
      </w:r>
      <w:r>
        <w:rPr>
          <w:rFonts w:cs="Segoe UI" w:hint="eastAsia"/>
          <w:bCs/>
          <w:szCs w:val="22"/>
          <w:lang w:eastAsia="zh-TW"/>
        </w:rPr>
        <w:t>從</w:t>
      </w:r>
      <w:r>
        <w:rPr>
          <w:rFonts w:cs="Segoe UI"/>
          <w:bCs/>
          <w:szCs w:val="22"/>
          <w:lang w:eastAsia="zh-TW"/>
        </w:rPr>
        <w:t>14.9%</w:t>
      </w:r>
      <w:r>
        <w:rPr>
          <w:rFonts w:cs="Segoe UI" w:hint="eastAsia"/>
          <w:bCs/>
          <w:szCs w:val="22"/>
          <w:lang w:eastAsia="zh-TW"/>
        </w:rPr>
        <w:t>上升至</w:t>
      </w:r>
      <w:r>
        <w:rPr>
          <w:rFonts w:cs="Segoe UI"/>
          <w:bCs/>
          <w:szCs w:val="22"/>
          <w:lang w:eastAsia="zh-TW"/>
        </w:rPr>
        <w:t>15.5%</w:t>
      </w:r>
      <w:r>
        <w:rPr>
          <w:rFonts w:cs="Segoe UI" w:hint="eastAsia"/>
          <w:bCs/>
          <w:szCs w:val="22"/>
          <w:lang w:eastAsia="zh-TW"/>
        </w:rPr>
        <w:t>，增幅</w:t>
      </w:r>
      <w:r>
        <w:rPr>
          <w:rFonts w:cs="Segoe UI"/>
          <w:bCs/>
          <w:szCs w:val="22"/>
          <w:lang w:eastAsia="zh-TW"/>
        </w:rPr>
        <w:t>60</w:t>
      </w:r>
      <w:r>
        <w:rPr>
          <w:rFonts w:cs="Segoe UI" w:hint="eastAsia"/>
          <w:bCs/>
          <w:szCs w:val="22"/>
          <w:lang w:eastAsia="zh-TW"/>
        </w:rPr>
        <w:t>個基點。</w:t>
      </w:r>
    </w:p>
    <w:p w14:paraId="04B83B1F" w14:textId="77777777" w:rsidR="00DE6EFB" w:rsidRDefault="00DE6EFB">
      <w:pPr>
        <w:rPr>
          <w:rFonts w:cs="Segoe UI"/>
          <w:bCs/>
          <w:szCs w:val="22"/>
          <w:lang w:eastAsia="zh-CN"/>
        </w:rPr>
      </w:pPr>
    </w:p>
    <w:p w14:paraId="4339929F" w14:textId="640C4B88" w:rsidR="00DE6EFB" w:rsidRDefault="00E15CFD">
      <w:pPr>
        <w:rPr>
          <w:rFonts w:cs="Segoe UI"/>
          <w:bCs/>
          <w:szCs w:val="22"/>
          <w:lang w:eastAsia="zh-TW"/>
        </w:rPr>
      </w:pPr>
      <w:r>
        <w:rPr>
          <w:rFonts w:cs="Segoe UI" w:hint="eastAsia"/>
          <w:b/>
          <w:szCs w:val="22"/>
          <w:lang w:eastAsia="zh-TW"/>
        </w:rPr>
        <w:t>優先股每股收益</w:t>
      </w:r>
      <w:r>
        <w:rPr>
          <w:rFonts w:cs="Segoe UI" w:hint="eastAsia"/>
          <w:bCs/>
          <w:szCs w:val="22"/>
          <w:lang w:eastAsia="zh-TW"/>
        </w:rPr>
        <w:t>增至</w:t>
      </w:r>
      <w:r>
        <w:rPr>
          <w:rFonts w:cs="Segoe UI"/>
          <w:bCs/>
          <w:szCs w:val="22"/>
          <w:lang w:eastAsia="zh-TW"/>
        </w:rPr>
        <w:t>2.66</w:t>
      </w:r>
      <w:r>
        <w:rPr>
          <w:rFonts w:cs="Segoe UI" w:hint="eastAsia"/>
          <w:bCs/>
          <w:szCs w:val="22"/>
          <w:lang w:eastAsia="zh-TW"/>
        </w:rPr>
        <w:t>歐元（</w:t>
      </w:r>
      <w:r>
        <w:rPr>
          <w:rFonts w:cs="Segoe UI"/>
          <w:bCs/>
          <w:szCs w:val="22"/>
          <w:lang w:eastAsia="zh-TW"/>
        </w:rPr>
        <w:t>2024</w:t>
      </w:r>
      <w:r>
        <w:rPr>
          <w:rFonts w:cs="Segoe UI" w:hint="eastAsia"/>
          <w:bCs/>
          <w:szCs w:val="22"/>
          <w:lang w:eastAsia="zh-TW"/>
        </w:rPr>
        <w:t>年：</w:t>
      </w:r>
      <w:r>
        <w:rPr>
          <w:rFonts w:cs="Segoe UI"/>
          <w:bCs/>
          <w:szCs w:val="22"/>
          <w:lang w:eastAsia="zh-TW"/>
        </w:rPr>
        <w:t>2.46</w:t>
      </w:r>
      <w:r>
        <w:rPr>
          <w:rFonts w:cs="Segoe UI" w:hint="eastAsia"/>
          <w:bCs/>
          <w:szCs w:val="22"/>
          <w:lang w:eastAsia="zh-TW"/>
        </w:rPr>
        <w:t>歐元）。調整後的優先股每股收益增長</w:t>
      </w:r>
      <w:r>
        <w:rPr>
          <w:rFonts w:cs="Segoe UI"/>
          <w:bCs/>
          <w:szCs w:val="22"/>
          <w:lang w:eastAsia="zh-TW"/>
        </w:rPr>
        <w:t>1.1%</w:t>
      </w:r>
      <w:r>
        <w:rPr>
          <w:rFonts w:cs="Segoe UI" w:hint="eastAsia"/>
          <w:bCs/>
          <w:szCs w:val="22"/>
          <w:lang w:eastAsia="zh-TW"/>
        </w:rPr>
        <w:t>，從去年同期的</w:t>
      </w:r>
      <w:r>
        <w:rPr>
          <w:rFonts w:cs="Segoe UI"/>
          <w:bCs/>
          <w:szCs w:val="22"/>
          <w:lang w:eastAsia="zh-TW"/>
        </w:rPr>
        <w:t>2.78</w:t>
      </w:r>
      <w:r>
        <w:rPr>
          <w:rFonts w:cs="Segoe UI" w:hint="eastAsia"/>
          <w:bCs/>
          <w:szCs w:val="22"/>
          <w:lang w:eastAsia="zh-TW"/>
        </w:rPr>
        <w:t>歐元增至</w:t>
      </w:r>
      <w:proofErr w:type="gramStart"/>
      <w:r>
        <w:rPr>
          <w:rFonts w:cs="Segoe UI"/>
          <w:bCs/>
          <w:szCs w:val="22"/>
          <w:lang w:eastAsia="zh-TW"/>
        </w:rPr>
        <w:t>2.81</w:t>
      </w:r>
      <w:r>
        <w:rPr>
          <w:rFonts w:cs="Segoe UI" w:hint="eastAsia"/>
          <w:bCs/>
          <w:szCs w:val="22"/>
          <w:lang w:eastAsia="zh-TW"/>
        </w:rPr>
        <w:t>歐元。按固定匯率計算</w:t>
      </w:r>
      <w:proofErr w:type="gramEnd"/>
      <w:r>
        <w:rPr>
          <w:rFonts w:cs="Segoe UI" w:hint="eastAsia"/>
          <w:bCs/>
          <w:szCs w:val="22"/>
          <w:lang w:eastAsia="zh-TW"/>
        </w:rPr>
        <w:t>，調整後的優先股每股收益增長</w:t>
      </w:r>
      <w:r>
        <w:rPr>
          <w:rFonts w:cs="Segoe UI"/>
          <w:bCs/>
          <w:szCs w:val="22"/>
          <w:lang w:eastAsia="zh-TW"/>
        </w:rPr>
        <w:t>5.0%</w:t>
      </w:r>
      <w:r>
        <w:rPr>
          <w:rFonts w:cs="Segoe UI" w:hint="eastAsia"/>
          <w:bCs/>
          <w:szCs w:val="22"/>
          <w:lang w:eastAsia="zh-TW"/>
        </w:rPr>
        <w:t>。</w:t>
      </w:r>
    </w:p>
    <w:p w14:paraId="12BABD00" w14:textId="77777777" w:rsidR="005D4F92" w:rsidRDefault="005D4F92">
      <w:pPr>
        <w:rPr>
          <w:rFonts w:cs="Segoe UI"/>
          <w:szCs w:val="22"/>
          <w:lang w:eastAsia="zh-TW"/>
        </w:rPr>
      </w:pPr>
    </w:p>
    <w:p w14:paraId="65AF2EEA" w14:textId="26CA952C" w:rsidR="00DE6EFB" w:rsidRDefault="00E15CFD">
      <w:pPr>
        <w:rPr>
          <w:rFonts w:cs="Segoe UI"/>
          <w:szCs w:val="22"/>
          <w:lang w:eastAsia="zh-TW"/>
        </w:rPr>
      </w:pPr>
      <w:r>
        <w:rPr>
          <w:rFonts w:cs="Segoe UI" w:hint="eastAsia"/>
          <w:szCs w:val="22"/>
          <w:lang w:eastAsia="zh-TW"/>
        </w:rPr>
        <w:t>第二季度的</w:t>
      </w:r>
      <w:r>
        <w:rPr>
          <w:rFonts w:cs="Segoe UI" w:hint="eastAsia"/>
          <w:b/>
          <w:bCs/>
          <w:szCs w:val="22"/>
          <w:lang w:eastAsia="zh-TW"/>
        </w:rPr>
        <w:t>淨營運資本</w:t>
      </w:r>
      <w:r>
        <w:rPr>
          <w:rFonts w:cs="Segoe UI" w:hint="eastAsia"/>
          <w:szCs w:val="22"/>
          <w:lang w:eastAsia="zh-TW"/>
        </w:rPr>
        <w:t>占銷售額的比例從去年同期的</w:t>
      </w:r>
      <w:r>
        <w:rPr>
          <w:rFonts w:cs="Segoe UI"/>
          <w:szCs w:val="22"/>
          <w:lang w:eastAsia="zh-TW"/>
        </w:rPr>
        <w:t>5.2%</w:t>
      </w:r>
      <w:r>
        <w:rPr>
          <w:rFonts w:cs="Segoe UI" w:hint="eastAsia"/>
          <w:szCs w:val="22"/>
          <w:lang w:eastAsia="zh-TW"/>
        </w:rPr>
        <w:t>升至</w:t>
      </w:r>
      <w:r>
        <w:rPr>
          <w:rFonts w:cs="Segoe UI"/>
          <w:szCs w:val="22"/>
          <w:lang w:eastAsia="zh-TW"/>
        </w:rPr>
        <w:t>6.0%</w:t>
      </w:r>
      <w:r>
        <w:rPr>
          <w:rFonts w:cs="Segoe UI" w:hint="eastAsia"/>
          <w:szCs w:val="22"/>
          <w:lang w:eastAsia="zh-TW"/>
        </w:rPr>
        <w:t>，增幅為</w:t>
      </w:r>
      <w:r>
        <w:rPr>
          <w:rFonts w:cs="Segoe UI"/>
          <w:szCs w:val="22"/>
          <w:lang w:eastAsia="zh-TW"/>
        </w:rPr>
        <w:t>0.8%</w:t>
      </w:r>
      <w:r w:rsidDel="004B6523">
        <w:rPr>
          <w:rFonts w:cs="Segoe UI"/>
          <w:szCs w:val="22"/>
          <w:lang w:eastAsia="zh-TW"/>
        </w:rPr>
        <w:t xml:space="preserve"> </w:t>
      </w:r>
      <w:r>
        <w:rPr>
          <w:rFonts w:cs="Segoe UI" w:hint="eastAsia"/>
          <w:szCs w:val="22"/>
          <w:lang w:eastAsia="zh-TW"/>
        </w:rPr>
        <w:t>。</w:t>
      </w:r>
    </w:p>
    <w:p w14:paraId="0CA7B036" w14:textId="77777777" w:rsidR="00DE6EFB" w:rsidRDefault="00DE6EFB">
      <w:pPr>
        <w:rPr>
          <w:rFonts w:cs="Segoe UI"/>
          <w:szCs w:val="22"/>
          <w:highlight w:val="yellow"/>
          <w:lang w:eastAsia="zh-TW"/>
        </w:rPr>
      </w:pPr>
    </w:p>
    <w:p w14:paraId="147BD7D7" w14:textId="6E3647A8" w:rsidR="00DE6EFB" w:rsidRDefault="00E15CFD">
      <w:pPr>
        <w:autoSpaceDE w:val="0"/>
        <w:autoSpaceDN w:val="0"/>
        <w:adjustRightInd w:val="0"/>
        <w:rPr>
          <w:lang w:eastAsia="zh-TW"/>
        </w:rPr>
      </w:pPr>
      <w:r>
        <w:rPr>
          <w:rFonts w:hint="eastAsia"/>
          <w:b/>
          <w:bCs/>
          <w:lang w:eastAsia="zh-TW"/>
        </w:rPr>
        <w:t>自由現金流</w:t>
      </w:r>
      <w:r>
        <w:rPr>
          <w:rFonts w:hint="eastAsia"/>
          <w:lang w:eastAsia="zh-TW"/>
        </w:rPr>
        <w:t>為</w:t>
      </w:r>
      <w:r>
        <w:rPr>
          <w:lang w:eastAsia="zh-TW"/>
        </w:rPr>
        <w:t>4.85</w:t>
      </w:r>
      <w:r>
        <w:rPr>
          <w:rFonts w:hint="eastAsia"/>
          <w:lang w:eastAsia="zh-TW"/>
        </w:rPr>
        <w:t>億歐元，低於</w:t>
      </w:r>
      <w:r>
        <w:rPr>
          <w:lang w:eastAsia="zh-TW"/>
        </w:rPr>
        <w:t>2024</w:t>
      </w:r>
      <w:r>
        <w:rPr>
          <w:rFonts w:hint="eastAsia"/>
          <w:lang w:eastAsia="zh-TW"/>
        </w:rPr>
        <w:t>年上半年（</w:t>
      </w:r>
      <w:r>
        <w:rPr>
          <w:lang w:eastAsia="zh-TW"/>
        </w:rPr>
        <w:t>7.72</w:t>
      </w:r>
      <w:r>
        <w:rPr>
          <w:rFonts w:hint="eastAsia"/>
          <w:lang w:eastAsia="zh-TW"/>
        </w:rPr>
        <w:t>億歐元），主要原因是淨營運資本增加以及對房地產、廠房、設備和無形資產的投資增加。</w:t>
      </w:r>
    </w:p>
    <w:p w14:paraId="6E142167" w14:textId="77777777" w:rsidR="00DE6EFB" w:rsidRDefault="00DE6EFB">
      <w:pPr>
        <w:autoSpaceDE w:val="0"/>
        <w:autoSpaceDN w:val="0"/>
        <w:adjustRightInd w:val="0"/>
        <w:rPr>
          <w:rFonts w:cs="Segoe UI"/>
          <w:szCs w:val="22"/>
          <w:highlight w:val="yellow"/>
          <w:lang w:eastAsia="zh-TW"/>
        </w:rPr>
      </w:pPr>
    </w:p>
    <w:p w14:paraId="150CCDB9" w14:textId="3268C61E" w:rsidR="00DE6EFB" w:rsidRDefault="00E15CFD">
      <w:pPr>
        <w:rPr>
          <w:lang w:eastAsia="zh-CN"/>
        </w:rPr>
      </w:pPr>
      <w:r>
        <w:rPr>
          <w:rFonts w:hint="eastAsia"/>
          <w:lang w:eastAsia="zh-TW"/>
        </w:rPr>
        <w:lastRenderedPageBreak/>
        <w:t>截至</w:t>
      </w:r>
      <w:r>
        <w:rPr>
          <w:lang w:eastAsia="zh-TW"/>
        </w:rPr>
        <w:t>2025</w:t>
      </w:r>
      <w:r>
        <w:rPr>
          <w:rFonts w:hint="eastAsia"/>
          <w:lang w:eastAsia="zh-TW"/>
        </w:rPr>
        <w:t>年</w:t>
      </w:r>
      <w:r>
        <w:rPr>
          <w:lang w:eastAsia="zh-TW"/>
        </w:rPr>
        <w:t>6</w:t>
      </w:r>
      <w:r>
        <w:rPr>
          <w:rFonts w:hint="eastAsia"/>
          <w:lang w:eastAsia="zh-TW"/>
        </w:rPr>
        <w:t>月</w:t>
      </w:r>
      <w:r>
        <w:rPr>
          <w:lang w:eastAsia="zh-TW"/>
        </w:rPr>
        <w:t>30</w:t>
      </w:r>
      <w:r>
        <w:rPr>
          <w:rFonts w:hint="eastAsia"/>
          <w:lang w:eastAsia="zh-TW"/>
        </w:rPr>
        <w:t>日，</w:t>
      </w:r>
      <w:r>
        <w:rPr>
          <w:rFonts w:hint="eastAsia"/>
          <w:b/>
          <w:bCs/>
          <w:lang w:eastAsia="zh-TW"/>
        </w:rPr>
        <w:t>淨財務狀況</w:t>
      </w:r>
      <w:r>
        <w:rPr>
          <w:rFonts w:hint="eastAsia"/>
          <w:lang w:eastAsia="zh-TW"/>
        </w:rPr>
        <w:t>為</w:t>
      </w:r>
      <w:r>
        <w:rPr>
          <w:lang w:eastAsia="zh-TW"/>
        </w:rPr>
        <w:t>-4.94</w:t>
      </w:r>
      <w:r>
        <w:rPr>
          <w:rFonts w:hint="eastAsia"/>
          <w:lang w:eastAsia="zh-TW"/>
        </w:rPr>
        <w:t>億歐元（</w:t>
      </w:r>
      <w:r>
        <w:rPr>
          <w:lang w:eastAsia="zh-TW"/>
        </w:rPr>
        <w:t>2024</w:t>
      </w:r>
      <w:r>
        <w:rPr>
          <w:rFonts w:hint="eastAsia"/>
          <w:lang w:eastAsia="zh-TW"/>
        </w:rPr>
        <w:t>年</w:t>
      </w:r>
      <w:r>
        <w:rPr>
          <w:lang w:eastAsia="zh-TW"/>
        </w:rPr>
        <w:t>12</w:t>
      </w:r>
      <w:r>
        <w:rPr>
          <w:rFonts w:hint="eastAsia"/>
          <w:lang w:eastAsia="zh-TW"/>
        </w:rPr>
        <w:t>月</w:t>
      </w:r>
      <w:r>
        <w:rPr>
          <w:lang w:eastAsia="zh-TW"/>
        </w:rPr>
        <w:t>31</w:t>
      </w:r>
      <w:r>
        <w:rPr>
          <w:rFonts w:hint="eastAsia"/>
          <w:lang w:eastAsia="zh-TW"/>
        </w:rPr>
        <w:t>日：</w:t>
      </w:r>
      <w:r>
        <w:rPr>
          <w:lang w:eastAsia="zh-TW"/>
        </w:rPr>
        <w:t>-9300</w:t>
      </w:r>
      <w:r>
        <w:rPr>
          <w:rFonts w:hint="eastAsia"/>
          <w:lang w:eastAsia="zh-TW"/>
        </w:rPr>
        <w:t>萬歐元）。</w:t>
      </w:r>
    </w:p>
    <w:p w14:paraId="273CED1A" w14:textId="77777777" w:rsidR="00DE6EFB" w:rsidRDefault="00DE6EFB">
      <w:pPr>
        <w:spacing w:after="120"/>
        <w:rPr>
          <w:rFonts w:cs="Segoe UI"/>
          <w:b/>
          <w:bCs/>
          <w:szCs w:val="22"/>
          <w:lang w:eastAsia="zh-CN"/>
        </w:rPr>
      </w:pPr>
    </w:p>
    <w:p w14:paraId="08030975" w14:textId="40C2A441" w:rsidR="00DE6EFB" w:rsidRDefault="00E15CFD">
      <w:pPr>
        <w:spacing w:after="120"/>
        <w:rPr>
          <w:rFonts w:cs="Segoe UI"/>
          <w:b/>
          <w:bCs/>
          <w:szCs w:val="22"/>
          <w:highlight w:val="yellow"/>
          <w:lang w:eastAsia="zh-CN"/>
        </w:rPr>
      </w:pPr>
      <w:r>
        <w:rPr>
          <w:rFonts w:cs="Segoe UI"/>
          <w:b/>
          <w:bCs/>
          <w:szCs w:val="22"/>
          <w:lang w:eastAsia="zh-TW"/>
        </w:rPr>
        <w:t>2025</w:t>
      </w:r>
      <w:r>
        <w:rPr>
          <w:rFonts w:cs="Segoe UI" w:hint="eastAsia"/>
          <w:b/>
          <w:bCs/>
          <w:szCs w:val="22"/>
          <w:lang w:eastAsia="zh-TW"/>
        </w:rPr>
        <w:t>年上半年業務部門業績</w:t>
      </w:r>
    </w:p>
    <w:p w14:paraId="2F08851A" w14:textId="6F5DB689" w:rsidR="00DE6EFB" w:rsidRDefault="00E15CFD">
      <w:pPr>
        <w:rPr>
          <w:color w:val="000000" w:themeColor="text1"/>
          <w:lang w:eastAsia="zh-TW"/>
        </w:rPr>
      </w:pPr>
      <w:bookmarkStart w:id="3" w:name="SNAMD_dc825768bfb2420dbdc0e075b6c733f3"/>
      <w:bookmarkStart w:id="4" w:name="SNERR_085cbfa1dc5245baabab2f6ce609ab4b"/>
      <w:r>
        <w:rPr>
          <w:rFonts w:hint="eastAsia"/>
          <w:color w:val="000000" w:themeColor="text1"/>
          <w:lang w:eastAsia="zh-TW"/>
        </w:rPr>
        <w:t>粘合劑技術業務部</w:t>
      </w:r>
      <w:r>
        <w:rPr>
          <w:color w:val="000000" w:themeColor="text1"/>
          <w:lang w:eastAsia="zh-TW"/>
        </w:rPr>
        <w:t>2025</w:t>
      </w:r>
      <w:r>
        <w:rPr>
          <w:rFonts w:hint="eastAsia"/>
          <w:color w:val="000000" w:themeColor="text1"/>
          <w:lang w:eastAsia="zh-TW"/>
        </w:rPr>
        <w:t>年上半年</w:t>
      </w:r>
      <w:r>
        <w:rPr>
          <w:rFonts w:hint="eastAsia"/>
          <w:b/>
          <w:bCs/>
          <w:color w:val="000000" w:themeColor="text1"/>
          <w:lang w:eastAsia="zh-TW"/>
        </w:rPr>
        <w:t>有機銷售額</w:t>
      </w:r>
      <w:r>
        <w:rPr>
          <w:rFonts w:hint="eastAsia"/>
          <w:color w:val="000000" w:themeColor="text1"/>
          <w:lang w:eastAsia="zh-TW"/>
        </w:rPr>
        <w:t>增長</w:t>
      </w:r>
      <w:r>
        <w:rPr>
          <w:color w:val="000000" w:themeColor="text1"/>
          <w:lang w:eastAsia="zh-TW"/>
        </w:rPr>
        <w:t>1.2%</w:t>
      </w:r>
      <w:r>
        <w:rPr>
          <w:rFonts w:hint="eastAsia"/>
          <w:color w:val="000000" w:themeColor="text1"/>
          <w:lang w:eastAsia="zh-TW"/>
        </w:rPr>
        <w:t>（第二季度：</w:t>
      </w:r>
      <w:r>
        <w:rPr>
          <w:color w:val="000000" w:themeColor="text1"/>
          <w:lang w:eastAsia="zh-TW"/>
        </w:rPr>
        <w:t>+1.3%</w:t>
      </w:r>
      <w:r>
        <w:rPr>
          <w:rFonts w:hint="eastAsia"/>
          <w:color w:val="000000" w:themeColor="text1"/>
          <w:lang w:eastAsia="zh-TW"/>
        </w:rPr>
        <w:t>）。這得益於價格和銷量的均衡增長。名義銷售額達到</w:t>
      </w:r>
      <w:r>
        <w:rPr>
          <w:color w:val="000000" w:themeColor="text1"/>
          <w:lang w:eastAsia="zh-TW"/>
        </w:rPr>
        <w:t>54.16</w:t>
      </w:r>
      <w:r>
        <w:rPr>
          <w:rFonts w:hint="eastAsia"/>
          <w:color w:val="000000" w:themeColor="text1"/>
          <w:lang w:eastAsia="zh-TW"/>
        </w:rPr>
        <w:t>億歐元，較去年同期小幅下滑</w:t>
      </w:r>
      <w:r>
        <w:rPr>
          <w:color w:val="000000" w:themeColor="text1"/>
          <w:lang w:eastAsia="zh-TW"/>
        </w:rPr>
        <w:t>1.1%</w:t>
      </w:r>
      <w:r>
        <w:rPr>
          <w:rFonts w:hint="eastAsia"/>
          <w:color w:val="000000" w:themeColor="text1"/>
          <w:lang w:eastAsia="zh-TW"/>
        </w:rPr>
        <w:t>（第二季度：</w:t>
      </w:r>
      <w:r>
        <w:rPr>
          <w:color w:val="000000" w:themeColor="text1"/>
          <w:lang w:eastAsia="zh-TW"/>
        </w:rPr>
        <w:t>27.01</w:t>
      </w:r>
      <w:r>
        <w:rPr>
          <w:rFonts w:hint="eastAsia"/>
          <w:color w:val="000000" w:themeColor="text1"/>
          <w:lang w:eastAsia="zh-TW"/>
        </w:rPr>
        <w:t>億歐元）。</w:t>
      </w:r>
      <w:r w:rsidR="00B51E72">
        <w:rPr>
          <w:color w:val="000000" w:themeColor="text1"/>
        </w:rPr>
        <w:fldChar w:fldCharType="begin"/>
      </w:r>
      <w:r w:rsidR="00B51E72">
        <w:rPr>
          <w:color w:val="000000" w:themeColor="text1"/>
          <w:lang w:eastAsia="zh-TW"/>
        </w:rPr>
        <w:instrText xml:space="preserve"> DOCVARIABLE WORDVALUE-7c2eb70d-9d14-4f70-93d9-1f388a1f5be7 \* CHARFORMAT </w:instrText>
      </w:r>
      <w:r w:rsidR="00B51E72">
        <w:rPr>
          <w:color w:val="000000" w:themeColor="text1"/>
        </w:rPr>
        <w:fldChar w:fldCharType="separate"/>
      </w:r>
      <w:r w:rsidR="00B51E72">
        <w:rPr>
          <w:color w:val="000000" w:themeColor="text1"/>
        </w:rPr>
        <w:fldChar w:fldCharType="end"/>
      </w:r>
      <w:bookmarkEnd w:id="3"/>
      <w:bookmarkEnd w:id="4"/>
      <w:r w:rsidR="00B51E72">
        <w:rPr>
          <w:color w:val="000000" w:themeColor="text1"/>
        </w:rPr>
        <w:fldChar w:fldCharType="begin"/>
      </w:r>
      <w:r w:rsidR="00B51E72">
        <w:rPr>
          <w:color w:val="000000" w:themeColor="text1"/>
          <w:lang w:eastAsia="zh-TW"/>
        </w:rPr>
        <w:instrText xml:space="preserve"> DOCVARIABLE WORDVALUE-b5592f6a-a403-4cc8-a105-1f388a58258f \* CHARFORMAT </w:instrText>
      </w:r>
      <w:r w:rsidR="00B51E72">
        <w:rPr>
          <w:color w:val="000000" w:themeColor="text1"/>
        </w:rPr>
        <w:fldChar w:fldCharType="separate"/>
      </w:r>
      <w:r w:rsidR="00B51E72">
        <w:rPr>
          <w:color w:val="000000" w:themeColor="text1"/>
        </w:rPr>
        <w:fldChar w:fldCharType="end"/>
      </w:r>
    </w:p>
    <w:p w14:paraId="74E6FBE7" w14:textId="77777777" w:rsidR="00DE6EFB" w:rsidRDefault="00DE6EFB">
      <w:pPr>
        <w:rPr>
          <w:rFonts w:eastAsia="Segoe UI" w:cs="Segoe UI"/>
          <w:szCs w:val="18"/>
          <w:lang w:eastAsia="zh-TW"/>
        </w:rPr>
      </w:pPr>
    </w:p>
    <w:p w14:paraId="1EECB915" w14:textId="38738ACB" w:rsidR="00DE6EFB" w:rsidRDefault="00E15CFD">
      <w:pPr>
        <w:rPr>
          <w:rFonts w:eastAsia="Segoe UI" w:cs="Segoe UI"/>
          <w:szCs w:val="18"/>
          <w:lang w:eastAsia="zh-TW"/>
        </w:rPr>
      </w:pPr>
      <w:r>
        <w:rPr>
          <w:rFonts w:hint="eastAsia"/>
          <w:color w:val="000000" w:themeColor="text1"/>
          <w:lang w:eastAsia="zh-TW"/>
        </w:rPr>
        <w:t>粘合劑技術業務部今年上半年實現的有機銷售額增長主要由</w:t>
      </w:r>
      <w:r>
        <w:rPr>
          <w:rFonts w:hint="eastAsia"/>
          <w:b/>
          <w:bCs/>
          <w:color w:val="000000" w:themeColor="text1"/>
          <w:lang w:eastAsia="zh-TW"/>
        </w:rPr>
        <w:t>移動和電子</w:t>
      </w:r>
      <w:r>
        <w:rPr>
          <w:rFonts w:hint="eastAsia"/>
          <w:color w:val="000000" w:themeColor="text1"/>
          <w:lang w:eastAsia="zh-TW"/>
        </w:rPr>
        <w:t>業務所推動，該領域實現了</w:t>
      </w:r>
      <w:r>
        <w:rPr>
          <w:color w:val="000000" w:themeColor="text1"/>
          <w:lang w:eastAsia="zh-TW"/>
        </w:rPr>
        <w:t>2.8%</w:t>
      </w:r>
      <w:r>
        <w:rPr>
          <w:rFonts w:hint="eastAsia"/>
          <w:color w:val="000000" w:themeColor="text1"/>
          <w:lang w:eastAsia="zh-TW"/>
        </w:rPr>
        <w:t>的良好有機銷售額增長（第二季度：</w:t>
      </w:r>
      <w:r>
        <w:rPr>
          <w:color w:val="000000" w:themeColor="text1"/>
          <w:lang w:eastAsia="zh-TW"/>
        </w:rPr>
        <w:t>+2.5%</w:t>
      </w:r>
      <w:r>
        <w:rPr>
          <w:rFonts w:hint="eastAsia"/>
          <w:color w:val="000000" w:themeColor="text1"/>
          <w:lang w:eastAsia="zh-TW"/>
        </w:rPr>
        <w:t>）。這一增長主要由電子業務的兩位元數有機銷售額增長以及工業業務的強勁有機銷售額增長所推動。相比之下，汽車業務因市場環境嚴峻而出現下滑。</w:t>
      </w:r>
      <w:r>
        <w:rPr>
          <w:rFonts w:hint="eastAsia"/>
          <w:b/>
          <w:bCs/>
          <w:color w:val="000000" w:themeColor="text1"/>
          <w:lang w:eastAsia="zh-TW"/>
        </w:rPr>
        <w:t>包裝和消費品</w:t>
      </w:r>
      <w:r>
        <w:rPr>
          <w:rFonts w:hint="eastAsia"/>
          <w:color w:val="000000" w:themeColor="text1"/>
          <w:lang w:eastAsia="zh-TW"/>
        </w:rPr>
        <w:t>業務領域實現穩定的有機銷售額增長（第二季度：</w:t>
      </w:r>
      <w:r>
        <w:rPr>
          <w:color w:val="000000" w:themeColor="text1"/>
          <w:lang w:eastAsia="zh-TW"/>
        </w:rPr>
        <w:t>+0.4%</w:t>
      </w:r>
      <w:r>
        <w:rPr>
          <w:rFonts w:hint="eastAsia"/>
          <w:color w:val="000000" w:themeColor="text1"/>
          <w:lang w:eastAsia="zh-TW"/>
        </w:rPr>
        <w:t>）。儘管包裝業務的有機銷售額出現小幅下滑，但這一影響被消費品業務的有機增長所抵消。</w:t>
      </w:r>
      <w:r>
        <w:rPr>
          <w:rFonts w:hint="eastAsia"/>
          <w:b/>
          <w:bCs/>
          <w:color w:val="000000" w:themeColor="text1"/>
          <w:lang w:eastAsia="zh-TW"/>
        </w:rPr>
        <w:t>工匠、建築和專業</w:t>
      </w:r>
      <w:r>
        <w:rPr>
          <w:rFonts w:hint="eastAsia"/>
          <w:color w:val="000000" w:themeColor="text1"/>
          <w:lang w:eastAsia="zh-TW"/>
        </w:rPr>
        <w:t>業務領域的有機銷售額增長</w:t>
      </w:r>
      <w:r>
        <w:rPr>
          <w:color w:val="000000" w:themeColor="text1"/>
          <w:lang w:eastAsia="zh-TW"/>
        </w:rPr>
        <w:t>0.6%</w:t>
      </w:r>
      <w:r>
        <w:rPr>
          <w:rFonts w:hint="eastAsia"/>
          <w:color w:val="000000" w:themeColor="text1"/>
          <w:lang w:eastAsia="zh-TW"/>
        </w:rPr>
        <w:t>（第二季度：</w:t>
      </w:r>
      <w:r>
        <w:rPr>
          <w:color w:val="000000" w:themeColor="text1"/>
          <w:lang w:eastAsia="zh-TW"/>
        </w:rPr>
        <w:t>+0.8%</w:t>
      </w:r>
      <w:r>
        <w:rPr>
          <w:rFonts w:hint="eastAsia"/>
          <w:color w:val="000000" w:themeColor="text1"/>
          <w:lang w:eastAsia="zh-TW"/>
        </w:rPr>
        <w:t>）。這主要得益於建築業務有機銷售額的良好增長。消費品與工匠業務以及通用製造與維護業務與去年同期相比業績保持穩定。</w:t>
      </w:r>
      <w:r w:rsidR="00B51E72">
        <w:rPr>
          <w:color w:val="000000" w:themeColor="text1"/>
          <w:lang w:eastAsia="zh-TW"/>
        </w:rPr>
        <w:t xml:space="preserve"> </w:t>
      </w:r>
    </w:p>
    <w:p w14:paraId="7A851D9D" w14:textId="77777777" w:rsidR="00DE6EFB" w:rsidRDefault="00DE6EFB">
      <w:pPr>
        <w:rPr>
          <w:rFonts w:cs="Segoe UI"/>
          <w:bCs/>
          <w:szCs w:val="22"/>
          <w:lang w:eastAsia="zh-TW"/>
        </w:rPr>
      </w:pPr>
    </w:p>
    <w:p w14:paraId="7BCB2E83" w14:textId="3667E223" w:rsidR="00DE6EFB" w:rsidRDefault="00E15CFD">
      <w:pPr>
        <w:rPr>
          <w:rFonts w:cs="Segoe UI"/>
          <w:bCs/>
          <w:szCs w:val="22"/>
          <w:lang w:eastAsia="zh-TW"/>
        </w:rPr>
      </w:pPr>
      <w:r>
        <w:rPr>
          <w:rFonts w:cs="Segoe UI" w:hint="eastAsia"/>
          <w:b/>
          <w:szCs w:val="22"/>
          <w:lang w:eastAsia="zh-TW"/>
        </w:rPr>
        <w:t>調整後的營業利潤</w:t>
      </w:r>
      <w:r>
        <w:rPr>
          <w:rFonts w:cs="Segoe UI" w:hint="eastAsia"/>
          <w:bCs/>
          <w:szCs w:val="22"/>
          <w:lang w:eastAsia="zh-TW"/>
        </w:rPr>
        <w:t>略低於去年同期水準，為</w:t>
      </w:r>
      <w:r>
        <w:rPr>
          <w:rFonts w:cs="Segoe UI"/>
          <w:bCs/>
          <w:szCs w:val="22"/>
          <w:lang w:eastAsia="zh-TW"/>
        </w:rPr>
        <w:t>9.31</w:t>
      </w:r>
      <w:r>
        <w:rPr>
          <w:rFonts w:cs="Segoe UI" w:hint="eastAsia"/>
          <w:bCs/>
          <w:szCs w:val="22"/>
          <w:lang w:eastAsia="zh-TW"/>
        </w:rPr>
        <w:t>億歐元。然而，</w:t>
      </w:r>
      <w:r>
        <w:rPr>
          <w:rFonts w:cs="Segoe UI" w:hint="eastAsia"/>
          <w:b/>
          <w:szCs w:val="22"/>
          <w:lang w:eastAsia="zh-TW"/>
        </w:rPr>
        <w:t>調整後的銷售回報率</w:t>
      </w:r>
      <w:r>
        <w:rPr>
          <w:rFonts w:cs="Segoe UI" w:hint="eastAsia"/>
          <w:bCs/>
          <w:szCs w:val="22"/>
          <w:lang w:eastAsia="zh-TW"/>
        </w:rPr>
        <w:t>（調整後的息稅前利潤率）從去年同期的</w:t>
      </w:r>
      <w:r>
        <w:rPr>
          <w:rFonts w:cs="Segoe UI"/>
          <w:bCs/>
          <w:szCs w:val="22"/>
          <w:lang w:eastAsia="zh-TW"/>
        </w:rPr>
        <w:t>17.0%</w:t>
      </w:r>
      <w:r>
        <w:rPr>
          <w:rFonts w:cs="Segoe UI" w:hint="eastAsia"/>
          <w:bCs/>
          <w:szCs w:val="22"/>
          <w:lang w:eastAsia="zh-TW"/>
        </w:rPr>
        <w:t>提升至</w:t>
      </w:r>
      <w:r>
        <w:rPr>
          <w:rFonts w:cs="Segoe UI"/>
          <w:bCs/>
          <w:szCs w:val="22"/>
          <w:lang w:eastAsia="zh-TW"/>
        </w:rPr>
        <w:t>17.2%</w:t>
      </w:r>
      <w:r>
        <w:rPr>
          <w:rFonts w:cs="Segoe UI" w:hint="eastAsia"/>
          <w:bCs/>
          <w:szCs w:val="22"/>
          <w:lang w:eastAsia="zh-TW"/>
        </w:rPr>
        <w:t>。這主要得益於有效的業務組合結構。</w:t>
      </w:r>
    </w:p>
    <w:p w14:paraId="3CC453F9" w14:textId="77777777" w:rsidR="00DE6EFB" w:rsidRDefault="00DE6EFB">
      <w:pPr>
        <w:rPr>
          <w:rFonts w:cs="Segoe UI"/>
          <w:b/>
          <w:bCs/>
          <w:szCs w:val="22"/>
          <w:lang w:eastAsia="zh-TW"/>
        </w:rPr>
      </w:pPr>
    </w:p>
    <w:p w14:paraId="003C41D7" w14:textId="290B3AA6" w:rsidR="00DE6EFB" w:rsidRDefault="00E15CFD">
      <w:pPr>
        <w:rPr>
          <w:rFonts w:cs="Segoe UI"/>
          <w:szCs w:val="22"/>
          <w:lang w:eastAsia="zh-TW"/>
        </w:rPr>
      </w:pPr>
      <w:r>
        <w:rPr>
          <w:rFonts w:cs="Segoe UI" w:hint="eastAsia"/>
          <w:b/>
          <w:bCs/>
          <w:szCs w:val="22"/>
          <w:lang w:eastAsia="zh-TW"/>
        </w:rPr>
        <w:t>消費品牌</w:t>
      </w:r>
      <w:r>
        <w:rPr>
          <w:rFonts w:cs="Segoe UI" w:hint="eastAsia"/>
          <w:szCs w:val="22"/>
          <w:lang w:eastAsia="zh-TW"/>
        </w:rPr>
        <w:t>業務部的</w:t>
      </w:r>
      <w:r>
        <w:rPr>
          <w:rFonts w:cs="Segoe UI" w:hint="eastAsia"/>
          <w:b/>
          <w:bCs/>
          <w:szCs w:val="22"/>
          <w:lang w:eastAsia="zh-TW"/>
        </w:rPr>
        <w:t>有機</w:t>
      </w:r>
      <w:r>
        <w:rPr>
          <w:rFonts w:cs="Segoe UI" w:hint="eastAsia"/>
          <w:szCs w:val="22"/>
          <w:lang w:eastAsia="zh-TW"/>
        </w:rPr>
        <w:t>銷售額較去年同期下滑</w:t>
      </w:r>
      <w:r>
        <w:rPr>
          <w:rFonts w:cs="Segoe UI"/>
          <w:szCs w:val="22"/>
          <w:lang w:eastAsia="zh-TW"/>
        </w:rPr>
        <w:t>1.6%</w:t>
      </w:r>
      <w:r>
        <w:rPr>
          <w:rFonts w:cs="Segoe UI" w:hint="eastAsia"/>
          <w:szCs w:val="22"/>
          <w:lang w:eastAsia="zh-TW"/>
        </w:rPr>
        <w:t>（第二季度：</w:t>
      </w:r>
      <w:r>
        <w:rPr>
          <w:rFonts w:cs="Segoe UI"/>
          <w:szCs w:val="22"/>
          <w:lang w:eastAsia="zh-TW"/>
        </w:rPr>
        <w:t>+0.4%</w:t>
      </w:r>
      <w:r>
        <w:rPr>
          <w:rFonts w:cs="Segoe UI" w:hint="eastAsia"/>
          <w:szCs w:val="22"/>
          <w:lang w:eastAsia="zh-TW"/>
        </w:rPr>
        <w:t>）。名義</w:t>
      </w:r>
      <w:r>
        <w:rPr>
          <w:rFonts w:cs="Segoe UI" w:hint="eastAsia"/>
          <w:b/>
          <w:bCs/>
          <w:szCs w:val="22"/>
          <w:lang w:eastAsia="zh-TW"/>
        </w:rPr>
        <w:t>銷售額</w:t>
      </w:r>
      <w:r>
        <w:rPr>
          <w:rFonts w:cs="Segoe UI" w:hint="eastAsia"/>
          <w:szCs w:val="22"/>
          <w:lang w:eastAsia="zh-TW"/>
        </w:rPr>
        <w:t>達到</w:t>
      </w:r>
      <w:r>
        <w:rPr>
          <w:rFonts w:cs="Segoe UI"/>
          <w:szCs w:val="22"/>
          <w:lang w:eastAsia="zh-TW"/>
        </w:rPr>
        <w:t>49.07</w:t>
      </w:r>
      <w:r>
        <w:rPr>
          <w:rFonts w:cs="Segoe UI" w:hint="eastAsia"/>
          <w:szCs w:val="22"/>
          <w:lang w:eastAsia="zh-TW"/>
        </w:rPr>
        <w:t>億歐元（第二季度：</w:t>
      </w:r>
      <w:r>
        <w:rPr>
          <w:rFonts w:cs="Segoe UI"/>
          <w:szCs w:val="22"/>
          <w:lang w:eastAsia="zh-TW"/>
        </w:rPr>
        <w:t>24.22</w:t>
      </w:r>
      <w:r>
        <w:rPr>
          <w:rFonts w:cs="Segoe UI" w:hint="eastAsia"/>
          <w:szCs w:val="22"/>
          <w:lang w:eastAsia="zh-TW"/>
        </w:rPr>
        <w:t>億歐元），較去年同期下滑</w:t>
      </w:r>
      <w:r>
        <w:rPr>
          <w:rFonts w:cs="Segoe UI"/>
          <w:szCs w:val="22"/>
          <w:lang w:eastAsia="zh-TW"/>
        </w:rPr>
        <w:t>6.8%</w:t>
      </w:r>
      <w:r>
        <w:rPr>
          <w:rFonts w:cs="Segoe UI" w:hint="eastAsia"/>
          <w:szCs w:val="22"/>
          <w:lang w:eastAsia="zh-TW"/>
        </w:rPr>
        <w:t>。與</w:t>
      </w:r>
      <w:r>
        <w:rPr>
          <w:rFonts w:cs="Segoe UI"/>
          <w:szCs w:val="22"/>
          <w:lang w:eastAsia="zh-TW"/>
        </w:rPr>
        <w:t>2024</w:t>
      </w:r>
      <w:r>
        <w:rPr>
          <w:rFonts w:cs="Segoe UI" w:hint="eastAsia"/>
          <w:szCs w:val="22"/>
          <w:lang w:eastAsia="zh-TW"/>
        </w:rPr>
        <w:t>年上半年相比，該業務部的產品價格有所上浮，而銷量下滑，這主要是由於北美和歐洲等主要市場面臨的嚴峻消費環境所致。</w:t>
      </w:r>
    </w:p>
    <w:p w14:paraId="22B6903A" w14:textId="77777777" w:rsidR="00DE6EFB" w:rsidRDefault="00DE6EFB">
      <w:pPr>
        <w:rPr>
          <w:rFonts w:cs="Segoe UI"/>
          <w:szCs w:val="22"/>
          <w:lang w:eastAsia="zh-TW"/>
        </w:rPr>
      </w:pPr>
    </w:p>
    <w:p w14:paraId="1A350A19" w14:textId="00A24DDA" w:rsidR="00DE6EFB" w:rsidRDefault="00E15CFD">
      <w:pPr>
        <w:rPr>
          <w:rFonts w:cs="Segoe UI"/>
          <w:szCs w:val="22"/>
          <w:lang w:eastAsia="zh-TW"/>
        </w:rPr>
      </w:pPr>
      <w:r>
        <w:rPr>
          <w:rFonts w:cs="Segoe UI" w:hint="eastAsia"/>
          <w:szCs w:val="22"/>
          <w:lang w:eastAsia="zh-TW"/>
        </w:rPr>
        <w:t>今年上半年，</w:t>
      </w:r>
      <w:r>
        <w:rPr>
          <w:rFonts w:cs="Segoe UI" w:hint="eastAsia"/>
          <w:b/>
          <w:bCs/>
          <w:szCs w:val="22"/>
          <w:lang w:eastAsia="zh-TW"/>
        </w:rPr>
        <w:t>洗滌劑及家用護理</w:t>
      </w:r>
      <w:r>
        <w:rPr>
          <w:rFonts w:cs="Segoe UI" w:hint="eastAsia"/>
          <w:szCs w:val="22"/>
          <w:lang w:eastAsia="zh-TW"/>
        </w:rPr>
        <w:t>業務領域有機銷售額下滑</w:t>
      </w:r>
      <w:r>
        <w:rPr>
          <w:rFonts w:cs="Segoe UI"/>
          <w:szCs w:val="22"/>
          <w:lang w:eastAsia="zh-TW"/>
        </w:rPr>
        <w:t>2.6%</w:t>
      </w:r>
      <w:r>
        <w:rPr>
          <w:rFonts w:cs="Segoe UI" w:hint="eastAsia"/>
          <w:szCs w:val="22"/>
          <w:lang w:eastAsia="zh-TW"/>
        </w:rPr>
        <w:t>（第二季度：</w:t>
      </w:r>
      <w:r>
        <w:rPr>
          <w:rFonts w:cs="Segoe UI"/>
          <w:szCs w:val="22"/>
          <w:lang w:eastAsia="zh-TW"/>
        </w:rPr>
        <w:t>-0.9%</w:t>
      </w:r>
      <w:r>
        <w:rPr>
          <w:rFonts w:cs="Segoe UI" w:hint="eastAsia"/>
          <w:szCs w:val="22"/>
          <w:lang w:eastAsia="zh-TW"/>
        </w:rPr>
        <w:t>）。家用護理業務實現了有機銷售額增長，這主要得益於洗潔精品類的有機銷售額強勁增長。相比之下，洗衣護理業務的有機銷售額出現下滑。</w:t>
      </w:r>
      <w:r>
        <w:rPr>
          <w:rFonts w:cs="Segoe UI" w:hint="eastAsia"/>
          <w:b/>
          <w:bCs/>
          <w:szCs w:val="22"/>
          <w:lang w:eastAsia="zh-TW"/>
        </w:rPr>
        <w:t>美髮</w:t>
      </w:r>
      <w:r>
        <w:rPr>
          <w:rFonts w:cs="Segoe UI" w:hint="eastAsia"/>
          <w:szCs w:val="22"/>
          <w:lang w:eastAsia="zh-TW"/>
        </w:rPr>
        <w:t>業務領域在上半年實現了</w:t>
      </w:r>
      <w:r>
        <w:rPr>
          <w:rFonts w:cs="Segoe UI"/>
          <w:szCs w:val="22"/>
          <w:lang w:eastAsia="zh-TW"/>
        </w:rPr>
        <w:t>0.9%</w:t>
      </w:r>
      <w:r>
        <w:rPr>
          <w:rFonts w:cs="Segoe UI" w:hint="eastAsia"/>
          <w:szCs w:val="22"/>
          <w:lang w:eastAsia="zh-TW"/>
        </w:rPr>
        <w:t>的有機銷售額增長（第二季度：</w:t>
      </w:r>
      <w:r>
        <w:rPr>
          <w:rFonts w:cs="Segoe UI"/>
          <w:szCs w:val="22"/>
          <w:lang w:eastAsia="zh-TW"/>
        </w:rPr>
        <w:t>+3.2%</w:t>
      </w:r>
      <w:r>
        <w:rPr>
          <w:rFonts w:cs="Segoe UI" w:hint="eastAsia"/>
          <w:szCs w:val="22"/>
          <w:lang w:eastAsia="zh-TW"/>
        </w:rPr>
        <w:t>）。消費品業務實現了良好的有機銷售額增長，主要得益於染髮品類的強勁增長以及造型品類的良好業績表現。專業業務領域由於消費環境嚴峻，尤其是北美地區，有機銷售額輕微下滑。</w:t>
      </w:r>
      <w:r>
        <w:rPr>
          <w:rFonts w:cs="Segoe UI" w:hint="eastAsia"/>
          <w:b/>
          <w:bCs/>
          <w:szCs w:val="22"/>
          <w:lang w:eastAsia="zh-TW"/>
        </w:rPr>
        <w:t>其他消費業務</w:t>
      </w:r>
      <w:r>
        <w:rPr>
          <w:rFonts w:cs="Segoe UI" w:hint="eastAsia"/>
          <w:szCs w:val="22"/>
          <w:lang w:eastAsia="zh-TW"/>
        </w:rPr>
        <w:t>領域在上半年有機銷售額下滑</w:t>
      </w:r>
      <w:r>
        <w:rPr>
          <w:rFonts w:cs="Segoe UI"/>
          <w:szCs w:val="22"/>
          <w:lang w:eastAsia="zh-TW"/>
        </w:rPr>
        <w:t>4.2%</w:t>
      </w:r>
      <w:r>
        <w:rPr>
          <w:rFonts w:cs="Segoe UI" w:hint="eastAsia"/>
          <w:szCs w:val="22"/>
          <w:lang w:eastAsia="zh-TW"/>
        </w:rPr>
        <w:t>（第二季度：</w:t>
      </w:r>
      <w:r>
        <w:rPr>
          <w:rFonts w:cs="Segoe UI"/>
          <w:szCs w:val="22"/>
          <w:lang w:eastAsia="zh-TW"/>
        </w:rPr>
        <w:t>-</w:t>
      </w:r>
      <w:proofErr w:type="gramStart"/>
      <w:r>
        <w:rPr>
          <w:rFonts w:cs="Segoe UI"/>
          <w:szCs w:val="22"/>
          <w:lang w:eastAsia="zh-TW"/>
        </w:rPr>
        <w:t>1.7%</w:t>
      </w:r>
      <w:r>
        <w:rPr>
          <w:rFonts w:cs="Segoe UI" w:hint="eastAsia"/>
          <w:szCs w:val="22"/>
          <w:lang w:eastAsia="zh-TW"/>
        </w:rPr>
        <w:t>），主要受北美和歐洲地區身體護理業務表現疲軟所影響。</w:t>
      </w:r>
      <w:proofErr w:type="gramEnd"/>
    </w:p>
    <w:p w14:paraId="7FD12A5C" w14:textId="77777777" w:rsidR="00DE6EFB" w:rsidRDefault="00DE6EFB">
      <w:pPr>
        <w:rPr>
          <w:rFonts w:cs="Segoe UI"/>
          <w:szCs w:val="22"/>
          <w:lang w:eastAsia="zh-TW"/>
        </w:rPr>
      </w:pPr>
    </w:p>
    <w:p w14:paraId="08E6A26A" w14:textId="6C48E84F" w:rsidR="00DE6EFB" w:rsidRDefault="00E15CFD">
      <w:pPr>
        <w:rPr>
          <w:bCs/>
          <w:lang w:eastAsia="zh-TW"/>
        </w:rPr>
      </w:pPr>
      <w:r>
        <w:rPr>
          <w:rFonts w:hint="eastAsia"/>
          <w:b/>
          <w:lang w:eastAsia="zh-TW"/>
        </w:rPr>
        <w:t>調整後的營業利潤</w:t>
      </w:r>
      <w:r>
        <w:rPr>
          <w:rFonts w:hint="eastAsia"/>
          <w:bCs/>
          <w:lang w:eastAsia="zh-TW"/>
        </w:rPr>
        <w:t>為</w:t>
      </w:r>
      <w:r>
        <w:rPr>
          <w:bCs/>
          <w:lang w:eastAsia="zh-TW"/>
        </w:rPr>
        <w:t>7.48</w:t>
      </w:r>
      <w:r>
        <w:rPr>
          <w:rFonts w:hint="eastAsia"/>
          <w:bCs/>
          <w:lang w:eastAsia="zh-TW"/>
        </w:rPr>
        <w:t>億歐元，略低於去年同期水準。</w:t>
      </w:r>
      <w:r>
        <w:rPr>
          <w:rFonts w:hint="eastAsia"/>
          <w:b/>
          <w:lang w:eastAsia="zh-TW"/>
        </w:rPr>
        <w:t>調整後的銷售回報率</w:t>
      </w:r>
      <w:r>
        <w:rPr>
          <w:rFonts w:hint="eastAsia"/>
          <w:bCs/>
          <w:lang w:eastAsia="zh-TW"/>
        </w:rPr>
        <w:t>（調整後的息稅前利潤率）較去年同期的</w:t>
      </w:r>
      <w:r>
        <w:rPr>
          <w:bCs/>
          <w:lang w:eastAsia="zh-TW"/>
        </w:rPr>
        <w:t>14.3%</w:t>
      </w:r>
      <w:r>
        <w:rPr>
          <w:rFonts w:hint="eastAsia"/>
          <w:bCs/>
          <w:lang w:eastAsia="zh-TW"/>
        </w:rPr>
        <w:t>顯著提升至</w:t>
      </w:r>
      <w:r>
        <w:rPr>
          <w:bCs/>
          <w:lang w:eastAsia="zh-TW"/>
        </w:rPr>
        <w:t>15.3%</w:t>
      </w:r>
      <w:r>
        <w:rPr>
          <w:rFonts w:hint="eastAsia"/>
          <w:bCs/>
          <w:lang w:eastAsia="zh-TW"/>
        </w:rPr>
        <w:t>。這主要得益於</w:t>
      </w:r>
      <w:r w:rsidRPr="00ED508A">
        <w:rPr>
          <w:rFonts w:hint="eastAsia"/>
          <w:bCs/>
          <w:lang w:eastAsia="zh-TW"/>
        </w:rPr>
        <w:t>持續的業務組合優化以及通過供應鏈優化實現的成本節約</w:t>
      </w:r>
      <w:r>
        <w:rPr>
          <w:rFonts w:hint="eastAsia"/>
          <w:bCs/>
          <w:lang w:eastAsia="zh-TW"/>
        </w:rPr>
        <w:t>。</w:t>
      </w:r>
    </w:p>
    <w:p w14:paraId="12F16546" w14:textId="77777777" w:rsidR="00DE6EFB" w:rsidRDefault="00DE6EFB">
      <w:pPr>
        <w:rPr>
          <w:rFonts w:cs="Segoe UI"/>
          <w:szCs w:val="22"/>
          <w:lang w:eastAsia="zh-TW"/>
        </w:rPr>
      </w:pPr>
    </w:p>
    <w:p w14:paraId="54C15F5E" w14:textId="108877CF" w:rsidR="00DE6EFB" w:rsidRDefault="00E15CFD">
      <w:pPr>
        <w:spacing w:after="120"/>
        <w:rPr>
          <w:rFonts w:cs="Segoe UI"/>
          <w:b/>
          <w:szCs w:val="22"/>
          <w:lang w:eastAsia="zh-TW"/>
        </w:rPr>
      </w:pPr>
      <w:r>
        <w:rPr>
          <w:rFonts w:asciiTheme="majorHAnsi" w:hAnsiTheme="majorHAnsi" w:cstheme="majorHAnsi" w:hint="eastAsia"/>
          <w:b/>
          <w:szCs w:val="22"/>
          <w:lang w:eastAsia="zh-TW"/>
        </w:rPr>
        <w:t>進一步加快實施目標性增長議程</w:t>
      </w:r>
    </w:p>
    <w:p w14:paraId="2526D1AB" w14:textId="495E1283" w:rsidR="00DE6EFB" w:rsidRDefault="00E15CFD">
      <w:pPr>
        <w:autoSpaceDE w:val="0"/>
        <w:autoSpaceDN w:val="0"/>
        <w:adjustRightInd w:val="0"/>
        <w:rPr>
          <w:rFonts w:cs="Segoe UI"/>
          <w:szCs w:val="22"/>
          <w:lang w:eastAsia="zh-TW"/>
        </w:rPr>
      </w:pPr>
      <w:r>
        <w:rPr>
          <w:rFonts w:cs="Segoe UI"/>
          <w:szCs w:val="22"/>
          <w:lang w:eastAsia="zh-TW"/>
        </w:rPr>
        <w:lastRenderedPageBreak/>
        <w:t>2025</w:t>
      </w:r>
      <w:r>
        <w:rPr>
          <w:rFonts w:cs="Segoe UI" w:hint="eastAsia"/>
          <w:szCs w:val="22"/>
          <w:lang w:eastAsia="zh-TW"/>
        </w:rPr>
        <w:t>年上半年，</w:t>
      </w:r>
      <w:proofErr w:type="gramStart"/>
      <w:r>
        <w:rPr>
          <w:rFonts w:cs="Segoe UI" w:hint="eastAsia"/>
          <w:szCs w:val="22"/>
          <w:lang w:eastAsia="zh-TW"/>
        </w:rPr>
        <w:t>漢高繼續成功實施其“目標性增長議程”的</w:t>
      </w:r>
      <w:r w:rsidR="00E67281">
        <w:rPr>
          <w:rFonts w:cs="Segoe UI" w:hint="eastAsia"/>
          <w:szCs w:val="22"/>
          <w:lang w:eastAsia="zh-TW"/>
        </w:rPr>
        <w:t>策略</w:t>
      </w:r>
      <w:r>
        <w:rPr>
          <w:rFonts w:cs="Segoe UI" w:hint="eastAsia"/>
          <w:szCs w:val="22"/>
          <w:lang w:eastAsia="zh-TW"/>
        </w:rPr>
        <w:t>重點</w:t>
      </w:r>
      <w:proofErr w:type="gramEnd"/>
      <w:r>
        <w:rPr>
          <w:rFonts w:cs="Segoe UI" w:hint="eastAsia"/>
          <w:szCs w:val="22"/>
          <w:lang w:eastAsia="zh-TW"/>
        </w:rPr>
        <w:t>，並取得了良好進展。</w:t>
      </w:r>
    </w:p>
    <w:p w14:paraId="5D4651AE" w14:textId="77777777" w:rsidR="00DE6EFB" w:rsidRDefault="00DE6EFB">
      <w:pPr>
        <w:autoSpaceDE w:val="0"/>
        <w:autoSpaceDN w:val="0"/>
        <w:adjustRightInd w:val="0"/>
        <w:rPr>
          <w:rFonts w:cs="Segoe UI"/>
          <w:szCs w:val="22"/>
          <w:lang w:eastAsia="zh-TW"/>
        </w:rPr>
      </w:pPr>
    </w:p>
    <w:p w14:paraId="558B8913" w14:textId="49F5EC6F" w:rsidR="00DE6EFB" w:rsidRDefault="00E15CFD">
      <w:pPr>
        <w:autoSpaceDE w:val="0"/>
        <w:autoSpaceDN w:val="0"/>
        <w:adjustRightInd w:val="0"/>
        <w:rPr>
          <w:rFonts w:cs="Segoe UI"/>
          <w:szCs w:val="22"/>
          <w:lang w:eastAsia="zh-TW"/>
        </w:rPr>
      </w:pPr>
      <w:r>
        <w:rPr>
          <w:rFonts w:cs="Segoe UI" w:hint="eastAsia"/>
          <w:szCs w:val="22"/>
          <w:lang w:eastAsia="zh-TW"/>
        </w:rPr>
        <w:t>在</w:t>
      </w:r>
      <w:r>
        <w:rPr>
          <w:rFonts w:cs="Segoe UI" w:hint="eastAsia"/>
          <w:b/>
          <w:bCs/>
          <w:szCs w:val="22"/>
          <w:lang w:eastAsia="zh-TW"/>
        </w:rPr>
        <w:t>粘合劑技術</w:t>
      </w:r>
      <w:r>
        <w:rPr>
          <w:rFonts w:cs="Segoe UI" w:hint="eastAsia"/>
          <w:szCs w:val="22"/>
          <w:lang w:eastAsia="zh-TW"/>
        </w:rPr>
        <w:t>業務部，漢高明確聚焦於全球五大趨勢</w:t>
      </w:r>
      <w:r w:rsidRPr="00BF380F">
        <w:rPr>
          <w:rFonts w:eastAsiaTheme="minorEastAsia" w:cs="Segoe UI"/>
          <w:color w:val="000000" w:themeColor="text1"/>
          <w:lang w:eastAsia="zh-TW"/>
        </w:rPr>
        <w:t>——</w:t>
      </w:r>
      <w:r>
        <w:rPr>
          <w:rFonts w:cs="Segoe UI" w:hint="eastAsia"/>
          <w:szCs w:val="22"/>
          <w:lang w:eastAsia="zh-TW"/>
        </w:rPr>
        <w:t>即移動出行、互聯互通、數位化、城市化和可持續發展，助力在充滿挑戰的市場環境中提升競爭力和韌性。以可持續發展為例，漢高通過提供高效且環保的解決方案，支援各行業客戶實現其可持續發展目標。在</w:t>
      </w:r>
      <w:r>
        <w:rPr>
          <w:rFonts w:cs="Segoe UI" w:hint="eastAsia"/>
          <w:b/>
          <w:bCs/>
          <w:szCs w:val="22"/>
          <w:lang w:eastAsia="zh-TW"/>
        </w:rPr>
        <w:t>消費品牌</w:t>
      </w:r>
      <w:r>
        <w:rPr>
          <w:rFonts w:cs="Segoe UI" w:hint="eastAsia"/>
          <w:szCs w:val="22"/>
          <w:lang w:eastAsia="zh-TW"/>
        </w:rPr>
        <w:t>業務部，漢高進一步優化了產品組合結構。目前，十大核心品牌銷售額占比約</w:t>
      </w:r>
      <w:r>
        <w:rPr>
          <w:rFonts w:cs="Segoe UI"/>
          <w:szCs w:val="22"/>
          <w:lang w:eastAsia="zh-TW"/>
        </w:rPr>
        <w:t>60%</w:t>
      </w:r>
      <w:r>
        <w:rPr>
          <w:rFonts w:cs="Segoe UI" w:hint="eastAsia"/>
          <w:szCs w:val="22"/>
          <w:lang w:eastAsia="zh-TW"/>
        </w:rPr>
        <w:t>。第二季度，這十大品牌實現了超過</w:t>
      </w:r>
      <w:r>
        <w:rPr>
          <w:rFonts w:cs="Segoe UI"/>
          <w:szCs w:val="22"/>
          <w:lang w:eastAsia="zh-TW"/>
        </w:rPr>
        <w:t>3%</w:t>
      </w:r>
      <w:r>
        <w:rPr>
          <w:rFonts w:cs="Segoe UI" w:hint="eastAsia"/>
          <w:szCs w:val="22"/>
          <w:lang w:eastAsia="zh-TW"/>
        </w:rPr>
        <w:t>的有機銷售額增長，價格調整與銷量增長的</w:t>
      </w:r>
      <w:r w:rsidRPr="008B7A08">
        <w:rPr>
          <w:rFonts w:cs="Segoe UI" w:hint="eastAsia"/>
          <w:szCs w:val="22"/>
          <w:lang w:eastAsia="zh-TW"/>
        </w:rPr>
        <w:t>雙重因素共同推動了這一積極態勢。</w:t>
      </w:r>
    </w:p>
    <w:p w14:paraId="651674E4" w14:textId="77777777" w:rsidR="00DE6EFB" w:rsidRDefault="00DE6EFB">
      <w:pPr>
        <w:autoSpaceDE w:val="0"/>
        <w:autoSpaceDN w:val="0"/>
        <w:adjustRightInd w:val="0"/>
        <w:rPr>
          <w:rFonts w:cs="Segoe UI"/>
          <w:szCs w:val="22"/>
          <w:highlight w:val="yellow"/>
          <w:lang w:eastAsia="zh-TW"/>
        </w:rPr>
      </w:pPr>
    </w:p>
    <w:p w14:paraId="792E1F35" w14:textId="73F453CC" w:rsidR="00DE6EFB" w:rsidRDefault="00E15CFD">
      <w:pPr>
        <w:autoSpaceDE w:val="0"/>
        <w:autoSpaceDN w:val="0"/>
        <w:adjustRightInd w:val="0"/>
        <w:rPr>
          <w:rFonts w:cs="Segoe UI"/>
          <w:bCs/>
          <w:szCs w:val="22"/>
          <w:lang w:eastAsia="zh-TW"/>
        </w:rPr>
      </w:pPr>
      <w:r>
        <w:rPr>
          <w:rFonts w:cs="Segoe UI" w:hint="eastAsia"/>
          <w:bCs/>
          <w:szCs w:val="22"/>
          <w:lang w:eastAsia="zh-TW"/>
        </w:rPr>
        <w:t>為了進一步提升</w:t>
      </w:r>
      <w:r>
        <w:rPr>
          <w:rFonts w:cs="Segoe UI" w:hint="eastAsia"/>
          <w:b/>
          <w:szCs w:val="22"/>
          <w:lang w:eastAsia="zh-TW"/>
        </w:rPr>
        <w:t>競爭力</w:t>
      </w:r>
      <w:r>
        <w:rPr>
          <w:rFonts w:cs="Segoe UI" w:hint="eastAsia"/>
          <w:bCs/>
          <w:szCs w:val="22"/>
          <w:lang w:eastAsia="zh-TW"/>
        </w:rPr>
        <w:t>，漢高</w:t>
      </w:r>
      <w:r w:rsidRPr="00DE04E9">
        <w:rPr>
          <w:rFonts w:cs="Segoe UI" w:hint="eastAsia"/>
          <w:bCs/>
          <w:szCs w:val="22"/>
          <w:lang w:eastAsia="zh-TW"/>
        </w:rPr>
        <w:t>聚焦于高潛力業務領域的</w:t>
      </w:r>
      <w:r w:rsidRPr="00AE0967">
        <w:rPr>
          <w:rFonts w:cs="Segoe UI" w:hint="eastAsia"/>
          <w:b/>
          <w:szCs w:val="22"/>
          <w:lang w:eastAsia="zh-TW"/>
        </w:rPr>
        <w:t>創新</w:t>
      </w:r>
      <w:r w:rsidRPr="00DE04E9">
        <w:rPr>
          <w:rFonts w:cs="Segoe UI" w:hint="eastAsia"/>
          <w:bCs/>
          <w:szCs w:val="22"/>
          <w:lang w:eastAsia="zh-TW"/>
        </w:rPr>
        <w:t>突破</w:t>
      </w:r>
      <w:r>
        <w:rPr>
          <w:rFonts w:cs="Segoe UI" w:hint="eastAsia"/>
          <w:bCs/>
          <w:szCs w:val="22"/>
          <w:lang w:eastAsia="zh-TW"/>
        </w:rPr>
        <w:t>。這些創新再次推動了</w:t>
      </w:r>
      <w:r>
        <w:rPr>
          <w:rFonts w:cs="Segoe UI"/>
          <w:bCs/>
          <w:szCs w:val="22"/>
          <w:lang w:eastAsia="zh-TW"/>
        </w:rPr>
        <w:t>2025</w:t>
      </w:r>
      <w:r>
        <w:rPr>
          <w:rFonts w:cs="Segoe UI" w:hint="eastAsia"/>
          <w:bCs/>
          <w:szCs w:val="22"/>
          <w:lang w:eastAsia="zh-TW"/>
        </w:rPr>
        <w:t>年上半年兩大業務部的業績增長。在</w:t>
      </w:r>
      <w:r>
        <w:rPr>
          <w:rFonts w:cs="Segoe UI" w:hint="eastAsia"/>
          <w:b/>
          <w:szCs w:val="22"/>
          <w:lang w:eastAsia="zh-TW"/>
        </w:rPr>
        <w:t>粘合劑技術</w:t>
      </w:r>
      <w:r>
        <w:rPr>
          <w:rFonts w:cs="Segoe UI" w:hint="eastAsia"/>
          <w:bCs/>
          <w:szCs w:val="22"/>
          <w:lang w:eastAsia="zh-TW"/>
        </w:rPr>
        <w:t>業務部，</w:t>
      </w:r>
      <w:r w:rsidRPr="00361FC3">
        <w:rPr>
          <w:rFonts w:cs="Segoe UI" w:hint="eastAsia"/>
          <w:bCs/>
          <w:szCs w:val="22"/>
          <w:lang w:eastAsia="zh-TW"/>
        </w:rPr>
        <w:t>漢高通過聚焦可持續及以客戶為中心的創新解決方案，在金屬包裝業務實現高個位元數增長，</w:t>
      </w:r>
      <w:r>
        <w:rPr>
          <w:rFonts w:cs="Segoe UI" w:hint="eastAsia"/>
          <w:bCs/>
          <w:szCs w:val="22"/>
          <w:lang w:eastAsia="zh-TW"/>
        </w:rPr>
        <w:t>從而</w:t>
      </w:r>
      <w:r w:rsidRPr="00361FC3">
        <w:rPr>
          <w:rFonts w:cs="Segoe UI" w:hint="eastAsia"/>
          <w:bCs/>
          <w:szCs w:val="22"/>
          <w:lang w:eastAsia="zh-TW"/>
        </w:rPr>
        <w:t>領跑市場。</w:t>
      </w:r>
      <w:r>
        <w:rPr>
          <w:rFonts w:cs="Segoe UI" w:hint="eastAsia"/>
          <w:bCs/>
          <w:szCs w:val="22"/>
          <w:lang w:eastAsia="zh-TW"/>
        </w:rPr>
        <w:t>例如，該業務領域推出的</w:t>
      </w:r>
      <w:r w:rsidRPr="0082366F">
        <w:rPr>
          <w:rFonts w:cs="Segoe UI" w:hint="eastAsia"/>
          <w:bCs/>
          <w:szCs w:val="22"/>
          <w:lang w:eastAsia="zh-TW"/>
        </w:rPr>
        <w:t>首款低溫低泡易開罐清潔劑</w:t>
      </w:r>
      <w:r>
        <w:rPr>
          <w:rFonts w:cs="Segoe UI" w:hint="eastAsia"/>
          <w:bCs/>
          <w:szCs w:val="22"/>
          <w:lang w:eastAsia="zh-TW"/>
        </w:rPr>
        <w:t>，</w:t>
      </w:r>
      <w:r w:rsidRPr="008B6EA6">
        <w:rPr>
          <w:rFonts w:cs="Segoe UI" w:hint="eastAsia"/>
          <w:bCs/>
          <w:szCs w:val="22"/>
          <w:lang w:eastAsia="zh-TW"/>
        </w:rPr>
        <w:t>可顯著節省能源並降低高達</w:t>
      </w:r>
      <w:r w:rsidRPr="008B6EA6">
        <w:rPr>
          <w:rFonts w:cs="Segoe UI"/>
          <w:bCs/>
          <w:szCs w:val="22"/>
          <w:lang w:eastAsia="zh-TW"/>
        </w:rPr>
        <w:t>25%</w:t>
      </w:r>
      <w:r w:rsidRPr="008B6EA6">
        <w:rPr>
          <w:rFonts w:cs="Segoe UI" w:hint="eastAsia"/>
          <w:bCs/>
          <w:szCs w:val="22"/>
          <w:lang w:eastAsia="zh-TW"/>
        </w:rPr>
        <w:t>的用水量，使飲料罐生產兼具高效與可持續性。</w:t>
      </w:r>
      <w:r>
        <w:rPr>
          <w:rFonts w:cs="Segoe UI" w:hint="eastAsia"/>
          <w:bCs/>
          <w:szCs w:val="22"/>
          <w:lang w:eastAsia="zh-TW"/>
        </w:rPr>
        <w:t>過去三年間，漢高在該領域的業務規模已增長三倍。在</w:t>
      </w:r>
      <w:r>
        <w:rPr>
          <w:rFonts w:cs="Segoe UI" w:hint="eastAsia"/>
          <w:b/>
          <w:szCs w:val="22"/>
          <w:lang w:eastAsia="zh-TW"/>
        </w:rPr>
        <w:t>消費品牌</w:t>
      </w:r>
      <w:r>
        <w:rPr>
          <w:rFonts w:cs="Segoe UI" w:hint="eastAsia"/>
          <w:bCs/>
          <w:szCs w:val="22"/>
          <w:lang w:eastAsia="zh-TW"/>
        </w:rPr>
        <w:t>業務部，全新品牌</w:t>
      </w:r>
      <w:r>
        <w:rPr>
          <w:rFonts w:cs="Segoe UI"/>
          <w:bCs/>
          <w:szCs w:val="22"/>
          <w:lang w:eastAsia="zh-TW"/>
        </w:rPr>
        <w:t>Creme Supreme</w:t>
      </w:r>
      <w:r>
        <w:rPr>
          <w:rFonts w:cs="Segoe UI" w:hint="eastAsia"/>
          <w:bCs/>
          <w:szCs w:val="22"/>
          <w:lang w:eastAsia="zh-TW"/>
        </w:rPr>
        <w:t>在更多市場的持續推廣，推動了第二季度染髮品類實現顯著增長。</w:t>
      </w:r>
      <w:r w:rsidRPr="00CD7EC9">
        <w:rPr>
          <w:rFonts w:cs="Segoe UI" w:hint="eastAsia"/>
          <w:bCs/>
          <w:szCs w:val="22"/>
          <w:lang w:eastAsia="zh-TW"/>
        </w:rPr>
        <w:t>該產品作為首款採用創新鍵合技術的護髮型染髮劑，通過</w:t>
      </w:r>
      <w:r w:rsidRPr="00A36395">
        <w:rPr>
          <w:rFonts w:cs="Segoe UI" w:hint="eastAsia"/>
          <w:bCs/>
          <w:szCs w:val="22"/>
          <w:lang w:eastAsia="zh-TW"/>
        </w:rPr>
        <w:t>微觀層面的連接技術</w:t>
      </w:r>
      <w:r w:rsidRPr="00CD7EC9">
        <w:rPr>
          <w:rFonts w:cs="Segoe UI" w:hint="eastAsia"/>
          <w:bCs/>
          <w:szCs w:val="22"/>
          <w:lang w:eastAsia="zh-TW"/>
        </w:rPr>
        <w:t>強化髮絲結構，使</w:t>
      </w:r>
      <w:r>
        <w:rPr>
          <w:rFonts w:cs="Segoe UI" w:hint="eastAsia"/>
          <w:bCs/>
          <w:szCs w:val="22"/>
          <w:lang w:eastAsia="zh-TW"/>
        </w:rPr>
        <w:t>發</w:t>
      </w:r>
      <w:r w:rsidRPr="00CD7EC9">
        <w:rPr>
          <w:rFonts w:cs="Segoe UI" w:hint="eastAsia"/>
          <w:bCs/>
          <w:szCs w:val="22"/>
          <w:lang w:eastAsia="zh-TW"/>
        </w:rPr>
        <w:t>纖更緊密聚合</w:t>
      </w:r>
      <w:r>
        <w:rPr>
          <w:rFonts w:cs="Segoe UI" w:hint="eastAsia"/>
          <w:bCs/>
          <w:szCs w:val="22"/>
          <w:lang w:eastAsia="zh-TW"/>
        </w:rPr>
        <w:t>。其</w:t>
      </w:r>
      <w:r w:rsidRPr="00CD7EC9">
        <w:rPr>
          <w:rFonts w:cs="Segoe UI" w:hint="eastAsia"/>
          <w:bCs/>
          <w:szCs w:val="22"/>
          <w:lang w:eastAsia="zh-TW"/>
        </w:rPr>
        <w:t>同時形成包裹髮絲的保護層，有效預防斷裂損傷。</w:t>
      </w:r>
    </w:p>
    <w:p w14:paraId="79701A9A" w14:textId="77777777" w:rsidR="00DE6EFB" w:rsidRDefault="00DE6EFB">
      <w:pPr>
        <w:autoSpaceDE w:val="0"/>
        <w:autoSpaceDN w:val="0"/>
        <w:adjustRightInd w:val="0"/>
        <w:rPr>
          <w:rFonts w:cs="Segoe UI"/>
          <w:bCs/>
          <w:szCs w:val="22"/>
          <w:lang w:eastAsia="zh-TW"/>
        </w:rPr>
      </w:pPr>
    </w:p>
    <w:p w14:paraId="55142946" w14:textId="455A92BC" w:rsidR="00DE6EFB" w:rsidRDefault="00E15CFD">
      <w:pPr>
        <w:rPr>
          <w:rFonts w:cs="Segoe UI"/>
          <w:szCs w:val="22"/>
          <w:lang w:eastAsia="zh-TW"/>
        </w:rPr>
      </w:pPr>
      <w:r>
        <w:rPr>
          <w:rFonts w:cs="Segoe UI" w:hint="eastAsia"/>
          <w:szCs w:val="22"/>
          <w:lang w:eastAsia="zh-TW"/>
        </w:rPr>
        <w:t>卡斯滕</w:t>
      </w:r>
      <w:r>
        <w:rPr>
          <w:rFonts w:cs="Segoe UI"/>
          <w:szCs w:val="22"/>
          <w:lang w:eastAsia="zh-TW"/>
        </w:rPr>
        <w:t>·</w:t>
      </w:r>
      <w:r>
        <w:rPr>
          <w:rFonts w:cs="Segoe UI" w:hint="eastAsia"/>
          <w:szCs w:val="22"/>
          <w:lang w:eastAsia="zh-TW"/>
        </w:rPr>
        <w:t>諾貝爾表示：“</w:t>
      </w:r>
      <w:r>
        <w:rPr>
          <w:rFonts w:cs="Segoe UI"/>
          <w:szCs w:val="22"/>
          <w:lang w:eastAsia="zh-TW"/>
        </w:rPr>
        <w:t>2025</w:t>
      </w:r>
      <w:r>
        <w:rPr>
          <w:rFonts w:cs="Segoe UI" w:hint="eastAsia"/>
          <w:szCs w:val="22"/>
          <w:lang w:eastAsia="zh-TW"/>
        </w:rPr>
        <w:t>財年的開局相對平穩，但在第二季度我們實現了顯著的銷售額增長，尤其是在消費品業務領域取得了突出的成績。與此同時，我們持續提升兩大業務部的盈利能力。這充分證明了漢高的轉型已初見成效。我們將繼續推進這一變革，</w:t>
      </w:r>
      <w:r w:rsidRPr="001D4A97">
        <w:rPr>
          <w:rFonts w:cs="Segoe UI" w:hint="eastAsia"/>
          <w:szCs w:val="22"/>
          <w:lang w:eastAsia="zh-TW"/>
        </w:rPr>
        <w:t>以夯實長期競爭優勢，提升市場地位。</w:t>
      </w:r>
      <w:r w:rsidRPr="00827A00">
        <w:rPr>
          <w:rFonts w:cs="Segoe UI" w:hint="eastAsia"/>
          <w:szCs w:val="22"/>
          <w:lang w:eastAsia="zh-TW"/>
        </w:rPr>
        <w:t>通過實施清晰的</w:t>
      </w:r>
      <w:r w:rsidR="00E67281">
        <w:rPr>
          <w:rFonts w:cs="Segoe UI" w:hint="eastAsia"/>
          <w:szCs w:val="22"/>
          <w:lang w:eastAsia="zh-TW"/>
        </w:rPr>
        <w:t>策略</w:t>
      </w:r>
      <w:r w:rsidRPr="00827A00">
        <w:rPr>
          <w:rFonts w:cs="Segoe UI" w:hint="eastAsia"/>
          <w:szCs w:val="22"/>
          <w:lang w:eastAsia="zh-TW"/>
        </w:rPr>
        <w:t>轉型，漢高正朝著正確方向邁進，</w:t>
      </w:r>
      <w:r>
        <w:rPr>
          <w:rFonts w:cs="Segoe UI" w:hint="eastAsia"/>
          <w:szCs w:val="22"/>
          <w:lang w:eastAsia="zh-TW"/>
        </w:rPr>
        <w:t>從而實現進一步</w:t>
      </w:r>
      <w:r w:rsidRPr="00827A00">
        <w:rPr>
          <w:rFonts w:cs="Segoe UI" w:hint="eastAsia"/>
          <w:szCs w:val="22"/>
          <w:lang w:eastAsia="zh-TW"/>
        </w:rPr>
        <w:t>盈利增長</w:t>
      </w:r>
      <w:r>
        <w:rPr>
          <w:rFonts w:cs="Segoe UI" w:hint="eastAsia"/>
          <w:szCs w:val="22"/>
          <w:lang w:eastAsia="zh-TW"/>
        </w:rPr>
        <w:t>，並</w:t>
      </w:r>
      <w:r w:rsidRPr="00827A00">
        <w:rPr>
          <w:rFonts w:cs="Segoe UI" w:hint="eastAsia"/>
          <w:szCs w:val="22"/>
          <w:lang w:eastAsia="zh-TW"/>
        </w:rPr>
        <w:t>為未來發展奠定堅實基礎。</w:t>
      </w:r>
      <w:r>
        <w:rPr>
          <w:rFonts w:cs="Segoe UI" w:hint="eastAsia"/>
          <w:szCs w:val="22"/>
          <w:lang w:eastAsia="zh-TW"/>
        </w:rPr>
        <w:t>”</w:t>
      </w:r>
    </w:p>
    <w:p w14:paraId="01804796" w14:textId="77777777" w:rsidR="00DE6EFB" w:rsidRDefault="00DE6EFB">
      <w:pPr>
        <w:tabs>
          <w:tab w:val="left" w:pos="1080"/>
          <w:tab w:val="left" w:pos="4500"/>
        </w:tabs>
        <w:spacing w:line="264" w:lineRule="auto"/>
        <w:rPr>
          <w:rStyle w:val="Hyperlink"/>
          <w:color w:val="9A141B"/>
          <w:szCs w:val="24"/>
          <w:u w:val="none"/>
          <w:lang w:eastAsia="zh-TW"/>
        </w:rPr>
      </w:pPr>
    </w:p>
    <w:p w14:paraId="4D3C2261" w14:textId="38DADA37" w:rsidR="005F6C9A" w:rsidRPr="00BF2906" w:rsidRDefault="00E15CFD">
      <w:pPr>
        <w:tabs>
          <w:tab w:val="left" w:pos="1080"/>
          <w:tab w:val="left" w:pos="4500"/>
        </w:tabs>
        <w:spacing w:line="264" w:lineRule="auto"/>
        <w:rPr>
          <w:rStyle w:val="Hyperlink"/>
          <w:color w:val="auto"/>
          <w:sz w:val="20"/>
          <w:szCs w:val="20"/>
          <w:u w:val="none"/>
          <w:lang w:eastAsia="zh-TW"/>
        </w:rPr>
      </w:pPr>
      <w:r w:rsidRPr="00BF2906">
        <w:rPr>
          <w:sz w:val="20"/>
          <w:szCs w:val="20"/>
          <w:lang w:eastAsia="zh-TW"/>
        </w:rPr>
        <w:t>*</w:t>
      </w:r>
      <w:r w:rsidRPr="00BF2906">
        <w:rPr>
          <w:rFonts w:hint="eastAsia"/>
          <w:sz w:val="20"/>
          <w:szCs w:val="20"/>
          <w:lang w:eastAsia="zh-TW"/>
        </w:rPr>
        <w:t>對一次性費用和收入以及重組費用進行了調整。</w:t>
      </w:r>
    </w:p>
    <w:p w14:paraId="7D6BC284" w14:textId="77777777" w:rsidR="005B0715" w:rsidRPr="005B0715" w:rsidRDefault="005B0715" w:rsidP="005B0715">
      <w:pPr>
        <w:spacing w:after="160" w:line="240" w:lineRule="auto"/>
        <w:jc w:val="center"/>
        <w:rPr>
          <w:rFonts w:cs="Segoe UI"/>
          <w:sz w:val="14"/>
          <w:szCs w:val="14"/>
          <w:lang w:eastAsia="zh-TW"/>
        </w:rPr>
      </w:pPr>
    </w:p>
    <w:p w14:paraId="2A1245C1" w14:textId="700C8EB3" w:rsidR="005B0715" w:rsidRPr="005B0715" w:rsidRDefault="00E15CFD" w:rsidP="005B0715">
      <w:pPr>
        <w:spacing w:after="160" w:line="240" w:lineRule="auto"/>
        <w:jc w:val="center"/>
        <w:rPr>
          <w:rFonts w:cs="Segoe UI"/>
          <w:sz w:val="14"/>
          <w:szCs w:val="14"/>
          <w:lang w:eastAsia="zh-TW"/>
        </w:rPr>
      </w:pPr>
      <w:r w:rsidRPr="005B0715">
        <w:rPr>
          <w:rFonts w:cs="Segoe UI"/>
          <w:sz w:val="14"/>
          <w:szCs w:val="14"/>
          <w:lang w:eastAsia="zh-TW"/>
        </w:rPr>
        <w:t>***</w:t>
      </w:r>
    </w:p>
    <w:p w14:paraId="1A0AC413" w14:textId="77777777" w:rsidR="005B0715" w:rsidRPr="005B0715" w:rsidRDefault="005B0715" w:rsidP="005B0715">
      <w:pPr>
        <w:spacing w:after="160" w:line="240" w:lineRule="auto"/>
        <w:jc w:val="left"/>
        <w:rPr>
          <w:rFonts w:cs="Segoe UI"/>
          <w:sz w:val="14"/>
          <w:szCs w:val="14"/>
          <w:lang w:eastAsia="zh-TW"/>
        </w:rPr>
      </w:pPr>
    </w:p>
    <w:p w14:paraId="2A10C0E7" w14:textId="11435D2F" w:rsidR="005B0715" w:rsidRPr="005B0715" w:rsidRDefault="00E15CFD" w:rsidP="005B0715">
      <w:pPr>
        <w:spacing w:after="113" w:line="240" w:lineRule="auto"/>
        <w:jc w:val="left"/>
        <w:rPr>
          <w:rFonts w:cs="Segoe UI"/>
          <w:b/>
          <w:bCs/>
          <w:sz w:val="20"/>
          <w:szCs w:val="28"/>
          <w:lang w:eastAsia="zh-CN"/>
        </w:rPr>
      </w:pPr>
      <w:r w:rsidRPr="005B0715">
        <w:rPr>
          <w:rFonts w:cs="Segoe UI" w:hint="eastAsia"/>
          <w:b/>
          <w:bCs/>
          <w:sz w:val="20"/>
          <w:szCs w:val="28"/>
          <w:lang w:eastAsia="zh-TW"/>
        </w:rPr>
        <w:t>關於漢高</w:t>
      </w:r>
    </w:p>
    <w:p w14:paraId="5FC53A01" w14:textId="505F1967" w:rsidR="005B0715" w:rsidRPr="005B0715" w:rsidRDefault="00E15CFD" w:rsidP="005B0715">
      <w:pPr>
        <w:spacing w:after="113" w:line="240" w:lineRule="auto"/>
        <w:jc w:val="left"/>
        <w:rPr>
          <w:rFonts w:cs="Segoe UI"/>
          <w:sz w:val="20"/>
          <w:szCs w:val="28"/>
          <w:lang w:eastAsia="zh-TW"/>
        </w:rPr>
      </w:pPr>
      <w:r w:rsidRPr="005B0715">
        <w:rPr>
          <w:rFonts w:cs="Segoe UI" w:hint="eastAsia"/>
          <w:sz w:val="20"/>
          <w:szCs w:val="28"/>
          <w:lang w:eastAsia="zh-TW"/>
        </w:rPr>
        <w:t>漢高憑藉其品牌、創新和技術，在全球工業和消費品領域中擁有領先的市場地位。漢高粘合劑技術業務部是全球粘合劑、密封劑和功能性塗層市場的領導者。漢高消費品牌在各國市場和品類佔據領先地位，在洗滌劑及家用護理和美髮領域尤為突出。樂泰（</w:t>
      </w:r>
      <w:r w:rsidRPr="005B0715">
        <w:rPr>
          <w:rFonts w:cs="Segoe UI"/>
          <w:sz w:val="20"/>
          <w:szCs w:val="28"/>
          <w:lang w:eastAsia="zh-TW"/>
        </w:rPr>
        <w:t>Loctite</w:t>
      </w:r>
      <w:r w:rsidRPr="005B0715">
        <w:rPr>
          <w:rFonts w:cs="Segoe UI" w:hint="eastAsia"/>
          <w:sz w:val="20"/>
          <w:szCs w:val="28"/>
          <w:lang w:eastAsia="zh-TW"/>
        </w:rPr>
        <w:t>）、寶瑩（</w:t>
      </w:r>
      <w:r w:rsidRPr="005B0715">
        <w:rPr>
          <w:rFonts w:cs="Segoe UI"/>
          <w:sz w:val="20"/>
          <w:szCs w:val="28"/>
          <w:lang w:eastAsia="zh-TW"/>
        </w:rPr>
        <w:t xml:space="preserve"> Persil</w:t>
      </w:r>
      <w:r w:rsidRPr="005B0715">
        <w:rPr>
          <w:rFonts w:cs="Segoe UI" w:hint="eastAsia"/>
          <w:sz w:val="20"/>
          <w:szCs w:val="28"/>
          <w:lang w:eastAsia="zh-TW"/>
        </w:rPr>
        <w:t>）和施華蔻（</w:t>
      </w:r>
      <w:r w:rsidRPr="005B0715">
        <w:rPr>
          <w:rFonts w:cs="Segoe UI"/>
          <w:sz w:val="20"/>
          <w:szCs w:val="28"/>
          <w:lang w:eastAsia="zh-TW"/>
        </w:rPr>
        <w:t>Schwarzkopf</w:t>
      </w:r>
      <w:r w:rsidRPr="005B0715">
        <w:rPr>
          <w:rFonts w:cs="Segoe UI" w:hint="eastAsia"/>
          <w:sz w:val="20"/>
          <w:szCs w:val="28"/>
          <w:lang w:eastAsia="zh-TW"/>
        </w:rPr>
        <w:t>）是公司的三大核心品牌。</w:t>
      </w:r>
      <w:r w:rsidRPr="005B0715">
        <w:rPr>
          <w:rFonts w:cs="Segoe UI"/>
          <w:sz w:val="20"/>
          <w:szCs w:val="28"/>
          <w:lang w:eastAsia="zh-TW"/>
        </w:rPr>
        <w:t>2024</w:t>
      </w:r>
      <w:r w:rsidRPr="005B0715">
        <w:rPr>
          <w:rFonts w:cs="Segoe UI" w:hint="eastAsia"/>
          <w:sz w:val="20"/>
          <w:szCs w:val="28"/>
          <w:lang w:eastAsia="zh-TW"/>
        </w:rPr>
        <w:t>財年，漢高實現銷售額逾</w:t>
      </w:r>
      <w:r w:rsidRPr="005B0715">
        <w:rPr>
          <w:rFonts w:cs="Segoe UI"/>
          <w:sz w:val="20"/>
          <w:szCs w:val="28"/>
          <w:lang w:eastAsia="zh-TW"/>
        </w:rPr>
        <w:t>216</w:t>
      </w:r>
      <w:r w:rsidRPr="005B0715">
        <w:rPr>
          <w:rFonts w:cs="Segoe UI" w:hint="eastAsia"/>
          <w:sz w:val="20"/>
          <w:szCs w:val="28"/>
          <w:lang w:eastAsia="zh-TW"/>
        </w:rPr>
        <w:t>億歐元，調整後營業利潤約為</w:t>
      </w:r>
      <w:r w:rsidRPr="005B0715">
        <w:rPr>
          <w:rFonts w:cs="Segoe UI"/>
          <w:sz w:val="20"/>
          <w:szCs w:val="28"/>
          <w:lang w:eastAsia="zh-TW"/>
        </w:rPr>
        <w:t>31</w:t>
      </w:r>
      <w:r w:rsidRPr="005B0715">
        <w:rPr>
          <w:rFonts w:cs="Segoe UI" w:hint="eastAsia"/>
          <w:sz w:val="20"/>
          <w:szCs w:val="28"/>
          <w:lang w:eastAsia="zh-TW"/>
        </w:rPr>
        <w:t>億歐元。漢高的優先股已列入德國</w:t>
      </w:r>
      <w:r w:rsidRPr="005B0715">
        <w:rPr>
          <w:rFonts w:cs="Segoe UI"/>
          <w:sz w:val="20"/>
          <w:szCs w:val="28"/>
          <w:lang w:eastAsia="zh-TW"/>
        </w:rPr>
        <w:t>DAX</w:t>
      </w:r>
      <w:r w:rsidRPr="005B0715">
        <w:rPr>
          <w:rFonts w:cs="Segoe UI" w:hint="eastAsia"/>
          <w:sz w:val="20"/>
          <w:szCs w:val="28"/>
          <w:lang w:eastAsia="zh-TW"/>
        </w:rPr>
        <w:t>指數。可持續發展在漢高有著悠久的傳統，公司確立有明晰的可持續發展</w:t>
      </w:r>
      <w:r w:rsidR="00E67281">
        <w:rPr>
          <w:rFonts w:cs="Segoe UI" w:hint="eastAsia"/>
          <w:sz w:val="20"/>
          <w:szCs w:val="28"/>
          <w:lang w:eastAsia="zh-TW"/>
        </w:rPr>
        <w:t>策略</w:t>
      </w:r>
      <w:r w:rsidRPr="005B0715">
        <w:rPr>
          <w:rFonts w:cs="Segoe UI" w:hint="eastAsia"/>
          <w:sz w:val="20"/>
          <w:szCs w:val="28"/>
          <w:lang w:eastAsia="zh-TW"/>
        </w:rPr>
        <w:t>和具體目標。成立于</w:t>
      </w:r>
      <w:r w:rsidRPr="005B0715">
        <w:rPr>
          <w:rFonts w:cs="Segoe UI"/>
          <w:sz w:val="20"/>
          <w:szCs w:val="28"/>
          <w:lang w:eastAsia="zh-TW"/>
        </w:rPr>
        <w:t>1876</w:t>
      </w:r>
      <w:r w:rsidRPr="005B0715">
        <w:rPr>
          <w:rFonts w:cs="Segoe UI" w:hint="eastAsia"/>
          <w:sz w:val="20"/>
          <w:szCs w:val="28"/>
          <w:lang w:eastAsia="zh-TW"/>
        </w:rPr>
        <w:t>年，漢高如今在全球範圍內約有</w:t>
      </w:r>
      <w:r w:rsidRPr="005B0715">
        <w:rPr>
          <w:rFonts w:cs="Segoe UI"/>
          <w:sz w:val="20"/>
          <w:szCs w:val="28"/>
          <w:lang w:eastAsia="zh-TW"/>
        </w:rPr>
        <w:t>4.7</w:t>
      </w:r>
      <w:r w:rsidRPr="005B0715">
        <w:rPr>
          <w:rFonts w:cs="Segoe UI" w:hint="eastAsia"/>
          <w:sz w:val="20"/>
          <w:szCs w:val="28"/>
          <w:lang w:eastAsia="zh-TW"/>
        </w:rPr>
        <w:t>萬名員工，在強大的企業文化、共同的價值觀與企業目標</w:t>
      </w:r>
      <w:r w:rsidRPr="005B0715">
        <w:rPr>
          <w:rFonts w:cs="Segoe UI"/>
          <w:sz w:val="20"/>
          <w:szCs w:val="28"/>
          <w:lang w:eastAsia="zh-TW"/>
        </w:rPr>
        <w:t>“Pioneers at heart for the good of generations”</w:t>
      </w:r>
      <w:r w:rsidRPr="005B0715">
        <w:rPr>
          <w:rFonts w:cs="Segoe UI" w:hint="eastAsia"/>
          <w:sz w:val="20"/>
          <w:szCs w:val="28"/>
          <w:lang w:eastAsia="zh-TW"/>
        </w:rPr>
        <w:t>的引領下，融合為一支多元化的團隊。更多資訊，敬請訪問</w:t>
      </w:r>
      <w:r w:rsidRPr="005B0715">
        <w:rPr>
          <w:rFonts w:cs="Segoe UI"/>
          <w:sz w:val="20"/>
          <w:szCs w:val="28"/>
          <w:lang w:eastAsia="zh-TW"/>
        </w:rPr>
        <w:t xml:space="preserve"> </w:t>
      </w:r>
      <w:hyperlink r:id="rId15" w:history="1">
        <w:r w:rsidRPr="005B0715">
          <w:rPr>
            <w:rFonts w:cs="Segoe UI"/>
            <w:color w:val="0000FF"/>
            <w:sz w:val="20"/>
            <w:szCs w:val="20"/>
            <w:u w:val="single"/>
            <w:lang w:eastAsia="zh-TW"/>
          </w:rPr>
          <w:t>www.henkel.com</w:t>
        </w:r>
      </w:hyperlink>
      <w:r w:rsidR="005B0715" w:rsidRPr="005B0715">
        <w:rPr>
          <w:rFonts w:cs="Segoe UI"/>
          <w:sz w:val="20"/>
          <w:szCs w:val="28"/>
          <w:lang w:eastAsia="zh-TW"/>
        </w:rPr>
        <w:t xml:space="preserve"> </w:t>
      </w:r>
    </w:p>
    <w:p w14:paraId="2C4F1B45" w14:textId="77777777" w:rsidR="005B0715" w:rsidRPr="005B0715" w:rsidRDefault="005B0715" w:rsidP="005B0715">
      <w:pPr>
        <w:tabs>
          <w:tab w:val="left" w:pos="1080"/>
          <w:tab w:val="left" w:pos="4500"/>
        </w:tabs>
        <w:spacing w:after="113" w:line="264" w:lineRule="auto"/>
        <w:jc w:val="left"/>
        <w:rPr>
          <w:rFonts w:cs="Segoe UI"/>
          <w:b/>
          <w:sz w:val="18"/>
          <w:szCs w:val="18"/>
          <w:lang w:eastAsia="zh-TW"/>
        </w:rPr>
      </w:pPr>
    </w:p>
    <w:p w14:paraId="71D5F6E9" w14:textId="77777777" w:rsidR="005B0715" w:rsidRPr="005B0715" w:rsidRDefault="005B0715" w:rsidP="005B0715">
      <w:pPr>
        <w:tabs>
          <w:tab w:val="left" w:pos="1080"/>
          <w:tab w:val="left" w:pos="4500"/>
        </w:tabs>
        <w:spacing w:after="113" w:line="264" w:lineRule="auto"/>
        <w:jc w:val="left"/>
        <w:rPr>
          <w:rFonts w:cs="Segoe UI"/>
          <w:b/>
          <w:sz w:val="18"/>
          <w:szCs w:val="18"/>
          <w:lang w:eastAsia="zh-TW"/>
        </w:rPr>
      </w:pPr>
    </w:p>
    <w:p w14:paraId="386E4879" w14:textId="3A7E93BD" w:rsidR="005B0715" w:rsidRPr="005B0715" w:rsidRDefault="00E15CFD" w:rsidP="005B0715">
      <w:pPr>
        <w:spacing w:after="160" w:line="240" w:lineRule="auto"/>
        <w:jc w:val="left"/>
        <w:rPr>
          <w:rFonts w:cs="Segoe UI"/>
          <w:color w:val="000000"/>
          <w:sz w:val="14"/>
          <w:szCs w:val="14"/>
          <w:lang w:eastAsia="zh-TW"/>
        </w:rPr>
      </w:pPr>
      <w:r w:rsidRPr="005B0715">
        <w:rPr>
          <w:rFonts w:cs="Segoe UI" w:hint="eastAsia"/>
          <w:color w:val="000000"/>
          <w:sz w:val="14"/>
          <w:szCs w:val="22"/>
          <w:lang w:eastAsia="zh-TW"/>
        </w:rPr>
        <w:lastRenderedPageBreak/>
        <w:t>本檔所含提及未來業務發展、財務業績及其他與漢高未來相關的事件或發展的聲明，由此構成前瞻性聲明。前瞻性表述的特點是使用諸如期望、打算、計畫、預測、假設、相信、預計、預期、預見和類似的表述。這些表述乃漢高股份及兩合公司管理層基於現有的預測和假設。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均在漢高的控制之外，無法準確預計。漢高不計畫也不承諾更新前瞻性表述。</w:t>
      </w:r>
    </w:p>
    <w:p w14:paraId="79DF1F4C" w14:textId="7ABD6368" w:rsidR="005B0715" w:rsidRPr="005B0715" w:rsidRDefault="00E15CFD" w:rsidP="005B0715">
      <w:pPr>
        <w:spacing w:after="160" w:line="240" w:lineRule="auto"/>
        <w:jc w:val="left"/>
        <w:rPr>
          <w:rFonts w:cs="Segoe UI"/>
          <w:color w:val="000000"/>
          <w:sz w:val="14"/>
          <w:szCs w:val="14"/>
          <w:lang w:eastAsia="zh-TW"/>
        </w:rPr>
      </w:pPr>
      <w:r w:rsidRPr="005B0715">
        <w:rPr>
          <w:rFonts w:cs="Segoe UI" w:hint="eastAsia"/>
          <w:color w:val="000000"/>
          <w:sz w:val="14"/>
          <w:szCs w:val="22"/>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7FC0A28A" w14:textId="3DCD7021" w:rsidR="005B0715" w:rsidRPr="005B0715" w:rsidRDefault="00E15CFD" w:rsidP="005B0715">
      <w:pPr>
        <w:spacing w:after="113" w:line="240" w:lineRule="auto"/>
        <w:jc w:val="left"/>
        <w:rPr>
          <w:rFonts w:cs="Segoe UI"/>
          <w:color w:val="000000"/>
          <w:sz w:val="14"/>
          <w:szCs w:val="22"/>
          <w:lang w:eastAsia="zh-TW"/>
        </w:rPr>
      </w:pPr>
      <w:r w:rsidRPr="005B0715">
        <w:rPr>
          <w:rFonts w:cs="Segoe UI" w:hint="eastAsia"/>
          <w:color w:val="000000"/>
          <w:sz w:val="14"/>
          <w:szCs w:val="22"/>
          <w:lang w:eastAsia="zh-TW"/>
        </w:rPr>
        <w:t>本檔僅供參考，並不構成任何對證券的投資建議、出售要約或購買要約。</w:t>
      </w:r>
    </w:p>
    <w:p w14:paraId="1C2872C2" w14:textId="54D0FC0F" w:rsidR="005B0715" w:rsidRPr="005B0715" w:rsidRDefault="00E15CFD" w:rsidP="005B0715">
      <w:pPr>
        <w:tabs>
          <w:tab w:val="left" w:pos="1080"/>
          <w:tab w:val="left" w:pos="4500"/>
        </w:tabs>
        <w:spacing w:after="113" w:line="264" w:lineRule="auto"/>
        <w:jc w:val="left"/>
        <w:rPr>
          <w:rFonts w:cs="Segoe UI"/>
          <w:b/>
          <w:bCs/>
          <w:sz w:val="18"/>
          <w:szCs w:val="18"/>
          <w:lang w:eastAsia="zh-TW"/>
        </w:rPr>
      </w:pPr>
      <w:r w:rsidRPr="005B0715">
        <w:rPr>
          <w:rFonts w:cs="Segoe UI" w:hint="eastAsia"/>
          <w:b/>
          <w:bCs/>
          <w:sz w:val="18"/>
          <w:szCs w:val="18"/>
          <w:lang w:eastAsia="zh-TW"/>
        </w:rPr>
        <w:t>媒體連絡人</w:t>
      </w:r>
    </w:p>
    <w:p w14:paraId="56C7423C" w14:textId="77777777" w:rsidR="005B0715" w:rsidRPr="005B0715" w:rsidRDefault="005B0715" w:rsidP="005B0715">
      <w:pPr>
        <w:tabs>
          <w:tab w:val="left" w:pos="1080"/>
          <w:tab w:val="left" w:pos="4500"/>
        </w:tabs>
        <w:spacing w:after="113" w:line="264" w:lineRule="auto"/>
        <w:jc w:val="left"/>
        <w:rPr>
          <w:rFonts w:cs="Segoe UI"/>
          <w:b/>
          <w:sz w:val="18"/>
          <w:szCs w:val="18"/>
          <w:lang w:eastAsia="zh-TW"/>
        </w:rPr>
      </w:pPr>
    </w:p>
    <w:p w14:paraId="3544D5C2" w14:textId="5CB4364D" w:rsidR="005B0715" w:rsidRPr="005B0715" w:rsidRDefault="00E15CFD" w:rsidP="005B0715">
      <w:pPr>
        <w:tabs>
          <w:tab w:val="left" w:pos="1080"/>
          <w:tab w:val="left" w:pos="4500"/>
        </w:tabs>
        <w:spacing w:after="113" w:line="264" w:lineRule="auto"/>
        <w:jc w:val="left"/>
        <w:rPr>
          <w:rFonts w:cs="Segoe UI"/>
          <w:bCs/>
          <w:sz w:val="18"/>
          <w:szCs w:val="18"/>
          <w:lang w:eastAsia="zh-CN"/>
        </w:rPr>
      </w:pPr>
      <w:r w:rsidRPr="005B0715">
        <w:rPr>
          <w:rFonts w:cs="Segoe UI"/>
          <w:b/>
          <w:sz w:val="20"/>
          <w:szCs w:val="22"/>
          <w:lang w:val="en-CA" w:eastAsia="zh-TW"/>
        </w:rPr>
        <w:t xml:space="preserve">Louise Cheung </w:t>
      </w:r>
      <w:r w:rsidRPr="005B0715">
        <w:rPr>
          <w:rFonts w:cs="Segoe UI" w:hint="eastAsia"/>
          <w:b/>
          <w:sz w:val="20"/>
          <w:szCs w:val="22"/>
          <w:lang w:val="en-CA" w:eastAsia="zh-TW"/>
        </w:rPr>
        <w:t>張曉芸</w:t>
      </w:r>
      <w:r w:rsidRPr="005B0715">
        <w:rPr>
          <w:rFonts w:cs="Segoe UI"/>
          <w:sz w:val="18"/>
          <w:szCs w:val="18"/>
          <w:lang w:eastAsia="zh-TW"/>
        </w:rPr>
        <w:tab/>
      </w:r>
    </w:p>
    <w:p w14:paraId="2CC944C6" w14:textId="01BBAE08" w:rsidR="005B0715" w:rsidRPr="005B0715" w:rsidRDefault="00E15CFD" w:rsidP="005B0715">
      <w:pPr>
        <w:tabs>
          <w:tab w:val="left" w:pos="709"/>
          <w:tab w:val="left" w:pos="4500"/>
          <w:tab w:val="left" w:pos="5245"/>
        </w:tabs>
        <w:spacing w:after="113" w:line="264" w:lineRule="auto"/>
        <w:jc w:val="left"/>
        <w:rPr>
          <w:rFonts w:cs="Segoe UI"/>
          <w:sz w:val="18"/>
          <w:szCs w:val="18"/>
          <w:lang w:eastAsia="zh-CN"/>
        </w:rPr>
      </w:pPr>
      <w:r w:rsidRPr="005B0715">
        <w:rPr>
          <w:rFonts w:cs="Segoe UI" w:hint="eastAsia"/>
          <w:sz w:val="18"/>
          <w:szCs w:val="18"/>
          <w:lang w:eastAsia="zh-TW"/>
        </w:rPr>
        <w:t>電話：</w:t>
      </w:r>
      <w:r w:rsidRPr="005B0715">
        <w:rPr>
          <w:rFonts w:cs="Segoe UI"/>
          <w:sz w:val="18"/>
          <w:szCs w:val="18"/>
          <w:lang w:eastAsia="zh-TW"/>
        </w:rPr>
        <w:t>+86 21 2891 5152</w:t>
      </w:r>
      <w:r w:rsidRPr="005B0715">
        <w:rPr>
          <w:rFonts w:cs="Segoe UI"/>
          <w:sz w:val="18"/>
          <w:szCs w:val="18"/>
          <w:lang w:eastAsia="zh-TW"/>
        </w:rPr>
        <w:tab/>
      </w:r>
    </w:p>
    <w:p w14:paraId="40603CD7" w14:textId="6EB68F69" w:rsidR="005B0715" w:rsidRPr="005B0715" w:rsidRDefault="00E15CFD" w:rsidP="005B0715">
      <w:pPr>
        <w:spacing w:after="113" w:line="240" w:lineRule="auto"/>
        <w:jc w:val="left"/>
        <w:rPr>
          <w:rFonts w:cs="Segoe UI"/>
          <w:sz w:val="18"/>
          <w:szCs w:val="18"/>
          <w:lang w:eastAsia="zh-CN"/>
        </w:rPr>
      </w:pPr>
      <w:r w:rsidRPr="005B0715">
        <w:rPr>
          <w:rFonts w:cs="Segoe UI" w:hint="eastAsia"/>
          <w:sz w:val="18"/>
          <w:szCs w:val="18"/>
          <w:lang w:eastAsia="zh-TW"/>
        </w:rPr>
        <w:t>郵箱：</w:t>
      </w:r>
      <w:hyperlink r:id="rId16" w:history="1">
        <w:r w:rsidRPr="005B0715">
          <w:rPr>
            <w:rFonts w:cs="Segoe UI"/>
            <w:color w:val="0000FF"/>
            <w:szCs w:val="22"/>
            <w:u w:val="single"/>
            <w:lang w:eastAsia="zh-TW"/>
          </w:rPr>
          <w:t>louise.cheung@henkel.com</w:t>
        </w:r>
      </w:hyperlink>
    </w:p>
    <w:p w14:paraId="470AE6F0" w14:textId="77777777" w:rsidR="005B0715" w:rsidRPr="005B0715" w:rsidRDefault="005B0715" w:rsidP="005B0715">
      <w:pPr>
        <w:spacing w:after="113" w:line="240" w:lineRule="auto"/>
        <w:jc w:val="left"/>
        <w:rPr>
          <w:rFonts w:cs="Segoe UI"/>
          <w:sz w:val="18"/>
          <w:szCs w:val="18"/>
          <w:lang w:eastAsia="zh-CN"/>
        </w:rPr>
      </w:pPr>
    </w:p>
    <w:p w14:paraId="084A4F12" w14:textId="5ACD2889" w:rsidR="005B0715" w:rsidRPr="005B0715" w:rsidRDefault="00E15CFD" w:rsidP="005B0715">
      <w:pPr>
        <w:tabs>
          <w:tab w:val="left" w:pos="851"/>
          <w:tab w:val="left" w:pos="4536"/>
          <w:tab w:val="left" w:pos="4962"/>
          <w:tab w:val="left" w:pos="5387"/>
        </w:tabs>
        <w:spacing w:after="113" w:line="360" w:lineRule="auto"/>
        <w:jc w:val="left"/>
        <w:rPr>
          <w:rFonts w:cs="Segoe UI"/>
          <w:b/>
          <w:sz w:val="20"/>
          <w:szCs w:val="18"/>
          <w:lang w:eastAsia="zh-CN"/>
        </w:rPr>
      </w:pPr>
      <w:r w:rsidRPr="005B0715">
        <w:rPr>
          <w:rFonts w:cs="Segoe UI"/>
          <w:b/>
          <w:sz w:val="20"/>
          <w:szCs w:val="18"/>
          <w:lang w:val="en-CA" w:eastAsia="zh-TW"/>
        </w:rPr>
        <w:t>Liki Qin</w:t>
      </w:r>
      <w:r w:rsidRPr="005B0715">
        <w:rPr>
          <w:rFonts w:cs="Segoe UI" w:hint="eastAsia"/>
          <w:b/>
          <w:sz w:val="20"/>
          <w:szCs w:val="18"/>
          <w:lang w:val="en-CA" w:eastAsia="zh-TW"/>
        </w:rPr>
        <w:t>秦莉佳</w:t>
      </w:r>
      <w:r w:rsidRPr="005B0715">
        <w:rPr>
          <w:rFonts w:cs="Segoe UI"/>
          <w:b/>
          <w:sz w:val="20"/>
          <w:szCs w:val="18"/>
          <w:lang w:eastAsia="zh-TW"/>
        </w:rPr>
        <w:tab/>
      </w:r>
    </w:p>
    <w:p w14:paraId="25C81CC3" w14:textId="17A83DAB" w:rsidR="005B0715" w:rsidRPr="005B0715" w:rsidRDefault="00E15CFD" w:rsidP="005B0715">
      <w:pPr>
        <w:tabs>
          <w:tab w:val="left" w:pos="709"/>
          <w:tab w:val="left" w:pos="4500"/>
          <w:tab w:val="left" w:pos="5245"/>
        </w:tabs>
        <w:spacing w:after="113" w:line="264" w:lineRule="auto"/>
        <w:jc w:val="left"/>
        <w:rPr>
          <w:rFonts w:cs="Segoe UI"/>
          <w:color w:val="000000"/>
          <w:sz w:val="20"/>
          <w:szCs w:val="18"/>
          <w:lang w:eastAsia="zh-CN"/>
        </w:rPr>
      </w:pPr>
      <w:r w:rsidRPr="005B0715">
        <w:rPr>
          <w:rFonts w:cs="Segoe UI" w:hint="eastAsia"/>
          <w:sz w:val="18"/>
          <w:szCs w:val="22"/>
          <w:lang w:eastAsia="zh-TW"/>
        </w:rPr>
        <w:t>電話</w:t>
      </w:r>
      <w:r w:rsidRPr="005B0715">
        <w:rPr>
          <w:rFonts w:cs="Segoe UI"/>
          <w:sz w:val="18"/>
          <w:szCs w:val="22"/>
          <w:lang w:eastAsia="zh-TW"/>
        </w:rPr>
        <w:t>: +86 21 2891 4386</w:t>
      </w:r>
      <w:r w:rsidRPr="005B0715">
        <w:rPr>
          <w:rFonts w:cs="Segoe UI"/>
          <w:sz w:val="20"/>
          <w:szCs w:val="18"/>
          <w:lang w:eastAsia="zh-TW"/>
        </w:rPr>
        <w:tab/>
      </w:r>
    </w:p>
    <w:p w14:paraId="59F0480A" w14:textId="11382B0C" w:rsidR="005B0715" w:rsidRPr="00B4523E" w:rsidRDefault="00E15CFD" w:rsidP="005B0715">
      <w:pPr>
        <w:tabs>
          <w:tab w:val="left" w:pos="1080"/>
          <w:tab w:val="left" w:pos="4500"/>
        </w:tabs>
        <w:spacing w:line="264" w:lineRule="auto"/>
        <w:rPr>
          <w:rStyle w:val="Hyperlink"/>
          <w:color w:val="9A141B"/>
          <w:szCs w:val="24"/>
          <w:u w:val="none"/>
          <w:lang w:eastAsia="zh-CN"/>
        </w:rPr>
      </w:pPr>
      <w:r w:rsidRPr="005B0715">
        <w:rPr>
          <w:rFonts w:cs="Segoe UI" w:hint="eastAsia"/>
          <w:sz w:val="18"/>
          <w:szCs w:val="18"/>
          <w:lang w:eastAsia="zh-TW"/>
        </w:rPr>
        <w:t>郵件</w:t>
      </w:r>
      <w:r w:rsidRPr="005B0715">
        <w:rPr>
          <w:rFonts w:cs="Segoe UI"/>
          <w:sz w:val="18"/>
          <w:szCs w:val="18"/>
          <w:lang w:eastAsia="zh-TW"/>
        </w:rPr>
        <w:t xml:space="preserve">: </w:t>
      </w:r>
      <w:hyperlink r:id="rId17" w:history="1">
        <w:r w:rsidRPr="005B0715">
          <w:rPr>
            <w:rFonts w:cs="Segoe UI"/>
            <w:color w:val="0000FF"/>
            <w:szCs w:val="22"/>
            <w:u w:val="single"/>
            <w:lang w:val="en-CA" w:eastAsia="zh-TW"/>
          </w:rPr>
          <w:t>liki.qin@henkel.com</w:t>
        </w:r>
      </w:hyperlink>
    </w:p>
    <w:sectPr w:rsidR="005B0715" w:rsidRPr="00B4523E">
      <w:headerReference w:type="even" r:id="rId18"/>
      <w:footerReference w:type="default" r:id="rId19"/>
      <w:headerReference w:type="first" r:id="rId20"/>
      <w:footerReference w:type="first" r:id="rId21"/>
      <w:pgSz w:w="11907" w:h="16840"/>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C4E3B" w14:textId="77777777" w:rsidR="00474CEA" w:rsidRDefault="00474CEA">
      <w:pPr>
        <w:spacing w:line="240" w:lineRule="auto"/>
      </w:pPr>
      <w:r>
        <w:separator/>
      </w:r>
    </w:p>
  </w:endnote>
  <w:endnote w:type="continuationSeparator" w:id="0">
    <w:p w14:paraId="346AFA3B" w14:textId="77777777" w:rsidR="00474CEA" w:rsidRDefault="00474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55D1" w14:textId="77777777" w:rsidR="00DE6EFB" w:rsidRDefault="00B51E72">
    <w:pPr>
      <w:pStyle w:val="Footer"/>
      <w:tabs>
        <w:tab w:val="clear" w:pos="7083"/>
        <w:tab w:val="clear" w:pos="8640"/>
        <w:tab w:val="right" w:pos="9071"/>
      </w:tabs>
      <w:jc w:val="both"/>
    </w:pPr>
    <w:r>
      <w:rPr>
        <w:rFonts w:hint="eastAsia"/>
      </w:rPr>
      <w:t>Henkel AG &amp; Co. KGaA</w:t>
    </w:r>
    <w:r>
      <w:rPr>
        <w:rFonts w:hint="eastAsia"/>
      </w:rPr>
      <w:tab/>
      <w:t xml:space="preserve">Page </w:t>
    </w:r>
    <w:r>
      <w:rPr>
        <w:rFonts w:hint="eastAsia"/>
      </w:rPr>
      <w:fldChar w:fldCharType="begin"/>
    </w:r>
    <w:r>
      <w:rPr>
        <w:rFonts w:hint="eastAsia"/>
      </w:rPr>
      <w:instrText xml:space="preserve"> PAGE  \* Arabic  \* MERGEFORMAT </w:instrText>
    </w:r>
    <w:r>
      <w:rPr>
        <w:rFonts w:hint="eastAsia"/>
      </w:rPr>
      <w:fldChar w:fldCharType="separate"/>
    </w:r>
    <w:r>
      <w:t>3</w:t>
    </w:r>
    <w:r>
      <w:rPr>
        <w:rFonts w:hint="eastAsia"/>
      </w:rPr>
      <w:fldChar w:fldCharType="end"/>
    </w:r>
    <w:r>
      <w:rPr>
        <w:rFonts w:hint="eastAsia"/>
      </w:rPr>
      <w:t>/</w:t>
    </w:r>
    <w:fldSimple w:instr="NUMPAGES  \* Arabic  \* MERGEFORMAT">
      <w:r>
        <w:t>17</w:t>
      </w:r>
    </w:fldSimple>
  </w:p>
  <w:p w14:paraId="7A8514C7" w14:textId="77777777" w:rsidR="00DE6EFB" w:rsidRDefault="00B51E72">
    <w:pPr>
      <w:pStyle w:val="Footer"/>
      <w:tabs>
        <w:tab w:val="clear" w:pos="7083"/>
        <w:tab w:val="clear" w:pos="8640"/>
        <w:tab w:val="right" w:pos="9071"/>
      </w:tabs>
      <w:jc w:val="both"/>
      <w:rPr>
        <w:lang w:eastAsia="zh-CN"/>
      </w:rPr>
    </w:pPr>
    <w:r>
      <w:rPr>
        <w:rFonts w:hint="eastAsia"/>
        <w:lang w:eastAsia="zh-CN"/>
      </w:rPr>
      <w:t>汉高股份有限及两合公司</w:t>
    </w:r>
    <w:r>
      <w:rPr>
        <w:rFonts w:hint="eastAsia"/>
        <w:lang w:eastAsia="zh-CN"/>
      </w:rPr>
      <w:tab/>
    </w:r>
    <w:r>
      <w:fldChar w:fldCharType="begin"/>
    </w:r>
    <w:r>
      <w:rPr>
        <w:lang w:eastAsia="zh-CN"/>
      </w:rPr>
      <w:instrText xml:space="preserve"> PAGE  \* Arabic  \* MERGEFORMAT </w:instrText>
    </w:r>
    <w:r>
      <w:fldChar w:fldCharType="separate"/>
    </w:r>
    <w:r>
      <w:rPr>
        <w:lang w:eastAsia="zh-CN"/>
      </w:rPr>
      <w:t>3</w:t>
    </w:r>
    <w:r>
      <w:fldChar w:fldCharType="end"/>
    </w:r>
    <w:r>
      <w:rPr>
        <w:rFonts w:hint="eastAsia"/>
        <w:lang w:eastAsia="zh-CN"/>
      </w:rPr>
      <w:t>/</w:t>
    </w:r>
    <w:r>
      <w:fldChar w:fldCharType="begin"/>
    </w:r>
    <w:r>
      <w:rPr>
        <w:lang w:eastAsia="zh-CN"/>
      </w:rPr>
      <w:instrText>NUMPAGES  \* Arabic  \* MERGEFORMAT</w:instrText>
    </w:r>
    <w:r>
      <w:fldChar w:fldCharType="separate"/>
    </w:r>
    <w:r>
      <w:rPr>
        <w:lang w:eastAsia="zh-CN"/>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0516" w14:textId="77777777" w:rsidR="00DE6EFB" w:rsidRDefault="00B51E72">
    <w:pPr>
      <w:pStyle w:val="Footer"/>
    </w:pPr>
    <w:r>
      <w:rPr>
        <w:noProof/>
      </w:rPr>
      <w:drawing>
        <wp:inline distT="0" distB="0" distL="0" distR="0" wp14:anchorId="309B811A" wp14:editId="58B49FE1">
          <wp:extent cx="5422265" cy="548005"/>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a:picLocks noChangeAspect="1"/>
                  </pic:cNvPicPr>
                </pic:nvPicPr>
                <pic:blipFill>
                  <a:blip r:embed="rId1"/>
                  <a:srcRect b="19511"/>
                  <a:stretch>
                    <a:fillRect/>
                  </a:stretch>
                </pic:blipFill>
                <pic:spPr>
                  <a:xfrm>
                    <a:off x="0" y="0"/>
                    <a:ext cx="5422789" cy="548296"/>
                  </a:xfrm>
                  <a:prstGeom prst="rect">
                    <a:avLst/>
                  </a:prstGeom>
                  <a:ln>
                    <a:noFill/>
                  </a:ln>
                </pic:spPr>
              </pic:pic>
            </a:graphicData>
          </a:graphic>
        </wp:inline>
      </w:drawing>
    </w:r>
    <w:r>
      <w:t xml:space="preserve">Page </w:t>
    </w:r>
    <w:r>
      <w:fldChar w:fldCharType="begin"/>
    </w:r>
    <w:r>
      <w:instrText xml:space="preserve"> PAGE  \* Arabic  \* MERGEFORMAT </w:instrText>
    </w:r>
    <w:r>
      <w:fldChar w:fldCharType="separate"/>
    </w:r>
    <w:r>
      <w:t>1</w:t>
    </w:r>
    <w:r>
      <w:fldChar w:fldCharType="end"/>
    </w:r>
    <w:r>
      <w:t>/</w:t>
    </w:r>
    <w:fldSimple w:instr=" NUMPAGES  \* Arabic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E070" w14:textId="77777777" w:rsidR="00474CEA" w:rsidRDefault="00474CEA">
      <w:r>
        <w:separator/>
      </w:r>
    </w:p>
  </w:footnote>
  <w:footnote w:type="continuationSeparator" w:id="0">
    <w:p w14:paraId="76577F44" w14:textId="77777777" w:rsidR="00474CEA" w:rsidRDefault="0047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ECEB" w14:textId="77777777" w:rsidR="00DE6EFB" w:rsidRDefault="00DE6EF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8924" w14:textId="1C1DEEB4" w:rsidR="00DE6EFB" w:rsidRDefault="00B51E72">
    <w:pPr>
      <w:pStyle w:val="Header"/>
    </w:pPr>
    <w:r>
      <w:rPr>
        <w:noProof/>
      </w:rPr>
      <w:drawing>
        <wp:anchor distT="0" distB="0" distL="114300" distR="114300" simplePos="0" relativeHeight="251657216" behindDoc="0" locked="1" layoutInCell="1" allowOverlap="1" wp14:anchorId="63BE3F29" wp14:editId="1489F837">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66876" name="Grafik 165306687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a:xfrm>
                    <a:off x="0" y="0"/>
                    <a:ext cx="1051560" cy="603250"/>
                  </a:xfrm>
                  <a:prstGeom prst="rect">
                    <a:avLst/>
                  </a:prstGeom>
                  <a:noFill/>
                </pic:spPr>
              </pic:pic>
            </a:graphicData>
          </a:graphic>
        </wp:anchor>
      </w:drawing>
    </w:r>
    <w:r>
      <w:rPr>
        <w:noProof/>
      </w:rPr>
      <mc:AlternateContent>
        <mc:Choice Requires="wpg">
          <w:drawing>
            <wp:anchor distT="0" distB="0" distL="114300" distR="114300" simplePos="0" relativeHeight="251658240" behindDoc="0" locked="0" layoutInCell="1" allowOverlap="1" wp14:anchorId="0C04142D" wp14:editId="1386ACAF">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anchor>
          </w:drawing>
        </mc:Choice>
        <mc:Fallback>
          <w:pict>
            <v:group w14:anchorId="14F498F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Pr>
        <w:rFonts w:hint="eastAsia"/>
      </w:rPr>
      <w:t xml:space="preserve"> News Release</w:t>
    </w:r>
    <w:r>
      <w:rPr>
        <w:rFonts w:hint="eastAsia"/>
      </w:rPr>
      <w:br/>
    </w:r>
    <w:proofErr w:type="spellStart"/>
    <w:r>
      <w:rPr>
        <w:rFonts w:hint="eastAsia"/>
      </w:rPr>
      <w:t>新闻稿</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multilevel"/>
    <w:tmpl w:val="00F614AC"/>
    <w:lvl w:ilvl="0">
      <w:start w:val="1"/>
      <w:numFmt w:val="bullet"/>
      <w:pStyle w:val="He01FlietextAufzhlung1Ebene"/>
      <w:lvlText w:val=""/>
      <w:lvlJc w:val="left"/>
      <w:pPr>
        <w:ind w:left="360" w:hanging="360"/>
      </w:pPr>
      <w:rPr>
        <w:rFonts w:ascii="Wingdings" w:hAnsi="Wingdings" w:hint="default"/>
        <w:color w:val="E1000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29D4FBB"/>
    <w:multiLevelType w:val="multilevel"/>
    <w:tmpl w:val="129D4FBB"/>
    <w:lvl w:ilvl="0">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numFmt w:val="bullet"/>
      <w:lvlText w:val="•"/>
      <w:lvlJc w:val="left"/>
      <w:pPr>
        <w:ind w:left="1724" w:hanging="360"/>
      </w:pPr>
      <w:rPr>
        <w:rFonts w:hint="default"/>
        <w:lang w:val="de-DE" w:eastAsia="en-US" w:bidi="ar-SA"/>
      </w:rPr>
    </w:lvl>
    <w:lvl w:ilvl="3">
      <w:numFmt w:val="bullet"/>
      <w:lvlText w:val="•"/>
      <w:lvlJc w:val="left"/>
      <w:pPr>
        <w:ind w:left="2749" w:hanging="360"/>
      </w:pPr>
      <w:rPr>
        <w:rFonts w:hint="default"/>
        <w:lang w:val="de-DE" w:eastAsia="en-US" w:bidi="ar-SA"/>
      </w:rPr>
    </w:lvl>
    <w:lvl w:ilvl="4">
      <w:numFmt w:val="bullet"/>
      <w:lvlText w:val="•"/>
      <w:lvlJc w:val="left"/>
      <w:pPr>
        <w:ind w:left="3774" w:hanging="360"/>
      </w:pPr>
      <w:rPr>
        <w:rFonts w:hint="default"/>
        <w:lang w:val="de-DE" w:eastAsia="en-US" w:bidi="ar-SA"/>
      </w:rPr>
    </w:lvl>
    <w:lvl w:ilvl="5">
      <w:numFmt w:val="bullet"/>
      <w:lvlText w:val="•"/>
      <w:lvlJc w:val="left"/>
      <w:pPr>
        <w:ind w:left="4799" w:hanging="360"/>
      </w:pPr>
      <w:rPr>
        <w:rFonts w:hint="default"/>
        <w:lang w:val="de-DE" w:eastAsia="en-US" w:bidi="ar-SA"/>
      </w:rPr>
    </w:lvl>
    <w:lvl w:ilvl="6">
      <w:numFmt w:val="bullet"/>
      <w:lvlText w:val="•"/>
      <w:lvlJc w:val="left"/>
      <w:pPr>
        <w:ind w:left="5824" w:hanging="360"/>
      </w:pPr>
      <w:rPr>
        <w:rFonts w:hint="default"/>
        <w:lang w:val="de-DE" w:eastAsia="en-US" w:bidi="ar-SA"/>
      </w:rPr>
    </w:lvl>
    <w:lvl w:ilvl="7">
      <w:numFmt w:val="bullet"/>
      <w:lvlText w:val="•"/>
      <w:lvlJc w:val="left"/>
      <w:pPr>
        <w:ind w:left="6848" w:hanging="360"/>
      </w:pPr>
      <w:rPr>
        <w:rFonts w:hint="default"/>
        <w:lang w:val="de-DE" w:eastAsia="en-US" w:bidi="ar-SA"/>
      </w:rPr>
    </w:lvl>
    <w:lvl w:ilvl="8">
      <w:numFmt w:val="bullet"/>
      <w:lvlText w:val="•"/>
      <w:lvlJc w:val="left"/>
      <w:pPr>
        <w:ind w:left="7873" w:hanging="360"/>
      </w:pPr>
      <w:rPr>
        <w:rFonts w:hint="default"/>
        <w:lang w:val="de-DE" w:eastAsia="en-US" w:bidi="ar-SA"/>
      </w:rPr>
    </w:lvl>
  </w:abstractNum>
  <w:abstractNum w:abstractNumId="3" w15:restartNumberingAfterBreak="0">
    <w:nsid w:val="16740AFE"/>
    <w:multiLevelType w:val="multilevel"/>
    <w:tmpl w:val="16740AFE"/>
    <w:lvl w:ilvl="0">
      <w:start w:val="1"/>
      <w:numFmt w:val="bullet"/>
      <w:pStyle w:val="He01FlietextAufzhlung2Ebene"/>
      <w:lvlText w:val="–"/>
      <w:lvlJc w:val="left"/>
      <w:pPr>
        <w:ind w:left="700" w:hanging="360"/>
      </w:pPr>
      <w:rPr>
        <w:rFonts w:ascii="Segoe UI" w:hAnsi="Segoe UI" w:hint="default"/>
        <w:color w:val="E1000F"/>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4" w15:restartNumberingAfterBreak="0">
    <w:nsid w:val="3F4B6752"/>
    <w:multiLevelType w:val="multilevel"/>
    <w:tmpl w:val="3F4B6752"/>
    <w:lvl w:ilvl="0">
      <w:start w:val="1"/>
      <w:numFmt w:val="bullet"/>
      <w:lvlText w:val=""/>
      <w:lvlJc w:val="left"/>
      <w:pPr>
        <w:ind w:left="360" w:hanging="360"/>
      </w:pPr>
      <w:rPr>
        <w:rFonts w:ascii="Wingdings" w:hAnsi="Wingdings" w:hint="default"/>
        <w:color w:val="E1000F"/>
        <w:sz w:val="24"/>
        <w:szCs w:val="24"/>
      </w:rPr>
    </w:lvl>
    <w:lvl w:ilvl="1">
      <w:numFmt w:val="bullet"/>
      <w:lvlText w:val="-"/>
      <w:lvlJc w:val="left"/>
      <w:pPr>
        <w:ind w:left="1080" w:hanging="360"/>
      </w:pPr>
      <w:rPr>
        <w:rFonts w:ascii="Arial" w:hAnsi="Arial" w:hint="default"/>
        <w:color w:val="FF000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21773281">
    <w:abstractNumId w:val="1"/>
  </w:num>
  <w:num w:numId="2" w16cid:durableId="657079685">
    <w:abstractNumId w:val="0"/>
  </w:num>
  <w:num w:numId="3" w16cid:durableId="949818223">
    <w:abstractNumId w:val="3"/>
  </w:num>
  <w:num w:numId="4" w16cid:durableId="1000044194">
    <w:abstractNumId w:val="4"/>
  </w:num>
  <w:num w:numId="5" w16cid:durableId="1681277344">
    <w:abstractNumId w:val="2"/>
  </w:num>
  <w:num w:numId="6" w16cid:durableId="774439939">
    <w:abstractNumId w:val="3"/>
  </w:num>
  <w:num w:numId="7" w16cid:durableId="2146191903">
    <w:abstractNumId w:val="3"/>
  </w:num>
  <w:num w:numId="8" w16cid:durableId="199159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621"/>
    <w:rsid w:val="00004F3C"/>
    <w:rsid w:val="000050F2"/>
    <w:rsid w:val="00005267"/>
    <w:rsid w:val="00006346"/>
    <w:rsid w:val="000069EB"/>
    <w:rsid w:val="00006A45"/>
    <w:rsid w:val="000070A8"/>
    <w:rsid w:val="00010AB8"/>
    <w:rsid w:val="00012E70"/>
    <w:rsid w:val="000136FE"/>
    <w:rsid w:val="00014FC1"/>
    <w:rsid w:val="00015C17"/>
    <w:rsid w:val="00016137"/>
    <w:rsid w:val="000177A1"/>
    <w:rsid w:val="00020DC3"/>
    <w:rsid w:val="00021C67"/>
    <w:rsid w:val="00024147"/>
    <w:rsid w:val="00024483"/>
    <w:rsid w:val="00025354"/>
    <w:rsid w:val="000256A9"/>
    <w:rsid w:val="00026EEE"/>
    <w:rsid w:val="000301F0"/>
    <w:rsid w:val="00030557"/>
    <w:rsid w:val="00030701"/>
    <w:rsid w:val="00030F51"/>
    <w:rsid w:val="00031E51"/>
    <w:rsid w:val="00033476"/>
    <w:rsid w:val="000343EB"/>
    <w:rsid w:val="00035A84"/>
    <w:rsid w:val="00036D5F"/>
    <w:rsid w:val="00037933"/>
    <w:rsid w:val="00040816"/>
    <w:rsid w:val="0004082A"/>
    <w:rsid w:val="00040CC9"/>
    <w:rsid w:val="00040DA0"/>
    <w:rsid w:val="00041F81"/>
    <w:rsid w:val="000425ED"/>
    <w:rsid w:val="00045CCB"/>
    <w:rsid w:val="000510FC"/>
    <w:rsid w:val="00051555"/>
    <w:rsid w:val="00051D25"/>
    <w:rsid w:val="00051E86"/>
    <w:rsid w:val="000525F1"/>
    <w:rsid w:val="00054AFE"/>
    <w:rsid w:val="0005544E"/>
    <w:rsid w:val="0005619D"/>
    <w:rsid w:val="00056A64"/>
    <w:rsid w:val="00056EEE"/>
    <w:rsid w:val="00057410"/>
    <w:rsid w:val="000575F9"/>
    <w:rsid w:val="0006148D"/>
    <w:rsid w:val="00061653"/>
    <w:rsid w:val="000618FC"/>
    <w:rsid w:val="00065466"/>
    <w:rsid w:val="000665F3"/>
    <w:rsid w:val="000669D1"/>
    <w:rsid w:val="00067071"/>
    <w:rsid w:val="00067F67"/>
    <w:rsid w:val="00070652"/>
    <w:rsid w:val="00070757"/>
    <w:rsid w:val="00071284"/>
    <w:rsid w:val="00072356"/>
    <w:rsid w:val="00073AED"/>
    <w:rsid w:val="00074942"/>
    <w:rsid w:val="000751A7"/>
    <w:rsid w:val="0007558F"/>
    <w:rsid w:val="0007733D"/>
    <w:rsid w:val="0007746E"/>
    <w:rsid w:val="00077AF9"/>
    <w:rsid w:val="00080229"/>
    <w:rsid w:val="00080D10"/>
    <w:rsid w:val="00081241"/>
    <w:rsid w:val="00081692"/>
    <w:rsid w:val="00081EF8"/>
    <w:rsid w:val="00082417"/>
    <w:rsid w:val="0008357F"/>
    <w:rsid w:val="00083A35"/>
    <w:rsid w:val="00083A61"/>
    <w:rsid w:val="00083DAB"/>
    <w:rsid w:val="0008406B"/>
    <w:rsid w:val="00084918"/>
    <w:rsid w:val="0008581D"/>
    <w:rsid w:val="00090DB6"/>
    <w:rsid w:val="00090E73"/>
    <w:rsid w:val="00091F11"/>
    <w:rsid w:val="00094235"/>
    <w:rsid w:val="00096AD4"/>
    <w:rsid w:val="00097DB9"/>
    <w:rsid w:val="000A05E0"/>
    <w:rsid w:val="000A06FB"/>
    <w:rsid w:val="000A31D3"/>
    <w:rsid w:val="000A4B52"/>
    <w:rsid w:val="000A50CF"/>
    <w:rsid w:val="000A511E"/>
    <w:rsid w:val="000A64B3"/>
    <w:rsid w:val="000A6C25"/>
    <w:rsid w:val="000A6D45"/>
    <w:rsid w:val="000B005C"/>
    <w:rsid w:val="000B032A"/>
    <w:rsid w:val="000B10DE"/>
    <w:rsid w:val="000B1FCA"/>
    <w:rsid w:val="000B2E86"/>
    <w:rsid w:val="000B5D2F"/>
    <w:rsid w:val="000B5E32"/>
    <w:rsid w:val="000B6244"/>
    <w:rsid w:val="000B695A"/>
    <w:rsid w:val="000B72A8"/>
    <w:rsid w:val="000C04C8"/>
    <w:rsid w:val="000C1D69"/>
    <w:rsid w:val="000C210A"/>
    <w:rsid w:val="000C27E5"/>
    <w:rsid w:val="000C30D6"/>
    <w:rsid w:val="000C47D1"/>
    <w:rsid w:val="000C50A1"/>
    <w:rsid w:val="000C540F"/>
    <w:rsid w:val="000C56DD"/>
    <w:rsid w:val="000C63F4"/>
    <w:rsid w:val="000C65FB"/>
    <w:rsid w:val="000C7373"/>
    <w:rsid w:val="000D0C11"/>
    <w:rsid w:val="000D11CB"/>
    <w:rsid w:val="000D14C4"/>
    <w:rsid w:val="000D1672"/>
    <w:rsid w:val="000D178A"/>
    <w:rsid w:val="000D18CE"/>
    <w:rsid w:val="000D40C6"/>
    <w:rsid w:val="000D4349"/>
    <w:rsid w:val="000D52F6"/>
    <w:rsid w:val="000D58A1"/>
    <w:rsid w:val="000D60D8"/>
    <w:rsid w:val="000D6C67"/>
    <w:rsid w:val="000D738C"/>
    <w:rsid w:val="000E0CAB"/>
    <w:rsid w:val="000E11D9"/>
    <w:rsid w:val="000E1B84"/>
    <w:rsid w:val="000E2EDC"/>
    <w:rsid w:val="000E2F62"/>
    <w:rsid w:val="000E38ED"/>
    <w:rsid w:val="000E45C7"/>
    <w:rsid w:val="000E5A02"/>
    <w:rsid w:val="000E6962"/>
    <w:rsid w:val="000E7F24"/>
    <w:rsid w:val="000F03BE"/>
    <w:rsid w:val="000F1757"/>
    <w:rsid w:val="000F225B"/>
    <w:rsid w:val="000F333E"/>
    <w:rsid w:val="000F41BC"/>
    <w:rsid w:val="000F48E9"/>
    <w:rsid w:val="000F4DAE"/>
    <w:rsid w:val="000F5821"/>
    <w:rsid w:val="000F689C"/>
    <w:rsid w:val="000F7ADB"/>
    <w:rsid w:val="000F7FAF"/>
    <w:rsid w:val="001002DD"/>
    <w:rsid w:val="0010048F"/>
    <w:rsid w:val="00100D8B"/>
    <w:rsid w:val="00102045"/>
    <w:rsid w:val="00102264"/>
    <w:rsid w:val="00103537"/>
    <w:rsid w:val="00103B01"/>
    <w:rsid w:val="0010421C"/>
    <w:rsid w:val="0010465B"/>
    <w:rsid w:val="001055BE"/>
    <w:rsid w:val="0010570F"/>
    <w:rsid w:val="00105975"/>
    <w:rsid w:val="00105DD4"/>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A3"/>
    <w:rsid w:val="00126C65"/>
    <w:rsid w:val="00126D4A"/>
    <w:rsid w:val="00130D2C"/>
    <w:rsid w:val="00131762"/>
    <w:rsid w:val="001318EB"/>
    <w:rsid w:val="00132DA9"/>
    <w:rsid w:val="0013305B"/>
    <w:rsid w:val="001331DC"/>
    <w:rsid w:val="00133B99"/>
    <w:rsid w:val="0013464E"/>
    <w:rsid w:val="0013569C"/>
    <w:rsid w:val="00135939"/>
    <w:rsid w:val="001369E3"/>
    <w:rsid w:val="001375DD"/>
    <w:rsid w:val="00142046"/>
    <w:rsid w:val="00142EFB"/>
    <w:rsid w:val="001438BF"/>
    <w:rsid w:val="001443BD"/>
    <w:rsid w:val="00144A87"/>
    <w:rsid w:val="00145B62"/>
    <w:rsid w:val="00146193"/>
    <w:rsid w:val="00150993"/>
    <w:rsid w:val="00152022"/>
    <w:rsid w:val="00152026"/>
    <w:rsid w:val="00152A41"/>
    <w:rsid w:val="00154D35"/>
    <w:rsid w:val="00156CD6"/>
    <w:rsid w:val="001577E9"/>
    <w:rsid w:val="00157A59"/>
    <w:rsid w:val="0016138C"/>
    <w:rsid w:val="00162D60"/>
    <w:rsid w:val="001640D5"/>
    <w:rsid w:val="001653D7"/>
    <w:rsid w:val="001659FB"/>
    <w:rsid w:val="00166F97"/>
    <w:rsid w:val="00172C99"/>
    <w:rsid w:val="001731CE"/>
    <w:rsid w:val="00175C72"/>
    <w:rsid w:val="00177B37"/>
    <w:rsid w:val="00180F93"/>
    <w:rsid w:val="00181B06"/>
    <w:rsid w:val="00182629"/>
    <w:rsid w:val="001827BF"/>
    <w:rsid w:val="00186010"/>
    <w:rsid w:val="0018672E"/>
    <w:rsid w:val="0018689A"/>
    <w:rsid w:val="00186AB1"/>
    <w:rsid w:val="00191458"/>
    <w:rsid w:val="0019156C"/>
    <w:rsid w:val="00191DD2"/>
    <w:rsid w:val="00192778"/>
    <w:rsid w:val="001945F1"/>
    <w:rsid w:val="00196A14"/>
    <w:rsid w:val="00197E9B"/>
    <w:rsid w:val="001A1185"/>
    <w:rsid w:val="001A1FEB"/>
    <w:rsid w:val="001A2003"/>
    <w:rsid w:val="001A3D77"/>
    <w:rsid w:val="001A4C03"/>
    <w:rsid w:val="001A7411"/>
    <w:rsid w:val="001B3094"/>
    <w:rsid w:val="001B30F7"/>
    <w:rsid w:val="001B31F0"/>
    <w:rsid w:val="001B4862"/>
    <w:rsid w:val="001B5147"/>
    <w:rsid w:val="001B65FF"/>
    <w:rsid w:val="001B710A"/>
    <w:rsid w:val="001B771D"/>
    <w:rsid w:val="001B7C20"/>
    <w:rsid w:val="001B7F28"/>
    <w:rsid w:val="001C0B32"/>
    <w:rsid w:val="001C2B63"/>
    <w:rsid w:val="001C2D66"/>
    <w:rsid w:val="001C36F7"/>
    <w:rsid w:val="001C4BE1"/>
    <w:rsid w:val="001C4CE3"/>
    <w:rsid w:val="001C5338"/>
    <w:rsid w:val="001C77C3"/>
    <w:rsid w:val="001C7F21"/>
    <w:rsid w:val="001D1497"/>
    <w:rsid w:val="001D361C"/>
    <w:rsid w:val="001D4A97"/>
    <w:rsid w:val="001D5534"/>
    <w:rsid w:val="001D63D9"/>
    <w:rsid w:val="001D750B"/>
    <w:rsid w:val="001D7ADF"/>
    <w:rsid w:val="001E0F71"/>
    <w:rsid w:val="001E17FB"/>
    <w:rsid w:val="001E255E"/>
    <w:rsid w:val="001E2B9B"/>
    <w:rsid w:val="001E2C06"/>
    <w:rsid w:val="001E35BA"/>
    <w:rsid w:val="001E4650"/>
    <w:rsid w:val="001E49D3"/>
    <w:rsid w:val="001E4CCB"/>
    <w:rsid w:val="001E51A6"/>
    <w:rsid w:val="001E52CB"/>
    <w:rsid w:val="001E6430"/>
    <w:rsid w:val="001E6D05"/>
    <w:rsid w:val="001E73E8"/>
    <w:rsid w:val="001E785E"/>
    <w:rsid w:val="001E7C28"/>
    <w:rsid w:val="001F11A1"/>
    <w:rsid w:val="001F1AB5"/>
    <w:rsid w:val="001F1BDF"/>
    <w:rsid w:val="001F1D6D"/>
    <w:rsid w:val="001F35F8"/>
    <w:rsid w:val="001F39FC"/>
    <w:rsid w:val="001F4966"/>
    <w:rsid w:val="001F4AC3"/>
    <w:rsid w:val="001F4CAC"/>
    <w:rsid w:val="001F52E0"/>
    <w:rsid w:val="001F590C"/>
    <w:rsid w:val="001F7110"/>
    <w:rsid w:val="001F75DB"/>
    <w:rsid w:val="001F773D"/>
    <w:rsid w:val="001F7754"/>
    <w:rsid w:val="001F7E96"/>
    <w:rsid w:val="002005F5"/>
    <w:rsid w:val="002013D5"/>
    <w:rsid w:val="00201D91"/>
    <w:rsid w:val="00202284"/>
    <w:rsid w:val="00202C65"/>
    <w:rsid w:val="0020528D"/>
    <w:rsid w:val="0020543B"/>
    <w:rsid w:val="00205A66"/>
    <w:rsid w:val="002063CF"/>
    <w:rsid w:val="00206613"/>
    <w:rsid w:val="0020756B"/>
    <w:rsid w:val="00207E75"/>
    <w:rsid w:val="00210AE0"/>
    <w:rsid w:val="00210D86"/>
    <w:rsid w:val="0021158F"/>
    <w:rsid w:val="00212488"/>
    <w:rsid w:val="002129A6"/>
    <w:rsid w:val="002151DB"/>
    <w:rsid w:val="0021591A"/>
    <w:rsid w:val="002168C6"/>
    <w:rsid w:val="00217E9D"/>
    <w:rsid w:val="00220628"/>
    <w:rsid w:val="00221A45"/>
    <w:rsid w:val="00221BA0"/>
    <w:rsid w:val="00223BD5"/>
    <w:rsid w:val="00224B7D"/>
    <w:rsid w:val="002260C7"/>
    <w:rsid w:val="002304D2"/>
    <w:rsid w:val="002333DA"/>
    <w:rsid w:val="002338C1"/>
    <w:rsid w:val="00233D04"/>
    <w:rsid w:val="00234ABD"/>
    <w:rsid w:val="00234CE9"/>
    <w:rsid w:val="00236491"/>
    <w:rsid w:val="00236969"/>
    <w:rsid w:val="00236C3B"/>
    <w:rsid w:val="00236E2A"/>
    <w:rsid w:val="00237F62"/>
    <w:rsid w:val="00240316"/>
    <w:rsid w:val="00241E10"/>
    <w:rsid w:val="00242367"/>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192"/>
    <w:rsid w:val="00266359"/>
    <w:rsid w:val="00266DCF"/>
    <w:rsid w:val="002715AF"/>
    <w:rsid w:val="002717F0"/>
    <w:rsid w:val="0027301C"/>
    <w:rsid w:val="00273099"/>
    <w:rsid w:val="00276C44"/>
    <w:rsid w:val="00277220"/>
    <w:rsid w:val="00281089"/>
    <w:rsid w:val="00281D14"/>
    <w:rsid w:val="00282953"/>
    <w:rsid w:val="00282C13"/>
    <w:rsid w:val="002833D8"/>
    <w:rsid w:val="00285669"/>
    <w:rsid w:val="00286BF6"/>
    <w:rsid w:val="00287DEE"/>
    <w:rsid w:val="002903B7"/>
    <w:rsid w:val="00291187"/>
    <w:rsid w:val="00293BE2"/>
    <w:rsid w:val="00293D0F"/>
    <w:rsid w:val="00294B60"/>
    <w:rsid w:val="00294B7B"/>
    <w:rsid w:val="00294EB3"/>
    <w:rsid w:val="002955A0"/>
    <w:rsid w:val="00295E54"/>
    <w:rsid w:val="002962D7"/>
    <w:rsid w:val="00296C33"/>
    <w:rsid w:val="00297C3A"/>
    <w:rsid w:val="002A00A0"/>
    <w:rsid w:val="002A0167"/>
    <w:rsid w:val="002A0D7B"/>
    <w:rsid w:val="002A0DF7"/>
    <w:rsid w:val="002A268C"/>
    <w:rsid w:val="002A28D5"/>
    <w:rsid w:val="002A2975"/>
    <w:rsid w:val="002A460D"/>
    <w:rsid w:val="002A4CEA"/>
    <w:rsid w:val="002A505B"/>
    <w:rsid w:val="002A5EE9"/>
    <w:rsid w:val="002A60E0"/>
    <w:rsid w:val="002B03A5"/>
    <w:rsid w:val="002B0BB4"/>
    <w:rsid w:val="002B1AA8"/>
    <w:rsid w:val="002B1E51"/>
    <w:rsid w:val="002B1E87"/>
    <w:rsid w:val="002B233F"/>
    <w:rsid w:val="002B2345"/>
    <w:rsid w:val="002B3555"/>
    <w:rsid w:val="002B45C2"/>
    <w:rsid w:val="002B687A"/>
    <w:rsid w:val="002C05DF"/>
    <w:rsid w:val="002C1344"/>
    <w:rsid w:val="002C252E"/>
    <w:rsid w:val="002C3A2A"/>
    <w:rsid w:val="002C458A"/>
    <w:rsid w:val="002C45E8"/>
    <w:rsid w:val="002C5BA6"/>
    <w:rsid w:val="002C6552"/>
    <w:rsid w:val="002C6773"/>
    <w:rsid w:val="002C6F51"/>
    <w:rsid w:val="002C73EC"/>
    <w:rsid w:val="002C79C4"/>
    <w:rsid w:val="002D0FE0"/>
    <w:rsid w:val="002D269A"/>
    <w:rsid w:val="002D27C9"/>
    <w:rsid w:val="002D2A3D"/>
    <w:rsid w:val="002D3E72"/>
    <w:rsid w:val="002D3EAC"/>
    <w:rsid w:val="002D46A9"/>
    <w:rsid w:val="002D5D1D"/>
    <w:rsid w:val="002D6EFD"/>
    <w:rsid w:val="002D71E6"/>
    <w:rsid w:val="002D74CF"/>
    <w:rsid w:val="002E0A45"/>
    <w:rsid w:val="002E0B17"/>
    <w:rsid w:val="002E1A8B"/>
    <w:rsid w:val="002E26B4"/>
    <w:rsid w:val="002E3FF5"/>
    <w:rsid w:val="002E4B4E"/>
    <w:rsid w:val="002E4FFB"/>
    <w:rsid w:val="002E512B"/>
    <w:rsid w:val="002E6110"/>
    <w:rsid w:val="002E63A7"/>
    <w:rsid w:val="002E650E"/>
    <w:rsid w:val="002E670C"/>
    <w:rsid w:val="002E6E2F"/>
    <w:rsid w:val="002E758F"/>
    <w:rsid w:val="002E7DED"/>
    <w:rsid w:val="002F0334"/>
    <w:rsid w:val="002F2A7B"/>
    <w:rsid w:val="002F4AB2"/>
    <w:rsid w:val="002F51C6"/>
    <w:rsid w:val="002F5944"/>
    <w:rsid w:val="002F7BC2"/>
    <w:rsid w:val="002F7E11"/>
    <w:rsid w:val="0030037C"/>
    <w:rsid w:val="00301C72"/>
    <w:rsid w:val="00304087"/>
    <w:rsid w:val="003053DC"/>
    <w:rsid w:val="003054B0"/>
    <w:rsid w:val="003057B1"/>
    <w:rsid w:val="003062AD"/>
    <w:rsid w:val="00310ACD"/>
    <w:rsid w:val="00312C23"/>
    <w:rsid w:val="00312ED8"/>
    <w:rsid w:val="0031379F"/>
    <w:rsid w:val="00313A9C"/>
    <w:rsid w:val="00314A97"/>
    <w:rsid w:val="0031621E"/>
    <w:rsid w:val="00316A16"/>
    <w:rsid w:val="00316D81"/>
    <w:rsid w:val="00320228"/>
    <w:rsid w:val="00320289"/>
    <w:rsid w:val="00320A26"/>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68"/>
    <w:rsid w:val="0033769B"/>
    <w:rsid w:val="0034015C"/>
    <w:rsid w:val="00341409"/>
    <w:rsid w:val="00341CAE"/>
    <w:rsid w:val="003442F4"/>
    <w:rsid w:val="00344546"/>
    <w:rsid w:val="003455CF"/>
    <w:rsid w:val="00345FA1"/>
    <w:rsid w:val="0034716E"/>
    <w:rsid w:val="00350439"/>
    <w:rsid w:val="00350B86"/>
    <w:rsid w:val="00350CB4"/>
    <w:rsid w:val="00351EA9"/>
    <w:rsid w:val="00352D9F"/>
    <w:rsid w:val="00353705"/>
    <w:rsid w:val="00354C69"/>
    <w:rsid w:val="00355536"/>
    <w:rsid w:val="003562E8"/>
    <w:rsid w:val="0035764F"/>
    <w:rsid w:val="003614D7"/>
    <w:rsid w:val="00361FB0"/>
    <w:rsid w:val="00361FC3"/>
    <w:rsid w:val="0036357D"/>
    <w:rsid w:val="003649BC"/>
    <w:rsid w:val="00364F7E"/>
    <w:rsid w:val="0036577C"/>
    <w:rsid w:val="00365E44"/>
    <w:rsid w:val="003662B1"/>
    <w:rsid w:val="003667AD"/>
    <w:rsid w:val="00367AA1"/>
    <w:rsid w:val="00370A5B"/>
    <w:rsid w:val="00371AE6"/>
    <w:rsid w:val="003720EC"/>
    <w:rsid w:val="00372497"/>
    <w:rsid w:val="00372E36"/>
    <w:rsid w:val="00373D53"/>
    <w:rsid w:val="00375653"/>
    <w:rsid w:val="00375DFA"/>
    <w:rsid w:val="00375F7D"/>
    <w:rsid w:val="003767D3"/>
    <w:rsid w:val="00376EE9"/>
    <w:rsid w:val="00376FFC"/>
    <w:rsid w:val="00377C3F"/>
    <w:rsid w:val="00377CBB"/>
    <w:rsid w:val="00383839"/>
    <w:rsid w:val="00384BFC"/>
    <w:rsid w:val="00384F62"/>
    <w:rsid w:val="003851C4"/>
    <w:rsid w:val="00385438"/>
    <w:rsid w:val="003858E5"/>
    <w:rsid w:val="003866E6"/>
    <w:rsid w:val="00387494"/>
    <w:rsid w:val="003877B6"/>
    <w:rsid w:val="003910BB"/>
    <w:rsid w:val="00391539"/>
    <w:rsid w:val="003921B7"/>
    <w:rsid w:val="0039297C"/>
    <w:rsid w:val="00393887"/>
    <w:rsid w:val="00393F1B"/>
    <w:rsid w:val="00394C6B"/>
    <w:rsid w:val="00395318"/>
    <w:rsid w:val="0039610B"/>
    <w:rsid w:val="00396BE1"/>
    <w:rsid w:val="00397C2B"/>
    <w:rsid w:val="00397C90"/>
    <w:rsid w:val="003A0961"/>
    <w:rsid w:val="003A290F"/>
    <w:rsid w:val="003A33EF"/>
    <w:rsid w:val="003A392C"/>
    <w:rsid w:val="003A4AAA"/>
    <w:rsid w:val="003A4B10"/>
    <w:rsid w:val="003A4E2E"/>
    <w:rsid w:val="003A4E62"/>
    <w:rsid w:val="003A56EB"/>
    <w:rsid w:val="003A5A6A"/>
    <w:rsid w:val="003A6F7B"/>
    <w:rsid w:val="003A775E"/>
    <w:rsid w:val="003A7AB2"/>
    <w:rsid w:val="003B02F2"/>
    <w:rsid w:val="003B0BD0"/>
    <w:rsid w:val="003B0CDD"/>
    <w:rsid w:val="003B1069"/>
    <w:rsid w:val="003B13E8"/>
    <w:rsid w:val="003B15FB"/>
    <w:rsid w:val="003B2577"/>
    <w:rsid w:val="003B2BB0"/>
    <w:rsid w:val="003B2CC9"/>
    <w:rsid w:val="003B38CC"/>
    <w:rsid w:val="003B390A"/>
    <w:rsid w:val="003B3D53"/>
    <w:rsid w:val="003B4E3A"/>
    <w:rsid w:val="003B6373"/>
    <w:rsid w:val="003B6DC6"/>
    <w:rsid w:val="003B79E1"/>
    <w:rsid w:val="003C0E8C"/>
    <w:rsid w:val="003C15DE"/>
    <w:rsid w:val="003C2096"/>
    <w:rsid w:val="003C2889"/>
    <w:rsid w:val="003C34C9"/>
    <w:rsid w:val="003C4EB2"/>
    <w:rsid w:val="003C4FA9"/>
    <w:rsid w:val="003C5E05"/>
    <w:rsid w:val="003C63D0"/>
    <w:rsid w:val="003C7959"/>
    <w:rsid w:val="003D0CE6"/>
    <w:rsid w:val="003D0E54"/>
    <w:rsid w:val="003D0FD1"/>
    <w:rsid w:val="003D21D0"/>
    <w:rsid w:val="003D2E79"/>
    <w:rsid w:val="003D3968"/>
    <w:rsid w:val="003D42AF"/>
    <w:rsid w:val="003D4AD2"/>
    <w:rsid w:val="003D5E11"/>
    <w:rsid w:val="003D6C7E"/>
    <w:rsid w:val="003D73C0"/>
    <w:rsid w:val="003E031D"/>
    <w:rsid w:val="003E6849"/>
    <w:rsid w:val="003E7305"/>
    <w:rsid w:val="003E7B45"/>
    <w:rsid w:val="003F0C1C"/>
    <w:rsid w:val="003F1AF3"/>
    <w:rsid w:val="003F25E4"/>
    <w:rsid w:val="003F4743"/>
    <w:rsid w:val="003F4804"/>
    <w:rsid w:val="003F48D9"/>
    <w:rsid w:val="003F4AAA"/>
    <w:rsid w:val="003F4D8D"/>
    <w:rsid w:val="003F5BA8"/>
    <w:rsid w:val="003F64A2"/>
    <w:rsid w:val="003F66A4"/>
    <w:rsid w:val="00401267"/>
    <w:rsid w:val="00401508"/>
    <w:rsid w:val="00401688"/>
    <w:rsid w:val="004024D9"/>
    <w:rsid w:val="0040257E"/>
    <w:rsid w:val="004025C3"/>
    <w:rsid w:val="0040386D"/>
    <w:rsid w:val="00403A2C"/>
    <w:rsid w:val="00404188"/>
    <w:rsid w:val="00406435"/>
    <w:rsid w:val="004066F9"/>
    <w:rsid w:val="00406CBE"/>
    <w:rsid w:val="004073DC"/>
    <w:rsid w:val="0041035D"/>
    <w:rsid w:val="004128C1"/>
    <w:rsid w:val="004137C0"/>
    <w:rsid w:val="004138F3"/>
    <w:rsid w:val="00417EC9"/>
    <w:rsid w:val="00421217"/>
    <w:rsid w:val="00421F20"/>
    <w:rsid w:val="00423B63"/>
    <w:rsid w:val="00423FDF"/>
    <w:rsid w:val="00426A7C"/>
    <w:rsid w:val="0042764B"/>
    <w:rsid w:val="00427BEA"/>
    <w:rsid w:val="00427EDC"/>
    <w:rsid w:val="00430120"/>
    <w:rsid w:val="004313E7"/>
    <w:rsid w:val="00431BBC"/>
    <w:rsid w:val="00432542"/>
    <w:rsid w:val="004339B2"/>
    <w:rsid w:val="00433FB8"/>
    <w:rsid w:val="00435BD9"/>
    <w:rsid w:val="00436CCB"/>
    <w:rsid w:val="004379C2"/>
    <w:rsid w:val="00440223"/>
    <w:rsid w:val="00442C16"/>
    <w:rsid w:val="00444A70"/>
    <w:rsid w:val="004456C0"/>
    <w:rsid w:val="0044763B"/>
    <w:rsid w:val="004514E8"/>
    <w:rsid w:val="00451681"/>
    <w:rsid w:val="00451E88"/>
    <w:rsid w:val="00452696"/>
    <w:rsid w:val="00453F32"/>
    <w:rsid w:val="004542DA"/>
    <w:rsid w:val="00454665"/>
    <w:rsid w:val="004565AD"/>
    <w:rsid w:val="00456A53"/>
    <w:rsid w:val="00457B39"/>
    <w:rsid w:val="00460CD2"/>
    <w:rsid w:val="0046100E"/>
    <w:rsid w:val="0046213C"/>
    <w:rsid w:val="00462518"/>
    <w:rsid w:val="0046266D"/>
    <w:rsid w:val="004629B3"/>
    <w:rsid w:val="00462B28"/>
    <w:rsid w:val="00463022"/>
    <w:rsid w:val="0046376E"/>
    <w:rsid w:val="00463B50"/>
    <w:rsid w:val="00464155"/>
    <w:rsid w:val="00464447"/>
    <w:rsid w:val="0046587C"/>
    <w:rsid w:val="0046690F"/>
    <w:rsid w:val="0046792B"/>
    <w:rsid w:val="00471116"/>
    <w:rsid w:val="00472788"/>
    <w:rsid w:val="00472FEC"/>
    <w:rsid w:val="00474CEA"/>
    <w:rsid w:val="0047503A"/>
    <w:rsid w:val="00476830"/>
    <w:rsid w:val="0047696E"/>
    <w:rsid w:val="004770F6"/>
    <w:rsid w:val="004812D2"/>
    <w:rsid w:val="00481477"/>
    <w:rsid w:val="00481710"/>
    <w:rsid w:val="00483B28"/>
    <w:rsid w:val="004851ED"/>
    <w:rsid w:val="004858E1"/>
    <w:rsid w:val="00485EF2"/>
    <w:rsid w:val="004864A1"/>
    <w:rsid w:val="00486AEB"/>
    <w:rsid w:val="0048769E"/>
    <w:rsid w:val="00490787"/>
    <w:rsid w:val="00490A03"/>
    <w:rsid w:val="00490B0D"/>
    <w:rsid w:val="00490E5D"/>
    <w:rsid w:val="00492449"/>
    <w:rsid w:val="00492B0A"/>
    <w:rsid w:val="00492D88"/>
    <w:rsid w:val="00493327"/>
    <w:rsid w:val="0049382E"/>
    <w:rsid w:val="00493B38"/>
    <w:rsid w:val="00494DBE"/>
    <w:rsid w:val="004958DA"/>
    <w:rsid w:val="00495CE6"/>
    <w:rsid w:val="00497524"/>
    <w:rsid w:val="00497D5E"/>
    <w:rsid w:val="004A03F3"/>
    <w:rsid w:val="004A144D"/>
    <w:rsid w:val="004A1D27"/>
    <w:rsid w:val="004A2A8B"/>
    <w:rsid w:val="004A323C"/>
    <w:rsid w:val="004A476A"/>
    <w:rsid w:val="004B0801"/>
    <w:rsid w:val="004B1117"/>
    <w:rsid w:val="004B1A6B"/>
    <w:rsid w:val="004B1FC8"/>
    <w:rsid w:val="004B339A"/>
    <w:rsid w:val="004B511F"/>
    <w:rsid w:val="004B522C"/>
    <w:rsid w:val="004B54E8"/>
    <w:rsid w:val="004B6523"/>
    <w:rsid w:val="004B773C"/>
    <w:rsid w:val="004C0138"/>
    <w:rsid w:val="004C0599"/>
    <w:rsid w:val="004C0686"/>
    <w:rsid w:val="004C08BC"/>
    <w:rsid w:val="004C12E8"/>
    <w:rsid w:val="004C130C"/>
    <w:rsid w:val="004C1578"/>
    <w:rsid w:val="004C174B"/>
    <w:rsid w:val="004C286B"/>
    <w:rsid w:val="004C33BA"/>
    <w:rsid w:val="004C47EA"/>
    <w:rsid w:val="004C4FEB"/>
    <w:rsid w:val="004C6570"/>
    <w:rsid w:val="004C678C"/>
    <w:rsid w:val="004C6B79"/>
    <w:rsid w:val="004C7345"/>
    <w:rsid w:val="004C7570"/>
    <w:rsid w:val="004D059B"/>
    <w:rsid w:val="004D09E8"/>
    <w:rsid w:val="004D09F9"/>
    <w:rsid w:val="004D0E64"/>
    <w:rsid w:val="004D2963"/>
    <w:rsid w:val="004D304E"/>
    <w:rsid w:val="004D38CD"/>
    <w:rsid w:val="004D4543"/>
    <w:rsid w:val="004D48A8"/>
    <w:rsid w:val="004D4CB6"/>
    <w:rsid w:val="004D4DCB"/>
    <w:rsid w:val="004E0332"/>
    <w:rsid w:val="004E0907"/>
    <w:rsid w:val="004E1491"/>
    <w:rsid w:val="004E20CF"/>
    <w:rsid w:val="004E2324"/>
    <w:rsid w:val="004E28C9"/>
    <w:rsid w:val="004E3341"/>
    <w:rsid w:val="004E5124"/>
    <w:rsid w:val="004E531A"/>
    <w:rsid w:val="004E7BE2"/>
    <w:rsid w:val="004E7E3A"/>
    <w:rsid w:val="004F10C1"/>
    <w:rsid w:val="004F1C5E"/>
    <w:rsid w:val="004F3E47"/>
    <w:rsid w:val="004F4CC8"/>
    <w:rsid w:val="004F4F5A"/>
    <w:rsid w:val="004F51FF"/>
    <w:rsid w:val="004F56E7"/>
    <w:rsid w:val="004F5AD9"/>
    <w:rsid w:val="004F699F"/>
    <w:rsid w:val="0050008F"/>
    <w:rsid w:val="00500955"/>
    <w:rsid w:val="0050159C"/>
    <w:rsid w:val="005018C2"/>
    <w:rsid w:val="00501A24"/>
    <w:rsid w:val="005022B7"/>
    <w:rsid w:val="00502E62"/>
    <w:rsid w:val="00503719"/>
    <w:rsid w:val="00504DA3"/>
    <w:rsid w:val="00506B8A"/>
    <w:rsid w:val="005110D3"/>
    <w:rsid w:val="00512692"/>
    <w:rsid w:val="00515B6A"/>
    <w:rsid w:val="0052056F"/>
    <w:rsid w:val="00520A65"/>
    <w:rsid w:val="00521280"/>
    <w:rsid w:val="00521891"/>
    <w:rsid w:val="005218B8"/>
    <w:rsid w:val="0052212B"/>
    <w:rsid w:val="005221A8"/>
    <w:rsid w:val="005224A4"/>
    <w:rsid w:val="005230C7"/>
    <w:rsid w:val="0052625A"/>
    <w:rsid w:val="005266EA"/>
    <w:rsid w:val="00526944"/>
    <w:rsid w:val="00527072"/>
    <w:rsid w:val="0053001D"/>
    <w:rsid w:val="005332C7"/>
    <w:rsid w:val="00534B46"/>
    <w:rsid w:val="00534CE8"/>
    <w:rsid w:val="00535018"/>
    <w:rsid w:val="00535180"/>
    <w:rsid w:val="0053558B"/>
    <w:rsid w:val="005355DB"/>
    <w:rsid w:val="00535866"/>
    <w:rsid w:val="00536EC6"/>
    <w:rsid w:val="00540358"/>
    <w:rsid w:val="00540A05"/>
    <w:rsid w:val="00540D47"/>
    <w:rsid w:val="005428D7"/>
    <w:rsid w:val="005429B7"/>
    <w:rsid w:val="00542D43"/>
    <w:rsid w:val="00544504"/>
    <w:rsid w:val="00545BC8"/>
    <w:rsid w:val="005463C3"/>
    <w:rsid w:val="005465A3"/>
    <w:rsid w:val="00547C7C"/>
    <w:rsid w:val="00550391"/>
    <w:rsid w:val="005506D5"/>
    <w:rsid w:val="00550864"/>
    <w:rsid w:val="00550B92"/>
    <w:rsid w:val="00551D6C"/>
    <w:rsid w:val="00552747"/>
    <w:rsid w:val="00552BFD"/>
    <w:rsid w:val="00553580"/>
    <w:rsid w:val="00553B15"/>
    <w:rsid w:val="005550A8"/>
    <w:rsid w:val="00555138"/>
    <w:rsid w:val="00555414"/>
    <w:rsid w:val="0055571E"/>
    <w:rsid w:val="00556F67"/>
    <w:rsid w:val="00557849"/>
    <w:rsid w:val="00560D23"/>
    <w:rsid w:val="00563009"/>
    <w:rsid w:val="005635B7"/>
    <w:rsid w:val="00564E6E"/>
    <w:rsid w:val="005652E8"/>
    <w:rsid w:val="0056637D"/>
    <w:rsid w:val="0056772E"/>
    <w:rsid w:val="00567A17"/>
    <w:rsid w:val="005735FF"/>
    <w:rsid w:val="005750FB"/>
    <w:rsid w:val="0057667C"/>
    <w:rsid w:val="00576BDA"/>
    <w:rsid w:val="00577BD0"/>
    <w:rsid w:val="00577DB4"/>
    <w:rsid w:val="00580D2D"/>
    <w:rsid w:val="00581B1C"/>
    <w:rsid w:val="005826DA"/>
    <w:rsid w:val="005826FB"/>
    <w:rsid w:val="00582943"/>
    <w:rsid w:val="00582D0E"/>
    <w:rsid w:val="00582E09"/>
    <w:rsid w:val="005833F0"/>
    <w:rsid w:val="005837C7"/>
    <w:rsid w:val="00586280"/>
    <w:rsid w:val="005865FC"/>
    <w:rsid w:val="005869CE"/>
    <w:rsid w:val="00586CAF"/>
    <w:rsid w:val="005873E9"/>
    <w:rsid w:val="00587A90"/>
    <w:rsid w:val="00587F6C"/>
    <w:rsid w:val="00591180"/>
    <w:rsid w:val="00592CEB"/>
    <w:rsid w:val="00592E9F"/>
    <w:rsid w:val="005948A6"/>
    <w:rsid w:val="00595286"/>
    <w:rsid w:val="0059722C"/>
    <w:rsid w:val="005977A6"/>
    <w:rsid w:val="00597D07"/>
    <w:rsid w:val="00597DD6"/>
    <w:rsid w:val="005A16E6"/>
    <w:rsid w:val="005A30D7"/>
    <w:rsid w:val="005A3846"/>
    <w:rsid w:val="005A5E6B"/>
    <w:rsid w:val="005A678F"/>
    <w:rsid w:val="005A7DE8"/>
    <w:rsid w:val="005A7E97"/>
    <w:rsid w:val="005B0715"/>
    <w:rsid w:val="005B0DFE"/>
    <w:rsid w:val="005B2CD2"/>
    <w:rsid w:val="005B632A"/>
    <w:rsid w:val="005B6A58"/>
    <w:rsid w:val="005B7690"/>
    <w:rsid w:val="005C2D0E"/>
    <w:rsid w:val="005C5A83"/>
    <w:rsid w:val="005C6F40"/>
    <w:rsid w:val="005C7112"/>
    <w:rsid w:val="005D0561"/>
    <w:rsid w:val="005D0AD9"/>
    <w:rsid w:val="005D1A67"/>
    <w:rsid w:val="005D22F6"/>
    <w:rsid w:val="005D4F92"/>
    <w:rsid w:val="005D629E"/>
    <w:rsid w:val="005D62EA"/>
    <w:rsid w:val="005D6774"/>
    <w:rsid w:val="005D68AA"/>
    <w:rsid w:val="005D6BD1"/>
    <w:rsid w:val="005E060E"/>
    <w:rsid w:val="005E0C30"/>
    <w:rsid w:val="005E1657"/>
    <w:rsid w:val="005E1BBB"/>
    <w:rsid w:val="005E1DCB"/>
    <w:rsid w:val="005E2377"/>
    <w:rsid w:val="005E2EE4"/>
    <w:rsid w:val="005E326D"/>
    <w:rsid w:val="005E33E0"/>
    <w:rsid w:val="005E3FBB"/>
    <w:rsid w:val="005E5458"/>
    <w:rsid w:val="005E66B4"/>
    <w:rsid w:val="005E69D9"/>
    <w:rsid w:val="005E6CB1"/>
    <w:rsid w:val="005E7116"/>
    <w:rsid w:val="005E7971"/>
    <w:rsid w:val="005E7BBA"/>
    <w:rsid w:val="005F17D1"/>
    <w:rsid w:val="005F27F4"/>
    <w:rsid w:val="005F3239"/>
    <w:rsid w:val="005F39BF"/>
    <w:rsid w:val="005F566C"/>
    <w:rsid w:val="005F6567"/>
    <w:rsid w:val="005F676D"/>
    <w:rsid w:val="005F6C9A"/>
    <w:rsid w:val="005F7A8A"/>
    <w:rsid w:val="00600998"/>
    <w:rsid w:val="00600ACF"/>
    <w:rsid w:val="006019EB"/>
    <w:rsid w:val="006027CA"/>
    <w:rsid w:val="00602BDC"/>
    <w:rsid w:val="00604527"/>
    <w:rsid w:val="006051BA"/>
    <w:rsid w:val="00605806"/>
    <w:rsid w:val="00605DFE"/>
    <w:rsid w:val="00606A00"/>
    <w:rsid w:val="00607094"/>
    <w:rsid w:val="00607256"/>
    <w:rsid w:val="0060790C"/>
    <w:rsid w:val="0060791E"/>
    <w:rsid w:val="00610215"/>
    <w:rsid w:val="00611F08"/>
    <w:rsid w:val="00613104"/>
    <w:rsid w:val="00613BF1"/>
    <w:rsid w:val="006144B1"/>
    <w:rsid w:val="00615A5C"/>
    <w:rsid w:val="006177FF"/>
    <w:rsid w:val="00617FC0"/>
    <w:rsid w:val="0062077F"/>
    <w:rsid w:val="00621BC7"/>
    <w:rsid w:val="00622033"/>
    <w:rsid w:val="0062232C"/>
    <w:rsid w:val="006275E5"/>
    <w:rsid w:val="00630644"/>
    <w:rsid w:val="006335F1"/>
    <w:rsid w:val="006336FD"/>
    <w:rsid w:val="00633B49"/>
    <w:rsid w:val="006345B6"/>
    <w:rsid w:val="006349FD"/>
    <w:rsid w:val="00635616"/>
    <w:rsid w:val="00635712"/>
    <w:rsid w:val="00635984"/>
    <w:rsid w:val="00635F41"/>
    <w:rsid w:val="00636050"/>
    <w:rsid w:val="006368FF"/>
    <w:rsid w:val="006377D4"/>
    <w:rsid w:val="006400E8"/>
    <w:rsid w:val="00640135"/>
    <w:rsid w:val="006402FF"/>
    <w:rsid w:val="0064107F"/>
    <w:rsid w:val="0064195C"/>
    <w:rsid w:val="006427DB"/>
    <w:rsid w:val="00643D8A"/>
    <w:rsid w:val="00645A5C"/>
    <w:rsid w:val="006460BB"/>
    <w:rsid w:val="00647AB9"/>
    <w:rsid w:val="0065018A"/>
    <w:rsid w:val="00650894"/>
    <w:rsid w:val="0065112B"/>
    <w:rsid w:val="00652091"/>
    <w:rsid w:val="00652229"/>
    <w:rsid w:val="00652793"/>
    <w:rsid w:val="006528DE"/>
    <w:rsid w:val="00652909"/>
    <w:rsid w:val="00657789"/>
    <w:rsid w:val="00660320"/>
    <w:rsid w:val="0066187E"/>
    <w:rsid w:val="00662375"/>
    <w:rsid w:val="006626CA"/>
    <w:rsid w:val="00663487"/>
    <w:rsid w:val="00665769"/>
    <w:rsid w:val="006662DE"/>
    <w:rsid w:val="00672382"/>
    <w:rsid w:val="006733BB"/>
    <w:rsid w:val="00676E80"/>
    <w:rsid w:val="006802BC"/>
    <w:rsid w:val="00681257"/>
    <w:rsid w:val="00681C3E"/>
    <w:rsid w:val="006822E9"/>
    <w:rsid w:val="006823EE"/>
    <w:rsid w:val="00682643"/>
    <w:rsid w:val="00682EB9"/>
    <w:rsid w:val="00682F1E"/>
    <w:rsid w:val="006832C1"/>
    <w:rsid w:val="0068378C"/>
    <w:rsid w:val="006839D3"/>
    <w:rsid w:val="0068441A"/>
    <w:rsid w:val="00684CF3"/>
    <w:rsid w:val="0068699A"/>
    <w:rsid w:val="00686ACC"/>
    <w:rsid w:val="00687028"/>
    <w:rsid w:val="00690B19"/>
    <w:rsid w:val="0069650C"/>
    <w:rsid w:val="0069681A"/>
    <w:rsid w:val="006A0A3C"/>
    <w:rsid w:val="006A1ED8"/>
    <w:rsid w:val="006A255D"/>
    <w:rsid w:val="006A59E9"/>
    <w:rsid w:val="006A5AB1"/>
    <w:rsid w:val="006A75B8"/>
    <w:rsid w:val="006A79F0"/>
    <w:rsid w:val="006B048F"/>
    <w:rsid w:val="006B0AE4"/>
    <w:rsid w:val="006B2169"/>
    <w:rsid w:val="006B359D"/>
    <w:rsid w:val="006B47EE"/>
    <w:rsid w:val="006B499F"/>
    <w:rsid w:val="006B54C6"/>
    <w:rsid w:val="006B617F"/>
    <w:rsid w:val="006C1FB8"/>
    <w:rsid w:val="006C2BB0"/>
    <w:rsid w:val="006C33BE"/>
    <w:rsid w:val="006C4B3D"/>
    <w:rsid w:val="006C5B53"/>
    <w:rsid w:val="006C72CA"/>
    <w:rsid w:val="006C7E78"/>
    <w:rsid w:val="006D064D"/>
    <w:rsid w:val="006D098F"/>
    <w:rsid w:val="006D1B7D"/>
    <w:rsid w:val="006D20E3"/>
    <w:rsid w:val="006D2218"/>
    <w:rsid w:val="006D33E1"/>
    <w:rsid w:val="006D4996"/>
    <w:rsid w:val="006D4EE6"/>
    <w:rsid w:val="006D535B"/>
    <w:rsid w:val="006D54AB"/>
    <w:rsid w:val="006D58E5"/>
    <w:rsid w:val="006E03A6"/>
    <w:rsid w:val="006E095F"/>
    <w:rsid w:val="006E1084"/>
    <w:rsid w:val="006E10B2"/>
    <w:rsid w:val="006E1FA9"/>
    <w:rsid w:val="006E2D24"/>
    <w:rsid w:val="006E3006"/>
    <w:rsid w:val="006E3BB0"/>
    <w:rsid w:val="006E4F02"/>
    <w:rsid w:val="006E5032"/>
    <w:rsid w:val="006E5BDA"/>
    <w:rsid w:val="006E7AC9"/>
    <w:rsid w:val="006F0FC7"/>
    <w:rsid w:val="006F1A3A"/>
    <w:rsid w:val="006F39A9"/>
    <w:rsid w:val="006F3D9D"/>
    <w:rsid w:val="006F524E"/>
    <w:rsid w:val="006F5D57"/>
    <w:rsid w:val="006F643F"/>
    <w:rsid w:val="006F670F"/>
    <w:rsid w:val="006F77F3"/>
    <w:rsid w:val="00700581"/>
    <w:rsid w:val="0070063C"/>
    <w:rsid w:val="00700939"/>
    <w:rsid w:val="00700D69"/>
    <w:rsid w:val="00702921"/>
    <w:rsid w:val="0070298D"/>
    <w:rsid w:val="00703272"/>
    <w:rsid w:val="0070362C"/>
    <w:rsid w:val="0070471B"/>
    <w:rsid w:val="00704A68"/>
    <w:rsid w:val="00705BBE"/>
    <w:rsid w:val="00706893"/>
    <w:rsid w:val="00706A8D"/>
    <w:rsid w:val="0070733C"/>
    <w:rsid w:val="007101A5"/>
    <w:rsid w:val="007102CF"/>
    <w:rsid w:val="007102D5"/>
    <w:rsid w:val="0071043A"/>
    <w:rsid w:val="00710C5D"/>
    <w:rsid w:val="0071348C"/>
    <w:rsid w:val="00715598"/>
    <w:rsid w:val="00715CD5"/>
    <w:rsid w:val="00717273"/>
    <w:rsid w:val="00720FD4"/>
    <w:rsid w:val="00721072"/>
    <w:rsid w:val="007230AD"/>
    <w:rsid w:val="0072314B"/>
    <w:rsid w:val="00723C6D"/>
    <w:rsid w:val="00724550"/>
    <w:rsid w:val="007246A0"/>
    <w:rsid w:val="00724737"/>
    <w:rsid w:val="00724AF2"/>
    <w:rsid w:val="00724FCD"/>
    <w:rsid w:val="00727D2B"/>
    <w:rsid w:val="00730624"/>
    <w:rsid w:val="0073096C"/>
    <w:rsid w:val="0073100D"/>
    <w:rsid w:val="00731368"/>
    <w:rsid w:val="00733429"/>
    <w:rsid w:val="00733A46"/>
    <w:rsid w:val="00735E2D"/>
    <w:rsid w:val="00736624"/>
    <w:rsid w:val="00736DDC"/>
    <w:rsid w:val="00736F2C"/>
    <w:rsid w:val="007419C8"/>
    <w:rsid w:val="00741D9F"/>
    <w:rsid w:val="00742398"/>
    <w:rsid w:val="0074299B"/>
    <w:rsid w:val="007432A9"/>
    <w:rsid w:val="0074457C"/>
    <w:rsid w:val="00745C0B"/>
    <w:rsid w:val="00746050"/>
    <w:rsid w:val="00746118"/>
    <w:rsid w:val="00746C7F"/>
    <w:rsid w:val="007507B5"/>
    <w:rsid w:val="0075091D"/>
    <w:rsid w:val="00750EC4"/>
    <w:rsid w:val="00751831"/>
    <w:rsid w:val="0075201B"/>
    <w:rsid w:val="007523F8"/>
    <w:rsid w:val="00753A24"/>
    <w:rsid w:val="0075430D"/>
    <w:rsid w:val="007558B1"/>
    <w:rsid w:val="00756048"/>
    <w:rsid w:val="00756424"/>
    <w:rsid w:val="0075779F"/>
    <w:rsid w:val="00760198"/>
    <w:rsid w:val="0076354B"/>
    <w:rsid w:val="00763570"/>
    <w:rsid w:val="0076445B"/>
    <w:rsid w:val="007644D3"/>
    <w:rsid w:val="0076553B"/>
    <w:rsid w:val="007658F3"/>
    <w:rsid w:val="007661FA"/>
    <w:rsid w:val="007664AF"/>
    <w:rsid w:val="00766EA2"/>
    <w:rsid w:val="00767034"/>
    <w:rsid w:val="007712DB"/>
    <w:rsid w:val="00772188"/>
    <w:rsid w:val="0077222A"/>
    <w:rsid w:val="00772D30"/>
    <w:rsid w:val="00773909"/>
    <w:rsid w:val="0077411B"/>
    <w:rsid w:val="0077433B"/>
    <w:rsid w:val="00774E1E"/>
    <w:rsid w:val="0078094C"/>
    <w:rsid w:val="0078118A"/>
    <w:rsid w:val="007813D0"/>
    <w:rsid w:val="00782DD7"/>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15BB"/>
    <w:rsid w:val="007A2AAD"/>
    <w:rsid w:val="007A4432"/>
    <w:rsid w:val="007A59E9"/>
    <w:rsid w:val="007A784E"/>
    <w:rsid w:val="007A7E31"/>
    <w:rsid w:val="007B02A0"/>
    <w:rsid w:val="007B278C"/>
    <w:rsid w:val="007B2DAD"/>
    <w:rsid w:val="007B3774"/>
    <w:rsid w:val="007B453B"/>
    <w:rsid w:val="007B459E"/>
    <w:rsid w:val="007B4939"/>
    <w:rsid w:val="007B499C"/>
    <w:rsid w:val="007B4D4B"/>
    <w:rsid w:val="007B58C6"/>
    <w:rsid w:val="007B5EE2"/>
    <w:rsid w:val="007B5F6B"/>
    <w:rsid w:val="007B76D8"/>
    <w:rsid w:val="007C0646"/>
    <w:rsid w:val="007C1E5E"/>
    <w:rsid w:val="007C1E9D"/>
    <w:rsid w:val="007C36C2"/>
    <w:rsid w:val="007C3827"/>
    <w:rsid w:val="007C3AE3"/>
    <w:rsid w:val="007C459E"/>
    <w:rsid w:val="007C53C3"/>
    <w:rsid w:val="007C6C51"/>
    <w:rsid w:val="007C6CC2"/>
    <w:rsid w:val="007D0000"/>
    <w:rsid w:val="007D03F4"/>
    <w:rsid w:val="007D1543"/>
    <w:rsid w:val="007D1788"/>
    <w:rsid w:val="007D1926"/>
    <w:rsid w:val="007D2A02"/>
    <w:rsid w:val="007D4ACB"/>
    <w:rsid w:val="007D5587"/>
    <w:rsid w:val="007D5EA2"/>
    <w:rsid w:val="007D6144"/>
    <w:rsid w:val="007D62A4"/>
    <w:rsid w:val="007D6CE5"/>
    <w:rsid w:val="007D77BC"/>
    <w:rsid w:val="007E0503"/>
    <w:rsid w:val="007E0917"/>
    <w:rsid w:val="007E1736"/>
    <w:rsid w:val="007E25DD"/>
    <w:rsid w:val="007E2887"/>
    <w:rsid w:val="007E3318"/>
    <w:rsid w:val="007E3B2C"/>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9E2"/>
    <w:rsid w:val="00810891"/>
    <w:rsid w:val="00810AC4"/>
    <w:rsid w:val="00811469"/>
    <w:rsid w:val="0081218E"/>
    <w:rsid w:val="0081228B"/>
    <w:rsid w:val="0081278B"/>
    <w:rsid w:val="00813492"/>
    <w:rsid w:val="00813A7E"/>
    <w:rsid w:val="00814903"/>
    <w:rsid w:val="00814DE2"/>
    <w:rsid w:val="00815423"/>
    <w:rsid w:val="008155E7"/>
    <w:rsid w:val="008177EE"/>
    <w:rsid w:val="00817895"/>
    <w:rsid w:val="00817AE8"/>
    <w:rsid w:val="00817DE8"/>
    <w:rsid w:val="008229F5"/>
    <w:rsid w:val="0082366F"/>
    <w:rsid w:val="008259DE"/>
    <w:rsid w:val="0082699A"/>
    <w:rsid w:val="00827A00"/>
    <w:rsid w:val="00827D15"/>
    <w:rsid w:val="00827E24"/>
    <w:rsid w:val="00827F2A"/>
    <w:rsid w:val="00830A1B"/>
    <w:rsid w:val="00832633"/>
    <w:rsid w:val="00832837"/>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3ED7"/>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40B2"/>
    <w:rsid w:val="0088596E"/>
    <w:rsid w:val="00885D26"/>
    <w:rsid w:val="008860A4"/>
    <w:rsid w:val="00886A4B"/>
    <w:rsid w:val="00886C54"/>
    <w:rsid w:val="00886F34"/>
    <w:rsid w:val="008870ED"/>
    <w:rsid w:val="008877FC"/>
    <w:rsid w:val="00887E5A"/>
    <w:rsid w:val="00890F6D"/>
    <w:rsid w:val="008911AA"/>
    <w:rsid w:val="00891D8A"/>
    <w:rsid w:val="00896F8E"/>
    <w:rsid w:val="0089796A"/>
    <w:rsid w:val="0089799B"/>
    <w:rsid w:val="008A057F"/>
    <w:rsid w:val="008A169F"/>
    <w:rsid w:val="008A2375"/>
    <w:rsid w:val="008A399F"/>
    <w:rsid w:val="008A54B6"/>
    <w:rsid w:val="008A56FE"/>
    <w:rsid w:val="008A584C"/>
    <w:rsid w:val="008A7D22"/>
    <w:rsid w:val="008A7DEB"/>
    <w:rsid w:val="008B16E1"/>
    <w:rsid w:val="008B1B65"/>
    <w:rsid w:val="008B3557"/>
    <w:rsid w:val="008B3936"/>
    <w:rsid w:val="008B39E0"/>
    <w:rsid w:val="008B4302"/>
    <w:rsid w:val="008B605A"/>
    <w:rsid w:val="008B6EA6"/>
    <w:rsid w:val="008B7A08"/>
    <w:rsid w:val="008C093B"/>
    <w:rsid w:val="008C0E76"/>
    <w:rsid w:val="008C2665"/>
    <w:rsid w:val="008C5CD8"/>
    <w:rsid w:val="008C5EB0"/>
    <w:rsid w:val="008C6041"/>
    <w:rsid w:val="008C68D0"/>
    <w:rsid w:val="008C74E3"/>
    <w:rsid w:val="008D056F"/>
    <w:rsid w:val="008D0936"/>
    <w:rsid w:val="008D403B"/>
    <w:rsid w:val="008D4707"/>
    <w:rsid w:val="008D7698"/>
    <w:rsid w:val="008D76C5"/>
    <w:rsid w:val="008E0768"/>
    <w:rsid w:val="008E0A04"/>
    <w:rsid w:val="008E0AFA"/>
    <w:rsid w:val="008E131A"/>
    <w:rsid w:val="008E16B8"/>
    <w:rsid w:val="008E2799"/>
    <w:rsid w:val="008E3A7E"/>
    <w:rsid w:val="008E411B"/>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D3C"/>
    <w:rsid w:val="00906292"/>
    <w:rsid w:val="00914B5B"/>
    <w:rsid w:val="00917162"/>
    <w:rsid w:val="009172B9"/>
    <w:rsid w:val="009178AA"/>
    <w:rsid w:val="00920DBB"/>
    <w:rsid w:val="009218AE"/>
    <w:rsid w:val="00921B5F"/>
    <w:rsid w:val="00923001"/>
    <w:rsid w:val="0092358D"/>
    <w:rsid w:val="009238BF"/>
    <w:rsid w:val="009251CC"/>
    <w:rsid w:val="00925656"/>
    <w:rsid w:val="00925692"/>
    <w:rsid w:val="0092714E"/>
    <w:rsid w:val="009271D1"/>
    <w:rsid w:val="00927661"/>
    <w:rsid w:val="00931E24"/>
    <w:rsid w:val="009324F0"/>
    <w:rsid w:val="00932993"/>
    <w:rsid w:val="00932AF8"/>
    <w:rsid w:val="009338D2"/>
    <w:rsid w:val="0093478F"/>
    <w:rsid w:val="0093520D"/>
    <w:rsid w:val="00936826"/>
    <w:rsid w:val="00936896"/>
    <w:rsid w:val="00940B3D"/>
    <w:rsid w:val="00942002"/>
    <w:rsid w:val="00942359"/>
    <w:rsid w:val="00943D07"/>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7E1"/>
    <w:rsid w:val="00960CBC"/>
    <w:rsid w:val="009612CE"/>
    <w:rsid w:val="009621EE"/>
    <w:rsid w:val="00963A06"/>
    <w:rsid w:val="00964B2B"/>
    <w:rsid w:val="00965192"/>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15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1C88"/>
    <w:rsid w:val="009A22C2"/>
    <w:rsid w:val="009A6655"/>
    <w:rsid w:val="009A743E"/>
    <w:rsid w:val="009A7CF6"/>
    <w:rsid w:val="009B146F"/>
    <w:rsid w:val="009B1B55"/>
    <w:rsid w:val="009B29B7"/>
    <w:rsid w:val="009B3199"/>
    <w:rsid w:val="009B36CE"/>
    <w:rsid w:val="009B3B37"/>
    <w:rsid w:val="009B63F4"/>
    <w:rsid w:val="009B731E"/>
    <w:rsid w:val="009B7D1F"/>
    <w:rsid w:val="009C088E"/>
    <w:rsid w:val="009C17DC"/>
    <w:rsid w:val="009C37AB"/>
    <w:rsid w:val="009C4C57"/>
    <w:rsid w:val="009C4C7A"/>
    <w:rsid w:val="009C4D35"/>
    <w:rsid w:val="009C5E51"/>
    <w:rsid w:val="009C7B68"/>
    <w:rsid w:val="009D1522"/>
    <w:rsid w:val="009D51F0"/>
    <w:rsid w:val="009D51F7"/>
    <w:rsid w:val="009D7252"/>
    <w:rsid w:val="009E0F4F"/>
    <w:rsid w:val="009E1FF6"/>
    <w:rsid w:val="009E2A7E"/>
    <w:rsid w:val="009E3CAF"/>
    <w:rsid w:val="009E3F48"/>
    <w:rsid w:val="009E53A5"/>
    <w:rsid w:val="009E5B95"/>
    <w:rsid w:val="009E5CCE"/>
    <w:rsid w:val="009E5EB4"/>
    <w:rsid w:val="009F1549"/>
    <w:rsid w:val="009F21DA"/>
    <w:rsid w:val="009F563C"/>
    <w:rsid w:val="009F610E"/>
    <w:rsid w:val="00A00DA9"/>
    <w:rsid w:val="00A00E4B"/>
    <w:rsid w:val="00A00F7E"/>
    <w:rsid w:val="00A02ED4"/>
    <w:rsid w:val="00A0384F"/>
    <w:rsid w:val="00A03E9A"/>
    <w:rsid w:val="00A044D6"/>
    <w:rsid w:val="00A04ADB"/>
    <w:rsid w:val="00A04F89"/>
    <w:rsid w:val="00A05F11"/>
    <w:rsid w:val="00A10F76"/>
    <w:rsid w:val="00A11E0F"/>
    <w:rsid w:val="00A12378"/>
    <w:rsid w:val="00A141E9"/>
    <w:rsid w:val="00A15D78"/>
    <w:rsid w:val="00A15EBE"/>
    <w:rsid w:val="00A15FD2"/>
    <w:rsid w:val="00A17F5B"/>
    <w:rsid w:val="00A20196"/>
    <w:rsid w:val="00A2022D"/>
    <w:rsid w:val="00A216E5"/>
    <w:rsid w:val="00A22C2B"/>
    <w:rsid w:val="00A24752"/>
    <w:rsid w:val="00A25041"/>
    <w:rsid w:val="00A25884"/>
    <w:rsid w:val="00A26744"/>
    <w:rsid w:val="00A26CB6"/>
    <w:rsid w:val="00A30A00"/>
    <w:rsid w:val="00A32F82"/>
    <w:rsid w:val="00A32F8B"/>
    <w:rsid w:val="00A3431E"/>
    <w:rsid w:val="00A34B41"/>
    <w:rsid w:val="00A34F9F"/>
    <w:rsid w:val="00A36395"/>
    <w:rsid w:val="00A36481"/>
    <w:rsid w:val="00A36675"/>
    <w:rsid w:val="00A3756F"/>
    <w:rsid w:val="00A37C5E"/>
    <w:rsid w:val="00A41CC3"/>
    <w:rsid w:val="00A41DBE"/>
    <w:rsid w:val="00A41F0F"/>
    <w:rsid w:val="00A42D6F"/>
    <w:rsid w:val="00A43870"/>
    <w:rsid w:val="00A44642"/>
    <w:rsid w:val="00A4474B"/>
    <w:rsid w:val="00A45A62"/>
    <w:rsid w:val="00A462DC"/>
    <w:rsid w:val="00A4657C"/>
    <w:rsid w:val="00A46C7E"/>
    <w:rsid w:val="00A518AE"/>
    <w:rsid w:val="00A51CE8"/>
    <w:rsid w:val="00A51DB8"/>
    <w:rsid w:val="00A52E0B"/>
    <w:rsid w:val="00A52FA1"/>
    <w:rsid w:val="00A546B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4AC4"/>
    <w:rsid w:val="00A65278"/>
    <w:rsid w:val="00A66DB1"/>
    <w:rsid w:val="00A67A92"/>
    <w:rsid w:val="00A70DC6"/>
    <w:rsid w:val="00A74FDC"/>
    <w:rsid w:val="00A76C09"/>
    <w:rsid w:val="00A77192"/>
    <w:rsid w:val="00A80737"/>
    <w:rsid w:val="00A8089F"/>
    <w:rsid w:val="00A83F98"/>
    <w:rsid w:val="00A842D5"/>
    <w:rsid w:val="00A846B7"/>
    <w:rsid w:val="00A87870"/>
    <w:rsid w:val="00A903F3"/>
    <w:rsid w:val="00A90F18"/>
    <w:rsid w:val="00A90FFB"/>
    <w:rsid w:val="00A9149D"/>
    <w:rsid w:val="00A91A70"/>
    <w:rsid w:val="00A92659"/>
    <w:rsid w:val="00A9302F"/>
    <w:rsid w:val="00A940AF"/>
    <w:rsid w:val="00A957F6"/>
    <w:rsid w:val="00A959CF"/>
    <w:rsid w:val="00A96119"/>
    <w:rsid w:val="00A97316"/>
    <w:rsid w:val="00A974AA"/>
    <w:rsid w:val="00AA010B"/>
    <w:rsid w:val="00AA0D54"/>
    <w:rsid w:val="00AA17CD"/>
    <w:rsid w:val="00AA1B85"/>
    <w:rsid w:val="00AA24E8"/>
    <w:rsid w:val="00AA3290"/>
    <w:rsid w:val="00AA34E8"/>
    <w:rsid w:val="00AA4353"/>
    <w:rsid w:val="00AA46F0"/>
    <w:rsid w:val="00AA4CA2"/>
    <w:rsid w:val="00AA6481"/>
    <w:rsid w:val="00AA6C11"/>
    <w:rsid w:val="00AA7270"/>
    <w:rsid w:val="00AA7D68"/>
    <w:rsid w:val="00AB0C08"/>
    <w:rsid w:val="00AB12AC"/>
    <w:rsid w:val="00AB1CB6"/>
    <w:rsid w:val="00AB1D9A"/>
    <w:rsid w:val="00AB2D3A"/>
    <w:rsid w:val="00AB4A1F"/>
    <w:rsid w:val="00AB5C61"/>
    <w:rsid w:val="00AB60F7"/>
    <w:rsid w:val="00AC2C10"/>
    <w:rsid w:val="00AC3540"/>
    <w:rsid w:val="00AC3D15"/>
    <w:rsid w:val="00AC5055"/>
    <w:rsid w:val="00AC668B"/>
    <w:rsid w:val="00AC72CB"/>
    <w:rsid w:val="00AC735A"/>
    <w:rsid w:val="00AD0C22"/>
    <w:rsid w:val="00AD1AD7"/>
    <w:rsid w:val="00AD1AE2"/>
    <w:rsid w:val="00AD3290"/>
    <w:rsid w:val="00AD442C"/>
    <w:rsid w:val="00AD44FE"/>
    <w:rsid w:val="00AD5A37"/>
    <w:rsid w:val="00AD72D3"/>
    <w:rsid w:val="00AD73BF"/>
    <w:rsid w:val="00AD7C94"/>
    <w:rsid w:val="00AE05A4"/>
    <w:rsid w:val="00AE0967"/>
    <w:rsid w:val="00AE177E"/>
    <w:rsid w:val="00AE2147"/>
    <w:rsid w:val="00AE25FC"/>
    <w:rsid w:val="00AE3F99"/>
    <w:rsid w:val="00AE400C"/>
    <w:rsid w:val="00AE4765"/>
    <w:rsid w:val="00AE49F1"/>
    <w:rsid w:val="00AE4A1C"/>
    <w:rsid w:val="00AE4B7A"/>
    <w:rsid w:val="00AE4D8B"/>
    <w:rsid w:val="00AE5532"/>
    <w:rsid w:val="00AE74D8"/>
    <w:rsid w:val="00AF0B6F"/>
    <w:rsid w:val="00AF1D69"/>
    <w:rsid w:val="00AF30D0"/>
    <w:rsid w:val="00AF3FEC"/>
    <w:rsid w:val="00AF41FA"/>
    <w:rsid w:val="00AF4918"/>
    <w:rsid w:val="00AF5AEF"/>
    <w:rsid w:val="00AF617E"/>
    <w:rsid w:val="00AF71EB"/>
    <w:rsid w:val="00AF7D76"/>
    <w:rsid w:val="00B00988"/>
    <w:rsid w:val="00B01405"/>
    <w:rsid w:val="00B038D9"/>
    <w:rsid w:val="00B052E8"/>
    <w:rsid w:val="00B05CCA"/>
    <w:rsid w:val="00B100C9"/>
    <w:rsid w:val="00B10E8A"/>
    <w:rsid w:val="00B11099"/>
    <w:rsid w:val="00B1118A"/>
    <w:rsid w:val="00B14271"/>
    <w:rsid w:val="00B16270"/>
    <w:rsid w:val="00B20272"/>
    <w:rsid w:val="00B22578"/>
    <w:rsid w:val="00B23C16"/>
    <w:rsid w:val="00B23C52"/>
    <w:rsid w:val="00B241F2"/>
    <w:rsid w:val="00B247C7"/>
    <w:rsid w:val="00B259E1"/>
    <w:rsid w:val="00B2685D"/>
    <w:rsid w:val="00B26D1E"/>
    <w:rsid w:val="00B27A4F"/>
    <w:rsid w:val="00B27DA3"/>
    <w:rsid w:val="00B30351"/>
    <w:rsid w:val="00B30375"/>
    <w:rsid w:val="00B312C0"/>
    <w:rsid w:val="00B32601"/>
    <w:rsid w:val="00B3270B"/>
    <w:rsid w:val="00B33837"/>
    <w:rsid w:val="00B33C2A"/>
    <w:rsid w:val="00B33C35"/>
    <w:rsid w:val="00B34A14"/>
    <w:rsid w:val="00B35967"/>
    <w:rsid w:val="00B363D9"/>
    <w:rsid w:val="00B3671E"/>
    <w:rsid w:val="00B422EC"/>
    <w:rsid w:val="00B44324"/>
    <w:rsid w:val="00B44875"/>
    <w:rsid w:val="00B44C07"/>
    <w:rsid w:val="00B44E44"/>
    <w:rsid w:val="00B4523E"/>
    <w:rsid w:val="00B458AB"/>
    <w:rsid w:val="00B46320"/>
    <w:rsid w:val="00B4657A"/>
    <w:rsid w:val="00B471F4"/>
    <w:rsid w:val="00B47F0A"/>
    <w:rsid w:val="00B50061"/>
    <w:rsid w:val="00B50B6B"/>
    <w:rsid w:val="00B50FD4"/>
    <w:rsid w:val="00B51E72"/>
    <w:rsid w:val="00B52E6E"/>
    <w:rsid w:val="00B53BE4"/>
    <w:rsid w:val="00B53FF8"/>
    <w:rsid w:val="00B54329"/>
    <w:rsid w:val="00B54885"/>
    <w:rsid w:val="00B54BFF"/>
    <w:rsid w:val="00B5508F"/>
    <w:rsid w:val="00B554C9"/>
    <w:rsid w:val="00B56AD9"/>
    <w:rsid w:val="00B56EE3"/>
    <w:rsid w:val="00B57158"/>
    <w:rsid w:val="00B5778D"/>
    <w:rsid w:val="00B60B76"/>
    <w:rsid w:val="00B614C0"/>
    <w:rsid w:val="00B634AB"/>
    <w:rsid w:val="00B63533"/>
    <w:rsid w:val="00B63624"/>
    <w:rsid w:val="00B6678B"/>
    <w:rsid w:val="00B66E4D"/>
    <w:rsid w:val="00B7037B"/>
    <w:rsid w:val="00B71798"/>
    <w:rsid w:val="00B719F6"/>
    <w:rsid w:val="00B726D4"/>
    <w:rsid w:val="00B72969"/>
    <w:rsid w:val="00B74E38"/>
    <w:rsid w:val="00B758FD"/>
    <w:rsid w:val="00B76807"/>
    <w:rsid w:val="00B76890"/>
    <w:rsid w:val="00B77D24"/>
    <w:rsid w:val="00B818C3"/>
    <w:rsid w:val="00B81A6C"/>
    <w:rsid w:val="00B8214F"/>
    <w:rsid w:val="00B82B43"/>
    <w:rsid w:val="00B82B48"/>
    <w:rsid w:val="00B85133"/>
    <w:rsid w:val="00B8643A"/>
    <w:rsid w:val="00B86A4F"/>
    <w:rsid w:val="00B9025B"/>
    <w:rsid w:val="00B93035"/>
    <w:rsid w:val="00B940EB"/>
    <w:rsid w:val="00B9431C"/>
    <w:rsid w:val="00B95798"/>
    <w:rsid w:val="00B958E8"/>
    <w:rsid w:val="00B974C3"/>
    <w:rsid w:val="00B97637"/>
    <w:rsid w:val="00B97E4A"/>
    <w:rsid w:val="00BA09B2"/>
    <w:rsid w:val="00BA0B44"/>
    <w:rsid w:val="00BA0F35"/>
    <w:rsid w:val="00BA1103"/>
    <w:rsid w:val="00BA465D"/>
    <w:rsid w:val="00BA52C0"/>
    <w:rsid w:val="00BA5B46"/>
    <w:rsid w:val="00BA5BF2"/>
    <w:rsid w:val="00BA63D4"/>
    <w:rsid w:val="00BA67F9"/>
    <w:rsid w:val="00BA7671"/>
    <w:rsid w:val="00BB00CB"/>
    <w:rsid w:val="00BB1E13"/>
    <w:rsid w:val="00BB2D73"/>
    <w:rsid w:val="00BB400D"/>
    <w:rsid w:val="00BB45BA"/>
    <w:rsid w:val="00BB45EF"/>
    <w:rsid w:val="00BB48B2"/>
    <w:rsid w:val="00BB4A3A"/>
    <w:rsid w:val="00BB4D6A"/>
    <w:rsid w:val="00BB5AFE"/>
    <w:rsid w:val="00BB5D0B"/>
    <w:rsid w:val="00BB629C"/>
    <w:rsid w:val="00BC0254"/>
    <w:rsid w:val="00BC0995"/>
    <w:rsid w:val="00BC1761"/>
    <w:rsid w:val="00BC19ED"/>
    <w:rsid w:val="00BC26B9"/>
    <w:rsid w:val="00BC308B"/>
    <w:rsid w:val="00BC36D4"/>
    <w:rsid w:val="00BC3960"/>
    <w:rsid w:val="00BC513A"/>
    <w:rsid w:val="00BC696C"/>
    <w:rsid w:val="00BC6C56"/>
    <w:rsid w:val="00BC6DE2"/>
    <w:rsid w:val="00BC6E62"/>
    <w:rsid w:val="00BD013A"/>
    <w:rsid w:val="00BD2510"/>
    <w:rsid w:val="00BD3A53"/>
    <w:rsid w:val="00BD40B9"/>
    <w:rsid w:val="00BD4E7E"/>
    <w:rsid w:val="00BD5A19"/>
    <w:rsid w:val="00BD656A"/>
    <w:rsid w:val="00BD6D1B"/>
    <w:rsid w:val="00BE13AB"/>
    <w:rsid w:val="00BE2403"/>
    <w:rsid w:val="00BE26AC"/>
    <w:rsid w:val="00BE2C8C"/>
    <w:rsid w:val="00BE2D0A"/>
    <w:rsid w:val="00BE47D4"/>
    <w:rsid w:val="00BE6622"/>
    <w:rsid w:val="00BE793A"/>
    <w:rsid w:val="00BE7A0B"/>
    <w:rsid w:val="00BE7FF3"/>
    <w:rsid w:val="00BF114D"/>
    <w:rsid w:val="00BF2906"/>
    <w:rsid w:val="00BF2B82"/>
    <w:rsid w:val="00BF2CEB"/>
    <w:rsid w:val="00BF432A"/>
    <w:rsid w:val="00BF5D70"/>
    <w:rsid w:val="00BF64A6"/>
    <w:rsid w:val="00BF6796"/>
    <w:rsid w:val="00BF6E82"/>
    <w:rsid w:val="00BF7730"/>
    <w:rsid w:val="00C060C7"/>
    <w:rsid w:val="00C06DCC"/>
    <w:rsid w:val="00C07F92"/>
    <w:rsid w:val="00C10EA4"/>
    <w:rsid w:val="00C1124D"/>
    <w:rsid w:val="00C11D25"/>
    <w:rsid w:val="00C13217"/>
    <w:rsid w:val="00C14684"/>
    <w:rsid w:val="00C15BEC"/>
    <w:rsid w:val="00C15DB5"/>
    <w:rsid w:val="00C208E2"/>
    <w:rsid w:val="00C20D11"/>
    <w:rsid w:val="00C21897"/>
    <w:rsid w:val="00C21DC1"/>
    <w:rsid w:val="00C22054"/>
    <w:rsid w:val="00C2288E"/>
    <w:rsid w:val="00C22B54"/>
    <w:rsid w:val="00C24279"/>
    <w:rsid w:val="00C24C17"/>
    <w:rsid w:val="00C26792"/>
    <w:rsid w:val="00C31595"/>
    <w:rsid w:val="00C31B25"/>
    <w:rsid w:val="00C3309D"/>
    <w:rsid w:val="00C3411D"/>
    <w:rsid w:val="00C34357"/>
    <w:rsid w:val="00C34829"/>
    <w:rsid w:val="00C3503D"/>
    <w:rsid w:val="00C363B8"/>
    <w:rsid w:val="00C3758F"/>
    <w:rsid w:val="00C40B88"/>
    <w:rsid w:val="00C44489"/>
    <w:rsid w:val="00C44FC2"/>
    <w:rsid w:val="00C452D4"/>
    <w:rsid w:val="00C47D87"/>
    <w:rsid w:val="00C47FCD"/>
    <w:rsid w:val="00C50FA6"/>
    <w:rsid w:val="00C5368E"/>
    <w:rsid w:val="00C5376E"/>
    <w:rsid w:val="00C53A95"/>
    <w:rsid w:val="00C53F04"/>
    <w:rsid w:val="00C550D9"/>
    <w:rsid w:val="00C554C1"/>
    <w:rsid w:val="00C55AEE"/>
    <w:rsid w:val="00C5701B"/>
    <w:rsid w:val="00C6069A"/>
    <w:rsid w:val="00C61BDC"/>
    <w:rsid w:val="00C64158"/>
    <w:rsid w:val="00C64D40"/>
    <w:rsid w:val="00C6565D"/>
    <w:rsid w:val="00C65957"/>
    <w:rsid w:val="00C66218"/>
    <w:rsid w:val="00C66D7F"/>
    <w:rsid w:val="00C677C9"/>
    <w:rsid w:val="00C70DBC"/>
    <w:rsid w:val="00C711E7"/>
    <w:rsid w:val="00C71E80"/>
    <w:rsid w:val="00C74123"/>
    <w:rsid w:val="00C74198"/>
    <w:rsid w:val="00C74F1A"/>
    <w:rsid w:val="00C756B4"/>
    <w:rsid w:val="00C7750A"/>
    <w:rsid w:val="00C80467"/>
    <w:rsid w:val="00C808A6"/>
    <w:rsid w:val="00C84AC6"/>
    <w:rsid w:val="00C855DB"/>
    <w:rsid w:val="00C855F3"/>
    <w:rsid w:val="00C86270"/>
    <w:rsid w:val="00C86C49"/>
    <w:rsid w:val="00C90C20"/>
    <w:rsid w:val="00C948CF"/>
    <w:rsid w:val="00C94F6F"/>
    <w:rsid w:val="00C95327"/>
    <w:rsid w:val="00C95798"/>
    <w:rsid w:val="00C95A74"/>
    <w:rsid w:val="00C95B71"/>
    <w:rsid w:val="00C97091"/>
    <w:rsid w:val="00C97260"/>
    <w:rsid w:val="00C97391"/>
    <w:rsid w:val="00CA14A5"/>
    <w:rsid w:val="00CA1A7C"/>
    <w:rsid w:val="00CA1AB8"/>
    <w:rsid w:val="00CA2001"/>
    <w:rsid w:val="00CA2B10"/>
    <w:rsid w:val="00CA3F11"/>
    <w:rsid w:val="00CA5256"/>
    <w:rsid w:val="00CA5564"/>
    <w:rsid w:val="00CA7E40"/>
    <w:rsid w:val="00CB078E"/>
    <w:rsid w:val="00CB2416"/>
    <w:rsid w:val="00CB3782"/>
    <w:rsid w:val="00CB4D20"/>
    <w:rsid w:val="00CB537B"/>
    <w:rsid w:val="00CB5B6C"/>
    <w:rsid w:val="00CB74E3"/>
    <w:rsid w:val="00CC052E"/>
    <w:rsid w:val="00CC0657"/>
    <w:rsid w:val="00CC06E5"/>
    <w:rsid w:val="00CC08A8"/>
    <w:rsid w:val="00CC0B14"/>
    <w:rsid w:val="00CC2ACD"/>
    <w:rsid w:val="00CC2F3A"/>
    <w:rsid w:val="00CC31D6"/>
    <w:rsid w:val="00CC5B9C"/>
    <w:rsid w:val="00CC68F8"/>
    <w:rsid w:val="00CC7AF9"/>
    <w:rsid w:val="00CD02DF"/>
    <w:rsid w:val="00CD10A5"/>
    <w:rsid w:val="00CD16BE"/>
    <w:rsid w:val="00CD179F"/>
    <w:rsid w:val="00CD1F32"/>
    <w:rsid w:val="00CD2268"/>
    <w:rsid w:val="00CD4616"/>
    <w:rsid w:val="00CD56AF"/>
    <w:rsid w:val="00CD5FFA"/>
    <w:rsid w:val="00CD608B"/>
    <w:rsid w:val="00CD61BB"/>
    <w:rsid w:val="00CD6EB1"/>
    <w:rsid w:val="00CD7EC9"/>
    <w:rsid w:val="00CE33D5"/>
    <w:rsid w:val="00CE3FC9"/>
    <w:rsid w:val="00CE4712"/>
    <w:rsid w:val="00CE5828"/>
    <w:rsid w:val="00CE6073"/>
    <w:rsid w:val="00CE761C"/>
    <w:rsid w:val="00CE7D20"/>
    <w:rsid w:val="00CE7FFD"/>
    <w:rsid w:val="00CF0357"/>
    <w:rsid w:val="00CF1115"/>
    <w:rsid w:val="00CF4118"/>
    <w:rsid w:val="00CF4FF1"/>
    <w:rsid w:val="00CF53F5"/>
    <w:rsid w:val="00CF5773"/>
    <w:rsid w:val="00CF5D37"/>
    <w:rsid w:val="00CF6353"/>
    <w:rsid w:val="00CF6F33"/>
    <w:rsid w:val="00CF76AF"/>
    <w:rsid w:val="00CF7C7B"/>
    <w:rsid w:val="00D0176E"/>
    <w:rsid w:val="00D02248"/>
    <w:rsid w:val="00D0340B"/>
    <w:rsid w:val="00D04429"/>
    <w:rsid w:val="00D04B47"/>
    <w:rsid w:val="00D04E37"/>
    <w:rsid w:val="00D063B8"/>
    <w:rsid w:val="00D06825"/>
    <w:rsid w:val="00D06E0B"/>
    <w:rsid w:val="00D072F9"/>
    <w:rsid w:val="00D07467"/>
    <w:rsid w:val="00D076E6"/>
    <w:rsid w:val="00D10594"/>
    <w:rsid w:val="00D15CDD"/>
    <w:rsid w:val="00D17185"/>
    <w:rsid w:val="00D17E3B"/>
    <w:rsid w:val="00D20AA1"/>
    <w:rsid w:val="00D224DA"/>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4CBB"/>
    <w:rsid w:val="00D35790"/>
    <w:rsid w:val="00D41971"/>
    <w:rsid w:val="00D442D5"/>
    <w:rsid w:val="00D45043"/>
    <w:rsid w:val="00D45C1D"/>
    <w:rsid w:val="00D45C81"/>
    <w:rsid w:val="00D46C5F"/>
    <w:rsid w:val="00D4757A"/>
    <w:rsid w:val="00D47B72"/>
    <w:rsid w:val="00D51576"/>
    <w:rsid w:val="00D519AF"/>
    <w:rsid w:val="00D532A9"/>
    <w:rsid w:val="00D5437A"/>
    <w:rsid w:val="00D5611E"/>
    <w:rsid w:val="00D5653B"/>
    <w:rsid w:val="00D56C30"/>
    <w:rsid w:val="00D56DF7"/>
    <w:rsid w:val="00D5726D"/>
    <w:rsid w:val="00D572AC"/>
    <w:rsid w:val="00D604A7"/>
    <w:rsid w:val="00D6071F"/>
    <w:rsid w:val="00D6084C"/>
    <w:rsid w:val="00D60AA4"/>
    <w:rsid w:val="00D61D6E"/>
    <w:rsid w:val="00D62A31"/>
    <w:rsid w:val="00D62EF1"/>
    <w:rsid w:val="00D6309D"/>
    <w:rsid w:val="00D634F9"/>
    <w:rsid w:val="00D6389F"/>
    <w:rsid w:val="00D644CA"/>
    <w:rsid w:val="00D64EA0"/>
    <w:rsid w:val="00D64FE1"/>
    <w:rsid w:val="00D65913"/>
    <w:rsid w:val="00D66FC2"/>
    <w:rsid w:val="00D677CD"/>
    <w:rsid w:val="00D7044E"/>
    <w:rsid w:val="00D704A8"/>
    <w:rsid w:val="00D70A2B"/>
    <w:rsid w:val="00D70CA5"/>
    <w:rsid w:val="00D743AE"/>
    <w:rsid w:val="00D74E1F"/>
    <w:rsid w:val="00D74F48"/>
    <w:rsid w:val="00D758F4"/>
    <w:rsid w:val="00D76C7E"/>
    <w:rsid w:val="00D771DE"/>
    <w:rsid w:val="00D775CB"/>
    <w:rsid w:val="00D7776D"/>
    <w:rsid w:val="00D80C6C"/>
    <w:rsid w:val="00D81AEF"/>
    <w:rsid w:val="00D82A42"/>
    <w:rsid w:val="00D834F1"/>
    <w:rsid w:val="00D83609"/>
    <w:rsid w:val="00D83AA6"/>
    <w:rsid w:val="00D83E4C"/>
    <w:rsid w:val="00D84295"/>
    <w:rsid w:val="00D846BE"/>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0B55"/>
    <w:rsid w:val="00DB2823"/>
    <w:rsid w:val="00DB2D74"/>
    <w:rsid w:val="00DB3786"/>
    <w:rsid w:val="00DB481A"/>
    <w:rsid w:val="00DB59E8"/>
    <w:rsid w:val="00DB5A79"/>
    <w:rsid w:val="00DB60DB"/>
    <w:rsid w:val="00DB6177"/>
    <w:rsid w:val="00DB7A76"/>
    <w:rsid w:val="00DC20D1"/>
    <w:rsid w:val="00DC2272"/>
    <w:rsid w:val="00DC2465"/>
    <w:rsid w:val="00DC307D"/>
    <w:rsid w:val="00DC329B"/>
    <w:rsid w:val="00DC4BCA"/>
    <w:rsid w:val="00DC5CA4"/>
    <w:rsid w:val="00DC5CDA"/>
    <w:rsid w:val="00DC5E2C"/>
    <w:rsid w:val="00DC6B80"/>
    <w:rsid w:val="00DC7D48"/>
    <w:rsid w:val="00DD0253"/>
    <w:rsid w:val="00DD145A"/>
    <w:rsid w:val="00DD512E"/>
    <w:rsid w:val="00DD5EC8"/>
    <w:rsid w:val="00DD7B34"/>
    <w:rsid w:val="00DD7BEC"/>
    <w:rsid w:val="00DE04E9"/>
    <w:rsid w:val="00DE083E"/>
    <w:rsid w:val="00DE0C22"/>
    <w:rsid w:val="00DE1177"/>
    <w:rsid w:val="00DE23BE"/>
    <w:rsid w:val="00DE2CEA"/>
    <w:rsid w:val="00DE3CFE"/>
    <w:rsid w:val="00DE4634"/>
    <w:rsid w:val="00DE4A8F"/>
    <w:rsid w:val="00DE567C"/>
    <w:rsid w:val="00DE6154"/>
    <w:rsid w:val="00DE634D"/>
    <w:rsid w:val="00DE6A3C"/>
    <w:rsid w:val="00DE6C0E"/>
    <w:rsid w:val="00DE6EFB"/>
    <w:rsid w:val="00DE74F4"/>
    <w:rsid w:val="00DE7C8B"/>
    <w:rsid w:val="00DE7F97"/>
    <w:rsid w:val="00DF0AAF"/>
    <w:rsid w:val="00DF1010"/>
    <w:rsid w:val="00DF2244"/>
    <w:rsid w:val="00DF2C13"/>
    <w:rsid w:val="00DF334D"/>
    <w:rsid w:val="00DF4D68"/>
    <w:rsid w:val="00DF53D9"/>
    <w:rsid w:val="00DF5837"/>
    <w:rsid w:val="00DF5AEA"/>
    <w:rsid w:val="00DF5D49"/>
    <w:rsid w:val="00DF63F6"/>
    <w:rsid w:val="00DF7441"/>
    <w:rsid w:val="00DF7992"/>
    <w:rsid w:val="00DF7BD0"/>
    <w:rsid w:val="00E003E6"/>
    <w:rsid w:val="00E008AC"/>
    <w:rsid w:val="00E00C8E"/>
    <w:rsid w:val="00E0219D"/>
    <w:rsid w:val="00E0276A"/>
    <w:rsid w:val="00E0374B"/>
    <w:rsid w:val="00E0632F"/>
    <w:rsid w:val="00E06C36"/>
    <w:rsid w:val="00E071A9"/>
    <w:rsid w:val="00E07D26"/>
    <w:rsid w:val="00E10B28"/>
    <w:rsid w:val="00E117FD"/>
    <w:rsid w:val="00E13747"/>
    <w:rsid w:val="00E14758"/>
    <w:rsid w:val="00E15CFD"/>
    <w:rsid w:val="00E16505"/>
    <w:rsid w:val="00E177DB"/>
    <w:rsid w:val="00E17A13"/>
    <w:rsid w:val="00E21088"/>
    <w:rsid w:val="00E22514"/>
    <w:rsid w:val="00E23C5E"/>
    <w:rsid w:val="00E23E29"/>
    <w:rsid w:val="00E245DC"/>
    <w:rsid w:val="00E24632"/>
    <w:rsid w:val="00E25155"/>
    <w:rsid w:val="00E25AEA"/>
    <w:rsid w:val="00E27C2C"/>
    <w:rsid w:val="00E3051B"/>
    <w:rsid w:val="00E30ABD"/>
    <w:rsid w:val="00E30AE4"/>
    <w:rsid w:val="00E30D26"/>
    <w:rsid w:val="00E30DEF"/>
    <w:rsid w:val="00E30ED2"/>
    <w:rsid w:val="00E31276"/>
    <w:rsid w:val="00E3155D"/>
    <w:rsid w:val="00E31875"/>
    <w:rsid w:val="00E32102"/>
    <w:rsid w:val="00E33B7E"/>
    <w:rsid w:val="00E345E0"/>
    <w:rsid w:val="00E34666"/>
    <w:rsid w:val="00E346E8"/>
    <w:rsid w:val="00E347CA"/>
    <w:rsid w:val="00E35684"/>
    <w:rsid w:val="00E36A66"/>
    <w:rsid w:val="00E37C6A"/>
    <w:rsid w:val="00E37F70"/>
    <w:rsid w:val="00E409CA"/>
    <w:rsid w:val="00E41377"/>
    <w:rsid w:val="00E41985"/>
    <w:rsid w:val="00E42B89"/>
    <w:rsid w:val="00E446C1"/>
    <w:rsid w:val="00E46BCD"/>
    <w:rsid w:val="00E505AA"/>
    <w:rsid w:val="00E51CCC"/>
    <w:rsid w:val="00E52079"/>
    <w:rsid w:val="00E520E7"/>
    <w:rsid w:val="00E545D7"/>
    <w:rsid w:val="00E547FE"/>
    <w:rsid w:val="00E54960"/>
    <w:rsid w:val="00E55927"/>
    <w:rsid w:val="00E5669C"/>
    <w:rsid w:val="00E56A58"/>
    <w:rsid w:val="00E60ECA"/>
    <w:rsid w:val="00E613AB"/>
    <w:rsid w:val="00E637B6"/>
    <w:rsid w:val="00E645AE"/>
    <w:rsid w:val="00E663B6"/>
    <w:rsid w:val="00E66BBE"/>
    <w:rsid w:val="00E670B5"/>
    <w:rsid w:val="00E67281"/>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3F47"/>
    <w:rsid w:val="00E84236"/>
    <w:rsid w:val="00E84C02"/>
    <w:rsid w:val="00E85569"/>
    <w:rsid w:val="00E856AF"/>
    <w:rsid w:val="00E859D9"/>
    <w:rsid w:val="00E86B83"/>
    <w:rsid w:val="00E86D6E"/>
    <w:rsid w:val="00E874A2"/>
    <w:rsid w:val="00E878FB"/>
    <w:rsid w:val="00E87C64"/>
    <w:rsid w:val="00E912E1"/>
    <w:rsid w:val="00E919C3"/>
    <w:rsid w:val="00E91C4B"/>
    <w:rsid w:val="00E93A01"/>
    <w:rsid w:val="00E93FF8"/>
    <w:rsid w:val="00E948D8"/>
    <w:rsid w:val="00E94EB6"/>
    <w:rsid w:val="00E94F16"/>
    <w:rsid w:val="00E950CA"/>
    <w:rsid w:val="00E95CA8"/>
    <w:rsid w:val="00E96643"/>
    <w:rsid w:val="00E9689A"/>
    <w:rsid w:val="00E96CE0"/>
    <w:rsid w:val="00E96EAF"/>
    <w:rsid w:val="00EA044C"/>
    <w:rsid w:val="00EA1752"/>
    <w:rsid w:val="00EA1911"/>
    <w:rsid w:val="00EA539B"/>
    <w:rsid w:val="00EA5A89"/>
    <w:rsid w:val="00EA5BDB"/>
    <w:rsid w:val="00EA5C39"/>
    <w:rsid w:val="00EA63FA"/>
    <w:rsid w:val="00EA7DEB"/>
    <w:rsid w:val="00EB0325"/>
    <w:rsid w:val="00EB0A73"/>
    <w:rsid w:val="00EB0A9C"/>
    <w:rsid w:val="00EB0B55"/>
    <w:rsid w:val="00EB3A98"/>
    <w:rsid w:val="00EB46D9"/>
    <w:rsid w:val="00EB4909"/>
    <w:rsid w:val="00EB6EF6"/>
    <w:rsid w:val="00EB7D66"/>
    <w:rsid w:val="00EC0199"/>
    <w:rsid w:val="00EC0E64"/>
    <w:rsid w:val="00EC11AB"/>
    <w:rsid w:val="00EC142D"/>
    <w:rsid w:val="00EC1E16"/>
    <w:rsid w:val="00EC2DD1"/>
    <w:rsid w:val="00EC4BA5"/>
    <w:rsid w:val="00EC52DA"/>
    <w:rsid w:val="00EC69EA"/>
    <w:rsid w:val="00EC6F28"/>
    <w:rsid w:val="00EC73C2"/>
    <w:rsid w:val="00ED0024"/>
    <w:rsid w:val="00ED0EA0"/>
    <w:rsid w:val="00ED0F85"/>
    <w:rsid w:val="00ED2B5C"/>
    <w:rsid w:val="00ED3269"/>
    <w:rsid w:val="00ED3A18"/>
    <w:rsid w:val="00ED3AB7"/>
    <w:rsid w:val="00ED3C57"/>
    <w:rsid w:val="00ED508A"/>
    <w:rsid w:val="00EE0565"/>
    <w:rsid w:val="00EE1A8C"/>
    <w:rsid w:val="00EE1C03"/>
    <w:rsid w:val="00EE3FED"/>
    <w:rsid w:val="00EE410E"/>
    <w:rsid w:val="00EE4643"/>
    <w:rsid w:val="00EE529F"/>
    <w:rsid w:val="00EE65B6"/>
    <w:rsid w:val="00EE7C86"/>
    <w:rsid w:val="00EF1330"/>
    <w:rsid w:val="00EF15FF"/>
    <w:rsid w:val="00EF31D8"/>
    <w:rsid w:val="00EF5269"/>
    <w:rsid w:val="00EF55E6"/>
    <w:rsid w:val="00EF5707"/>
    <w:rsid w:val="00EF69E8"/>
    <w:rsid w:val="00EF6F1F"/>
    <w:rsid w:val="00EF70EC"/>
    <w:rsid w:val="00EF7111"/>
    <w:rsid w:val="00EF7D1A"/>
    <w:rsid w:val="00F007BC"/>
    <w:rsid w:val="00F02759"/>
    <w:rsid w:val="00F03B49"/>
    <w:rsid w:val="00F0448F"/>
    <w:rsid w:val="00F04E9B"/>
    <w:rsid w:val="00F0716C"/>
    <w:rsid w:val="00F105AE"/>
    <w:rsid w:val="00F108A8"/>
    <w:rsid w:val="00F13319"/>
    <w:rsid w:val="00F14353"/>
    <w:rsid w:val="00F1628B"/>
    <w:rsid w:val="00F16EBE"/>
    <w:rsid w:val="00F21398"/>
    <w:rsid w:val="00F22E81"/>
    <w:rsid w:val="00F25468"/>
    <w:rsid w:val="00F26998"/>
    <w:rsid w:val="00F270E9"/>
    <w:rsid w:val="00F273EF"/>
    <w:rsid w:val="00F27440"/>
    <w:rsid w:val="00F275BB"/>
    <w:rsid w:val="00F275C0"/>
    <w:rsid w:val="00F317B5"/>
    <w:rsid w:val="00F33348"/>
    <w:rsid w:val="00F346B6"/>
    <w:rsid w:val="00F3608D"/>
    <w:rsid w:val="00F36145"/>
    <w:rsid w:val="00F37BDD"/>
    <w:rsid w:val="00F40716"/>
    <w:rsid w:val="00F41503"/>
    <w:rsid w:val="00F417D4"/>
    <w:rsid w:val="00F432CF"/>
    <w:rsid w:val="00F43506"/>
    <w:rsid w:val="00F437FD"/>
    <w:rsid w:val="00F43B69"/>
    <w:rsid w:val="00F43DD4"/>
    <w:rsid w:val="00F440E6"/>
    <w:rsid w:val="00F4479A"/>
    <w:rsid w:val="00F44D82"/>
    <w:rsid w:val="00F45589"/>
    <w:rsid w:val="00F46207"/>
    <w:rsid w:val="00F466C8"/>
    <w:rsid w:val="00F469A9"/>
    <w:rsid w:val="00F46B50"/>
    <w:rsid w:val="00F47C20"/>
    <w:rsid w:val="00F50B46"/>
    <w:rsid w:val="00F50D1F"/>
    <w:rsid w:val="00F51545"/>
    <w:rsid w:val="00F521DE"/>
    <w:rsid w:val="00F5393F"/>
    <w:rsid w:val="00F54162"/>
    <w:rsid w:val="00F541D4"/>
    <w:rsid w:val="00F553CE"/>
    <w:rsid w:val="00F56043"/>
    <w:rsid w:val="00F5664E"/>
    <w:rsid w:val="00F56BD8"/>
    <w:rsid w:val="00F56FA9"/>
    <w:rsid w:val="00F6136B"/>
    <w:rsid w:val="00F6171A"/>
    <w:rsid w:val="00F62303"/>
    <w:rsid w:val="00F62306"/>
    <w:rsid w:val="00F635FC"/>
    <w:rsid w:val="00F63D03"/>
    <w:rsid w:val="00F65E2F"/>
    <w:rsid w:val="00F66520"/>
    <w:rsid w:val="00F66B33"/>
    <w:rsid w:val="00F66EA7"/>
    <w:rsid w:val="00F67385"/>
    <w:rsid w:val="00F67DF1"/>
    <w:rsid w:val="00F7054E"/>
    <w:rsid w:val="00F7137C"/>
    <w:rsid w:val="00F72405"/>
    <w:rsid w:val="00F72A09"/>
    <w:rsid w:val="00F72C76"/>
    <w:rsid w:val="00F74E67"/>
    <w:rsid w:val="00F7552B"/>
    <w:rsid w:val="00F77677"/>
    <w:rsid w:val="00F8309B"/>
    <w:rsid w:val="00F831E2"/>
    <w:rsid w:val="00F833C9"/>
    <w:rsid w:val="00F84FD2"/>
    <w:rsid w:val="00F8533A"/>
    <w:rsid w:val="00F90064"/>
    <w:rsid w:val="00F9022A"/>
    <w:rsid w:val="00F90520"/>
    <w:rsid w:val="00F90961"/>
    <w:rsid w:val="00F938B1"/>
    <w:rsid w:val="00F94217"/>
    <w:rsid w:val="00F9586C"/>
    <w:rsid w:val="00F96AFD"/>
    <w:rsid w:val="00F96F4C"/>
    <w:rsid w:val="00FA07F4"/>
    <w:rsid w:val="00FA1398"/>
    <w:rsid w:val="00FA1515"/>
    <w:rsid w:val="00FA2D18"/>
    <w:rsid w:val="00FA2E19"/>
    <w:rsid w:val="00FA43C8"/>
    <w:rsid w:val="00FA5495"/>
    <w:rsid w:val="00FA5C99"/>
    <w:rsid w:val="00FA697F"/>
    <w:rsid w:val="00FB0147"/>
    <w:rsid w:val="00FB0823"/>
    <w:rsid w:val="00FB0F92"/>
    <w:rsid w:val="00FB1C39"/>
    <w:rsid w:val="00FB2FB3"/>
    <w:rsid w:val="00FB3846"/>
    <w:rsid w:val="00FB5059"/>
    <w:rsid w:val="00FB52E9"/>
    <w:rsid w:val="00FB5521"/>
    <w:rsid w:val="00FB610D"/>
    <w:rsid w:val="00FB626E"/>
    <w:rsid w:val="00FC2B60"/>
    <w:rsid w:val="00FC4477"/>
    <w:rsid w:val="00FC46FB"/>
    <w:rsid w:val="00FC51FF"/>
    <w:rsid w:val="00FC6615"/>
    <w:rsid w:val="00FC6630"/>
    <w:rsid w:val="00FC7B66"/>
    <w:rsid w:val="00FD06E6"/>
    <w:rsid w:val="00FD0D94"/>
    <w:rsid w:val="00FD106C"/>
    <w:rsid w:val="00FD2BD3"/>
    <w:rsid w:val="00FD3DEF"/>
    <w:rsid w:val="00FD3E98"/>
    <w:rsid w:val="00FD4CCA"/>
    <w:rsid w:val="00FD58B1"/>
    <w:rsid w:val="00FD60E3"/>
    <w:rsid w:val="00FD6BB8"/>
    <w:rsid w:val="00FD6FBC"/>
    <w:rsid w:val="00FD7002"/>
    <w:rsid w:val="00FD7610"/>
    <w:rsid w:val="00FE04BA"/>
    <w:rsid w:val="00FE234B"/>
    <w:rsid w:val="00FE2A9E"/>
    <w:rsid w:val="00FE2EBA"/>
    <w:rsid w:val="00FE34B3"/>
    <w:rsid w:val="00FE46B7"/>
    <w:rsid w:val="00FE4CEC"/>
    <w:rsid w:val="00FF0420"/>
    <w:rsid w:val="00FF13C9"/>
    <w:rsid w:val="00FF41B8"/>
    <w:rsid w:val="00FF5237"/>
    <w:rsid w:val="00FF5B79"/>
    <w:rsid w:val="06763376"/>
    <w:rsid w:val="06D79157"/>
    <w:rsid w:val="0A431CB0"/>
    <w:rsid w:val="0DD79F36"/>
    <w:rsid w:val="11E43BAB"/>
    <w:rsid w:val="121534C5"/>
    <w:rsid w:val="15C37E50"/>
    <w:rsid w:val="161E678D"/>
    <w:rsid w:val="1712079B"/>
    <w:rsid w:val="19090967"/>
    <w:rsid w:val="194E0F99"/>
    <w:rsid w:val="1B3C24C5"/>
    <w:rsid w:val="1CED1726"/>
    <w:rsid w:val="1F675568"/>
    <w:rsid w:val="210B7837"/>
    <w:rsid w:val="23B4E6BE"/>
    <w:rsid w:val="24F18C83"/>
    <w:rsid w:val="25653D02"/>
    <w:rsid w:val="27AA7305"/>
    <w:rsid w:val="2F2F7FB2"/>
    <w:rsid w:val="318370B6"/>
    <w:rsid w:val="3310C0BE"/>
    <w:rsid w:val="38EF0D05"/>
    <w:rsid w:val="39A07357"/>
    <w:rsid w:val="3FB14142"/>
    <w:rsid w:val="42088138"/>
    <w:rsid w:val="48A740C0"/>
    <w:rsid w:val="4E024287"/>
    <w:rsid w:val="4F101443"/>
    <w:rsid w:val="4F7B4331"/>
    <w:rsid w:val="511D528A"/>
    <w:rsid w:val="5123303D"/>
    <w:rsid w:val="52707BDA"/>
    <w:rsid w:val="588ADAF6"/>
    <w:rsid w:val="59DA2621"/>
    <w:rsid w:val="5CE173DD"/>
    <w:rsid w:val="66EB6E8A"/>
    <w:rsid w:val="69981A89"/>
    <w:rsid w:val="6C930666"/>
    <w:rsid w:val="70022791"/>
    <w:rsid w:val="73970744"/>
    <w:rsid w:val="7629CDD5"/>
    <w:rsid w:val="772E53B0"/>
    <w:rsid w:val="78612A25"/>
    <w:rsid w:val="791D4915"/>
    <w:rsid w:val="7A7150E3"/>
    <w:rsid w:val="7AFF7404"/>
    <w:rsid w:val="7DC24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42A2F1"/>
  <w15:docId w15:val="{4C15F051-D00F-4286-A133-176E08F4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uiPriority="99"/>
    <w:lsdException w:name="caption" w:semiHidden="1" w:unhideWhenUsed="1" w:qFormat="1"/>
    <w:lsdException w:name="footnote reference" w:uiPriority="99" w:unhideWhenUsed="1"/>
    <w:lsdException w:name="annotation reference" w:qFormat="1"/>
    <w:lsdException w:name="Title" w:qFormat="1"/>
    <w:lsdException w:name="Default Paragraph Font" w:uiPriority="1" w:unhideWhenUsed="1"/>
    <w:lsdException w:name="Body Text" w:uiPriority="1"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Samp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jc w:val="both"/>
    </w:pPr>
    <w:rPr>
      <w:rFonts w:ascii="Segoe UI" w:hAnsi="Segoe UI"/>
      <w:sz w:val="22"/>
      <w:szCs w:val="24"/>
      <w:lang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qFormat/>
    <w:pPr>
      <w:keepNext/>
      <w:outlineLvl w:val="1"/>
    </w:pPr>
    <w:rPr>
      <w:rFonts w:cs="Arial"/>
      <w:bCs/>
      <w:iCs/>
      <w:color w:val="E1000F"/>
      <w:szCs w:val="28"/>
    </w:rPr>
  </w:style>
  <w:style w:type="paragraph" w:styleId="Heading3">
    <w:name w:val="heading 3"/>
    <w:basedOn w:val="Heading2"/>
    <w:next w:val="Normal"/>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60" w:lineRule="atLeast"/>
      <w:jc w:val="left"/>
    </w:pPr>
    <w:rPr>
      <w:rFonts w:ascii="Arial" w:hAnsi="Arial"/>
      <w:sz w:val="20"/>
      <w:szCs w:val="20"/>
      <w:lang w:val="de-DE"/>
    </w:rPr>
  </w:style>
  <w:style w:type="paragraph" w:styleId="BodyText">
    <w:name w:val="Body Text"/>
    <w:basedOn w:val="Normal"/>
    <w:link w:val="BodyTextChar"/>
    <w:uiPriority w:val="1"/>
    <w:qFormat/>
    <w:pPr>
      <w:widowControl w:val="0"/>
      <w:autoSpaceDE w:val="0"/>
      <w:autoSpaceDN w:val="0"/>
      <w:spacing w:line="240" w:lineRule="auto"/>
      <w:ind w:left="1"/>
      <w:jc w:val="left"/>
    </w:pPr>
    <w:rPr>
      <w:rFonts w:eastAsia="Segoe UI" w:cs="Segoe UI"/>
      <w:szCs w:val="22"/>
      <w:lang w:val="de-DE"/>
    </w:rPr>
  </w:style>
  <w:style w:type="paragraph" w:styleId="Date">
    <w:name w:val="Date"/>
    <w:basedOn w:val="Normal"/>
    <w:next w:val="Normal"/>
    <w:link w:val="DateChar"/>
    <w:qFormat/>
    <w:pPr>
      <w:ind w:leftChars="2500" w:left="100"/>
    </w:pPr>
  </w:style>
  <w:style w:type="paragraph" w:styleId="BalloonText">
    <w:name w:val="Balloon Text"/>
    <w:basedOn w:val="Normal"/>
    <w:link w:val="BalloonTextChar"/>
    <w:qFormat/>
    <w:pPr>
      <w:spacing w:line="240" w:lineRule="auto"/>
    </w:pPr>
    <w:rPr>
      <w:sz w:val="18"/>
      <w:szCs w:val="18"/>
    </w:rPr>
  </w:style>
  <w:style w:type="paragraph" w:styleId="Footer">
    <w:name w:val="footer"/>
    <w:basedOn w:val="Normal"/>
    <w:link w:val="FooterChar"/>
    <w:uiPriority w:val="99"/>
    <w:pPr>
      <w:tabs>
        <w:tab w:val="right" w:pos="7083"/>
        <w:tab w:val="right" w:pos="8640"/>
      </w:tabs>
      <w:spacing w:line="180" w:lineRule="atLeast"/>
      <w:jc w:val="right"/>
    </w:pPr>
    <w:rPr>
      <w:bCs/>
      <w:sz w:val="12"/>
    </w:rPr>
  </w:style>
  <w:style w:type="paragraph" w:styleId="Header">
    <w:name w:val="header"/>
    <w:basedOn w:val="Normal"/>
    <w:qFormat/>
    <w:pPr>
      <w:tabs>
        <w:tab w:val="left" w:pos="2607"/>
        <w:tab w:val="center" w:pos="4320"/>
        <w:tab w:val="right" w:pos="9356"/>
      </w:tabs>
      <w:spacing w:before="1440" w:line="100" w:lineRule="atLeast"/>
      <w:jc w:val="right"/>
    </w:pPr>
    <w:rPr>
      <w:rFonts w:cs="Segoe UI"/>
      <w:b/>
      <w:bCs/>
      <w:color w:val="3E3C3C"/>
      <w:sz w:val="40"/>
      <w:szCs w:val="40"/>
    </w:rPr>
  </w:style>
  <w:style w:type="paragraph" w:styleId="FootnoteText">
    <w:name w:val="footnote text"/>
    <w:basedOn w:val="Normal"/>
    <w:link w:val="FootnoteTextChar"/>
    <w:uiPriority w:val="99"/>
    <w:unhideWhenUsed/>
    <w:qFormat/>
    <w:pPr>
      <w:spacing w:line="240" w:lineRule="auto"/>
      <w:jc w:val="left"/>
    </w:pPr>
    <w:rPr>
      <w:rFonts w:eastAsiaTheme="minorHAnsi" w:cstheme="minorBidi"/>
      <w:szCs w:val="20"/>
      <w:lang w:val="de-DE"/>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sz w:val="24"/>
      <w:lang w:val="de-DE" w:eastAsia="de-DE"/>
    </w:rPr>
  </w:style>
  <w:style w:type="paragraph" w:styleId="CommentSubject">
    <w:name w:val="annotation subject"/>
    <w:basedOn w:val="CommentText"/>
    <w:next w:val="CommentText"/>
    <w:link w:val="CommentSubjectChar"/>
    <w:qFormat/>
    <w:pPr>
      <w:spacing w:line="240" w:lineRule="auto"/>
      <w:jc w:val="both"/>
    </w:pPr>
    <w:rPr>
      <w:rFonts w:ascii="Segoe UI" w:hAnsi="Segoe UI"/>
      <w:b/>
      <w:bCs/>
      <w:lang w:val="en-US"/>
    </w:rPr>
  </w:style>
  <w:style w:type="table" w:styleId="TableGrid">
    <w:name w:val="Table Grid"/>
    <w:basedOn w:val="TableNormal"/>
    <w:qFormat/>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rPr>
      <w:color w:val="954F72" w:themeColor="followedHyperlink"/>
      <w:u w:val="single"/>
    </w:rPr>
  </w:style>
  <w:style w:type="character" w:styleId="Hyperlink">
    <w:name w:val="Hyperlink"/>
    <w:qFormat/>
    <w:rPr>
      <w:rFonts w:ascii="Segoe UI" w:hAnsi="Segoe UI"/>
      <w:color w:val="0000FF"/>
      <w:sz w:val="18"/>
      <w:szCs w:val="18"/>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rPr>
      <w:vertAlign w:val="superscript"/>
    </w:rPr>
  </w:style>
  <w:style w:type="paragraph" w:customStyle="1" w:styleId="Intro">
    <w:name w:val="Intro"/>
    <w:basedOn w:val="Normal"/>
    <w:pPr>
      <w:spacing w:after="300"/>
    </w:pPr>
    <w:rPr>
      <w:color w:val="415055"/>
      <w:sz w:val="24"/>
    </w:rPr>
  </w:style>
  <w:style w:type="paragraph" w:customStyle="1" w:styleId="NumBullet">
    <w:name w:val="Num_Bullet"/>
    <w:basedOn w:val="Normal"/>
    <w:qFormat/>
    <w:pPr>
      <w:numPr>
        <w:numId w:val="1"/>
      </w:numPr>
      <w:tabs>
        <w:tab w:val="clear" w:pos="567"/>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qFormat/>
    <w:pPr>
      <w:spacing w:before="240" w:after="0"/>
    </w:pPr>
    <w:rPr>
      <w:b w:val="0"/>
      <w:bCs/>
    </w:rPr>
  </w:style>
  <w:style w:type="paragraph" w:customStyle="1" w:styleId="Info">
    <w:name w:val="Info"/>
    <w:basedOn w:val="Normal"/>
    <w:link w:val="InfoZchn"/>
    <w:qFormat/>
    <w:pPr>
      <w:spacing w:line="240" w:lineRule="atLeast"/>
    </w:pPr>
    <w:rPr>
      <w:sz w:val="13"/>
    </w:rPr>
  </w:style>
  <w:style w:type="character" w:customStyle="1" w:styleId="InfoZchn">
    <w:name w:val="Info Zchn"/>
    <w:link w:val="Info"/>
    <w:qFormat/>
    <w:rPr>
      <w:rFonts w:ascii="Arial" w:hAnsi="Arial"/>
      <w:sz w:val="13"/>
      <w:szCs w:val="24"/>
      <w:lang w:val="de-DE" w:eastAsia="en-US" w:bidi="ar-SA"/>
    </w:rPr>
  </w:style>
  <w:style w:type="paragraph" w:customStyle="1" w:styleId="Standard12pt">
    <w:name w:val="Standard_12pt"/>
    <w:basedOn w:val="Normal"/>
    <w:qFormat/>
    <w:pPr>
      <w:spacing w:line="300" w:lineRule="atLeast"/>
    </w:pPr>
    <w:rPr>
      <w:sz w:val="24"/>
    </w:rPr>
  </w:style>
  <w:style w:type="character" w:customStyle="1" w:styleId="Heading1Char">
    <w:name w:val="Heading 1 Char"/>
    <w:link w:val="Heading1"/>
    <w:uiPriority w:val="99"/>
    <w:qFormat/>
    <w:locked/>
    <w:rPr>
      <w:rFonts w:ascii="Arial" w:hAnsi="Arial" w:cs="Arial"/>
      <w:b/>
      <w:bCs/>
      <w:kern w:val="32"/>
      <w:sz w:val="36"/>
      <w:szCs w:val="32"/>
      <w:lang w:val="de-DE"/>
    </w:rPr>
  </w:style>
  <w:style w:type="paragraph" w:customStyle="1" w:styleId="MittleresRaster1-Akzent21">
    <w:name w:val="Mittleres Raster 1 - Akzent 21"/>
    <w:basedOn w:val="Normal"/>
    <w:uiPriority w:val="34"/>
    <w:qFormat/>
    <w:pPr>
      <w:ind w:left="720"/>
    </w:pPr>
  </w:style>
  <w:style w:type="character" w:customStyle="1" w:styleId="BalloonTextChar">
    <w:name w:val="Balloon Text Char"/>
    <w:link w:val="BalloonText"/>
    <w:qFormat/>
    <w:rPr>
      <w:rFonts w:ascii="Segoe UI" w:hAnsi="Segoe UI"/>
      <w:sz w:val="18"/>
      <w:szCs w:val="18"/>
      <w:lang w:val="de-DE"/>
    </w:rPr>
  </w:style>
  <w:style w:type="paragraph" w:customStyle="1" w:styleId="MittlereListe2-Akzent21">
    <w:name w:val="Mittlere Liste 2 - Akzent 21"/>
    <w:hidden/>
    <w:uiPriority w:val="99"/>
    <w:semiHidden/>
    <w:qFormat/>
    <w:rPr>
      <w:rFonts w:ascii="Arial" w:hAnsi="Arial"/>
      <w:sz w:val="18"/>
      <w:szCs w:val="24"/>
      <w:lang w:val="de-DE" w:eastAsia="en-US"/>
    </w:rPr>
  </w:style>
  <w:style w:type="character" w:customStyle="1" w:styleId="FooterChar">
    <w:name w:val="Footer Char"/>
    <w:link w:val="Footer"/>
    <w:uiPriority w:val="99"/>
    <w:qFormat/>
    <w:rPr>
      <w:rFonts w:ascii="Segoe UI" w:hAnsi="Segoe UI"/>
      <w:bCs/>
      <w:sz w:val="12"/>
      <w:szCs w:val="24"/>
      <w:lang w:val="de-DE"/>
    </w:rPr>
  </w:style>
  <w:style w:type="character" w:customStyle="1" w:styleId="1">
    <w:name w:val="未处理的提及1"/>
    <w:uiPriority w:val="99"/>
    <w:semiHidden/>
    <w:unhideWhenUsed/>
    <w:qFormat/>
    <w:rPr>
      <w:color w:val="605E5C"/>
      <w:shd w:val="clear" w:color="auto" w:fill="E1DFDD"/>
    </w:rPr>
  </w:style>
  <w:style w:type="paragraph" w:customStyle="1" w:styleId="Style12ptJustifiedLinespacing15lines">
    <w:name w:val="Style 12 pt Justified Line spacing:  1.5 lines"/>
    <w:basedOn w:val="Normal"/>
    <w:qFormat/>
    <w:rPr>
      <w:szCs w:val="20"/>
    </w:rPr>
  </w:style>
  <w:style w:type="paragraph" w:customStyle="1" w:styleId="Style12ptJustifiedLinespacing15lines1">
    <w:name w:val="Style 12 pt Justified Line spacing:  1.5 lines1"/>
    <w:basedOn w:val="Normal"/>
    <w:qFormat/>
    <w:pPr>
      <w:spacing w:before="120"/>
    </w:pPr>
    <w:rPr>
      <w:szCs w:val="20"/>
    </w:rPr>
  </w:style>
  <w:style w:type="character" w:customStyle="1" w:styleId="Headline">
    <w:name w:val="Headline"/>
    <w:basedOn w:val="DefaultParagraphFont"/>
    <w:qFormat/>
    <w:rPr>
      <w:b/>
      <w:bCs/>
      <w:sz w:val="32"/>
    </w:rPr>
  </w:style>
  <w:style w:type="paragraph" w:customStyle="1" w:styleId="MonthDayYear">
    <w:name w:val="Month Day Year"/>
    <w:basedOn w:val="Normal"/>
    <w:qFormat/>
    <w:pPr>
      <w:spacing w:before="120"/>
      <w:ind w:right="-1"/>
      <w:jc w:val="right"/>
    </w:pPr>
    <w:rPr>
      <w:szCs w:val="20"/>
    </w:rPr>
  </w:style>
  <w:style w:type="paragraph" w:customStyle="1" w:styleId="Topline">
    <w:name w:val="Topline"/>
    <w:basedOn w:val="Normal"/>
    <w:qFormat/>
    <w:pPr>
      <w:spacing w:before="560" w:after="560"/>
    </w:pPr>
    <w:rPr>
      <w:rFonts w:cs="Segoe UI"/>
      <w:szCs w:val="22"/>
    </w:rPr>
  </w:style>
  <w:style w:type="character" w:customStyle="1" w:styleId="AboutandContactBody">
    <w:name w:val="About and Contact Body"/>
    <w:basedOn w:val="DefaultParagraphFont"/>
    <w:qFormat/>
    <w:rPr>
      <w:rFonts w:ascii="Segoe UI" w:hAnsi="Segoe UI"/>
      <w:sz w:val="18"/>
    </w:rPr>
  </w:style>
  <w:style w:type="character" w:customStyle="1" w:styleId="AboutandContactHeadline">
    <w:name w:val="About and Contact Headline"/>
    <w:basedOn w:val="DefaultParagraphFont"/>
    <w:qFormat/>
    <w:rPr>
      <w:rFonts w:ascii="Segoe UI" w:hAnsi="Segoe UI"/>
      <w:b/>
      <w:bCs/>
      <w:sz w:val="18"/>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sz w:val="20"/>
      <w:szCs w:val="20"/>
      <w:lang w:val="de-DE"/>
    </w:rPr>
  </w:style>
  <w:style w:type="character" w:customStyle="1" w:styleId="CommentSubjectChar">
    <w:name w:val="Comment Subject Char"/>
    <w:basedOn w:val="CommentTextChar"/>
    <w:link w:val="CommentSubject"/>
    <w:qFormat/>
    <w:rPr>
      <w:rFonts w:ascii="Arial" w:hAnsi="Arial"/>
      <w:b/>
      <w:bCs/>
      <w:sz w:val="20"/>
      <w:szCs w:val="20"/>
      <w:lang w:val="de-DE"/>
    </w:rPr>
  </w:style>
  <w:style w:type="paragraph" w:customStyle="1" w:styleId="10">
    <w:name w:val="修订1"/>
    <w:hidden/>
    <w:uiPriority w:val="62"/>
    <w:unhideWhenUsed/>
    <w:qFormat/>
    <w:rPr>
      <w:rFonts w:ascii="Segoe UI" w:hAnsi="Segoe UI"/>
      <w:sz w:val="22"/>
      <w:szCs w:val="24"/>
      <w:lang w:eastAsia="en-US"/>
    </w:rPr>
  </w:style>
  <w:style w:type="paragraph" w:customStyle="1" w:styleId="He04Funote">
    <w:name w:val="_He_04_Fußnote"/>
    <w:next w:val="Normal"/>
    <w:qFormat/>
    <w:pPr>
      <w:tabs>
        <w:tab w:val="left" w:pos="85"/>
      </w:tabs>
      <w:spacing w:line="256" w:lineRule="auto"/>
      <w:ind w:left="85" w:hanging="85"/>
    </w:pPr>
    <w:rPr>
      <w:rFonts w:ascii="Segoe UI" w:eastAsiaTheme="minorHAnsi" w:hAnsi="Segoe UI" w:cstheme="minorBidi"/>
      <w:sz w:val="15"/>
      <w:szCs w:val="22"/>
      <w:lang w:val="de-DE" w:eastAsia="en-US"/>
      <w14:numForm w14:val="lining"/>
    </w:rPr>
  </w:style>
  <w:style w:type="paragraph" w:customStyle="1" w:styleId="He01FlietextAufzhlung1Ebene">
    <w:name w:val="_He_01_Fließtext Aufzählung 1. Ebene"/>
    <w:next w:val="Normal"/>
    <w:qFormat/>
    <w:pPr>
      <w:numPr>
        <w:numId w:val="2"/>
      </w:numPr>
      <w:spacing w:after="113"/>
    </w:pPr>
    <w:rPr>
      <w:rFonts w:ascii="Segoe UI" w:eastAsiaTheme="minorHAnsi" w:hAnsi="Segoe UI" w:cstheme="minorBidi"/>
      <w:sz w:val="22"/>
      <w:szCs w:val="22"/>
      <w:lang w:val="de-DE" w:eastAsia="en-US"/>
    </w:rPr>
  </w:style>
  <w:style w:type="character" w:customStyle="1" w:styleId="ui-provider">
    <w:name w:val="ui-provider"/>
    <w:basedOn w:val="DefaultParagraphFont"/>
  </w:style>
  <w:style w:type="paragraph" w:customStyle="1" w:styleId="He01Flietext">
    <w:name w:val="_He_01_Fließtext"/>
    <w:qFormat/>
    <w:pPr>
      <w:spacing w:after="160"/>
    </w:pPr>
    <w:rPr>
      <w:rFonts w:ascii="Segoe UI" w:eastAsiaTheme="minorHAnsi" w:hAnsi="Segoe UI" w:cstheme="minorBidi"/>
      <w:sz w:val="22"/>
      <w:szCs w:val="22"/>
      <w:lang w:val="de-DE" w:eastAsia="en-US"/>
    </w:rPr>
  </w:style>
  <w:style w:type="character" w:customStyle="1" w:styleId="FootnoteTextChar">
    <w:name w:val="Footnote Text Char"/>
    <w:basedOn w:val="DefaultParagraphFont"/>
    <w:link w:val="FootnoteText"/>
    <w:uiPriority w:val="99"/>
    <w:rPr>
      <w:rFonts w:eastAsiaTheme="minorHAnsi" w:cstheme="minorBidi"/>
      <w:sz w:val="22"/>
      <w:szCs w:val="20"/>
      <w:lang w:val="de-DE"/>
    </w:rPr>
  </w:style>
  <w:style w:type="paragraph" w:customStyle="1" w:styleId="He01FlietextAufzhlung2Ebene">
    <w:name w:val="_He_01_Fließtext Aufzählung 2. Ebene"/>
    <w:next w:val="He01Flietext"/>
    <w:qFormat/>
    <w:pPr>
      <w:numPr>
        <w:numId w:val="3"/>
      </w:numPr>
      <w:spacing w:after="160"/>
    </w:pPr>
    <w:rPr>
      <w:rFonts w:ascii="Segoe UI" w:eastAsiaTheme="minorHAnsi" w:hAnsi="Segoe UI" w:cstheme="minorBidi"/>
      <w:sz w:val="22"/>
      <w:szCs w:val="22"/>
      <w:lang w:val="de-DE" w:eastAsia="en-US"/>
    </w:rPr>
  </w:style>
  <w:style w:type="paragraph" w:customStyle="1" w:styleId="He05Fett">
    <w:name w:val="_He_05_Fett"/>
    <w:next w:val="He01Flietext"/>
    <w:link w:val="He05FettZchn"/>
    <w:qFormat/>
    <w:pPr>
      <w:spacing w:after="160" w:line="259" w:lineRule="auto"/>
    </w:pPr>
    <w:rPr>
      <w:rFonts w:ascii="Segoe UI" w:eastAsiaTheme="minorHAnsi" w:hAnsi="Segoe UI" w:cstheme="minorBidi"/>
      <w:b/>
      <w:sz w:val="18"/>
      <w:szCs w:val="22"/>
      <w:lang w:val="de-DE" w:eastAsia="en-US"/>
    </w:rPr>
  </w:style>
  <w:style w:type="character" w:customStyle="1" w:styleId="He05FettZchn">
    <w:name w:val="_He_05_Fett Zchn"/>
    <w:basedOn w:val="DefaultParagraphFont"/>
    <w:link w:val="He05Fett"/>
    <w:rPr>
      <w:rFonts w:eastAsiaTheme="minorHAnsi" w:cstheme="minorBidi"/>
      <w:b/>
      <w:szCs w:val="22"/>
      <w:lang w:val="de-DE"/>
    </w:rPr>
  </w:style>
  <w:style w:type="character" w:customStyle="1" w:styleId="BodyTextChar">
    <w:name w:val="Body Text Char"/>
    <w:basedOn w:val="DefaultParagraphFont"/>
    <w:link w:val="BodyText"/>
    <w:uiPriority w:val="1"/>
    <w:rPr>
      <w:rFonts w:eastAsia="Segoe UI" w:cs="Segoe UI"/>
      <w:sz w:val="22"/>
      <w:szCs w:val="22"/>
      <w:lang w:val="de-DE"/>
    </w:rPr>
  </w:style>
  <w:style w:type="character" w:customStyle="1" w:styleId="DateChar">
    <w:name w:val="Date Char"/>
    <w:basedOn w:val="DefaultParagraphFont"/>
    <w:link w:val="Date"/>
    <w:qFormat/>
    <w:rPr>
      <w:sz w:val="22"/>
    </w:rPr>
  </w:style>
  <w:style w:type="paragraph" w:styleId="Revision">
    <w:name w:val="Revision"/>
    <w:hidden/>
    <w:uiPriority w:val="99"/>
    <w:unhideWhenUsed/>
    <w:rsid w:val="005D4F92"/>
    <w:rPr>
      <w:rFonts w:ascii="Segoe UI" w:hAnsi="Segoe UI"/>
      <w:sz w:val="22"/>
      <w:szCs w:val="24"/>
      <w:lang w:eastAsia="en-US"/>
    </w:rPr>
  </w:style>
  <w:style w:type="paragraph" w:styleId="EndnoteText">
    <w:name w:val="endnote text"/>
    <w:basedOn w:val="Normal"/>
    <w:link w:val="EndnoteTextChar"/>
    <w:rsid w:val="00B66E4D"/>
    <w:pPr>
      <w:snapToGrid w:val="0"/>
      <w:jc w:val="left"/>
    </w:pPr>
  </w:style>
  <w:style w:type="character" w:customStyle="1" w:styleId="EndnoteTextChar">
    <w:name w:val="Endnote Text Char"/>
    <w:basedOn w:val="DefaultParagraphFont"/>
    <w:link w:val="EndnoteText"/>
    <w:rsid w:val="00B66E4D"/>
    <w:rPr>
      <w:rFonts w:ascii="Segoe UI" w:hAnsi="Segoe UI"/>
      <w:sz w:val="22"/>
      <w:szCs w:val="24"/>
      <w:lang w:eastAsia="en-US"/>
    </w:rPr>
  </w:style>
  <w:style w:type="character" w:styleId="EndnoteReference">
    <w:name w:val="endnote reference"/>
    <w:basedOn w:val="DefaultParagraphFont"/>
    <w:rsid w:val="00B66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ki.qin@henkel.com" TargetMode="External"/><Relationship Id="rId2" Type="http://schemas.openxmlformats.org/officeDocument/2006/relationships/customXml" Target="../customXml/item2.xml"/><Relationship Id="rId16" Type="http://schemas.openxmlformats.org/officeDocument/2006/relationships/hyperlink" Target="mailto:louise.cheung@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spPr>
      <a:bodyPr vert="horz" wrap="none" lIns="90000" tIns="46800" rIns="90000" bIns="46800" numCol="1" anchor="ctr" anchorCtr="0" compatLnSpc="1"/>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6.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4558</Words>
  <Characters>1302</Characters>
  <Application>Microsoft Office Word</Application>
  <DocSecurity>4</DocSecurity>
  <Lines>10</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Liki Qin</cp:lastModifiedBy>
  <cp:revision>2</cp:revision>
  <cp:lastPrinted>2025-07-30T08:03:00Z</cp:lastPrinted>
  <dcterms:created xsi:type="dcterms:W3CDTF">2025-08-11T08:35:00Z</dcterms:created>
  <dcterms:modified xsi:type="dcterms:W3CDTF">2025-08-11T08:35:00Z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KSOTemplateDocerSaveRecord">
    <vt:lpwstr>eyJoZGlkIjoiOTc3M2Y5NzIzMDFlZjAyY2Q4Njk5ODkyYjFjNzBiNTQiLCJ1c2VySWQiOiIxMzM3MjcwOTMwIn0=</vt:lpwstr>
  </property>
  <property fmtid="{D5CDD505-2E9C-101B-9397-08002B2CF9AE}" pid="5" name="KSOProductBuildVer">
    <vt:lpwstr>2052-12.1.0.21915</vt:lpwstr>
  </property>
  <property fmtid="{D5CDD505-2E9C-101B-9397-08002B2CF9AE}" pid="6" name="ICV">
    <vt:lpwstr>0C6719613B49475688EDCE980747BFCC_12</vt:lpwstr>
  </property>
</Properties>
</file>