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34C99605" w:rsidR="00B422EC" w:rsidRPr="00B71239" w:rsidRDefault="00CB61A7" w:rsidP="00643D8A">
      <w:pPr>
        <w:pStyle w:val="MonthDayYear"/>
        <w:rPr>
          <w:lang w:val="sk-SK"/>
        </w:rPr>
      </w:pPr>
      <w:r w:rsidRPr="00CB61A7">
        <w:rPr>
          <w:lang w:val="sk-SK"/>
        </w:rPr>
        <w:t>7. august 2025</w:t>
      </w:r>
    </w:p>
    <w:p w14:paraId="09896324" w14:textId="253EC61E" w:rsidR="007F0F63" w:rsidRPr="00B71239" w:rsidRDefault="00C410B6" w:rsidP="009D1522">
      <w:pPr>
        <w:pStyle w:val="Topline"/>
        <w:rPr>
          <w:lang w:val="sk-SK"/>
        </w:rPr>
      </w:pPr>
      <w:r w:rsidRPr="00C410B6">
        <w:rPr>
          <w:lang w:val="sk-SK"/>
        </w:rPr>
        <w:t xml:space="preserve">Henkel očakáva </w:t>
      </w:r>
      <w:proofErr w:type="spellStart"/>
      <w:r w:rsidRPr="00C410B6">
        <w:rPr>
          <w:lang w:val="sk-SK"/>
        </w:rPr>
        <w:t>profitabilný</w:t>
      </w:r>
      <w:proofErr w:type="spellEnd"/>
      <w:r w:rsidRPr="00C410B6">
        <w:rPr>
          <w:lang w:val="sk-SK"/>
        </w:rPr>
        <w:t xml:space="preserve"> rast vo finančnom roku 2025</w:t>
      </w:r>
    </w:p>
    <w:p w14:paraId="76AD0789" w14:textId="1C3627D6" w:rsidR="007F0F63" w:rsidRPr="00B71239" w:rsidRDefault="00BD0387" w:rsidP="00A3756F">
      <w:pPr>
        <w:rPr>
          <w:rStyle w:val="Headline"/>
          <w:lang w:val="sk-SK"/>
        </w:rPr>
      </w:pPr>
      <w:r w:rsidRPr="0021281C">
        <w:rPr>
          <w:rStyle w:val="Headline"/>
          <w:rFonts w:asciiTheme="majorHAnsi" w:hAnsiTheme="majorHAnsi" w:cs="Cambria"/>
          <w:lang w:val="sk-SK" w:bidi="bo-CN"/>
        </w:rPr>
        <w:t>Spoločnosť Henkel v prvom polroku zrýchlila rast obratu, zlepšila maržu a zvýšila výnosy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364E2DF1" w14:textId="77777777" w:rsidR="00BD2307" w:rsidRPr="00D92568" w:rsidRDefault="00BD2307" w:rsidP="00BD2307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bookmarkStart w:id="0" w:name="_Hlk140061525"/>
      <w:r w:rsidRPr="00F725A1">
        <w:rPr>
          <w:rFonts w:asciiTheme="majorHAnsi" w:hAnsiTheme="majorHAnsi" w:cs="Cambria"/>
          <w:b/>
          <w:szCs w:val="22"/>
          <w:lang w:val="sk-SK" w:bidi="bo-CN"/>
        </w:rPr>
        <w:t>Obrat na úrovni skupiny za prvý polrok organicky</w:t>
      </w:r>
      <w:r>
        <w:rPr>
          <w:rFonts w:asciiTheme="majorHAnsi" w:hAnsiTheme="majorHAnsi" w:cs="Cambria"/>
          <w:b/>
          <w:szCs w:val="22"/>
          <w:lang w:val="sk-SK" w:bidi="bo-CN"/>
        </w:rPr>
        <w:t xml:space="preserve"> zostal približne</w:t>
      </w:r>
      <w:r w:rsidRPr="00F725A1">
        <w:rPr>
          <w:rFonts w:asciiTheme="majorHAnsi" w:hAnsiTheme="majorHAnsi" w:cs="Cambria"/>
          <w:b/>
          <w:szCs w:val="22"/>
          <w:lang w:val="sk-SK" w:bidi="bo-CN"/>
        </w:rPr>
        <w:t xml:space="preserve"> na úrovni predchádzajúceho roka:</w:t>
      </w:r>
      <w:r w:rsidRPr="00D92568">
        <w:rPr>
          <w:rFonts w:asciiTheme="majorHAnsi" w:hAnsiTheme="majorHAnsi" w:cs="Cambria"/>
          <w:b/>
          <w:szCs w:val="22"/>
          <w:lang w:val="sk-SK"/>
        </w:rPr>
        <w:t xml:space="preserve"> </w:t>
      </w:r>
      <w:r w:rsidRPr="00F725A1">
        <w:rPr>
          <w:rFonts w:asciiTheme="majorHAnsi" w:hAnsiTheme="majorHAnsi" w:cs="Cambria"/>
          <w:b/>
          <w:szCs w:val="22"/>
          <w:lang w:val="sk-SK" w:bidi="bo-CN"/>
        </w:rPr>
        <w:t xml:space="preserve">10,4 miliardy eur (organicky -0,1 percenta; 2. </w:t>
      </w:r>
      <w:r>
        <w:rPr>
          <w:rFonts w:asciiTheme="majorHAnsi" w:hAnsiTheme="majorHAnsi" w:cs="Cambria"/>
          <w:b/>
          <w:szCs w:val="22"/>
          <w:lang w:val="sk-SK" w:bidi="bo-CN"/>
        </w:rPr>
        <w:t>štvrťrok</w:t>
      </w:r>
      <w:r w:rsidRPr="00F725A1">
        <w:rPr>
          <w:rFonts w:asciiTheme="majorHAnsi" w:hAnsiTheme="majorHAnsi" w:cs="Cambria"/>
          <w:b/>
          <w:szCs w:val="22"/>
          <w:lang w:val="sk-SK" w:bidi="bo-CN"/>
        </w:rPr>
        <w:t>: +0,9 percenta)</w:t>
      </w:r>
    </w:p>
    <w:p w14:paraId="704549B8" w14:textId="77777777" w:rsidR="00BD2307" w:rsidRPr="00D92568" w:rsidRDefault="00BD2307" w:rsidP="00BD2307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F725A1">
        <w:rPr>
          <w:rFonts w:asciiTheme="majorHAnsi" w:hAnsiTheme="majorHAnsi" w:cs="Cambria"/>
          <w:b/>
          <w:szCs w:val="22"/>
          <w:lang w:val="sk-SK" w:bidi="bo-CN"/>
        </w:rPr>
        <w:t>Prevádzkový zisk (EBIT)* sa zvýšil na 1 614 miliónov eur (+0,2 percenta)</w:t>
      </w:r>
    </w:p>
    <w:p w14:paraId="2D2A0983" w14:textId="77777777" w:rsidR="00BD2307" w:rsidRPr="00D92568" w:rsidRDefault="00BD2307" w:rsidP="00BD2307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F725A1">
        <w:rPr>
          <w:rFonts w:asciiTheme="majorHAnsi" w:hAnsiTheme="majorHAnsi" w:cs="Cambria"/>
          <w:b/>
          <w:szCs w:val="22"/>
          <w:lang w:val="sk-SK" w:bidi="bo-CN"/>
        </w:rPr>
        <w:t>Marža EBIT* sa zlepšila na 15,5 percenta (+60 bázických bodov)</w:t>
      </w:r>
    </w:p>
    <w:p w14:paraId="40BBAF32" w14:textId="77777777" w:rsidR="00BD2307" w:rsidRPr="00D92568" w:rsidRDefault="00BD2307" w:rsidP="00BD2307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F725A1">
        <w:rPr>
          <w:rFonts w:asciiTheme="majorHAnsi" w:hAnsiTheme="majorHAnsi" w:cs="Cambria"/>
          <w:b/>
          <w:szCs w:val="22"/>
          <w:lang w:val="sk-SK" w:bidi="bo-CN"/>
        </w:rPr>
        <w:t>Výnos na prioritnú akciu (EPS)* sa zvýšil na 2,81 eur,</w:t>
      </w:r>
      <w:r w:rsidRPr="00D92568">
        <w:rPr>
          <w:rFonts w:asciiTheme="majorHAnsi" w:hAnsiTheme="majorHAnsi" w:cs="Cambria"/>
          <w:b/>
          <w:szCs w:val="22"/>
          <w:lang w:val="sk-SK"/>
        </w:rPr>
        <w:t xml:space="preserve"> </w:t>
      </w:r>
      <w:r w:rsidRPr="00F725A1">
        <w:rPr>
          <w:rFonts w:asciiTheme="majorHAnsi" w:hAnsiTheme="majorHAnsi" w:cs="Cambria"/>
          <w:b/>
          <w:szCs w:val="22"/>
          <w:lang w:val="sk-SK"/>
        </w:rPr>
        <w:br/>
      </w:r>
      <w:r w:rsidRPr="00F725A1">
        <w:rPr>
          <w:rFonts w:asciiTheme="majorHAnsi" w:hAnsiTheme="majorHAnsi" w:cs="Cambria"/>
          <w:b/>
          <w:szCs w:val="22"/>
          <w:lang w:val="sk-SK" w:bidi="bo-CN"/>
        </w:rPr>
        <w:t>+5,0 percent pri konštantných kurzových sadzbách</w:t>
      </w:r>
    </w:p>
    <w:bookmarkEnd w:id="0"/>
    <w:p w14:paraId="7B3CEB60" w14:textId="77777777" w:rsidR="00BD2307" w:rsidRPr="00D92568" w:rsidRDefault="00BD2307" w:rsidP="00BD2307">
      <w:pPr>
        <w:pStyle w:val="Odsekzoznamu"/>
        <w:numPr>
          <w:ilvl w:val="0"/>
          <w:numId w:val="17"/>
        </w:numPr>
        <w:spacing w:after="80"/>
        <w:ind w:left="284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F725A1">
        <w:rPr>
          <w:rFonts w:asciiTheme="majorHAnsi" w:hAnsiTheme="majorHAnsi" w:cs="Cambria"/>
          <w:b/>
          <w:szCs w:val="22"/>
          <w:lang w:val="sk-SK" w:bidi="bo-CN"/>
        </w:rPr>
        <w:t>Ďalší pokrok v implementácii agendy pre zmysluplný rast</w:t>
      </w:r>
    </w:p>
    <w:p w14:paraId="6B1EB663" w14:textId="77777777" w:rsidR="00BD2307" w:rsidRPr="00D92568" w:rsidRDefault="00BD2307" w:rsidP="00BD2307">
      <w:pPr>
        <w:pStyle w:val="Odsekzoznamu"/>
        <w:widowControl w:val="0"/>
        <w:numPr>
          <w:ilvl w:val="1"/>
          <w:numId w:val="20"/>
        </w:numPr>
        <w:tabs>
          <w:tab w:val="left" w:pos="702"/>
        </w:tabs>
        <w:autoSpaceDE w:val="0"/>
        <w:autoSpaceDN w:val="0"/>
        <w:spacing w:before="113" w:after="120" w:line="240" w:lineRule="auto"/>
        <w:contextualSpacing w:val="0"/>
        <w:jc w:val="left"/>
        <w:rPr>
          <w:lang w:val="sk-SK"/>
        </w:rPr>
      </w:pPr>
      <w:r w:rsidRPr="00F725A1">
        <w:rPr>
          <w:lang w:val="sk-SK" w:bidi="bo-CN"/>
        </w:rPr>
        <w:t xml:space="preserve">Jednoznačné zameranie na globálne </w:t>
      </w:r>
      <w:proofErr w:type="spellStart"/>
      <w:r w:rsidRPr="00F725A1">
        <w:rPr>
          <w:lang w:val="sk-SK" w:bidi="bo-CN"/>
        </w:rPr>
        <w:t>megatrendy</w:t>
      </w:r>
      <w:proofErr w:type="spellEnd"/>
      <w:r w:rsidRPr="00F725A1">
        <w:rPr>
          <w:lang w:val="sk-SK" w:bidi="bo-CN"/>
        </w:rPr>
        <w:t xml:space="preserve"> posilňuje konkurencieschopnosť a odolnosť divízie </w:t>
      </w:r>
      <w:proofErr w:type="spellStart"/>
      <w:r w:rsidRPr="00F725A1">
        <w:rPr>
          <w:lang w:val="sk-SK" w:bidi="bo-CN"/>
        </w:rPr>
        <w:t>Adhesive</w:t>
      </w:r>
      <w:proofErr w:type="spellEnd"/>
      <w:r w:rsidRPr="00F725A1">
        <w:rPr>
          <w:lang w:val="sk-SK" w:bidi="bo-CN"/>
        </w:rPr>
        <w:t xml:space="preserve"> Technologies v náročnom trhovom prostredí</w:t>
      </w:r>
    </w:p>
    <w:p w14:paraId="1447DF31" w14:textId="77777777" w:rsidR="00BD2307" w:rsidRPr="00D92568" w:rsidRDefault="00BD2307" w:rsidP="00BD2307">
      <w:pPr>
        <w:pStyle w:val="Odsekzoznamu"/>
        <w:widowControl w:val="0"/>
        <w:numPr>
          <w:ilvl w:val="1"/>
          <w:numId w:val="20"/>
        </w:numPr>
        <w:tabs>
          <w:tab w:val="left" w:pos="702"/>
        </w:tabs>
        <w:autoSpaceDE w:val="0"/>
        <w:autoSpaceDN w:val="0"/>
        <w:spacing w:before="113" w:after="120" w:line="240" w:lineRule="auto"/>
        <w:ind w:left="697" w:hanging="357"/>
        <w:contextualSpacing w:val="0"/>
        <w:jc w:val="left"/>
        <w:rPr>
          <w:lang w:val="sk-SK"/>
        </w:rPr>
      </w:pPr>
      <w:r w:rsidRPr="00F725A1">
        <w:rPr>
          <w:lang w:val="sk-SK" w:bidi="bo-CN"/>
        </w:rPr>
        <w:t>Výrazné zvýšenie objemu predaj</w:t>
      </w:r>
      <w:r>
        <w:rPr>
          <w:lang w:val="sk-SK" w:bidi="bo-CN"/>
        </w:rPr>
        <w:t>a</w:t>
      </w:r>
      <w:r w:rsidRPr="00F725A1">
        <w:rPr>
          <w:lang w:val="sk-SK" w:bidi="bo-CN"/>
        </w:rPr>
        <w:t xml:space="preserve"> v divízii </w:t>
      </w:r>
      <w:proofErr w:type="spellStart"/>
      <w:r w:rsidRPr="00F725A1">
        <w:rPr>
          <w:lang w:val="sk-SK" w:bidi="bo-CN"/>
        </w:rPr>
        <w:t>Consumer</w:t>
      </w:r>
      <w:proofErr w:type="spellEnd"/>
      <w:r w:rsidRPr="00F725A1">
        <w:rPr>
          <w:lang w:val="sk-SK" w:bidi="bo-CN"/>
        </w:rPr>
        <w:t xml:space="preserve"> </w:t>
      </w:r>
      <w:proofErr w:type="spellStart"/>
      <w:r w:rsidRPr="00F725A1">
        <w:rPr>
          <w:lang w:val="sk-SK" w:bidi="bo-CN"/>
        </w:rPr>
        <w:t>Brands</w:t>
      </w:r>
      <w:proofErr w:type="spellEnd"/>
      <w:r w:rsidRPr="00F725A1">
        <w:rPr>
          <w:lang w:val="sk-SK" w:bidi="bo-CN"/>
        </w:rPr>
        <w:t xml:space="preserve"> – top 10 značiek zaznamenalo pozitívn</w:t>
      </w:r>
      <w:r>
        <w:rPr>
          <w:lang w:val="sk-SK" w:bidi="bo-CN"/>
        </w:rPr>
        <w:t>y</w:t>
      </w:r>
      <w:r w:rsidRPr="00F725A1">
        <w:rPr>
          <w:lang w:val="sk-SK" w:bidi="bo-CN"/>
        </w:rPr>
        <w:t xml:space="preserve"> </w:t>
      </w:r>
      <w:r>
        <w:rPr>
          <w:lang w:val="sk-SK" w:bidi="bo-CN"/>
        </w:rPr>
        <w:t>r</w:t>
      </w:r>
      <w:r w:rsidRPr="00F725A1">
        <w:rPr>
          <w:lang w:val="sk-SK" w:bidi="bo-CN"/>
        </w:rPr>
        <w:t>ast</w:t>
      </w:r>
      <w:r>
        <w:rPr>
          <w:lang w:val="sk-SK" w:bidi="bo-CN"/>
        </w:rPr>
        <w:t xml:space="preserve"> organického</w:t>
      </w:r>
      <w:r w:rsidRPr="00F725A1">
        <w:rPr>
          <w:lang w:val="sk-SK" w:bidi="bo-CN"/>
        </w:rPr>
        <w:t xml:space="preserve"> obratu</w:t>
      </w:r>
    </w:p>
    <w:p w14:paraId="244A0B95" w14:textId="77777777" w:rsidR="00BD2307" w:rsidRPr="00D92568" w:rsidRDefault="00BD2307" w:rsidP="00BD2307">
      <w:pPr>
        <w:pStyle w:val="He01FlietextAufzhlung1Ebene"/>
        <w:ind w:hanging="357"/>
        <w:rPr>
          <w:b/>
          <w:bCs/>
          <w:lang w:val="sk-SK"/>
        </w:rPr>
      </w:pPr>
      <w:r w:rsidRPr="00F725A1">
        <w:rPr>
          <w:b/>
          <w:lang w:val="sk-SK" w:bidi="bo-CN"/>
        </w:rPr>
        <w:t>Aktualizovaný výhľad na finančný rok 2025:</w:t>
      </w:r>
    </w:p>
    <w:p w14:paraId="47AB101F" w14:textId="77777777" w:rsidR="00BD2307" w:rsidRPr="00D92568" w:rsidRDefault="00BD2307" w:rsidP="00BD2307">
      <w:pPr>
        <w:pStyle w:val="He01FlietextAufzhlung2Ebene"/>
        <w:rPr>
          <w:lang w:val="sk-SK"/>
        </w:rPr>
      </w:pPr>
      <w:r>
        <w:rPr>
          <w:lang w:val="sk-SK" w:bidi="bo-CN"/>
        </w:rPr>
        <w:t xml:space="preserve">Rast organického </w:t>
      </w:r>
      <w:r w:rsidRPr="00F725A1">
        <w:rPr>
          <w:lang w:val="sk-SK" w:bidi="bo-CN"/>
        </w:rPr>
        <w:t>obratu:</w:t>
      </w:r>
      <w:r w:rsidRPr="00D92568">
        <w:rPr>
          <w:lang w:val="sk-SK"/>
        </w:rPr>
        <w:t xml:space="preserve"> </w:t>
      </w:r>
      <w:r w:rsidRPr="00F725A1">
        <w:rPr>
          <w:lang w:val="sk-SK" w:bidi="bo-CN"/>
        </w:rPr>
        <w:t>od 1,0 do 2,0 percent (pôvodne: 1,5 až 3,5 percenta)</w:t>
      </w:r>
    </w:p>
    <w:p w14:paraId="0896498F" w14:textId="77777777" w:rsidR="00BD2307" w:rsidRPr="00D92568" w:rsidRDefault="00BD2307" w:rsidP="00BD2307">
      <w:pPr>
        <w:pStyle w:val="He01FlietextAufzhlung2Ebene"/>
        <w:rPr>
          <w:lang w:val="sk-SK"/>
        </w:rPr>
      </w:pPr>
      <w:r w:rsidRPr="00F725A1">
        <w:rPr>
          <w:lang w:val="sk-SK" w:bidi="bo-CN"/>
        </w:rPr>
        <w:t>Upravená výnosnosť predaja:</w:t>
      </w:r>
      <w:r w:rsidRPr="00D92568">
        <w:rPr>
          <w:lang w:val="sk-SK"/>
        </w:rPr>
        <w:t xml:space="preserve"> </w:t>
      </w:r>
      <w:r w:rsidRPr="00F725A1">
        <w:rPr>
          <w:lang w:val="sk-SK" w:bidi="bo-CN"/>
        </w:rPr>
        <w:t>od 14,5 do 15,5 percenta (pôvodne: 14,0 až 15,5 percenta)</w:t>
      </w:r>
    </w:p>
    <w:p w14:paraId="1340C18E" w14:textId="0890B3B1" w:rsidR="00BD2307" w:rsidRPr="00952576" w:rsidRDefault="00BD2307" w:rsidP="00952576">
      <w:pPr>
        <w:pStyle w:val="He01FlietextAufzhlung2Ebene"/>
        <w:rPr>
          <w:lang w:val="sk-SK" w:bidi="bo-CN"/>
        </w:rPr>
      </w:pPr>
      <w:r w:rsidRPr="00F725A1">
        <w:rPr>
          <w:lang w:val="sk-SK" w:bidi="bo-CN"/>
        </w:rPr>
        <w:t>Upravený výnos na prioritnú akciu (EPS): zvýšenie v nízkom až vysokom jednocifernom percentuálnom pásme pri konštantných kurzových sadzbách (bez zmeny)</w:t>
      </w:r>
    </w:p>
    <w:p w14:paraId="7E4C5C1C" w14:textId="77777777" w:rsidR="00BD2307" w:rsidRDefault="00BD2307" w:rsidP="00643D8A">
      <w:pPr>
        <w:rPr>
          <w:rFonts w:cs="Segoe UI"/>
          <w:szCs w:val="22"/>
          <w:lang w:val="sk-SK"/>
        </w:rPr>
      </w:pPr>
    </w:p>
    <w:p w14:paraId="1BB2EBDE" w14:textId="77777777" w:rsidR="007347CB" w:rsidRPr="00D92568" w:rsidRDefault="007347CB" w:rsidP="007347CB">
      <w:pPr>
        <w:pStyle w:val="He01Flietext"/>
        <w:spacing w:after="0" w:line="276" w:lineRule="auto"/>
        <w:jc w:val="both"/>
        <w:rPr>
          <w:rFonts w:cs="Segoe UI"/>
          <w:lang w:val="sk-SK"/>
        </w:rPr>
      </w:pPr>
      <w:proofErr w:type="spellStart"/>
      <w:r w:rsidRPr="00FC666A">
        <w:rPr>
          <w:rFonts w:cs="Segoe UI"/>
          <w:lang w:val="sk-SK" w:bidi="bo-CN"/>
        </w:rPr>
        <w:t>Düsseldorf</w:t>
      </w:r>
      <w:proofErr w:type="spellEnd"/>
      <w:r w:rsidRPr="00FC666A">
        <w:rPr>
          <w:rFonts w:cs="Segoe UI"/>
          <w:lang w:val="sk-SK" w:bidi="bo-CN"/>
        </w:rPr>
        <w:t xml:space="preserve"> – Po slabšom nástupe do aktuálneho roka zaznamenala spoločnosť Henkel v prvom polroku 2025 zrýchlenie rastu organického obratu, za ktorým stoja zlepšené výsledky v priebehu druhého štvrťroka.</w:t>
      </w:r>
      <w:r w:rsidRPr="00D92568">
        <w:rPr>
          <w:rFonts w:cs="Segoe UI"/>
          <w:lang w:val="sk-SK"/>
        </w:rPr>
        <w:t xml:space="preserve"> </w:t>
      </w:r>
      <w:r w:rsidRPr="00FC666A">
        <w:rPr>
          <w:rFonts w:cs="Segoe UI"/>
          <w:lang w:val="sk-SK" w:bidi="bo-CN"/>
        </w:rPr>
        <w:t xml:space="preserve">Zároveň sa jej </w:t>
      </w:r>
      <w:r w:rsidRPr="00914C6C">
        <w:rPr>
          <w:rFonts w:cs="Segoe UI"/>
          <w:lang w:val="sk-SK" w:bidi="bo-CN"/>
        </w:rPr>
        <w:t>podarilo výrazne zvýšiť svoju ziskovosť.</w:t>
      </w:r>
      <w:r w:rsidRPr="00D92568">
        <w:rPr>
          <w:rFonts w:cs="Segoe UI"/>
          <w:lang w:val="sk-SK"/>
        </w:rPr>
        <w:t xml:space="preserve"> </w:t>
      </w:r>
      <w:r w:rsidRPr="00E411B9">
        <w:rPr>
          <w:rFonts w:cs="Segoe UI"/>
          <w:i/>
          <w:iCs/>
          <w:lang w:val="sk-SK" w:bidi="bo-CN"/>
        </w:rPr>
        <w:t xml:space="preserve">„K </w:t>
      </w:r>
      <w:r w:rsidRPr="00E411B9">
        <w:rPr>
          <w:rFonts w:cs="Segoe UI"/>
          <w:i/>
          <w:iCs/>
          <w:lang w:val="sk-SK" w:bidi="bo-CN"/>
        </w:rPr>
        <w:lastRenderedPageBreak/>
        <w:t xml:space="preserve">zvýšeniu rastu organického obratu prispeli obidve obchodné divízie, ale predovšetkým postupný nárast objemu predaja divízie </w:t>
      </w:r>
      <w:proofErr w:type="spellStart"/>
      <w:r w:rsidRPr="00E411B9">
        <w:rPr>
          <w:rFonts w:cs="Segoe UI"/>
          <w:i/>
          <w:iCs/>
          <w:lang w:val="sk-SK" w:bidi="bo-CN"/>
        </w:rPr>
        <w:t>Consumer</w:t>
      </w:r>
      <w:proofErr w:type="spellEnd"/>
      <w:r w:rsidRPr="00E411B9">
        <w:rPr>
          <w:rFonts w:cs="Segoe UI"/>
          <w:i/>
          <w:iCs/>
          <w:lang w:val="sk-SK" w:bidi="bo-CN"/>
        </w:rPr>
        <w:t xml:space="preserve"> </w:t>
      </w:r>
      <w:proofErr w:type="spellStart"/>
      <w:r w:rsidRPr="00E411B9">
        <w:rPr>
          <w:rFonts w:cs="Segoe UI"/>
          <w:i/>
          <w:iCs/>
          <w:lang w:val="sk-SK" w:bidi="bo-CN"/>
        </w:rPr>
        <w:t>Brands</w:t>
      </w:r>
      <w:proofErr w:type="spellEnd"/>
      <w:r w:rsidRPr="00E411B9">
        <w:rPr>
          <w:rFonts w:cs="Segoe UI"/>
          <w:i/>
          <w:iCs/>
          <w:lang w:val="sk-SK" w:bidi="bo-CN"/>
        </w:rPr>
        <w:t>.</w:t>
      </w:r>
      <w:r w:rsidRPr="00E411B9">
        <w:rPr>
          <w:rFonts w:cs="Segoe UI"/>
          <w:i/>
          <w:iCs/>
          <w:lang w:val="sk-SK"/>
        </w:rPr>
        <w:t xml:space="preserve"> </w:t>
      </w:r>
      <w:r w:rsidRPr="00E411B9">
        <w:rPr>
          <w:rFonts w:cs="Segoe UI"/>
          <w:i/>
          <w:iCs/>
          <w:lang w:val="sk-SK" w:bidi="bo-CN"/>
        </w:rPr>
        <w:t>Spoločne s pozitívnym cenovým vývojom tak výrazne prispela k rastu organického obratu v druhom štvrťroku.</w:t>
      </w:r>
      <w:r w:rsidRPr="00E411B9">
        <w:rPr>
          <w:rFonts w:cs="Segoe UI"/>
          <w:i/>
          <w:iCs/>
          <w:lang w:val="sk-SK"/>
        </w:rPr>
        <w:t xml:space="preserve"> </w:t>
      </w:r>
      <w:bookmarkStart w:id="1" w:name="_Hlk204078858"/>
      <w:r w:rsidRPr="00E411B9">
        <w:rPr>
          <w:rFonts w:cs="Segoe UI"/>
          <w:i/>
          <w:iCs/>
          <w:lang w:val="sk-SK" w:bidi="bo-CN"/>
        </w:rPr>
        <w:t xml:space="preserve">Obchodná divízia </w:t>
      </w:r>
      <w:proofErr w:type="spellStart"/>
      <w:r w:rsidRPr="00E411B9">
        <w:rPr>
          <w:rFonts w:cs="Segoe UI"/>
          <w:i/>
          <w:iCs/>
          <w:lang w:val="sk-SK" w:bidi="bo-CN"/>
        </w:rPr>
        <w:t>Adhesive</w:t>
      </w:r>
      <w:proofErr w:type="spellEnd"/>
      <w:r w:rsidRPr="00E411B9">
        <w:rPr>
          <w:rFonts w:cs="Segoe UI"/>
          <w:i/>
          <w:iCs/>
          <w:lang w:val="sk-SK" w:bidi="bo-CN"/>
        </w:rPr>
        <w:t xml:space="preserve"> Technologies dosiahla za prvých šesť mesiacov kladný rast organického obratu, a to vďaka vyrovnanému vývoju v oblasti cien aj objemu predaja,“</w:t>
      </w:r>
      <w:r w:rsidRPr="00672A58">
        <w:rPr>
          <w:rFonts w:cs="Segoe UI"/>
          <w:lang w:val="sk-SK" w:bidi="bo-CN"/>
        </w:rPr>
        <w:t xml:space="preserve"> povedal predseda predstavenstva spoločnosti Henkel </w:t>
      </w:r>
      <w:proofErr w:type="spellStart"/>
      <w:r w:rsidRPr="00672A58">
        <w:rPr>
          <w:rFonts w:cs="Segoe UI"/>
          <w:lang w:val="sk-SK" w:bidi="bo-CN"/>
        </w:rPr>
        <w:t>Carsten</w:t>
      </w:r>
      <w:proofErr w:type="spellEnd"/>
      <w:r w:rsidRPr="00672A58">
        <w:rPr>
          <w:rFonts w:cs="Segoe UI"/>
          <w:lang w:val="sk-SK" w:bidi="bo-CN"/>
        </w:rPr>
        <w:t xml:space="preserve"> </w:t>
      </w:r>
      <w:proofErr w:type="spellStart"/>
      <w:r w:rsidRPr="00672A58">
        <w:rPr>
          <w:rFonts w:cs="Segoe UI"/>
          <w:lang w:val="sk-SK" w:bidi="bo-CN"/>
        </w:rPr>
        <w:t>Knobel</w:t>
      </w:r>
      <w:proofErr w:type="spellEnd"/>
      <w:r w:rsidRPr="00672A58">
        <w:rPr>
          <w:rFonts w:cs="Segoe UI"/>
          <w:lang w:val="sk-SK" w:bidi="bo-CN"/>
        </w:rPr>
        <w:t>.</w:t>
      </w:r>
    </w:p>
    <w:p w14:paraId="3A0F60A4" w14:textId="77777777" w:rsidR="007347CB" w:rsidRPr="00F725A1" w:rsidRDefault="007347CB" w:rsidP="007347CB">
      <w:pPr>
        <w:rPr>
          <w:rFonts w:cs="Segoe UI"/>
          <w:szCs w:val="22"/>
          <w:lang w:val="sk-SK"/>
        </w:rPr>
      </w:pPr>
    </w:p>
    <w:p w14:paraId="7AFB47DF" w14:textId="77777777" w:rsidR="007347CB" w:rsidRPr="00D92568" w:rsidRDefault="007347CB" w:rsidP="007347CB">
      <w:pPr>
        <w:rPr>
          <w:rFonts w:cs="Segoe UI"/>
          <w:szCs w:val="22"/>
          <w:lang w:val="sk-SK"/>
        </w:rPr>
      </w:pPr>
      <w:r w:rsidRPr="00672A58">
        <w:rPr>
          <w:rFonts w:cs="Segoe UI"/>
          <w:szCs w:val="22"/>
          <w:lang w:val="sk-SK" w:bidi="bo-CN"/>
        </w:rPr>
        <w:t xml:space="preserve"> </w:t>
      </w:r>
      <w:r w:rsidRPr="00E411B9">
        <w:rPr>
          <w:rFonts w:cs="Segoe UI"/>
          <w:i/>
          <w:iCs/>
          <w:szCs w:val="22"/>
          <w:lang w:val="sk-SK" w:bidi="bo-CN"/>
        </w:rPr>
        <w:t>„Okrem toho sa nám v prvom polroku podarilo výrazne zvýšiť našu maržu EBIT.</w:t>
      </w:r>
      <w:r w:rsidRPr="00E411B9">
        <w:rPr>
          <w:rFonts w:cs="Segoe UI"/>
          <w:i/>
          <w:iCs/>
          <w:szCs w:val="22"/>
          <w:lang w:val="sk-SK"/>
        </w:rPr>
        <w:t xml:space="preserve"> </w:t>
      </w:r>
      <w:r w:rsidRPr="00E411B9">
        <w:rPr>
          <w:rFonts w:cs="Segoe UI"/>
          <w:i/>
          <w:iCs/>
          <w:szCs w:val="22"/>
          <w:lang w:val="sk-SK" w:bidi="bo-CN"/>
        </w:rPr>
        <w:t>Za uvedeným zlepšením boli predovšetkým veľmi silné hrubé marže obidvoch obchodných divízií a priaznivý mix obchodných činností.</w:t>
      </w:r>
      <w:r w:rsidRPr="00E411B9">
        <w:rPr>
          <w:rFonts w:cs="Segoe UI"/>
          <w:i/>
          <w:iCs/>
          <w:szCs w:val="22"/>
          <w:lang w:val="sk-SK"/>
        </w:rPr>
        <w:t xml:space="preserve"> </w:t>
      </w:r>
      <w:r w:rsidRPr="00E411B9">
        <w:rPr>
          <w:rFonts w:cs="Segoe UI"/>
          <w:i/>
          <w:iCs/>
          <w:szCs w:val="22"/>
          <w:lang w:val="sk-SK" w:bidi="bo-CN"/>
        </w:rPr>
        <w:t xml:space="preserve">Zároveň sa nám ďalej darilo zlepšovať svoju efektivitu, vďaka čomu sme na dobrej ceste, aby sme naplnili, či dokonca prekročili ciele v oblasti úspor stanovené pre divíziu </w:t>
      </w:r>
      <w:proofErr w:type="spellStart"/>
      <w:r w:rsidRPr="00E411B9">
        <w:rPr>
          <w:rFonts w:cs="Segoe UI"/>
          <w:i/>
          <w:iCs/>
          <w:szCs w:val="22"/>
          <w:lang w:val="sk-SK" w:bidi="bo-CN"/>
        </w:rPr>
        <w:t>Consumer</w:t>
      </w:r>
      <w:proofErr w:type="spellEnd"/>
      <w:r w:rsidRPr="00E411B9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E411B9">
        <w:rPr>
          <w:rFonts w:cs="Segoe UI"/>
          <w:i/>
          <w:iCs/>
          <w:szCs w:val="22"/>
          <w:lang w:val="sk-SK" w:bidi="bo-CN"/>
        </w:rPr>
        <w:t>Brands</w:t>
      </w:r>
      <w:proofErr w:type="spellEnd"/>
      <w:r w:rsidRPr="00E411B9">
        <w:rPr>
          <w:rFonts w:cs="Segoe UI"/>
          <w:i/>
          <w:iCs/>
          <w:szCs w:val="22"/>
          <w:lang w:val="sk-SK" w:bidi="bo-CN"/>
        </w:rPr>
        <w:t>.</w:t>
      </w:r>
      <w:r w:rsidRPr="00E411B9">
        <w:rPr>
          <w:rFonts w:cs="Segoe UI"/>
          <w:i/>
          <w:iCs/>
          <w:szCs w:val="22"/>
          <w:lang w:val="sk-SK"/>
        </w:rPr>
        <w:t xml:space="preserve"> </w:t>
      </w:r>
      <w:bookmarkEnd w:id="1"/>
      <w:r w:rsidRPr="00E411B9">
        <w:rPr>
          <w:rFonts w:cs="Segoe UI"/>
          <w:i/>
          <w:iCs/>
          <w:szCs w:val="22"/>
          <w:lang w:val="sk-SK" w:bidi="bo-CN"/>
        </w:rPr>
        <w:t>Rovnako sme pokračovali v investovaní do našich značiek a technológií s cieľom posilniť náš budúci rastový potenciál,“</w:t>
      </w:r>
      <w:r w:rsidRPr="00B848E5">
        <w:rPr>
          <w:rFonts w:cs="Segoe UI"/>
          <w:szCs w:val="22"/>
          <w:lang w:val="sk-SK" w:bidi="bo-CN"/>
        </w:rPr>
        <w:t xml:space="preserve"> zdôraznil </w:t>
      </w:r>
      <w:proofErr w:type="spellStart"/>
      <w:r w:rsidRPr="00B848E5">
        <w:rPr>
          <w:rFonts w:cs="Segoe UI"/>
          <w:szCs w:val="22"/>
          <w:lang w:val="sk-SK" w:bidi="bo-CN"/>
        </w:rPr>
        <w:t>Carsten</w:t>
      </w:r>
      <w:proofErr w:type="spellEnd"/>
      <w:r w:rsidRPr="00B848E5">
        <w:rPr>
          <w:rFonts w:cs="Segoe UI"/>
          <w:szCs w:val="22"/>
          <w:lang w:val="sk-SK" w:bidi="bo-CN"/>
        </w:rPr>
        <w:t xml:space="preserve"> </w:t>
      </w:r>
      <w:proofErr w:type="spellStart"/>
      <w:r w:rsidRPr="00B848E5">
        <w:rPr>
          <w:rFonts w:cs="Segoe UI"/>
          <w:szCs w:val="22"/>
          <w:lang w:val="sk-SK" w:bidi="bo-CN"/>
        </w:rPr>
        <w:t>Knobel</w:t>
      </w:r>
      <w:proofErr w:type="spellEnd"/>
      <w:r w:rsidRPr="00B848E5">
        <w:rPr>
          <w:rFonts w:cs="Segoe UI"/>
          <w:szCs w:val="22"/>
          <w:lang w:val="sk-SK" w:bidi="bo-CN"/>
        </w:rPr>
        <w:t>.</w:t>
      </w:r>
    </w:p>
    <w:p w14:paraId="15011D1E" w14:textId="77777777" w:rsidR="007347CB" w:rsidRPr="00F725A1" w:rsidRDefault="007347CB" w:rsidP="007347CB">
      <w:pPr>
        <w:rPr>
          <w:rFonts w:cs="Segoe UI"/>
          <w:szCs w:val="22"/>
          <w:lang w:val="sk-SK"/>
        </w:rPr>
      </w:pPr>
    </w:p>
    <w:p w14:paraId="66C6B8F9" w14:textId="77777777" w:rsidR="007347CB" w:rsidRPr="00D92568" w:rsidRDefault="007347CB" w:rsidP="007347CB">
      <w:pPr>
        <w:spacing w:after="120"/>
        <w:ind w:right="-108"/>
        <w:jc w:val="left"/>
        <w:rPr>
          <w:rFonts w:cs="Segoe UI"/>
          <w:b/>
          <w:bCs/>
          <w:szCs w:val="22"/>
          <w:lang w:val="sk-SK"/>
        </w:rPr>
      </w:pPr>
      <w:r w:rsidRPr="00B848E5">
        <w:rPr>
          <w:rFonts w:cs="Segoe UI"/>
          <w:b/>
          <w:bCs/>
          <w:szCs w:val="22"/>
          <w:lang w:val="sk-SK" w:bidi="bo-CN"/>
        </w:rPr>
        <w:t>Aktualizovaný výhľad na finančný rok 2025</w:t>
      </w:r>
    </w:p>
    <w:p w14:paraId="70B327AF" w14:textId="77777777" w:rsidR="007347CB" w:rsidRPr="00D92568" w:rsidRDefault="007347CB" w:rsidP="007347CB">
      <w:pPr>
        <w:rPr>
          <w:rFonts w:cs="Segoe UI"/>
          <w:szCs w:val="22"/>
          <w:lang w:val="sk-SK"/>
        </w:rPr>
      </w:pPr>
      <w:r w:rsidRPr="00574E33">
        <w:rPr>
          <w:rFonts w:cs="Segoe UI"/>
          <w:szCs w:val="22"/>
          <w:lang w:val="sk-SK" w:bidi="bo-CN"/>
        </w:rPr>
        <w:t>Na základe dosiahnutých obchodných výsledkov za prvý polrok 2025 a </w:t>
      </w:r>
      <w:r w:rsidRPr="00093163">
        <w:rPr>
          <w:rFonts w:cs="Segoe UI"/>
          <w:szCs w:val="22"/>
          <w:lang w:val="sk-SK" w:bidi="bo-CN"/>
        </w:rPr>
        <w:t>predpokladov</w:t>
      </w:r>
      <w:r w:rsidRPr="00574E33">
        <w:rPr>
          <w:rFonts w:cs="Segoe UI"/>
          <w:szCs w:val="22"/>
          <w:lang w:val="sk-SK" w:bidi="bo-CN"/>
        </w:rPr>
        <w:t xml:space="preserve"> na zvyšné obdobie roka spoločnosť Henkel aktualizovala výhľad na finančných rok 2025.</w:t>
      </w:r>
    </w:p>
    <w:p w14:paraId="24064EC0" w14:textId="77777777" w:rsidR="007347CB" w:rsidRPr="00F725A1" w:rsidRDefault="007347CB" w:rsidP="007347CB">
      <w:pPr>
        <w:rPr>
          <w:rFonts w:cs="Segoe UI"/>
          <w:szCs w:val="22"/>
          <w:lang w:val="sk-SK"/>
        </w:rPr>
      </w:pPr>
    </w:p>
    <w:p w14:paraId="2107DE10" w14:textId="77777777" w:rsidR="007347CB" w:rsidRPr="00D92568" w:rsidRDefault="007347CB" w:rsidP="007347CB">
      <w:pPr>
        <w:rPr>
          <w:rFonts w:cs="Segoe UI"/>
          <w:szCs w:val="22"/>
          <w:lang w:val="sk-SK"/>
        </w:rPr>
      </w:pPr>
      <w:r w:rsidRPr="006E18EF">
        <w:rPr>
          <w:rFonts w:cs="Segoe UI"/>
          <w:szCs w:val="22"/>
          <w:lang w:val="sk-SK" w:bidi="bo-CN"/>
        </w:rPr>
        <w:t xml:space="preserve"> </w:t>
      </w:r>
      <w:r w:rsidRPr="00756F9B">
        <w:rPr>
          <w:rFonts w:cs="Segoe UI"/>
          <w:i/>
          <w:iCs/>
          <w:szCs w:val="22"/>
          <w:lang w:val="sk-SK" w:bidi="bo-CN"/>
        </w:rPr>
        <w:t>„Vo finančnom roku 2025 očakávame ďalší rast ziskovosti a v druhej polovici roka ešte výraznejší rast obratu.</w:t>
      </w:r>
      <w:r w:rsidRPr="00756F9B">
        <w:rPr>
          <w:rFonts w:cs="Segoe UI"/>
          <w:i/>
          <w:iCs/>
          <w:szCs w:val="22"/>
          <w:lang w:val="sk-SK"/>
        </w:rPr>
        <w:t xml:space="preserve"> </w:t>
      </w:r>
      <w:r w:rsidRPr="00756F9B">
        <w:rPr>
          <w:rFonts w:cs="Segoe UI"/>
          <w:i/>
          <w:iCs/>
          <w:szCs w:val="22"/>
          <w:lang w:val="sk-SK" w:bidi="bo-CN"/>
        </w:rPr>
        <w:t>Aktualizovaný výhľad na jednej strane zohľadňuje vplyv náročného makroekonomického prostredia na vývoj organického obratu našich dvoch obchodných divízií,</w:t>
      </w:r>
      <w:r w:rsidRPr="00756F9B">
        <w:rPr>
          <w:rFonts w:cs="Segoe UI"/>
          <w:i/>
          <w:iCs/>
          <w:szCs w:val="22"/>
          <w:lang w:val="sk-SK"/>
        </w:rPr>
        <w:t xml:space="preserve"> </w:t>
      </w:r>
      <w:r w:rsidRPr="00756F9B">
        <w:rPr>
          <w:rFonts w:cs="Segoe UI"/>
          <w:i/>
          <w:iCs/>
          <w:szCs w:val="22"/>
          <w:lang w:val="sk-SK" w:bidi="bo-CN"/>
        </w:rPr>
        <w:t>na druhej strane, očakávané zvýšenie ziskovosti odráža pozitívny vývoj našej hrubej marže, prínosy vyplývajúce z optimalizácie portfólia a zlepšenie efektívnosti v rámci celej spoločnosti.</w:t>
      </w:r>
      <w:r w:rsidRPr="00756F9B">
        <w:rPr>
          <w:rFonts w:cs="Segoe UI"/>
          <w:i/>
          <w:iCs/>
          <w:szCs w:val="22"/>
          <w:lang w:val="sk-SK"/>
        </w:rPr>
        <w:t xml:space="preserve"> </w:t>
      </w:r>
      <w:r w:rsidRPr="00756F9B">
        <w:rPr>
          <w:rFonts w:cs="Segoe UI"/>
          <w:i/>
          <w:iCs/>
          <w:szCs w:val="22"/>
          <w:lang w:val="sk-SK" w:bidi="bo-CN"/>
        </w:rPr>
        <w:t>Aktualizovaný výhľad i naďalej zohľadňuje dopady globálnych colných dohôd, ktoré je možné v súčasnosti predpokladať, a vo všeobecnosti korešponduje s aktuálnymi trhovými očakávaniami týkajúcimi sa vývoja podnikania spoločnosti Henkel v priebehu roka,“</w:t>
      </w:r>
      <w:r w:rsidRPr="00637AB7">
        <w:rPr>
          <w:rFonts w:cs="Segoe UI"/>
          <w:szCs w:val="22"/>
          <w:lang w:val="sk-SK" w:bidi="bo-CN"/>
        </w:rPr>
        <w:t xml:space="preserve"> povedal </w:t>
      </w:r>
      <w:proofErr w:type="spellStart"/>
      <w:r w:rsidRPr="00637AB7">
        <w:rPr>
          <w:rFonts w:cs="Segoe UI"/>
          <w:szCs w:val="22"/>
          <w:lang w:val="sk-SK" w:bidi="bo-CN"/>
        </w:rPr>
        <w:t>Carsten</w:t>
      </w:r>
      <w:proofErr w:type="spellEnd"/>
      <w:r w:rsidRPr="00637AB7">
        <w:rPr>
          <w:rFonts w:cs="Segoe UI"/>
          <w:szCs w:val="22"/>
          <w:lang w:val="sk-SK" w:bidi="bo-CN"/>
        </w:rPr>
        <w:t xml:space="preserve"> </w:t>
      </w:r>
      <w:proofErr w:type="spellStart"/>
      <w:r w:rsidRPr="00637AB7">
        <w:rPr>
          <w:rFonts w:cs="Segoe UI"/>
          <w:szCs w:val="22"/>
          <w:lang w:val="sk-SK" w:bidi="bo-CN"/>
        </w:rPr>
        <w:t>Knobel</w:t>
      </w:r>
      <w:proofErr w:type="spellEnd"/>
      <w:r w:rsidRPr="00637AB7">
        <w:rPr>
          <w:rFonts w:cs="Segoe UI"/>
          <w:szCs w:val="22"/>
          <w:lang w:val="sk-SK" w:bidi="bo-CN"/>
        </w:rPr>
        <w:t xml:space="preserve"> na vysvetlenie aktualizovaného výhľadu. </w:t>
      </w:r>
    </w:p>
    <w:p w14:paraId="45DEDC23" w14:textId="77777777" w:rsidR="007347CB" w:rsidRPr="00F725A1" w:rsidRDefault="007347CB" w:rsidP="007347CB">
      <w:pPr>
        <w:rPr>
          <w:rFonts w:cs="Segoe UI"/>
          <w:szCs w:val="22"/>
          <w:lang w:val="sk-SK"/>
        </w:rPr>
      </w:pPr>
    </w:p>
    <w:p w14:paraId="11AFF9C4" w14:textId="77777777" w:rsidR="007347CB" w:rsidRPr="00D92568" w:rsidRDefault="007347CB" w:rsidP="007347CB">
      <w:pPr>
        <w:rPr>
          <w:rFonts w:cs="Segoe UI"/>
          <w:szCs w:val="22"/>
          <w:lang w:val="sk-SK"/>
        </w:rPr>
      </w:pPr>
      <w:r w:rsidRPr="009C06F4">
        <w:rPr>
          <w:rFonts w:cs="Segoe UI"/>
          <w:szCs w:val="22"/>
          <w:lang w:val="sk-SK" w:bidi="bo-CN"/>
        </w:rPr>
        <w:t>Pre aktuálny finančný rok spoločnosť Henkel v súčasnosti očakáva</w:t>
      </w:r>
      <w:r>
        <w:rPr>
          <w:rFonts w:cs="Segoe UI"/>
          <w:szCs w:val="22"/>
          <w:lang w:val="sk-SK" w:bidi="bo-CN"/>
        </w:rPr>
        <w:t xml:space="preserve"> rast organického</w:t>
      </w:r>
      <w:r w:rsidRPr="009C06F4">
        <w:rPr>
          <w:rFonts w:cs="Segoe UI"/>
          <w:szCs w:val="22"/>
          <w:lang w:val="sk-SK" w:bidi="bo-CN"/>
        </w:rPr>
        <w:t xml:space="preserve"> obratu v rozsahu 1,0 až 2,0 percent (pôvodne: 1,5 až 3,5 percenta).</w:t>
      </w:r>
      <w:r w:rsidRPr="00D92568">
        <w:rPr>
          <w:rFonts w:cs="Segoe UI"/>
          <w:szCs w:val="22"/>
          <w:lang w:val="sk-SK"/>
        </w:rPr>
        <w:t xml:space="preserve"> </w:t>
      </w:r>
      <w:r w:rsidRPr="009C06F4">
        <w:rPr>
          <w:rFonts w:cs="Segoe UI"/>
          <w:szCs w:val="22"/>
          <w:lang w:val="sk-SK" w:bidi="bo-CN"/>
        </w:rPr>
        <w:t xml:space="preserve">V prípade obchodnej divízie </w:t>
      </w:r>
      <w:proofErr w:type="spellStart"/>
      <w:r w:rsidRPr="009C06F4">
        <w:rPr>
          <w:rFonts w:cs="Segoe UI"/>
          <w:szCs w:val="22"/>
          <w:lang w:val="sk-SK" w:bidi="bo-CN"/>
        </w:rPr>
        <w:t>Adhesive</w:t>
      </w:r>
      <w:proofErr w:type="spellEnd"/>
      <w:r w:rsidRPr="009C06F4">
        <w:rPr>
          <w:rFonts w:cs="Segoe UI"/>
          <w:szCs w:val="22"/>
          <w:lang w:val="sk-SK" w:bidi="bo-CN"/>
        </w:rPr>
        <w:t xml:space="preserve"> Technologies sa momentálne očakáva rast organick</w:t>
      </w:r>
      <w:r>
        <w:rPr>
          <w:rFonts w:cs="Segoe UI"/>
          <w:szCs w:val="22"/>
          <w:lang w:val="sk-SK" w:bidi="bo-CN"/>
        </w:rPr>
        <w:t xml:space="preserve">ého </w:t>
      </w:r>
      <w:r w:rsidRPr="009C06F4">
        <w:rPr>
          <w:rFonts w:cs="Segoe UI"/>
          <w:szCs w:val="22"/>
          <w:lang w:val="sk-SK" w:bidi="bo-CN"/>
        </w:rPr>
        <w:t>obratu v rozsahu 2,0 až 3,0 percent (pôvodne: 2,0 až 4,0 percentá),</w:t>
      </w:r>
      <w:r w:rsidRPr="00D92568">
        <w:rPr>
          <w:rFonts w:cs="Segoe UI"/>
          <w:szCs w:val="22"/>
          <w:lang w:val="sk-SK"/>
        </w:rPr>
        <w:t xml:space="preserve"> </w:t>
      </w:r>
      <w:r w:rsidRPr="003C3333">
        <w:rPr>
          <w:rFonts w:cs="Segoe UI"/>
          <w:szCs w:val="22"/>
          <w:lang w:val="sk-SK" w:bidi="bo-CN"/>
        </w:rPr>
        <w:t xml:space="preserve">pri divízii </w:t>
      </w:r>
      <w:proofErr w:type="spellStart"/>
      <w:r w:rsidRPr="003C3333">
        <w:rPr>
          <w:rFonts w:cs="Segoe UI"/>
          <w:szCs w:val="22"/>
          <w:lang w:val="sk-SK" w:bidi="bo-CN"/>
        </w:rPr>
        <w:t>Consumer</w:t>
      </w:r>
      <w:proofErr w:type="spellEnd"/>
      <w:r w:rsidRPr="003C3333">
        <w:rPr>
          <w:rFonts w:cs="Segoe UI"/>
          <w:szCs w:val="22"/>
          <w:lang w:val="sk-SK" w:bidi="bo-CN"/>
        </w:rPr>
        <w:t xml:space="preserve"> </w:t>
      </w:r>
      <w:proofErr w:type="spellStart"/>
      <w:r w:rsidRPr="003C3333">
        <w:rPr>
          <w:rFonts w:cs="Segoe UI"/>
          <w:szCs w:val="22"/>
          <w:lang w:val="sk-SK" w:bidi="bo-CN"/>
        </w:rPr>
        <w:t>Brands</w:t>
      </w:r>
      <w:proofErr w:type="spellEnd"/>
      <w:r w:rsidRPr="003C3333">
        <w:rPr>
          <w:rFonts w:cs="Segoe UI"/>
          <w:szCs w:val="22"/>
          <w:lang w:val="sk-SK" w:bidi="bo-CN"/>
        </w:rPr>
        <w:t xml:space="preserve"> sa očakáva zvýšenie organického obratu o 0,5 až 1,5 percenta (pôvodne: 1,0 až 3,0 percentá).</w:t>
      </w:r>
      <w:r w:rsidRPr="00D92568">
        <w:rPr>
          <w:rFonts w:cs="Segoe UI"/>
          <w:szCs w:val="22"/>
          <w:lang w:val="sk-SK"/>
        </w:rPr>
        <w:t xml:space="preserve"> </w:t>
      </w:r>
      <w:r w:rsidRPr="00162948">
        <w:rPr>
          <w:rFonts w:cs="Segoe UI"/>
          <w:szCs w:val="22"/>
          <w:lang w:val="sk-SK" w:bidi="bo-CN"/>
        </w:rPr>
        <w:t xml:space="preserve">Očakávaná </w:t>
      </w:r>
      <w:r w:rsidRPr="00162948">
        <w:rPr>
          <w:rFonts w:cs="Segoe UI"/>
          <w:b/>
          <w:bCs/>
          <w:szCs w:val="22"/>
          <w:lang w:val="sk-SK" w:bidi="bo-CN"/>
        </w:rPr>
        <w:t xml:space="preserve">upravená výnosnosť predaja </w:t>
      </w:r>
      <w:r w:rsidRPr="00162948">
        <w:rPr>
          <w:rFonts w:cs="Segoe UI"/>
          <w:szCs w:val="22"/>
          <w:lang w:val="sk-SK" w:bidi="bo-CN"/>
        </w:rPr>
        <w:t xml:space="preserve">(upravená marža EBIT) bola zároveň zvýšená na úroveň 14,5 až 15,5 </w:t>
      </w:r>
      <w:r w:rsidRPr="00162948">
        <w:rPr>
          <w:rFonts w:cs="Segoe UI"/>
          <w:szCs w:val="22"/>
          <w:lang w:val="sk-SK" w:bidi="bo-CN"/>
        </w:rPr>
        <w:lastRenderedPageBreak/>
        <w:t>percenta (pôvodne: 14,0 až 15,5 percenta).</w:t>
      </w:r>
      <w:r w:rsidRPr="00D92568">
        <w:rPr>
          <w:rFonts w:cs="Segoe UI"/>
          <w:szCs w:val="22"/>
          <w:lang w:val="sk-SK"/>
        </w:rPr>
        <w:t xml:space="preserve"> </w:t>
      </w:r>
      <w:r w:rsidRPr="000C5385">
        <w:rPr>
          <w:rFonts w:cs="Segoe UI"/>
          <w:szCs w:val="22"/>
          <w:lang w:val="sk-SK" w:bidi="bo-CN"/>
        </w:rPr>
        <w:t xml:space="preserve">V prípade divízie </w:t>
      </w:r>
      <w:proofErr w:type="spellStart"/>
      <w:r w:rsidRPr="000C5385">
        <w:rPr>
          <w:rFonts w:cs="Segoe UI"/>
          <w:szCs w:val="22"/>
          <w:lang w:val="sk-SK" w:bidi="bo-CN"/>
        </w:rPr>
        <w:t>Adhesive</w:t>
      </w:r>
      <w:proofErr w:type="spellEnd"/>
      <w:r w:rsidRPr="000C5385">
        <w:rPr>
          <w:rFonts w:cs="Segoe UI"/>
          <w:szCs w:val="22"/>
          <w:lang w:val="sk-SK" w:bidi="bo-CN"/>
        </w:rPr>
        <w:t xml:space="preserve"> Technologies sa aktuálne predpokladá upravená výnosnosť predaja v rozsahu 16,5 až 17,5 percenta (pôvodne: 16,0 až 17,5 percenta) a v prípade divízie </w:t>
      </w:r>
      <w:proofErr w:type="spellStart"/>
      <w:r w:rsidRPr="000C5385">
        <w:rPr>
          <w:rFonts w:cs="Segoe UI"/>
          <w:szCs w:val="22"/>
          <w:lang w:val="sk-SK" w:bidi="bo-CN"/>
        </w:rPr>
        <w:t>Consumer</w:t>
      </w:r>
      <w:proofErr w:type="spellEnd"/>
      <w:r w:rsidRPr="000C5385">
        <w:rPr>
          <w:rFonts w:cs="Segoe UI"/>
          <w:szCs w:val="22"/>
          <w:lang w:val="sk-SK" w:bidi="bo-CN"/>
        </w:rPr>
        <w:t xml:space="preserve"> </w:t>
      </w:r>
      <w:proofErr w:type="spellStart"/>
      <w:r w:rsidRPr="000C5385">
        <w:rPr>
          <w:rFonts w:cs="Segoe UI"/>
          <w:szCs w:val="22"/>
          <w:lang w:val="sk-SK" w:bidi="bo-CN"/>
        </w:rPr>
        <w:t>Brands</w:t>
      </w:r>
      <w:proofErr w:type="spellEnd"/>
      <w:r w:rsidRPr="000C5385">
        <w:rPr>
          <w:rFonts w:cs="Segoe UI"/>
          <w:szCs w:val="22"/>
          <w:lang w:val="sk-SK" w:bidi="bo-CN"/>
        </w:rPr>
        <w:t xml:space="preserve"> v rozsahu 14,0 až 15,0 percent (pôvodne 13,5 až 15,0 percent).</w:t>
      </w:r>
      <w:r w:rsidRPr="00D92568">
        <w:rPr>
          <w:rFonts w:cs="Segoe UI"/>
          <w:szCs w:val="22"/>
          <w:lang w:val="sk-SK"/>
        </w:rPr>
        <w:t xml:space="preserve"> </w:t>
      </w:r>
      <w:r w:rsidRPr="00EC5E2F">
        <w:rPr>
          <w:rFonts w:cs="Segoe UI"/>
          <w:szCs w:val="22"/>
          <w:lang w:val="sk-SK" w:bidi="bo-CN"/>
        </w:rPr>
        <w:t>Pri</w:t>
      </w:r>
      <w:r w:rsidRPr="00EC5E2F">
        <w:rPr>
          <w:rFonts w:cs="Segoe UI"/>
          <w:b/>
          <w:bCs/>
          <w:szCs w:val="22"/>
          <w:lang w:val="sk-SK" w:bidi="bo-CN"/>
        </w:rPr>
        <w:t xml:space="preserve"> upravenom výnose na prioritnú akciu </w:t>
      </w:r>
      <w:r w:rsidRPr="00EC5E2F">
        <w:rPr>
          <w:rFonts w:cs="Segoe UI"/>
          <w:szCs w:val="22"/>
          <w:lang w:val="sk-SK" w:bidi="bo-CN"/>
        </w:rPr>
        <w:t>(EPS) pri konštantných kurzových sadzbách spoločnosť Henkel naďalej očakáva zvýšenie v spodnej až hornej polovici jednociferného percentuálneho pásma.</w:t>
      </w:r>
    </w:p>
    <w:p w14:paraId="270D9FE2" w14:textId="77777777" w:rsidR="007347CB" w:rsidRPr="00F725A1" w:rsidRDefault="007347CB" w:rsidP="007347CB">
      <w:pPr>
        <w:rPr>
          <w:rFonts w:cs="Segoe UI"/>
          <w:szCs w:val="22"/>
          <w:lang w:val="sk-SK"/>
        </w:rPr>
      </w:pPr>
    </w:p>
    <w:p w14:paraId="50BB661C" w14:textId="77777777" w:rsidR="007347CB" w:rsidRPr="00D92568" w:rsidRDefault="007347CB" w:rsidP="007347CB">
      <w:pPr>
        <w:spacing w:after="120"/>
        <w:jc w:val="left"/>
        <w:rPr>
          <w:rFonts w:cs="Segoe UI"/>
          <w:b/>
          <w:bCs/>
          <w:szCs w:val="22"/>
          <w:lang w:val="sk-SK"/>
        </w:rPr>
      </w:pPr>
      <w:r w:rsidRPr="007770EE">
        <w:rPr>
          <w:rFonts w:cs="Segoe UI"/>
          <w:b/>
          <w:bCs/>
          <w:szCs w:val="22"/>
          <w:lang w:val="sk-SK" w:bidi="bo-CN"/>
        </w:rPr>
        <w:t>Vývoj obratu a výnosov v prvom polroku finančného roka 2025</w:t>
      </w:r>
    </w:p>
    <w:p w14:paraId="4049252D" w14:textId="77777777" w:rsidR="007347CB" w:rsidRPr="00D92568" w:rsidRDefault="007347CB" w:rsidP="007347CB">
      <w:pPr>
        <w:rPr>
          <w:rFonts w:cs="Segoe UI"/>
          <w:szCs w:val="22"/>
          <w:lang w:val="sk-SK"/>
        </w:rPr>
      </w:pPr>
      <w:r w:rsidRPr="00214F91">
        <w:rPr>
          <w:rFonts w:cs="Segoe UI"/>
          <w:b/>
          <w:bCs/>
          <w:szCs w:val="22"/>
          <w:lang w:val="sk-SK" w:bidi="bo-CN"/>
        </w:rPr>
        <w:t>Obrat</w:t>
      </w:r>
      <w:r w:rsidRPr="00214F91">
        <w:rPr>
          <w:rFonts w:cs="Segoe UI"/>
          <w:szCs w:val="22"/>
          <w:lang w:val="sk-SK" w:bidi="bo-CN"/>
        </w:rPr>
        <w:t xml:space="preserve"> spoločnosti Henkel </w:t>
      </w:r>
      <w:r w:rsidRPr="00214F91">
        <w:rPr>
          <w:rFonts w:cs="Segoe UI"/>
          <w:b/>
          <w:bCs/>
          <w:szCs w:val="22"/>
          <w:lang w:val="sk-SK" w:bidi="bo-CN"/>
        </w:rPr>
        <w:t>na úrovni skupiny</w:t>
      </w:r>
      <w:r w:rsidRPr="00214F91">
        <w:rPr>
          <w:rFonts w:cs="Segoe UI"/>
          <w:szCs w:val="22"/>
          <w:lang w:val="sk-SK" w:bidi="bo-CN"/>
        </w:rPr>
        <w:t xml:space="preserve"> dosiahol v prvom polroku 2025 hodnotu 10 402 miliónov eur, čo v nominálnom vyjadrení predstavuje pokles na úrovni 3,8 percenta (</w:t>
      </w:r>
      <w:r>
        <w:rPr>
          <w:rFonts w:cs="Segoe UI"/>
          <w:szCs w:val="22"/>
          <w:lang w:val="sk-SK" w:bidi="bo-CN"/>
        </w:rPr>
        <w:t>2</w:t>
      </w:r>
      <w:r w:rsidRPr="00214F91">
        <w:rPr>
          <w:rFonts w:cs="Segoe UI"/>
          <w:szCs w:val="22"/>
          <w:lang w:val="sk-SK" w:bidi="bo-CN"/>
        </w:rPr>
        <w:t xml:space="preserve">. </w:t>
      </w:r>
      <w:r>
        <w:rPr>
          <w:rFonts w:cs="Segoe UI"/>
          <w:szCs w:val="22"/>
          <w:lang w:val="sk-SK" w:bidi="bo-CN"/>
        </w:rPr>
        <w:t>štvrťrok</w:t>
      </w:r>
      <w:r w:rsidRPr="00214F91">
        <w:rPr>
          <w:rFonts w:cs="Segoe UI"/>
          <w:szCs w:val="22"/>
          <w:lang w:val="sk-SK" w:bidi="bo-CN"/>
        </w:rPr>
        <w:t>: 5 160 miliónov eur, -6,1 percenta).</w:t>
      </w:r>
      <w:r w:rsidRPr="00D92568">
        <w:rPr>
          <w:rFonts w:cs="Segoe UI"/>
          <w:szCs w:val="22"/>
          <w:lang w:val="sk-SK"/>
        </w:rPr>
        <w:t xml:space="preserve"> </w:t>
      </w:r>
      <w:r w:rsidRPr="0087397B">
        <w:rPr>
          <w:rFonts w:cs="Segoe UI"/>
          <w:szCs w:val="22"/>
          <w:lang w:val="sk-SK" w:bidi="bo-CN"/>
        </w:rPr>
        <w:t xml:space="preserve">Kurzové vplyvy znížili obrat o 2,8 percenta (2. </w:t>
      </w:r>
      <w:r>
        <w:rPr>
          <w:rFonts w:cs="Segoe UI"/>
          <w:szCs w:val="22"/>
          <w:lang w:val="sk-SK" w:bidi="bo-CN"/>
        </w:rPr>
        <w:t>štvrťrok</w:t>
      </w:r>
      <w:r w:rsidRPr="0087397B">
        <w:rPr>
          <w:rFonts w:cs="Segoe UI"/>
          <w:szCs w:val="22"/>
          <w:lang w:val="sk-SK" w:bidi="bo-CN"/>
        </w:rPr>
        <w:t>: -4,1 percenta),</w:t>
      </w:r>
      <w:r w:rsidRPr="00D92568">
        <w:rPr>
          <w:rFonts w:cs="Segoe UI"/>
          <w:szCs w:val="22"/>
          <w:lang w:val="sk-SK"/>
        </w:rPr>
        <w:t xml:space="preserve"> </w:t>
      </w:r>
      <w:r w:rsidRPr="00F6386F">
        <w:rPr>
          <w:rFonts w:cs="Segoe UI"/>
          <w:szCs w:val="22"/>
          <w:lang w:val="sk-SK" w:bidi="bo-CN"/>
        </w:rPr>
        <w:t xml:space="preserve">akvizície a odpredaje prispeli k jeho zníženiu o ďalších 0,9 percenta (2. </w:t>
      </w:r>
      <w:r>
        <w:rPr>
          <w:rFonts w:cs="Segoe UI"/>
          <w:szCs w:val="22"/>
          <w:lang w:val="sk-SK" w:bidi="bo-CN"/>
        </w:rPr>
        <w:t>štvrťrok</w:t>
      </w:r>
      <w:r w:rsidRPr="00F6386F">
        <w:rPr>
          <w:rFonts w:cs="Segoe UI"/>
          <w:szCs w:val="22"/>
          <w:lang w:val="sk-SK" w:bidi="bo-CN"/>
        </w:rPr>
        <w:t>: -2,9 percenta).</w:t>
      </w:r>
      <w:r w:rsidRPr="00D92568">
        <w:rPr>
          <w:rFonts w:cs="Segoe UI"/>
          <w:szCs w:val="22"/>
          <w:lang w:val="sk-SK"/>
        </w:rPr>
        <w:t xml:space="preserve"> </w:t>
      </w:r>
      <w:r w:rsidRPr="00F6386F">
        <w:rPr>
          <w:rFonts w:cs="Segoe UI"/>
          <w:szCs w:val="22"/>
          <w:lang w:val="sk-SK" w:bidi="bo-CN"/>
        </w:rPr>
        <w:t xml:space="preserve">Kým odpredaj maloobchodných značiek v Severnej Amerike v apríli 2025 mal na obrat negatívny vplyv, akvizície realizované v minulom roku v obidvoch obchodných divíziách – </w:t>
      </w:r>
      <w:proofErr w:type="spellStart"/>
      <w:r w:rsidRPr="00F6386F">
        <w:rPr>
          <w:rFonts w:cs="Segoe UI"/>
          <w:szCs w:val="22"/>
          <w:lang w:val="sk-SK" w:bidi="bo-CN"/>
        </w:rPr>
        <w:t>Seal</w:t>
      </w:r>
      <w:proofErr w:type="spellEnd"/>
      <w:r w:rsidRPr="00F6386F">
        <w:rPr>
          <w:rFonts w:cs="Segoe UI"/>
          <w:szCs w:val="22"/>
          <w:lang w:val="sk-SK" w:bidi="bo-CN"/>
        </w:rPr>
        <w:t xml:space="preserve"> </w:t>
      </w:r>
      <w:proofErr w:type="spellStart"/>
      <w:r w:rsidRPr="00F6386F">
        <w:rPr>
          <w:rFonts w:cs="Segoe UI"/>
          <w:szCs w:val="22"/>
          <w:lang w:val="sk-SK" w:bidi="bo-CN"/>
        </w:rPr>
        <w:t>for</w:t>
      </w:r>
      <w:proofErr w:type="spellEnd"/>
      <w:r w:rsidRPr="00F6386F">
        <w:rPr>
          <w:rFonts w:cs="Segoe UI"/>
          <w:szCs w:val="22"/>
          <w:lang w:val="sk-SK" w:bidi="bo-CN"/>
        </w:rPr>
        <w:t xml:space="preserve"> </w:t>
      </w:r>
      <w:proofErr w:type="spellStart"/>
      <w:r w:rsidRPr="00F6386F">
        <w:rPr>
          <w:rFonts w:cs="Segoe UI"/>
          <w:szCs w:val="22"/>
          <w:lang w:val="sk-SK" w:bidi="bo-CN"/>
        </w:rPr>
        <w:t>Life</w:t>
      </w:r>
      <w:proofErr w:type="spellEnd"/>
      <w:r w:rsidRPr="00F6386F">
        <w:rPr>
          <w:rFonts w:cs="Segoe UI"/>
          <w:szCs w:val="22"/>
          <w:lang w:val="sk-SK" w:bidi="bo-CN"/>
        </w:rPr>
        <w:t xml:space="preserve"> and </w:t>
      </w:r>
      <w:proofErr w:type="spellStart"/>
      <w:r w:rsidRPr="00F6386F">
        <w:rPr>
          <w:rFonts w:cs="Segoe UI"/>
          <w:szCs w:val="22"/>
          <w:lang w:val="sk-SK" w:bidi="bo-CN"/>
        </w:rPr>
        <w:t>Vidal</w:t>
      </w:r>
      <w:proofErr w:type="spellEnd"/>
      <w:r w:rsidRPr="00F6386F">
        <w:rPr>
          <w:rFonts w:cs="Segoe UI"/>
          <w:szCs w:val="22"/>
          <w:lang w:val="sk-SK" w:bidi="bo-CN"/>
        </w:rPr>
        <w:t xml:space="preserve"> </w:t>
      </w:r>
      <w:proofErr w:type="spellStart"/>
      <w:r w:rsidRPr="00F6386F">
        <w:rPr>
          <w:rFonts w:cs="Segoe UI"/>
          <w:szCs w:val="22"/>
          <w:lang w:val="sk-SK" w:bidi="bo-CN"/>
        </w:rPr>
        <w:t>Sassoon</w:t>
      </w:r>
      <w:proofErr w:type="spellEnd"/>
      <w:r w:rsidRPr="00F6386F">
        <w:rPr>
          <w:rFonts w:cs="Segoe UI"/>
          <w:szCs w:val="22"/>
          <w:lang w:val="sk-SK" w:bidi="bo-CN"/>
        </w:rPr>
        <w:t xml:space="preserve"> – mali pozitívny prínos.</w:t>
      </w:r>
      <w:r w:rsidRPr="00D92568">
        <w:rPr>
          <w:rFonts w:cs="Segoe UI"/>
          <w:szCs w:val="22"/>
          <w:lang w:val="sk-SK"/>
        </w:rPr>
        <w:t xml:space="preserve"> </w:t>
      </w:r>
      <w:r w:rsidRPr="00ED53E1">
        <w:rPr>
          <w:rFonts w:cs="Segoe UI"/>
          <w:szCs w:val="22"/>
          <w:lang w:val="sk-SK" w:bidi="bo-CN"/>
        </w:rPr>
        <w:t>V </w:t>
      </w:r>
      <w:r w:rsidRPr="00ED53E1">
        <w:rPr>
          <w:rFonts w:cs="Segoe UI"/>
          <w:b/>
          <w:bCs/>
          <w:szCs w:val="22"/>
          <w:lang w:val="sk-SK" w:bidi="bo-CN"/>
        </w:rPr>
        <w:t>organickom</w:t>
      </w:r>
      <w:r w:rsidRPr="00ED53E1">
        <w:rPr>
          <w:rFonts w:cs="Segoe UI"/>
          <w:szCs w:val="22"/>
          <w:lang w:val="sk-SK" w:bidi="bo-CN"/>
        </w:rPr>
        <w:t xml:space="preserve"> vyjadrení (</w:t>
      </w:r>
      <w:proofErr w:type="spellStart"/>
      <w:r w:rsidRPr="00ED53E1">
        <w:rPr>
          <w:rFonts w:cs="Segoe UI"/>
          <w:szCs w:val="22"/>
          <w:lang w:val="sk-SK" w:bidi="bo-CN"/>
        </w:rPr>
        <w:t>t.j</w:t>
      </w:r>
      <w:proofErr w:type="spellEnd"/>
      <w:r w:rsidRPr="00ED53E1">
        <w:rPr>
          <w:rFonts w:cs="Segoe UI"/>
          <w:szCs w:val="22"/>
          <w:lang w:val="sk-SK" w:bidi="bo-CN"/>
        </w:rPr>
        <w:t xml:space="preserve">. po úprave o kurzové vplyvy a vplyv akvizícií a odpredajov) bol obrat </w:t>
      </w:r>
      <w:r>
        <w:rPr>
          <w:rFonts w:cs="Segoe UI"/>
          <w:szCs w:val="22"/>
          <w:lang w:val="sk-SK" w:bidi="bo-CN"/>
        </w:rPr>
        <w:t xml:space="preserve">za prvý polrok </w:t>
      </w:r>
      <w:r w:rsidRPr="00ED53E1">
        <w:rPr>
          <w:rFonts w:cs="Segoe UI"/>
          <w:szCs w:val="22"/>
          <w:lang w:val="sk-SK" w:bidi="bo-CN"/>
        </w:rPr>
        <w:t xml:space="preserve">približne </w:t>
      </w:r>
      <w:r>
        <w:rPr>
          <w:rFonts w:cs="Segoe UI"/>
          <w:szCs w:val="22"/>
          <w:lang w:val="sk-SK" w:bidi="bo-CN"/>
        </w:rPr>
        <w:t xml:space="preserve">na </w:t>
      </w:r>
      <w:r w:rsidRPr="00ED53E1">
        <w:rPr>
          <w:rFonts w:cs="Segoe UI"/>
          <w:szCs w:val="22"/>
          <w:lang w:val="sk-SK" w:bidi="bo-CN"/>
        </w:rPr>
        <w:t xml:space="preserve">úrovni </w:t>
      </w:r>
      <w:r>
        <w:rPr>
          <w:rFonts w:cs="Segoe UI"/>
          <w:szCs w:val="22"/>
          <w:lang w:val="sk-SK" w:bidi="bo-CN"/>
        </w:rPr>
        <w:t xml:space="preserve">rovnakého obdobia </w:t>
      </w:r>
      <w:r w:rsidRPr="00ED53E1">
        <w:rPr>
          <w:rFonts w:cs="Segoe UI"/>
          <w:szCs w:val="22"/>
          <w:lang w:val="sk-SK" w:bidi="bo-CN"/>
        </w:rPr>
        <w:t xml:space="preserve">predchádzajúceho </w:t>
      </w:r>
      <w:r w:rsidRPr="003438E7">
        <w:rPr>
          <w:rFonts w:cs="Segoe UI"/>
          <w:szCs w:val="22"/>
          <w:lang w:val="sk-SK" w:bidi="bo-CN"/>
        </w:rPr>
        <w:t>roka (-0,1 percenta) (2. štvrťrok</w:t>
      </w:r>
      <w:r w:rsidRPr="00ED53E1">
        <w:rPr>
          <w:rFonts w:cs="Segoe UI"/>
          <w:szCs w:val="22"/>
          <w:lang w:val="sk-SK" w:bidi="bo-CN"/>
        </w:rPr>
        <w:t>: +0,9 percenta).</w:t>
      </w:r>
      <w:r w:rsidRPr="00D92568">
        <w:rPr>
          <w:rFonts w:cs="Segoe UI"/>
          <w:szCs w:val="22"/>
          <w:lang w:val="sk-SK"/>
        </w:rPr>
        <w:t xml:space="preserve"> </w:t>
      </w:r>
      <w:r w:rsidRPr="00ED53E1">
        <w:rPr>
          <w:rFonts w:cs="Segoe UI"/>
          <w:szCs w:val="22"/>
          <w:lang w:val="sk-SK" w:bidi="bo-CN"/>
        </w:rPr>
        <w:t>K </w:t>
      </w:r>
      <w:r w:rsidRPr="008B3F42">
        <w:rPr>
          <w:rFonts w:cs="Segoe UI"/>
          <w:szCs w:val="22"/>
          <w:lang w:val="sk-SK" w:bidi="bo-CN"/>
        </w:rPr>
        <w:t>uvedenému vývoju</w:t>
      </w:r>
      <w:r w:rsidRPr="00ED53E1">
        <w:rPr>
          <w:rFonts w:cs="Segoe UI"/>
          <w:szCs w:val="22"/>
          <w:lang w:val="sk-SK" w:bidi="bo-CN"/>
        </w:rPr>
        <w:t xml:space="preserve"> prispel pozitívny cenový vývoj v obidvoch obchodných divíziách.</w:t>
      </w:r>
      <w:r w:rsidRPr="00D92568">
        <w:rPr>
          <w:rFonts w:cs="Segoe UI"/>
          <w:szCs w:val="22"/>
          <w:lang w:val="sk-SK"/>
        </w:rPr>
        <w:t xml:space="preserve"> </w:t>
      </w:r>
      <w:r w:rsidRPr="00ED53E1">
        <w:rPr>
          <w:rFonts w:cs="Segoe UI"/>
          <w:szCs w:val="22"/>
          <w:lang w:val="sk-SK" w:bidi="bo-CN"/>
        </w:rPr>
        <w:t>Objem predaja na úrovni skupiny v prvom polroku mierne klesol.</w:t>
      </w:r>
      <w:r w:rsidRPr="00D92568">
        <w:rPr>
          <w:rFonts w:cs="Segoe UI"/>
          <w:szCs w:val="22"/>
          <w:lang w:val="sk-SK"/>
        </w:rPr>
        <w:t xml:space="preserve"> </w:t>
      </w:r>
      <w:r w:rsidRPr="00023B3F">
        <w:rPr>
          <w:rFonts w:cs="Segoe UI"/>
          <w:szCs w:val="22"/>
          <w:lang w:val="sk-SK" w:bidi="bo-CN"/>
        </w:rPr>
        <w:t>Hlavnou príčinou boli najmä náročné geopolitické a makroekonomické podmienky, ktoré poznačili tak priemyselný dopyt, ako aj spotrebiteľské nálady predovšetkým na severoamerických trhoch v prvom štvrťroku.</w:t>
      </w:r>
    </w:p>
    <w:p w14:paraId="5124037E" w14:textId="77777777" w:rsidR="007347CB" w:rsidRPr="00F725A1" w:rsidRDefault="007347CB" w:rsidP="007347CB">
      <w:pPr>
        <w:rPr>
          <w:rFonts w:cs="Segoe UI"/>
          <w:szCs w:val="22"/>
          <w:lang w:val="sk-SK"/>
        </w:rPr>
      </w:pPr>
    </w:p>
    <w:p w14:paraId="6DA6D1F0" w14:textId="77777777" w:rsidR="007347CB" w:rsidRPr="00D92568" w:rsidRDefault="007347CB" w:rsidP="007347CB">
      <w:pPr>
        <w:rPr>
          <w:rFonts w:cs="Segoe UI"/>
          <w:szCs w:val="22"/>
          <w:lang w:val="sk-SK"/>
        </w:rPr>
      </w:pPr>
      <w:r w:rsidRPr="00746437">
        <w:rPr>
          <w:rFonts w:cs="Segoe UI"/>
          <w:szCs w:val="22"/>
          <w:lang w:val="sk-SK" w:bidi="bo-CN"/>
        </w:rPr>
        <w:t xml:space="preserve">Obchodná divízia </w:t>
      </w:r>
      <w:proofErr w:type="spellStart"/>
      <w:r w:rsidRPr="00746437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746437">
        <w:rPr>
          <w:rFonts w:cs="Segoe UI"/>
          <w:b/>
          <w:bCs/>
          <w:szCs w:val="22"/>
          <w:lang w:val="sk-SK" w:bidi="bo-CN"/>
        </w:rPr>
        <w:t xml:space="preserve"> Technologies </w:t>
      </w:r>
      <w:r w:rsidRPr="00746437">
        <w:rPr>
          <w:rFonts w:cs="Segoe UI"/>
          <w:szCs w:val="22"/>
          <w:lang w:val="sk-SK" w:bidi="bo-CN"/>
        </w:rPr>
        <w:t>dosiahla v prvom polroku 2025 pozitívny rast organického obratu na úrovni 1,2 percenta, ku ktorému prispeli najmä výsledky v </w:t>
      </w:r>
      <w:r>
        <w:rPr>
          <w:rFonts w:cs="Segoe UI"/>
          <w:szCs w:val="22"/>
          <w:lang w:val="sk-SK" w:bidi="bo-CN"/>
        </w:rPr>
        <w:t>trhovom</w:t>
      </w:r>
      <w:r w:rsidRPr="00746437">
        <w:rPr>
          <w:rFonts w:cs="Segoe UI"/>
          <w:szCs w:val="22"/>
          <w:lang w:val="sk-SK" w:bidi="bo-CN"/>
        </w:rPr>
        <w:t xml:space="preserve"> segmente mobilita a elektronický priemysel (2. štvrťrok: +1,3 percenta). </w:t>
      </w:r>
      <w:r w:rsidRPr="00D47439">
        <w:rPr>
          <w:rFonts w:cs="Segoe UI"/>
          <w:szCs w:val="22"/>
          <w:lang w:val="sk-SK" w:bidi="bo-CN"/>
        </w:rPr>
        <w:t xml:space="preserve">Obchodná divízia </w:t>
      </w:r>
      <w:proofErr w:type="spellStart"/>
      <w:r w:rsidRPr="00D47439">
        <w:rPr>
          <w:rFonts w:cs="Segoe UI"/>
          <w:b/>
          <w:bCs/>
          <w:szCs w:val="22"/>
          <w:lang w:val="sk-SK" w:bidi="bo-CN"/>
        </w:rPr>
        <w:t>Consumer</w:t>
      </w:r>
      <w:proofErr w:type="spellEnd"/>
      <w:r w:rsidRPr="00D47439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D47439">
        <w:rPr>
          <w:rFonts w:cs="Segoe UI"/>
          <w:b/>
          <w:bCs/>
          <w:szCs w:val="22"/>
          <w:lang w:val="sk-SK" w:bidi="bo-CN"/>
        </w:rPr>
        <w:t>Brands</w:t>
      </w:r>
      <w:proofErr w:type="spellEnd"/>
      <w:r w:rsidRPr="00D47439">
        <w:rPr>
          <w:rFonts w:cs="Segoe UI"/>
          <w:szCs w:val="22"/>
          <w:lang w:val="sk-SK" w:bidi="bo-CN"/>
        </w:rPr>
        <w:t xml:space="preserve"> zaznamenala zníženie organického obratu o 1,6 percenta (2. štvrťrok: +0,4 percenta).</w:t>
      </w:r>
      <w:r w:rsidRPr="00D92568">
        <w:rPr>
          <w:rFonts w:cs="Segoe UI"/>
          <w:szCs w:val="22"/>
          <w:lang w:val="sk-SK"/>
        </w:rPr>
        <w:t xml:space="preserve"> </w:t>
      </w:r>
      <w:r w:rsidRPr="00BA4F2B">
        <w:rPr>
          <w:rFonts w:cs="Segoe UI"/>
          <w:szCs w:val="22"/>
          <w:lang w:val="sk-SK" w:bidi="bo-CN"/>
        </w:rPr>
        <w:t>Kým v segmente vlasovej kozmetiky dosiahla pozitívny rast organického obratu, v segmentoch pracích a čistiacich prostriedkov pre domácnosť a iného spotrebného tovaru organický obrat klesol.</w:t>
      </w:r>
    </w:p>
    <w:p w14:paraId="33D0C3DF" w14:textId="77777777" w:rsidR="007347CB" w:rsidRPr="00F725A1" w:rsidRDefault="007347CB" w:rsidP="007347CB">
      <w:pPr>
        <w:rPr>
          <w:rFonts w:cs="Segoe UI"/>
          <w:szCs w:val="22"/>
          <w:lang w:val="sk-SK"/>
        </w:rPr>
      </w:pPr>
    </w:p>
    <w:p w14:paraId="6AF71A33" w14:textId="77777777" w:rsidR="007347CB" w:rsidRPr="00D92568" w:rsidRDefault="007347CB" w:rsidP="007347CB">
      <w:pPr>
        <w:rPr>
          <w:rFonts w:cs="Segoe UI"/>
          <w:szCs w:val="22"/>
          <w:lang w:val="sk-SK"/>
        </w:rPr>
      </w:pPr>
      <w:r w:rsidRPr="00FC3391">
        <w:rPr>
          <w:rFonts w:cs="Segoe UI"/>
          <w:szCs w:val="22"/>
          <w:lang w:val="sk-SK" w:bidi="bo-CN"/>
        </w:rPr>
        <w:t xml:space="preserve">V regiónoch </w:t>
      </w:r>
      <w:r w:rsidRPr="00FC3391">
        <w:rPr>
          <w:rFonts w:cs="Segoe UI"/>
          <w:b/>
          <w:bCs/>
          <w:szCs w:val="22"/>
          <w:lang w:val="sk-SK" w:bidi="bo-CN"/>
        </w:rPr>
        <w:t>Európa</w:t>
      </w:r>
      <w:r w:rsidRPr="00FC3391">
        <w:rPr>
          <w:rFonts w:cs="Segoe UI"/>
          <w:szCs w:val="22"/>
          <w:lang w:val="sk-SK" w:bidi="bo-CN"/>
        </w:rPr>
        <w:t xml:space="preserve"> a </w:t>
      </w:r>
      <w:r w:rsidRPr="00FC3391">
        <w:rPr>
          <w:rFonts w:cs="Segoe UI"/>
          <w:b/>
          <w:bCs/>
          <w:szCs w:val="22"/>
          <w:lang w:val="sk-SK" w:bidi="bo-CN"/>
        </w:rPr>
        <w:t xml:space="preserve">Severná Amerika </w:t>
      </w:r>
      <w:r w:rsidRPr="00FC3391">
        <w:rPr>
          <w:rFonts w:cs="Segoe UI"/>
          <w:szCs w:val="22"/>
          <w:lang w:val="sk-SK" w:bidi="bo-CN"/>
        </w:rPr>
        <w:t>došlo k poklesu organického obratu o 1,9 percenta (2. štvrťrok: -1,8 percenta), resp. o 3,4 percenta (2. štvrťrok: -1,2 percenta) predovšetkým z dôvodu zložitého geopolitického a makroekonomického vývoja.</w:t>
      </w:r>
      <w:r w:rsidRPr="00D92568">
        <w:rPr>
          <w:rFonts w:cs="Segoe UI"/>
          <w:szCs w:val="22"/>
          <w:lang w:val="sk-SK"/>
        </w:rPr>
        <w:t xml:space="preserve"> </w:t>
      </w:r>
      <w:r w:rsidRPr="00041D93">
        <w:rPr>
          <w:rFonts w:cs="Segoe UI"/>
          <w:szCs w:val="22"/>
          <w:lang w:val="sk-SK" w:bidi="bo-CN"/>
        </w:rPr>
        <w:t xml:space="preserve">Naopak v regióne </w:t>
      </w:r>
      <w:r w:rsidRPr="00041D93">
        <w:rPr>
          <w:rFonts w:cs="Segoe UI"/>
          <w:b/>
          <w:bCs/>
          <w:szCs w:val="22"/>
          <w:lang w:val="sk-SK" w:bidi="bo-CN"/>
        </w:rPr>
        <w:t>IMEA</w:t>
      </w:r>
      <w:r w:rsidRPr="00041D93">
        <w:rPr>
          <w:rFonts w:cs="Segoe UI"/>
          <w:szCs w:val="22"/>
          <w:lang w:val="sk-SK" w:bidi="bo-CN"/>
        </w:rPr>
        <w:t xml:space="preserve"> (India, Stredný východ, Afrika) sa spoločno</w:t>
      </w:r>
      <w:r>
        <w:rPr>
          <w:rFonts w:cs="Segoe UI"/>
          <w:szCs w:val="22"/>
          <w:lang w:val="sk-SK" w:bidi="bo-CN"/>
        </w:rPr>
        <w:t>sti</w:t>
      </w:r>
      <w:r w:rsidRPr="00041D93">
        <w:rPr>
          <w:rFonts w:cs="Segoe UI"/>
          <w:szCs w:val="22"/>
          <w:lang w:val="sk-SK" w:bidi="bo-CN"/>
        </w:rPr>
        <w:t xml:space="preserve"> Henkel podarilo dosiahnuť výrazný rast </w:t>
      </w:r>
      <w:r w:rsidRPr="00041D93">
        <w:rPr>
          <w:rFonts w:cs="Segoe UI"/>
          <w:szCs w:val="22"/>
          <w:lang w:val="sk-SK" w:bidi="bo-CN"/>
        </w:rPr>
        <w:lastRenderedPageBreak/>
        <w:t>organického obratu vo výške 9,1 percenta (2. štvrťrok: +13,9 percenta).</w:t>
      </w:r>
      <w:r w:rsidRPr="00D92568">
        <w:rPr>
          <w:rFonts w:cs="Segoe UI"/>
          <w:szCs w:val="22"/>
          <w:lang w:val="sk-SK"/>
        </w:rPr>
        <w:t xml:space="preserve"> </w:t>
      </w:r>
      <w:r w:rsidRPr="009E5694">
        <w:rPr>
          <w:rFonts w:cs="Segoe UI"/>
          <w:szCs w:val="22"/>
          <w:lang w:val="sk-SK" w:bidi="bo-CN"/>
        </w:rPr>
        <w:t xml:space="preserve">Pozitívny rast organického obratu dosiahol v regióne </w:t>
      </w:r>
      <w:r w:rsidRPr="009E5694">
        <w:rPr>
          <w:rFonts w:cs="Segoe UI"/>
          <w:b/>
          <w:bCs/>
          <w:szCs w:val="22"/>
          <w:lang w:val="sk-SK" w:bidi="bo-CN"/>
        </w:rPr>
        <w:t xml:space="preserve">Latinskej Ameriky </w:t>
      </w:r>
      <w:r w:rsidRPr="009E5694">
        <w:rPr>
          <w:rFonts w:cs="Segoe UI"/>
          <w:szCs w:val="22"/>
          <w:lang w:val="sk-SK" w:bidi="bo-CN"/>
        </w:rPr>
        <w:t>úroveň 0,4 percenta (2. štvrťrok: -0,6 percenta),</w:t>
      </w:r>
      <w:r w:rsidRPr="00D92568">
        <w:rPr>
          <w:rFonts w:cs="Segoe UI"/>
          <w:szCs w:val="22"/>
          <w:lang w:val="sk-SK"/>
        </w:rPr>
        <w:t xml:space="preserve"> </w:t>
      </w:r>
      <w:r w:rsidRPr="009005F1">
        <w:rPr>
          <w:rFonts w:cs="Segoe UI"/>
          <w:szCs w:val="22"/>
          <w:lang w:val="sk-SK" w:bidi="bo-CN"/>
        </w:rPr>
        <w:t>v </w:t>
      </w:r>
      <w:r w:rsidRPr="009005F1">
        <w:rPr>
          <w:rFonts w:cs="Segoe UI"/>
          <w:b/>
          <w:bCs/>
          <w:szCs w:val="22"/>
          <w:lang w:val="sk-SK" w:bidi="bo-CN"/>
        </w:rPr>
        <w:t xml:space="preserve">ázijsko-pacifickom </w:t>
      </w:r>
      <w:r w:rsidRPr="009005F1">
        <w:rPr>
          <w:rFonts w:cs="Segoe UI"/>
          <w:szCs w:val="22"/>
          <w:lang w:val="sk-SK" w:bidi="bo-CN"/>
        </w:rPr>
        <w:t>regióne sa organický obrat zvýšil o výrazné 3,4 percenta (2. štvrťrok: +3,1 percenta).</w:t>
      </w:r>
    </w:p>
    <w:p w14:paraId="24B50EB7" w14:textId="77777777" w:rsidR="007347CB" w:rsidRPr="00F725A1" w:rsidRDefault="007347CB" w:rsidP="007347CB">
      <w:pPr>
        <w:rPr>
          <w:rFonts w:cs="Segoe UI"/>
          <w:szCs w:val="22"/>
          <w:lang w:val="sk-SK"/>
        </w:rPr>
      </w:pPr>
    </w:p>
    <w:p w14:paraId="51024371" w14:textId="77777777" w:rsidR="007347CB" w:rsidRPr="00F725A1" w:rsidRDefault="007347CB" w:rsidP="007347CB">
      <w:pPr>
        <w:rPr>
          <w:rFonts w:cs="Segoe UI"/>
          <w:bCs/>
          <w:szCs w:val="22"/>
          <w:lang w:val="sk-SK"/>
        </w:rPr>
      </w:pPr>
      <w:r w:rsidRPr="009005F1">
        <w:rPr>
          <w:rFonts w:cs="Segoe UI"/>
          <w:b/>
          <w:szCs w:val="22"/>
          <w:lang w:val="sk-SK" w:bidi="bo-CN"/>
        </w:rPr>
        <w:t>Upravený prevádzkový zisk (</w:t>
      </w:r>
      <w:r w:rsidRPr="00184547">
        <w:rPr>
          <w:rFonts w:cs="Segoe UI"/>
          <w:b/>
          <w:szCs w:val="22"/>
          <w:lang w:val="sk-SK" w:bidi="bo-CN"/>
        </w:rPr>
        <w:t>upravený EBIT</w:t>
      </w:r>
      <w:r w:rsidRPr="009005F1">
        <w:rPr>
          <w:rFonts w:cs="Segoe UI"/>
          <w:b/>
          <w:szCs w:val="22"/>
          <w:lang w:val="sk-SK" w:bidi="bo-CN"/>
        </w:rPr>
        <w:t xml:space="preserve">) </w:t>
      </w:r>
      <w:r w:rsidRPr="009005F1">
        <w:rPr>
          <w:rFonts w:cs="Segoe UI"/>
          <w:bCs/>
          <w:szCs w:val="22"/>
          <w:lang w:val="sk-SK" w:bidi="bo-CN"/>
        </w:rPr>
        <w:t>sa mierne zvýšil z 1 610 miliónov eur v prvom polroku 2024 na aktuálnych 1 614 miliónov eur.</w:t>
      </w:r>
      <w:r w:rsidRPr="00D92568">
        <w:rPr>
          <w:rFonts w:cs="Segoe UI"/>
          <w:bCs/>
          <w:szCs w:val="22"/>
          <w:lang w:val="sk-SK"/>
        </w:rPr>
        <w:t xml:space="preserve"> </w:t>
      </w:r>
    </w:p>
    <w:p w14:paraId="5EE23265" w14:textId="77777777" w:rsidR="007347CB" w:rsidRPr="00F725A1" w:rsidRDefault="007347CB" w:rsidP="007347CB">
      <w:pPr>
        <w:rPr>
          <w:rFonts w:cs="Segoe UI"/>
          <w:bCs/>
          <w:szCs w:val="22"/>
          <w:lang w:val="sk-SK"/>
        </w:rPr>
      </w:pPr>
    </w:p>
    <w:p w14:paraId="26B43F8F" w14:textId="77777777" w:rsidR="007347CB" w:rsidRPr="00D92568" w:rsidRDefault="007347CB" w:rsidP="007347CB">
      <w:pPr>
        <w:rPr>
          <w:rFonts w:cs="Segoe UI"/>
          <w:bCs/>
          <w:szCs w:val="22"/>
          <w:lang w:val="sk-SK"/>
        </w:rPr>
      </w:pPr>
      <w:r w:rsidRPr="00ED1AD0">
        <w:rPr>
          <w:rFonts w:cs="Segoe UI"/>
          <w:b/>
          <w:szCs w:val="22"/>
          <w:lang w:val="sk-SK" w:bidi="bo-CN"/>
        </w:rPr>
        <w:t xml:space="preserve">Upravená výnosnosť predaja (upravená marža EBIT) </w:t>
      </w:r>
      <w:r w:rsidRPr="00ED1AD0">
        <w:rPr>
          <w:rFonts w:cs="Segoe UI"/>
          <w:bCs/>
          <w:szCs w:val="22"/>
          <w:lang w:val="sk-SK" w:bidi="bo-CN"/>
        </w:rPr>
        <w:t>sa na úrovni skupiny Henkel zvýšila o 60 bázických bodov z úrovne 14,9 percenta na 15,5 percenta.</w:t>
      </w:r>
    </w:p>
    <w:p w14:paraId="6BF715E2" w14:textId="77777777" w:rsidR="007347CB" w:rsidRPr="00F725A1" w:rsidRDefault="007347CB" w:rsidP="007347CB">
      <w:pPr>
        <w:rPr>
          <w:rFonts w:cs="Segoe UI"/>
          <w:bCs/>
          <w:szCs w:val="22"/>
          <w:lang w:val="sk-SK"/>
        </w:rPr>
      </w:pPr>
    </w:p>
    <w:p w14:paraId="010F5D24" w14:textId="77777777" w:rsidR="007347CB" w:rsidRPr="00D92568" w:rsidRDefault="007347CB" w:rsidP="007347CB">
      <w:pPr>
        <w:rPr>
          <w:rFonts w:cs="Segoe UI"/>
          <w:bCs/>
          <w:szCs w:val="22"/>
          <w:lang w:val="sk-SK"/>
        </w:rPr>
      </w:pPr>
      <w:r w:rsidRPr="00ED1AD0">
        <w:rPr>
          <w:rFonts w:cs="Segoe UI"/>
          <w:b/>
          <w:szCs w:val="22"/>
          <w:lang w:val="sk-SK" w:bidi="bo-CN"/>
        </w:rPr>
        <w:t>Výnos na prioritnú akciu</w:t>
      </w:r>
      <w:r w:rsidRPr="00ED1AD0">
        <w:rPr>
          <w:rFonts w:cs="Segoe UI"/>
          <w:bCs/>
          <w:szCs w:val="22"/>
          <w:lang w:val="sk-SK" w:bidi="bo-CN"/>
        </w:rPr>
        <w:t xml:space="preserve"> sa zvýšil na hodnotu 2,66 eura (predchádzajúci rok: 2,46 eura).</w:t>
      </w:r>
      <w:r w:rsidRPr="00D92568">
        <w:rPr>
          <w:rFonts w:cs="Segoe UI"/>
          <w:bCs/>
          <w:szCs w:val="22"/>
          <w:lang w:val="sk-SK"/>
        </w:rPr>
        <w:t xml:space="preserve"> </w:t>
      </w:r>
      <w:r w:rsidRPr="00ED5C44">
        <w:rPr>
          <w:rFonts w:cs="Segoe UI"/>
          <w:bCs/>
          <w:szCs w:val="22"/>
          <w:lang w:val="sk-SK" w:bidi="bo-CN"/>
        </w:rPr>
        <w:t>Upravený výnos na prioritnú akciu sa zvýšil o 1,1 percenta na hodnotu 2,81 eura v porovnaní s 2,78 eura v rovnakom období predchádzajúceho roka.</w:t>
      </w:r>
      <w:r w:rsidRPr="00D92568">
        <w:rPr>
          <w:rFonts w:cs="Segoe UI"/>
          <w:bCs/>
          <w:szCs w:val="22"/>
          <w:lang w:val="sk-SK"/>
        </w:rPr>
        <w:t xml:space="preserve"> </w:t>
      </w:r>
      <w:r w:rsidRPr="00ED5C44">
        <w:rPr>
          <w:rFonts w:cs="Segoe UI"/>
          <w:bCs/>
          <w:szCs w:val="22"/>
          <w:lang w:val="sk-SK" w:bidi="bo-CN"/>
        </w:rPr>
        <w:t>Pri konštantných kurzových sadzbách predstavovalo zvýšenie upraveného výnosu na prioritnú akciu 5,0 percenta.</w:t>
      </w:r>
    </w:p>
    <w:p w14:paraId="4574E00E" w14:textId="77777777" w:rsidR="007347CB" w:rsidRPr="00F725A1" w:rsidRDefault="007347CB" w:rsidP="007347CB">
      <w:pPr>
        <w:rPr>
          <w:rFonts w:cs="Segoe UI"/>
          <w:bCs/>
          <w:szCs w:val="22"/>
          <w:lang w:val="sk-SK"/>
        </w:rPr>
      </w:pPr>
    </w:p>
    <w:p w14:paraId="2FC458D9" w14:textId="77777777" w:rsidR="007347CB" w:rsidRPr="00D92568" w:rsidRDefault="007347CB" w:rsidP="007347CB">
      <w:pPr>
        <w:rPr>
          <w:rFonts w:cs="Segoe UI"/>
          <w:szCs w:val="22"/>
          <w:lang w:val="sk-SK"/>
        </w:rPr>
      </w:pPr>
      <w:r w:rsidRPr="00F52771">
        <w:rPr>
          <w:rFonts w:cs="Segoe UI"/>
          <w:szCs w:val="22"/>
          <w:lang w:val="sk-SK" w:bidi="bo-CN"/>
        </w:rPr>
        <w:t xml:space="preserve">Pomer </w:t>
      </w:r>
      <w:r w:rsidRPr="00F52771">
        <w:rPr>
          <w:rFonts w:cs="Segoe UI"/>
          <w:b/>
          <w:bCs/>
          <w:szCs w:val="22"/>
          <w:lang w:val="sk-SK" w:bidi="bo-CN"/>
        </w:rPr>
        <w:t>čistého prevádzkového kapitálu</w:t>
      </w:r>
      <w:r w:rsidRPr="00F52771">
        <w:rPr>
          <w:rFonts w:cs="Segoe UI"/>
          <w:szCs w:val="22"/>
          <w:lang w:val="sk-SK" w:bidi="bo-CN"/>
        </w:rPr>
        <w:t xml:space="preserve"> k obratu sa v druhom štvrťroku medziročne zvýšil o 0,8 percentuálneho bodu, z hodnoty 5,2 percenta and 6,0 percent. </w:t>
      </w:r>
    </w:p>
    <w:p w14:paraId="1A914105" w14:textId="77777777" w:rsidR="007347CB" w:rsidRPr="00F725A1" w:rsidRDefault="007347CB" w:rsidP="007347CB">
      <w:pPr>
        <w:rPr>
          <w:rFonts w:cs="Segoe UI"/>
          <w:szCs w:val="22"/>
          <w:highlight w:val="yellow"/>
          <w:lang w:val="sk-SK"/>
        </w:rPr>
      </w:pPr>
    </w:p>
    <w:p w14:paraId="51781B88" w14:textId="77777777" w:rsidR="007347CB" w:rsidRPr="00D92568" w:rsidRDefault="007347CB" w:rsidP="007347CB">
      <w:pPr>
        <w:autoSpaceDE w:val="0"/>
        <w:autoSpaceDN w:val="0"/>
        <w:adjustRightInd w:val="0"/>
        <w:rPr>
          <w:lang w:val="sk-SK"/>
        </w:rPr>
      </w:pPr>
      <w:r w:rsidRPr="00F52771">
        <w:rPr>
          <w:rFonts w:cs="Segoe UI"/>
          <w:b/>
          <w:bCs/>
          <w:szCs w:val="22"/>
          <w:lang w:val="sk-SK" w:bidi="bo-CN"/>
        </w:rPr>
        <w:t xml:space="preserve">Voľný cash </w:t>
      </w:r>
      <w:proofErr w:type="spellStart"/>
      <w:r w:rsidRPr="00F52771">
        <w:rPr>
          <w:rFonts w:cs="Segoe UI"/>
          <w:b/>
          <w:bCs/>
          <w:szCs w:val="22"/>
          <w:lang w:val="sk-SK" w:bidi="bo-CN"/>
        </w:rPr>
        <w:t>flow</w:t>
      </w:r>
      <w:proofErr w:type="spellEnd"/>
      <w:r w:rsidRPr="00F52771">
        <w:rPr>
          <w:rFonts w:cs="Segoe UI"/>
          <w:b/>
          <w:bCs/>
          <w:szCs w:val="22"/>
          <w:lang w:val="sk-SK" w:bidi="bo-CN"/>
        </w:rPr>
        <w:t xml:space="preserve"> </w:t>
      </w:r>
      <w:r w:rsidRPr="00F52771">
        <w:rPr>
          <w:rFonts w:cs="Segoe UI"/>
          <w:szCs w:val="22"/>
          <w:lang w:val="sk-SK" w:bidi="bo-CN"/>
        </w:rPr>
        <w:t>v hodnote 485 miliónov eur bol nižší v porovnaní s prvým polrokom 2024 (772 miliónov eur) okrem iného aj z dôvodu vyššieho čistého prevádzkového kapitálu a vyšších platieb za investície do nehnuteľností, strojov a zariadení a nehmotného majetku.</w:t>
      </w:r>
    </w:p>
    <w:p w14:paraId="07C50B86" w14:textId="77777777" w:rsidR="007347CB" w:rsidRPr="00F725A1" w:rsidRDefault="007347CB" w:rsidP="007347CB">
      <w:pPr>
        <w:autoSpaceDE w:val="0"/>
        <w:autoSpaceDN w:val="0"/>
        <w:adjustRightInd w:val="0"/>
        <w:rPr>
          <w:rFonts w:cs="Segoe UI"/>
          <w:szCs w:val="22"/>
          <w:highlight w:val="yellow"/>
          <w:lang w:val="sk-SK"/>
        </w:rPr>
      </w:pPr>
    </w:p>
    <w:p w14:paraId="2D57C25D" w14:textId="77777777" w:rsidR="007347CB" w:rsidRPr="00D92568" w:rsidRDefault="007347CB" w:rsidP="007347CB">
      <w:pPr>
        <w:rPr>
          <w:lang w:val="sk-SK"/>
        </w:rPr>
      </w:pPr>
      <w:r w:rsidRPr="00FB7A18">
        <w:rPr>
          <w:rFonts w:cs="Segoe UI"/>
          <w:szCs w:val="22"/>
          <w:lang w:val="sk-SK" w:bidi="bo-CN"/>
        </w:rPr>
        <w:t xml:space="preserve">K 30. júnu 2025 bola </w:t>
      </w:r>
      <w:r w:rsidRPr="00FB7A18">
        <w:rPr>
          <w:rFonts w:cs="Segoe UI"/>
          <w:b/>
          <w:bCs/>
          <w:szCs w:val="22"/>
          <w:lang w:val="sk-SK" w:bidi="bo-CN"/>
        </w:rPr>
        <w:t>čistá finančná pozícia</w:t>
      </w:r>
      <w:r w:rsidRPr="00FB7A18">
        <w:rPr>
          <w:rFonts w:cs="Segoe UI"/>
          <w:szCs w:val="22"/>
          <w:lang w:val="sk-SK" w:bidi="bo-CN"/>
        </w:rPr>
        <w:t xml:space="preserve"> na úrovni -494 miliónov eur (k 31. decembru 2024: -93 miliónov eur).</w:t>
      </w:r>
    </w:p>
    <w:p w14:paraId="1AC8237C" w14:textId="77777777" w:rsidR="007347CB" w:rsidRPr="00F725A1" w:rsidRDefault="007347CB" w:rsidP="007347CB">
      <w:pPr>
        <w:spacing w:after="120"/>
        <w:rPr>
          <w:rFonts w:cs="Segoe UI"/>
          <w:b/>
          <w:bCs/>
          <w:szCs w:val="22"/>
          <w:lang w:val="sk-SK" w:eastAsia="de-DE"/>
        </w:rPr>
      </w:pPr>
    </w:p>
    <w:p w14:paraId="0B05FA48" w14:textId="77777777" w:rsidR="007347CB" w:rsidRPr="00D92568" w:rsidRDefault="007347CB" w:rsidP="007347CB">
      <w:pPr>
        <w:spacing w:after="120"/>
        <w:rPr>
          <w:rFonts w:cs="Segoe UI"/>
          <w:b/>
          <w:bCs/>
          <w:szCs w:val="22"/>
          <w:highlight w:val="yellow"/>
          <w:lang w:val="sk-SK" w:eastAsia="de-DE"/>
        </w:rPr>
      </w:pPr>
      <w:r w:rsidRPr="00FB7A18">
        <w:rPr>
          <w:rFonts w:cs="Segoe UI"/>
          <w:b/>
          <w:bCs/>
          <w:szCs w:val="22"/>
          <w:lang w:val="sk-SK" w:eastAsia="de-DE" w:bidi="bo-CN"/>
        </w:rPr>
        <w:t>Výsledky obchodných divízií za prvý polrok 2025</w:t>
      </w:r>
    </w:p>
    <w:p w14:paraId="7F5F5267" w14:textId="77777777" w:rsidR="007347CB" w:rsidRPr="00F725A1" w:rsidRDefault="007347CB" w:rsidP="007347CB">
      <w:pPr>
        <w:rPr>
          <w:rFonts w:cs="Segoe UI"/>
          <w:bCs/>
          <w:szCs w:val="22"/>
          <w:lang w:val="sk-SK"/>
        </w:rPr>
      </w:pPr>
      <w:bookmarkStart w:id="2" w:name="SNAMD_dc825768bfb2420dbdc0e075b6c733f3"/>
      <w:bookmarkStart w:id="3" w:name="SNERR_085cbfa1dc5245baabab2f6ce609ab4b"/>
      <w:r w:rsidRPr="00435DA8">
        <w:rPr>
          <w:b/>
          <w:bCs/>
          <w:lang w:val="sk-SK" w:bidi="bo-CN"/>
        </w:rPr>
        <w:t xml:space="preserve">Obrat </w:t>
      </w:r>
      <w:r w:rsidRPr="00435DA8">
        <w:rPr>
          <w:lang w:val="sk-SK" w:bidi="bo-CN"/>
        </w:rPr>
        <w:t xml:space="preserve">obchodnej divízie </w:t>
      </w:r>
      <w:proofErr w:type="spellStart"/>
      <w:r w:rsidRPr="00435DA8">
        <w:rPr>
          <w:lang w:val="sk-SK" w:bidi="bo-CN"/>
        </w:rPr>
        <w:t>Adhesive</w:t>
      </w:r>
      <w:proofErr w:type="spellEnd"/>
      <w:r w:rsidRPr="00435DA8">
        <w:rPr>
          <w:lang w:val="sk-SK" w:bidi="bo-CN"/>
        </w:rPr>
        <w:t xml:space="preserve"> Technologies sa v prvom polroku 2025 </w:t>
      </w:r>
      <w:r w:rsidRPr="00435DA8">
        <w:rPr>
          <w:b/>
          <w:bCs/>
          <w:lang w:val="sk-SK" w:bidi="bo-CN"/>
        </w:rPr>
        <w:t xml:space="preserve">organicky </w:t>
      </w:r>
      <w:r w:rsidRPr="00435DA8">
        <w:rPr>
          <w:lang w:val="sk-SK" w:bidi="bo-CN"/>
        </w:rPr>
        <w:t>zvýšil o 1,2 percenta (2. polrok: 1,3 percenta).</w:t>
      </w:r>
      <w:r w:rsidRPr="00D92568">
        <w:rPr>
          <w:rFonts w:cs="Segoe UI"/>
          <w:bCs/>
          <w:szCs w:val="22"/>
          <w:lang w:val="sk-SK"/>
        </w:rPr>
        <w:t xml:space="preserve"> </w:t>
      </w:r>
      <w:r w:rsidRPr="00435DA8">
        <w:rPr>
          <w:rFonts w:cs="Segoe UI"/>
          <w:bCs/>
          <w:szCs w:val="22"/>
          <w:lang w:val="sk-SK" w:bidi="bo-CN"/>
        </w:rPr>
        <w:t>K uvedenému zvýšeniu prispel vyrovnaný pozitívny vývoj tak v cenovej oblasti, ako aj v objeme predaja.</w:t>
      </w:r>
      <w:r w:rsidRPr="00D92568">
        <w:rPr>
          <w:rFonts w:cs="Segoe UI"/>
          <w:bCs/>
          <w:szCs w:val="22"/>
          <w:lang w:val="sk-SK"/>
        </w:rPr>
        <w:t xml:space="preserve"> </w:t>
      </w:r>
      <w:r w:rsidRPr="00E60A5E">
        <w:rPr>
          <w:rFonts w:cs="Segoe UI"/>
          <w:bCs/>
          <w:szCs w:val="22"/>
          <w:lang w:val="sk-SK" w:bidi="bo-CN"/>
        </w:rPr>
        <w:t>V nominálnom vyjadrení dosiahol obrat hodnotu 5 416 miliónov eur a mierne zaostal za úrovňou z rovnakého obdobia predchádzajúceho roka, a to o 1,1 percenta (2. štvrťrok: 2 701 miliónov eur).</w:t>
      </w:r>
      <w:r w:rsidRPr="00D92568">
        <w:rPr>
          <w:color w:val="000000" w:themeColor="text1"/>
          <w:lang w:val="sk-SK"/>
        </w:rPr>
        <w:t xml:space="preserve"> </w:t>
      </w:r>
      <w:r w:rsidRPr="00F725A1">
        <w:rPr>
          <w:color w:val="000000" w:themeColor="text1"/>
          <w:lang w:val="sk-SK"/>
        </w:rPr>
        <w:fldChar w:fldCharType="begin"/>
      </w:r>
      <w:r w:rsidRPr="00F725A1">
        <w:rPr>
          <w:color w:val="000000" w:themeColor="text1"/>
          <w:lang w:val="sk-SK"/>
        </w:rPr>
        <w:instrText xml:space="preserve"> DOCVARIABLE WORDVALUE-7c2eb70d-9d14-4f70-93d9-1f388a1f5be7 \* CHARFORMAT </w:instrText>
      </w:r>
      <w:r w:rsidRPr="00F725A1">
        <w:rPr>
          <w:color w:val="000000" w:themeColor="text1"/>
          <w:lang w:val="sk-SK"/>
        </w:rPr>
        <w:fldChar w:fldCharType="end"/>
      </w:r>
      <w:bookmarkEnd w:id="2"/>
      <w:bookmarkEnd w:id="3"/>
      <w:r w:rsidRPr="00F725A1">
        <w:rPr>
          <w:color w:val="000000" w:themeColor="text1"/>
          <w:lang w:val="sk-SK"/>
        </w:rPr>
        <w:fldChar w:fldCharType="begin"/>
      </w:r>
      <w:r w:rsidRPr="00F725A1">
        <w:rPr>
          <w:color w:val="000000" w:themeColor="text1"/>
          <w:lang w:val="sk-SK"/>
        </w:rPr>
        <w:instrText xml:space="preserve"> DOCVARIABLE WORDVALUE-b5592f6a-a403-4cc8-a105-1f388a58258f \* CHARFORMAT </w:instrText>
      </w:r>
      <w:r w:rsidRPr="00F725A1">
        <w:rPr>
          <w:color w:val="000000" w:themeColor="text1"/>
          <w:lang w:val="sk-SK"/>
        </w:rPr>
        <w:fldChar w:fldCharType="end"/>
      </w:r>
    </w:p>
    <w:p w14:paraId="06E926BE" w14:textId="77777777" w:rsidR="007347CB" w:rsidRPr="00F725A1" w:rsidRDefault="007347CB" w:rsidP="007347CB">
      <w:pPr>
        <w:rPr>
          <w:rFonts w:cs="Segoe UI"/>
          <w:szCs w:val="18"/>
          <w:lang w:val="sk-SK"/>
        </w:rPr>
      </w:pPr>
    </w:p>
    <w:p w14:paraId="397FFB19" w14:textId="77777777" w:rsidR="007347CB" w:rsidRPr="00F725A1" w:rsidRDefault="007347CB" w:rsidP="007347CB">
      <w:pPr>
        <w:rPr>
          <w:rFonts w:cs="Segoe UI"/>
          <w:szCs w:val="18"/>
          <w:lang w:val="sk-SK"/>
        </w:rPr>
      </w:pPr>
      <w:r w:rsidRPr="00BA74C5">
        <w:rPr>
          <w:rFonts w:cs="Segoe UI"/>
          <w:szCs w:val="18"/>
          <w:lang w:val="sk-SK" w:bidi="bo-CN"/>
        </w:rPr>
        <w:lastRenderedPageBreak/>
        <w:t xml:space="preserve">K pozitívnemu rastu organického obratu obchodnej divízie </w:t>
      </w:r>
      <w:proofErr w:type="spellStart"/>
      <w:r w:rsidRPr="00BA74C5">
        <w:rPr>
          <w:rFonts w:cs="Segoe UI"/>
          <w:szCs w:val="18"/>
          <w:lang w:val="sk-SK" w:bidi="bo-CN"/>
        </w:rPr>
        <w:t>Adhesive</w:t>
      </w:r>
      <w:proofErr w:type="spellEnd"/>
      <w:r w:rsidRPr="00BA74C5">
        <w:rPr>
          <w:rFonts w:cs="Segoe UI"/>
          <w:szCs w:val="18"/>
          <w:lang w:val="sk-SK" w:bidi="bo-CN"/>
        </w:rPr>
        <w:t xml:space="preserve"> Technologies v prvom polroku prispel predovšetkým vývoj v</w:t>
      </w:r>
      <w:r>
        <w:rPr>
          <w:rFonts w:cs="Segoe UI"/>
          <w:szCs w:val="18"/>
          <w:lang w:val="sk-SK" w:bidi="bo-CN"/>
        </w:rPr>
        <w:t xml:space="preserve"> trhovom </w:t>
      </w:r>
      <w:r w:rsidRPr="00BA74C5">
        <w:rPr>
          <w:rFonts w:cs="Segoe UI"/>
          <w:szCs w:val="18"/>
          <w:lang w:val="sk-SK" w:bidi="bo-CN"/>
        </w:rPr>
        <w:t xml:space="preserve">segmente </w:t>
      </w:r>
      <w:r w:rsidRPr="00BA74C5">
        <w:rPr>
          <w:rFonts w:cs="Segoe UI"/>
          <w:b/>
          <w:bCs/>
          <w:szCs w:val="18"/>
          <w:lang w:val="sk-SK" w:bidi="bo-CN"/>
        </w:rPr>
        <w:t>mobility a elektronického priemyslu</w:t>
      </w:r>
      <w:r w:rsidRPr="00BA74C5">
        <w:rPr>
          <w:rFonts w:cs="Segoe UI"/>
          <w:szCs w:val="18"/>
          <w:lang w:val="sk-SK" w:bidi="bo-CN"/>
        </w:rPr>
        <w:t>, ktorý zaznamenal solídne zvýšenie organického obratu na úrovni 2,8 percenta (2. štvrťrok: +2,5 percenta).</w:t>
      </w:r>
      <w:r w:rsidRPr="00D92568">
        <w:rPr>
          <w:rFonts w:cs="Segoe UI"/>
          <w:szCs w:val="18"/>
          <w:lang w:val="sk-SK"/>
        </w:rPr>
        <w:t xml:space="preserve"> </w:t>
      </w:r>
      <w:r w:rsidRPr="00BA74C5">
        <w:rPr>
          <w:rFonts w:cs="Segoe UI"/>
          <w:szCs w:val="18"/>
          <w:lang w:val="sk-SK" w:bidi="bo-CN"/>
        </w:rPr>
        <w:t>K uvedenému rastu prispeli dvojciferný rast organického obratu v </w:t>
      </w:r>
      <w:r>
        <w:rPr>
          <w:rFonts w:cs="Segoe UI"/>
          <w:szCs w:val="18"/>
          <w:lang w:val="sk-SK" w:bidi="bo-CN"/>
        </w:rPr>
        <w:t>odvetví</w:t>
      </w:r>
      <w:r w:rsidRPr="00BA74C5">
        <w:rPr>
          <w:rFonts w:cs="Segoe UI"/>
          <w:szCs w:val="18"/>
          <w:lang w:val="sk-SK" w:bidi="bo-CN"/>
        </w:rPr>
        <w:t xml:space="preserve"> elektronického priemysl</w:t>
      </w:r>
      <w:r>
        <w:rPr>
          <w:rFonts w:cs="Segoe UI"/>
          <w:szCs w:val="18"/>
          <w:lang w:val="sk-SK" w:bidi="bo-CN"/>
        </w:rPr>
        <w:t>u</w:t>
      </w:r>
      <w:r w:rsidRPr="00BA74C5">
        <w:rPr>
          <w:rFonts w:cs="Segoe UI"/>
          <w:szCs w:val="18"/>
          <w:lang w:val="sk-SK" w:bidi="bo-CN"/>
        </w:rPr>
        <w:t xml:space="preserve"> a veľmi silný rast organického obratu v</w:t>
      </w:r>
      <w:r>
        <w:rPr>
          <w:rFonts w:cs="Segoe UI"/>
          <w:szCs w:val="18"/>
          <w:lang w:val="sk-SK" w:bidi="bo-CN"/>
        </w:rPr>
        <w:t> odvetví</w:t>
      </w:r>
      <w:r w:rsidRPr="00BA74C5">
        <w:rPr>
          <w:rFonts w:cs="Segoe UI"/>
          <w:szCs w:val="18"/>
          <w:lang w:val="sk-SK" w:bidi="bo-CN"/>
        </w:rPr>
        <w:t xml:space="preserve"> </w:t>
      </w:r>
      <w:r>
        <w:rPr>
          <w:rFonts w:cs="Segoe UI"/>
          <w:szCs w:val="18"/>
          <w:lang w:val="sk-SK" w:bidi="bo-CN"/>
        </w:rPr>
        <w:t>dodávateľského priemyslu</w:t>
      </w:r>
      <w:r w:rsidRPr="00BA74C5">
        <w:rPr>
          <w:rFonts w:cs="Segoe UI"/>
          <w:szCs w:val="18"/>
          <w:lang w:val="sk-SK" w:bidi="bo-CN"/>
        </w:rPr>
        <w:t>.</w:t>
      </w:r>
      <w:r w:rsidRPr="00D92568">
        <w:rPr>
          <w:rFonts w:cs="Segoe UI"/>
          <w:szCs w:val="18"/>
          <w:lang w:val="sk-SK"/>
        </w:rPr>
        <w:t xml:space="preserve"> </w:t>
      </w:r>
      <w:r w:rsidRPr="00BA74C5">
        <w:rPr>
          <w:rFonts w:cs="Segoe UI"/>
          <w:szCs w:val="18"/>
          <w:lang w:val="sk-SK" w:bidi="bo-CN"/>
        </w:rPr>
        <w:t>Naopak segment automobilového priemyslu zaznamenal pokles spôsobený náročným trhovým prostredím.</w:t>
      </w:r>
      <w:r w:rsidRPr="00D92568">
        <w:rPr>
          <w:rFonts w:cs="Segoe UI"/>
          <w:szCs w:val="18"/>
          <w:lang w:val="sk-SK"/>
        </w:rPr>
        <w:t xml:space="preserve"> </w:t>
      </w:r>
      <w:r>
        <w:rPr>
          <w:rFonts w:cs="Segoe UI"/>
          <w:szCs w:val="18"/>
          <w:lang w:val="sk-SK" w:bidi="bo-CN"/>
        </w:rPr>
        <w:t>Trhový</w:t>
      </w:r>
      <w:r w:rsidRPr="004603F3">
        <w:rPr>
          <w:rFonts w:cs="Segoe UI"/>
          <w:szCs w:val="18"/>
          <w:lang w:val="sk-SK" w:bidi="bo-CN"/>
        </w:rPr>
        <w:t xml:space="preserve"> segment </w:t>
      </w:r>
      <w:r w:rsidRPr="004603F3">
        <w:rPr>
          <w:rFonts w:cs="Segoe UI"/>
          <w:b/>
          <w:bCs/>
          <w:szCs w:val="18"/>
          <w:lang w:val="sk-SK" w:bidi="bo-CN"/>
        </w:rPr>
        <w:t xml:space="preserve">obalového a spotrebného tovaru </w:t>
      </w:r>
      <w:r w:rsidRPr="004603F3">
        <w:rPr>
          <w:rFonts w:cs="Segoe UI"/>
          <w:szCs w:val="18"/>
          <w:lang w:val="sk-SK" w:bidi="bo-CN"/>
        </w:rPr>
        <w:t>zaznamenal stabilný rast organického obratu (2. štvrťrok: +0,4 percenta).</w:t>
      </w:r>
      <w:r w:rsidRPr="00D92568">
        <w:rPr>
          <w:rFonts w:cs="Segoe UI"/>
          <w:szCs w:val="18"/>
          <w:lang w:val="sk-SK"/>
        </w:rPr>
        <w:t xml:space="preserve"> </w:t>
      </w:r>
      <w:r w:rsidRPr="004603F3">
        <w:rPr>
          <w:rFonts w:cs="Segoe UI"/>
          <w:szCs w:val="18"/>
          <w:lang w:val="sk-SK" w:bidi="bo-CN"/>
        </w:rPr>
        <w:t>Mierny pokles organického obratu v kategórii obalového tovaru bol kompenzovaný zvýšením organického obratu v kategórii spotrebného tovaru.</w:t>
      </w:r>
      <w:r w:rsidRPr="00D92568">
        <w:rPr>
          <w:rFonts w:cs="Segoe UI"/>
          <w:szCs w:val="18"/>
          <w:lang w:val="sk-SK"/>
        </w:rPr>
        <w:t xml:space="preserve"> </w:t>
      </w:r>
      <w:r w:rsidRPr="004603F3">
        <w:rPr>
          <w:rFonts w:cs="Segoe UI"/>
          <w:szCs w:val="18"/>
          <w:lang w:val="sk-SK" w:bidi="bo-CN"/>
        </w:rPr>
        <w:t xml:space="preserve">Trhový segment </w:t>
      </w:r>
      <w:r w:rsidRPr="004603F3">
        <w:rPr>
          <w:lang w:val="sk-SK" w:bidi="bo-CN"/>
        </w:rPr>
        <w:t xml:space="preserve">výrobkov pre </w:t>
      </w:r>
      <w:r w:rsidRPr="004603F3">
        <w:rPr>
          <w:b/>
          <w:bCs/>
          <w:lang w:val="sk-SK" w:bidi="bo-CN"/>
        </w:rPr>
        <w:t xml:space="preserve">remeselníkov, stavebníctvo a profesionálov </w:t>
      </w:r>
      <w:r w:rsidRPr="004603F3">
        <w:rPr>
          <w:lang w:val="sk-SK" w:bidi="bo-CN"/>
        </w:rPr>
        <w:t>dosiahol</w:t>
      </w:r>
      <w:r>
        <w:rPr>
          <w:lang w:val="sk-SK" w:bidi="bo-CN"/>
        </w:rPr>
        <w:t xml:space="preserve"> rast organického</w:t>
      </w:r>
      <w:r w:rsidRPr="004603F3">
        <w:rPr>
          <w:lang w:val="sk-SK" w:bidi="bo-CN"/>
        </w:rPr>
        <w:t xml:space="preserve"> obratu vo výške 0,6 percenta (2. polrok: +0,8 percenta).</w:t>
      </w:r>
      <w:r w:rsidRPr="00D92568">
        <w:rPr>
          <w:rFonts w:cs="Segoe UI"/>
          <w:szCs w:val="18"/>
          <w:lang w:val="sk-SK"/>
        </w:rPr>
        <w:t xml:space="preserve"> </w:t>
      </w:r>
      <w:r w:rsidRPr="004603F3">
        <w:rPr>
          <w:rFonts w:cs="Segoe UI"/>
          <w:szCs w:val="18"/>
          <w:lang w:val="sk-SK" w:bidi="bo-CN"/>
        </w:rPr>
        <w:t>K uvedenému rastu prispelo predovšetkým solídne zvýšenie organického obratu v kategórii výrobkov pre stavebníctvo.</w:t>
      </w:r>
      <w:r w:rsidRPr="00D92568">
        <w:rPr>
          <w:rFonts w:cs="Segoe UI"/>
          <w:szCs w:val="18"/>
          <w:lang w:val="sk-SK"/>
        </w:rPr>
        <w:t xml:space="preserve"> </w:t>
      </w:r>
      <w:r w:rsidRPr="009C75ED">
        <w:rPr>
          <w:rFonts w:cs="Segoe UI"/>
          <w:szCs w:val="18"/>
          <w:lang w:val="sk-SK" w:bidi="bo-CN"/>
        </w:rPr>
        <w:t>Kategórie výrobkov pre spotrebiteľov a remeselníkov a pre výrobu a údržbu zaznamenali v porovnaní s rovnakým obdobím predchádzajúceho roka stabilný vývoj.</w:t>
      </w:r>
      <w:r w:rsidRPr="00D92568">
        <w:rPr>
          <w:rFonts w:cs="Segoe UI"/>
          <w:szCs w:val="18"/>
          <w:lang w:val="sk-SK"/>
        </w:rPr>
        <w:t xml:space="preserve"> </w:t>
      </w:r>
    </w:p>
    <w:p w14:paraId="7DD0D122" w14:textId="77777777" w:rsidR="007347CB" w:rsidRPr="00F725A1" w:rsidRDefault="007347CB" w:rsidP="007347CB">
      <w:pPr>
        <w:rPr>
          <w:rFonts w:cs="Segoe UI"/>
          <w:bCs/>
          <w:szCs w:val="22"/>
          <w:lang w:val="sk-SK"/>
        </w:rPr>
      </w:pPr>
    </w:p>
    <w:p w14:paraId="4EF40A80" w14:textId="77777777" w:rsidR="007347CB" w:rsidRPr="00D92568" w:rsidRDefault="007347CB" w:rsidP="007347CB">
      <w:pPr>
        <w:rPr>
          <w:rFonts w:cs="Segoe UI"/>
          <w:bCs/>
          <w:szCs w:val="22"/>
          <w:lang w:val="sk-SK"/>
        </w:rPr>
      </w:pPr>
      <w:r w:rsidRPr="009C75ED">
        <w:rPr>
          <w:rFonts w:cs="Segoe UI"/>
          <w:b/>
          <w:bCs/>
          <w:szCs w:val="22"/>
          <w:lang w:val="sk-SK" w:bidi="bo-CN"/>
        </w:rPr>
        <w:t xml:space="preserve">Upravený prevádzkový zisk </w:t>
      </w:r>
      <w:r w:rsidRPr="009C75ED">
        <w:rPr>
          <w:rFonts w:cs="Segoe UI"/>
          <w:szCs w:val="22"/>
          <w:lang w:val="sk-SK" w:bidi="bo-CN"/>
        </w:rPr>
        <w:t>vo výške 931 miliónov eur mierne zaostal za úrovňou z predchádzajúceho roka.</w:t>
      </w:r>
      <w:r w:rsidRPr="00D92568">
        <w:rPr>
          <w:rFonts w:cs="Segoe UI"/>
          <w:bCs/>
          <w:szCs w:val="22"/>
          <w:lang w:val="sk-SK"/>
        </w:rPr>
        <w:t xml:space="preserve"> </w:t>
      </w:r>
      <w:r w:rsidRPr="009C75ED">
        <w:rPr>
          <w:rFonts w:cs="Segoe UI"/>
          <w:b/>
          <w:szCs w:val="22"/>
          <w:lang w:val="sk-SK" w:bidi="bo-CN"/>
        </w:rPr>
        <w:t>Upravená výnosnosť predaja</w:t>
      </w:r>
      <w:r w:rsidRPr="009C75ED">
        <w:rPr>
          <w:rFonts w:cs="Segoe UI"/>
          <w:bCs/>
          <w:szCs w:val="22"/>
          <w:lang w:val="sk-SK" w:bidi="bo-CN"/>
        </w:rPr>
        <w:t xml:space="preserve"> (upravená marža EBIT) sa však zvýšila na 17,2 percenta v porovnaní so 17,0 percentami z rovnakého obdobia predchádzajúceho roka,</w:t>
      </w:r>
      <w:r w:rsidRPr="00D92568">
        <w:rPr>
          <w:rFonts w:cs="Segoe UI"/>
          <w:bCs/>
          <w:szCs w:val="22"/>
          <w:lang w:val="sk-SK"/>
        </w:rPr>
        <w:t xml:space="preserve"> </w:t>
      </w:r>
      <w:r w:rsidRPr="009C75ED">
        <w:rPr>
          <w:rFonts w:cs="Segoe UI"/>
          <w:bCs/>
          <w:szCs w:val="22"/>
          <w:lang w:val="sk-SK" w:bidi="bo-CN"/>
        </w:rPr>
        <w:t>najmä vďaka priaznivému mixu obchodných aktivít.</w:t>
      </w:r>
    </w:p>
    <w:p w14:paraId="0343A1CD" w14:textId="77777777" w:rsidR="007347CB" w:rsidRPr="00F725A1" w:rsidRDefault="007347CB" w:rsidP="007347CB">
      <w:pPr>
        <w:rPr>
          <w:rFonts w:cs="Segoe UI"/>
          <w:b/>
          <w:bCs/>
          <w:szCs w:val="22"/>
          <w:lang w:val="sk-SK"/>
        </w:rPr>
      </w:pPr>
    </w:p>
    <w:p w14:paraId="54A2EC05" w14:textId="77777777" w:rsidR="007347CB" w:rsidRPr="00D92568" w:rsidRDefault="007347CB" w:rsidP="007347CB">
      <w:pPr>
        <w:rPr>
          <w:rFonts w:cs="Segoe UI"/>
          <w:szCs w:val="22"/>
          <w:lang w:val="sk-SK"/>
        </w:rPr>
      </w:pPr>
      <w:r w:rsidRPr="00757892">
        <w:rPr>
          <w:rFonts w:cs="Segoe UI"/>
          <w:szCs w:val="22"/>
          <w:lang w:val="sk-SK" w:bidi="bo-CN"/>
        </w:rPr>
        <w:t>Rast</w:t>
      </w:r>
      <w:r>
        <w:rPr>
          <w:rFonts w:cs="Segoe UI"/>
          <w:b/>
          <w:bCs/>
          <w:szCs w:val="22"/>
          <w:lang w:val="sk-SK" w:bidi="bo-CN"/>
        </w:rPr>
        <w:t xml:space="preserve"> organického </w:t>
      </w:r>
      <w:r w:rsidRPr="00D3622D">
        <w:rPr>
          <w:rFonts w:cs="Segoe UI"/>
          <w:szCs w:val="22"/>
          <w:lang w:val="sk-SK" w:bidi="bo-CN"/>
        </w:rPr>
        <w:t xml:space="preserve">obratu obchodnej divízie </w:t>
      </w:r>
      <w:proofErr w:type="spellStart"/>
      <w:r w:rsidRPr="00D3622D">
        <w:rPr>
          <w:rFonts w:cs="Segoe UI"/>
          <w:b/>
          <w:bCs/>
          <w:szCs w:val="22"/>
          <w:lang w:val="sk-SK" w:bidi="bo-CN"/>
        </w:rPr>
        <w:t>Consumer</w:t>
      </w:r>
      <w:proofErr w:type="spellEnd"/>
      <w:r w:rsidRPr="00D3622D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D3622D">
        <w:rPr>
          <w:rFonts w:cs="Segoe UI"/>
          <w:b/>
          <w:bCs/>
          <w:szCs w:val="22"/>
          <w:lang w:val="sk-SK" w:bidi="bo-CN"/>
        </w:rPr>
        <w:t>Brands</w:t>
      </w:r>
      <w:proofErr w:type="spellEnd"/>
      <w:r w:rsidRPr="00D3622D">
        <w:rPr>
          <w:rFonts w:cs="Segoe UI"/>
          <w:b/>
          <w:bCs/>
          <w:szCs w:val="22"/>
          <w:lang w:val="sk-SK" w:bidi="bo-CN"/>
        </w:rPr>
        <w:t xml:space="preserve"> </w:t>
      </w:r>
      <w:r w:rsidRPr="00D3622D">
        <w:rPr>
          <w:rFonts w:cs="Segoe UI"/>
          <w:szCs w:val="22"/>
          <w:lang w:val="sk-SK" w:bidi="bo-CN"/>
        </w:rPr>
        <w:t>sa v prvom polroku 2025 medziročne znížil o 1,6 percenta (2. štvrťrok: +0,4 percenta).</w:t>
      </w:r>
      <w:r w:rsidRPr="00D92568">
        <w:rPr>
          <w:rFonts w:cs="Segoe UI"/>
          <w:szCs w:val="18"/>
          <w:lang w:val="sk-SK"/>
        </w:rPr>
        <w:t xml:space="preserve"> </w:t>
      </w:r>
      <w:r w:rsidRPr="004D6571">
        <w:rPr>
          <w:rFonts w:cs="Segoe UI"/>
          <w:szCs w:val="18"/>
          <w:lang w:val="sk-SK" w:bidi="bo-CN"/>
        </w:rPr>
        <w:t xml:space="preserve">V nominálnom vyjadrení </w:t>
      </w:r>
      <w:r w:rsidRPr="004D6571">
        <w:rPr>
          <w:rFonts w:cs="Segoe UI"/>
          <w:b/>
          <w:bCs/>
          <w:szCs w:val="18"/>
          <w:lang w:val="sk-SK" w:bidi="bo-CN"/>
        </w:rPr>
        <w:t xml:space="preserve">obrat </w:t>
      </w:r>
      <w:r w:rsidRPr="004D6571">
        <w:rPr>
          <w:rFonts w:cs="Segoe UI"/>
          <w:szCs w:val="18"/>
          <w:lang w:val="sk-SK" w:bidi="bo-CN"/>
        </w:rPr>
        <w:t>dosiahol výšku 4 907 miliónov eur (2. štvrťrok: 2 422 miliónov eur), čo predstavuje medziročný pokles o 6,8 percenta.</w:t>
      </w:r>
      <w:r w:rsidRPr="00D92568">
        <w:rPr>
          <w:rFonts w:cs="Segoe UI"/>
          <w:szCs w:val="22"/>
          <w:lang w:val="sk-SK"/>
        </w:rPr>
        <w:t xml:space="preserve"> </w:t>
      </w:r>
      <w:r w:rsidRPr="0019329C">
        <w:rPr>
          <w:rFonts w:cs="Segoe UI"/>
          <w:szCs w:val="22"/>
          <w:lang w:val="sk-SK" w:bidi="bo-CN"/>
        </w:rPr>
        <w:t>V porovnaní s prvým polrokom 2024 zaznamenala obchodná divízia pozitívny cenový vývoj, ale čelila poklesu v objeme predaja, ktorého hlavnou príčinou boli náročné podmienky na kľúčových trhoch v Severnej Amerike a Európe.</w:t>
      </w:r>
    </w:p>
    <w:p w14:paraId="09455EA7" w14:textId="77777777" w:rsidR="007347CB" w:rsidRPr="00F725A1" w:rsidRDefault="007347CB" w:rsidP="007347CB">
      <w:pPr>
        <w:rPr>
          <w:rFonts w:cs="Segoe UI"/>
          <w:szCs w:val="22"/>
          <w:lang w:val="sk-SK"/>
        </w:rPr>
      </w:pPr>
    </w:p>
    <w:p w14:paraId="454CE730" w14:textId="77777777" w:rsidR="007347CB" w:rsidRPr="00D92568" w:rsidRDefault="007347CB" w:rsidP="007347CB">
      <w:pPr>
        <w:rPr>
          <w:rFonts w:cs="Segoe UI"/>
          <w:szCs w:val="22"/>
          <w:lang w:val="sk-SK"/>
        </w:rPr>
      </w:pPr>
      <w:r w:rsidRPr="00C13C38">
        <w:rPr>
          <w:rFonts w:cs="Segoe UI"/>
          <w:szCs w:val="22"/>
          <w:lang w:val="sk-SK" w:bidi="bo-CN"/>
        </w:rPr>
        <w:t xml:space="preserve">Organický obrat v segmente </w:t>
      </w:r>
      <w:r w:rsidRPr="00C13C38">
        <w:rPr>
          <w:rFonts w:cs="Segoe UI"/>
          <w:b/>
          <w:bCs/>
          <w:szCs w:val="22"/>
          <w:lang w:val="sk-SK" w:bidi="bo-CN"/>
        </w:rPr>
        <w:t xml:space="preserve">pracích a čistiacich prostriedkov </w:t>
      </w:r>
      <w:r w:rsidRPr="00C13C38">
        <w:rPr>
          <w:rFonts w:cs="Segoe UI"/>
          <w:szCs w:val="22"/>
          <w:lang w:val="sk-SK" w:bidi="bo-CN"/>
        </w:rPr>
        <w:t>pre domácnosť sa v prvej polovici roka znížil o 2,6 percenta (2. štvrťrok: -0,9 percenta).</w:t>
      </w:r>
      <w:r w:rsidRPr="00D92568">
        <w:rPr>
          <w:rFonts w:cs="Segoe UI"/>
          <w:szCs w:val="22"/>
          <w:lang w:val="sk-SK"/>
        </w:rPr>
        <w:t xml:space="preserve"> </w:t>
      </w:r>
      <w:r w:rsidRPr="00C13C38">
        <w:rPr>
          <w:rFonts w:cs="Segoe UI"/>
          <w:szCs w:val="22"/>
          <w:lang w:val="sk-SK" w:bidi="bo-CN"/>
        </w:rPr>
        <w:t>Segment čistiacich prostriedkov na starostlivosť o domácnosť zaznamenal rast organického obratu, ktorý potiahla najmä kategória výrobkov na umývanie riadu s veľmi silným rastom organického obratu.</w:t>
      </w:r>
      <w:r w:rsidRPr="00D92568">
        <w:rPr>
          <w:rFonts w:cs="Segoe UI"/>
          <w:szCs w:val="22"/>
          <w:lang w:val="sk-SK"/>
        </w:rPr>
        <w:t xml:space="preserve"> </w:t>
      </w:r>
      <w:r w:rsidRPr="00C13C38">
        <w:rPr>
          <w:rFonts w:cs="Segoe UI"/>
          <w:szCs w:val="22"/>
          <w:lang w:val="sk-SK" w:bidi="bo-CN"/>
        </w:rPr>
        <w:t>Naopak, organický obrat klesol v kategórii pracích prostriedkov.</w:t>
      </w:r>
      <w:r w:rsidRPr="00D92568">
        <w:rPr>
          <w:rFonts w:cs="Segoe UI"/>
          <w:szCs w:val="22"/>
          <w:lang w:val="sk-SK"/>
        </w:rPr>
        <w:t xml:space="preserve"> </w:t>
      </w:r>
      <w:r w:rsidRPr="00D83263">
        <w:rPr>
          <w:rFonts w:cs="Segoe UI"/>
          <w:szCs w:val="22"/>
          <w:lang w:val="sk-SK" w:bidi="bo-CN"/>
        </w:rPr>
        <w:t xml:space="preserve">Trhový segment </w:t>
      </w:r>
      <w:r w:rsidRPr="00D83263">
        <w:rPr>
          <w:rFonts w:cs="Segoe UI"/>
          <w:b/>
          <w:bCs/>
          <w:szCs w:val="22"/>
          <w:lang w:val="sk-SK" w:bidi="bo-CN"/>
        </w:rPr>
        <w:t xml:space="preserve">vlasovej kozmetiky </w:t>
      </w:r>
      <w:r w:rsidRPr="00D83263">
        <w:rPr>
          <w:rFonts w:cs="Segoe UI"/>
          <w:szCs w:val="22"/>
          <w:lang w:val="sk-SK" w:bidi="bo-CN"/>
        </w:rPr>
        <w:t>dosiahol za prvých šesť mesiacov tohto r</w:t>
      </w:r>
      <w:r>
        <w:rPr>
          <w:rFonts w:cs="Segoe UI"/>
          <w:szCs w:val="22"/>
          <w:lang w:val="sk-SK" w:bidi="bo-CN"/>
        </w:rPr>
        <w:t>oka</w:t>
      </w:r>
      <w:r w:rsidRPr="00D83263">
        <w:rPr>
          <w:rFonts w:cs="Segoe UI"/>
          <w:szCs w:val="22"/>
          <w:lang w:val="sk-SK" w:bidi="bo-CN"/>
        </w:rPr>
        <w:t xml:space="preserve"> 0,9 percentný rast organického obratu (2. štvrťrok: </w:t>
      </w:r>
      <w:r w:rsidRPr="00D83263">
        <w:rPr>
          <w:rFonts w:cs="Segoe UI"/>
          <w:szCs w:val="22"/>
          <w:lang w:val="sk-SK" w:bidi="bo-CN"/>
        </w:rPr>
        <w:lastRenderedPageBreak/>
        <w:t>+3,2 percenta).</w:t>
      </w:r>
      <w:r w:rsidRPr="00D92568">
        <w:rPr>
          <w:rFonts w:cs="Segoe UI"/>
          <w:szCs w:val="22"/>
          <w:lang w:val="sk-SK"/>
        </w:rPr>
        <w:t xml:space="preserve"> </w:t>
      </w:r>
      <w:r w:rsidRPr="00D83263">
        <w:rPr>
          <w:rFonts w:cs="Segoe UI"/>
          <w:szCs w:val="22"/>
          <w:lang w:val="sk-SK" w:bidi="bo-CN"/>
        </w:rPr>
        <w:t xml:space="preserve">Segment spotrebného tovaru zaznamenal kladný rast organického obratu najmä vďaka veľmi silným výsledkom v kategórii farieb na vlasy a pozitívnemu vývoju v kategórii </w:t>
      </w:r>
      <w:proofErr w:type="spellStart"/>
      <w:r w:rsidRPr="00D83263">
        <w:rPr>
          <w:rFonts w:cs="Segoe UI"/>
          <w:szCs w:val="22"/>
          <w:lang w:val="sk-SK" w:bidi="bo-CN"/>
        </w:rPr>
        <w:t>stylingových</w:t>
      </w:r>
      <w:proofErr w:type="spellEnd"/>
      <w:r w:rsidRPr="00D83263">
        <w:rPr>
          <w:rFonts w:cs="Segoe UI"/>
          <w:szCs w:val="22"/>
          <w:lang w:val="sk-SK" w:bidi="bo-CN"/>
        </w:rPr>
        <w:t xml:space="preserve"> vlasových prípravkov.</w:t>
      </w:r>
      <w:r w:rsidRPr="00D92568">
        <w:rPr>
          <w:rFonts w:cs="Segoe UI"/>
          <w:szCs w:val="22"/>
          <w:lang w:val="sk-SK"/>
        </w:rPr>
        <w:t xml:space="preserve"> </w:t>
      </w:r>
      <w:r w:rsidRPr="004320D9">
        <w:rPr>
          <w:rFonts w:cs="Segoe UI"/>
          <w:szCs w:val="22"/>
          <w:lang w:val="sk-SK" w:bidi="bo-CN"/>
        </w:rPr>
        <w:t>V segmente profesionálnej vlasovej kozmetiky došlo k miernemu zníženiu organického obratu, ktorého príčinou bolo náročné spotrebiteľské prostredie predovšetkým v regióne Severnej Ameriky.</w:t>
      </w:r>
      <w:r w:rsidRPr="00D92568">
        <w:rPr>
          <w:rFonts w:cs="Segoe UI"/>
          <w:szCs w:val="22"/>
          <w:lang w:val="sk-SK"/>
        </w:rPr>
        <w:t xml:space="preserve"> </w:t>
      </w:r>
      <w:r w:rsidRPr="00D86EA3">
        <w:rPr>
          <w:rFonts w:cs="Segoe UI"/>
          <w:szCs w:val="22"/>
          <w:lang w:val="sk-SK" w:bidi="bo-CN"/>
        </w:rPr>
        <w:t xml:space="preserve">V kategórii </w:t>
      </w:r>
      <w:r w:rsidRPr="00D86EA3">
        <w:rPr>
          <w:rFonts w:cs="Segoe UI"/>
          <w:b/>
          <w:bCs/>
          <w:szCs w:val="22"/>
          <w:lang w:val="sk-SK" w:bidi="bo-CN"/>
        </w:rPr>
        <w:t>iného spotrebného tovaru</w:t>
      </w:r>
      <w:r w:rsidRPr="00D86EA3">
        <w:rPr>
          <w:rFonts w:cs="Segoe UI"/>
          <w:szCs w:val="22"/>
          <w:lang w:val="sk-SK" w:bidi="bo-CN"/>
        </w:rPr>
        <w:t xml:space="preserve"> sa organický obrat v prvom polroku znížil o 4,2 percenta (2. štvrťrok: -1,7 percenta), </w:t>
      </w:r>
      <w:r>
        <w:rPr>
          <w:rFonts w:cs="Segoe UI"/>
          <w:szCs w:val="22"/>
          <w:lang w:val="sk-SK" w:bidi="bo-CN"/>
        </w:rPr>
        <w:t>pričom</w:t>
      </w:r>
      <w:r w:rsidRPr="00D86EA3">
        <w:rPr>
          <w:rFonts w:cs="Segoe UI"/>
          <w:szCs w:val="22"/>
          <w:lang w:val="sk-SK" w:bidi="bo-CN"/>
        </w:rPr>
        <w:t xml:space="preserve"> hlavným dôvodom bol nepriaznivý vývoj v kategórii výrobkov telovej kozmetiky v Severnej Amerike a Európe.</w:t>
      </w:r>
    </w:p>
    <w:p w14:paraId="324DF0F5" w14:textId="77777777" w:rsidR="007347CB" w:rsidRPr="00F725A1" w:rsidRDefault="007347CB" w:rsidP="007347CB">
      <w:pPr>
        <w:rPr>
          <w:rFonts w:cs="Segoe UI"/>
          <w:szCs w:val="22"/>
          <w:lang w:val="sk-SK"/>
        </w:rPr>
      </w:pPr>
    </w:p>
    <w:p w14:paraId="7321BCA5" w14:textId="77777777" w:rsidR="007347CB" w:rsidRPr="00F725A1" w:rsidRDefault="007347CB" w:rsidP="007347CB">
      <w:pPr>
        <w:rPr>
          <w:b/>
          <w:lang w:val="sk-SK"/>
        </w:rPr>
      </w:pPr>
      <w:r w:rsidRPr="00D86EA3">
        <w:rPr>
          <w:b/>
          <w:lang w:val="sk-SK" w:bidi="bo-CN"/>
        </w:rPr>
        <w:t>Upravený prevádzkový zisk</w:t>
      </w:r>
      <w:r w:rsidRPr="00D86EA3">
        <w:rPr>
          <w:bCs/>
          <w:lang w:val="sk-SK" w:bidi="bo-CN"/>
        </w:rPr>
        <w:t xml:space="preserve"> vo výške 748 miliónov eur mierne zaostal za úrovňou z rovnakého obdobia predchádzajúceho roka.</w:t>
      </w:r>
      <w:r w:rsidRPr="00D92568">
        <w:rPr>
          <w:bCs/>
          <w:lang w:val="sk-SK"/>
        </w:rPr>
        <w:t xml:space="preserve"> </w:t>
      </w:r>
      <w:r w:rsidRPr="00D62EAB">
        <w:rPr>
          <w:b/>
          <w:lang w:val="sk-SK" w:bidi="bo-CN"/>
        </w:rPr>
        <w:t xml:space="preserve">Upravená výnosnosť predaja </w:t>
      </w:r>
      <w:r w:rsidRPr="00D62EAB">
        <w:rPr>
          <w:bCs/>
          <w:lang w:val="sk-SK" w:bidi="bo-CN"/>
        </w:rPr>
        <w:t xml:space="preserve">(upravená marža </w:t>
      </w:r>
      <w:r w:rsidRPr="00D62EAB">
        <w:rPr>
          <w:rFonts w:cs="Segoe UI"/>
          <w:bCs/>
          <w:szCs w:val="22"/>
          <w:lang w:val="sk-SK" w:bidi="bo-CN"/>
        </w:rPr>
        <w:t>EBIT</w:t>
      </w:r>
      <w:r w:rsidRPr="00D62EAB">
        <w:rPr>
          <w:bCs/>
          <w:lang w:val="sk-SK" w:bidi="bo-CN"/>
        </w:rPr>
        <w:t>) zaznamenala významné medziročné zvýšenie zo 14,3 na 15,3 percenta.</w:t>
      </w:r>
      <w:r w:rsidRPr="00D92568">
        <w:rPr>
          <w:bCs/>
          <w:lang w:val="sk-SK"/>
        </w:rPr>
        <w:t xml:space="preserve"> </w:t>
      </w:r>
      <w:r w:rsidRPr="002777E0">
        <w:rPr>
          <w:bCs/>
          <w:lang w:val="sk-SK" w:bidi="bo-CN"/>
        </w:rPr>
        <w:t>K uvedenému vývoju prispeli predovšetkým pokračujúca úprava produktového portfólia a úspory, ktoré sa podarilo dosiahnuť optimalizáciou dodávateľského reťazca.</w:t>
      </w:r>
      <w:r w:rsidRPr="00D92568">
        <w:rPr>
          <w:b/>
          <w:lang w:val="sk-SK"/>
        </w:rPr>
        <w:t xml:space="preserve"> </w:t>
      </w:r>
    </w:p>
    <w:p w14:paraId="704EF761" w14:textId="77777777" w:rsidR="007347CB" w:rsidRPr="00F725A1" w:rsidRDefault="007347CB" w:rsidP="007347CB">
      <w:pPr>
        <w:rPr>
          <w:rFonts w:cs="Segoe UI"/>
          <w:szCs w:val="22"/>
          <w:lang w:val="sk-SK"/>
        </w:rPr>
      </w:pPr>
    </w:p>
    <w:p w14:paraId="207544BE" w14:textId="77777777" w:rsidR="007347CB" w:rsidRDefault="007347CB" w:rsidP="007347CB">
      <w:pPr>
        <w:spacing w:after="120"/>
        <w:rPr>
          <w:rFonts w:cs="Segoe UI"/>
          <w:b/>
          <w:szCs w:val="22"/>
          <w:lang w:val="sk-SK" w:bidi="bo-CN"/>
        </w:rPr>
      </w:pPr>
    </w:p>
    <w:p w14:paraId="4DDAF448" w14:textId="77777777" w:rsidR="007347CB" w:rsidRPr="00D92568" w:rsidRDefault="007347CB" w:rsidP="007347CB">
      <w:pPr>
        <w:spacing w:after="120"/>
        <w:rPr>
          <w:rFonts w:cs="Segoe UI"/>
          <w:szCs w:val="22"/>
          <w:lang w:val="sk-SK"/>
        </w:rPr>
      </w:pPr>
      <w:r w:rsidRPr="002777E0">
        <w:rPr>
          <w:rFonts w:cs="Segoe UI"/>
          <w:b/>
          <w:szCs w:val="22"/>
          <w:lang w:val="sk-SK" w:bidi="bo-CN"/>
        </w:rPr>
        <w:t>Ďalší pokrok v implementácii agendy pre zmysluplný rast</w:t>
      </w:r>
    </w:p>
    <w:p w14:paraId="63DA3E07" w14:textId="77777777" w:rsidR="007347CB" w:rsidRPr="00D92568" w:rsidRDefault="007347CB" w:rsidP="007347CB">
      <w:pPr>
        <w:autoSpaceDE w:val="0"/>
        <w:autoSpaceDN w:val="0"/>
        <w:adjustRightInd w:val="0"/>
        <w:rPr>
          <w:rFonts w:cs="Segoe UI"/>
          <w:szCs w:val="22"/>
          <w:lang w:val="sk-SK"/>
        </w:rPr>
      </w:pPr>
      <w:r w:rsidRPr="002777E0">
        <w:rPr>
          <w:rFonts w:cs="Segoe UI"/>
          <w:szCs w:val="22"/>
          <w:lang w:val="sk-SK" w:bidi="bo-CN"/>
        </w:rPr>
        <w:t>V prvom polroku 2025 pokračovala spoločnosť Henkel v úspešnej realizácii strategických priorít svojej agendy pre zmysluplný rast, v ktorej sa jej darí spoľahlivo napredovať.</w:t>
      </w:r>
    </w:p>
    <w:p w14:paraId="468A8482" w14:textId="77777777" w:rsidR="007347CB" w:rsidRPr="00F725A1" w:rsidRDefault="007347CB" w:rsidP="007347CB">
      <w:pPr>
        <w:autoSpaceDE w:val="0"/>
        <w:autoSpaceDN w:val="0"/>
        <w:adjustRightInd w:val="0"/>
        <w:rPr>
          <w:rFonts w:cs="Segoe UI"/>
          <w:szCs w:val="22"/>
          <w:lang w:val="sk-SK"/>
        </w:rPr>
      </w:pPr>
    </w:p>
    <w:p w14:paraId="4B0A53A1" w14:textId="77777777" w:rsidR="007347CB" w:rsidRPr="00D92568" w:rsidRDefault="007347CB" w:rsidP="007347CB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  <w:r w:rsidRPr="00D5601E">
        <w:rPr>
          <w:rFonts w:cs="Segoe UI"/>
          <w:szCs w:val="22"/>
          <w:lang w:val="sk-SK" w:eastAsia="de-DE" w:bidi="bo-CN"/>
        </w:rPr>
        <w:t xml:space="preserve">V rámci obchodnej divízie </w:t>
      </w:r>
      <w:proofErr w:type="spellStart"/>
      <w:r w:rsidRPr="00D5601E">
        <w:rPr>
          <w:rFonts w:cs="Segoe UI"/>
          <w:b/>
          <w:bCs/>
          <w:szCs w:val="22"/>
          <w:lang w:val="sk-SK" w:eastAsia="de-DE" w:bidi="bo-CN"/>
        </w:rPr>
        <w:t>Adhesive</w:t>
      </w:r>
      <w:proofErr w:type="spellEnd"/>
      <w:r w:rsidRPr="00D5601E">
        <w:rPr>
          <w:rFonts w:cs="Segoe UI"/>
          <w:b/>
          <w:bCs/>
          <w:szCs w:val="22"/>
          <w:lang w:val="sk-SK" w:eastAsia="de-DE" w:bidi="bo-CN"/>
        </w:rPr>
        <w:t xml:space="preserve"> Technologies </w:t>
      </w:r>
      <w:r w:rsidRPr="00D5601E">
        <w:rPr>
          <w:rFonts w:cs="Segoe UI"/>
          <w:szCs w:val="22"/>
          <w:lang w:val="sk-SK" w:eastAsia="de-DE" w:bidi="bo-CN"/>
        </w:rPr>
        <w:t xml:space="preserve">sa spoločnosť Henkel jednoznačne zameriava na globálne </w:t>
      </w:r>
      <w:proofErr w:type="spellStart"/>
      <w:r w:rsidRPr="00D5601E">
        <w:rPr>
          <w:rFonts w:cs="Segoe UI"/>
          <w:szCs w:val="22"/>
          <w:lang w:val="sk-SK" w:eastAsia="de-DE" w:bidi="bo-CN"/>
        </w:rPr>
        <w:t>megatrendy</w:t>
      </w:r>
      <w:proofErr w:type="spellEnd"/>
      <w:r w:rsidRPr="00D5601E">
        <w:rPr>
          <w:rFonts w:cs="Segoe UI"/>
          <w:szCs w:val="22"/>
          <w:lang w:val="sk-SK" w:eastAsia="de-DE" w:bidi="bo-CN"/>
        </w:rPr>
        <w:t xml:space="preserve"> v oblasti mobility, konektivity, digitalizácie, urbanizácie a trvalej udržateľnosti, ktoré jej pomáhajú posilňovať konkurencieschopnosť a odolnosť aj v existujúcich náročných trhových podmienkach.</w:t>
      </w:r>
      <w:r w:rsidRPr="00D92568">
        <w:rPr>
          <w:rFonts w:cs="Segoe UI"/>
          <w:szCs w:val="22"/>
          <w:lang w:val="sk-SK" w:eastAsia="de-DE"/>
        </w:rPr>
        <w:t xml:space="preserve"> </w:t>
      </w:r>
      <w:r w:rsidRPr="00A93DF7">
        <w:rPr>
          <w:rFonts w:cs="Segoe UI"/>
          <w:szCs w:val="22"/>
          <w:lang w:val="sk-SK" w:eastAsia="de-DE" w:bidi="bo-CN"/>
        </w:rPr>
        <w:t>V rámci trvalej udržateľnosti spoločnosť Henkel napríklad podporuje svojich zákazníkov a odberateľov naprieč rôznymi priemyselnými odvetviami pri napĺňaní ich cieľov v oblasti udržateľnosti prostredníctvom účinných a environmentálne efektívnych riešení.</w:t>
      </w:r>
      <w:r w:rsidRPr="00D92568">
        <w:rPr>
          <w:rFonts w:cs="Segoe UI"/>
          <w:szCs w:val="22"/>
          <w:lang w:val="sk-SK" w:eastAsia="de-DE"/>
        </w:rPr>
        <w:t xml:space="preserve"> </w:t>
      </w:r>
      <w:r w:rsidRPr="00A93DF7">
        <w:rPr>
          <w:rFonts w:cs="Segoe UI"/>
          <w:szCs w:val="22"/>
          <w:lang w:val="sk-SK" w:eastAsia="de-DE" w:bidi="bo-CN"/>
        </w:rPr>
        <w:t xml:space="preserve">V obchodnej divízii </w:t>
      </w:r>
      <w:proofErr w:type="spellStart"/>
      <w:r w:rsidRPr="00A93DF7">
        <w:rPr>
          <w:rFonts w:cs="Segoe UI"/>
          <w:b/>
          <w:bCs/>
          <w:szCs w:val="22"/>
          <w:lang w:val="sk-SK" w:eastAsia="de-DE" w:bidi="bo-CN"/>
        </w:rPr>
        <w:t>Consumer</w:t>
      </w:r>
      <w:proofErr w:type="spellEnd"/>
      <w:r w:rsidRPr="00A93DF7">
        <w:rPr>
          <w:rFonts w:cs="Segoe UI"/>
          <w:b/>
          <w:bCs/>
          <w:szCs w:val="22"/>
          <w:lang w:val="sk-SK" w:eastAsia="de-DE" w:bidi="bo-CN"/>
        </w:rPr>
        <w:t xml:space="preserve"> </w:t>
      </w:r>
      <w:proofErr w:type="spellStart"/>
      <w:r w:rsidRPr="00A93DF7">
        <w:rPr>
          <w:rFonts w:cs="Segoe UI"/>
          <w:b/>
          <w:bCs/>
          <w:szCs w:val="22"/>
          <w:lang w:val="sk-SK" w:eastAsia="de-DE" w:bidi="bo-CN"/>
        </w:rPr>
        <w:t>Brands</w:t>
      </w:r>
      <w:proofErr w:type="spellEnd"/>
      <w:r w:rsidRPr="00A93DF7">
        <w:rPr>
          <w:rFonts w:cs="Segoe UI"/>
          <w:szCs w:val="22"/>
          <w:lang w:val="sk-SK" w:eastAsia="de-DE" w:bidi="bo-CN"/>
        </w:rPr>
        <w:t xml:space="preserve"> spoločnosť Henkel ďalej pokračuje v racionalizácii jej portfólia.</w:t>
      </w:r>
      <w:r w:rsidRPr="00D92568">
        <w:rPr>
          <w:rFonts w:cs="Segoe UI"/>
          <w:szCs w:val="22"/>
          <w:lang w:val="sk-SK" w:eastAsia="de-DE"/>
        </w:rPr>
        <w:t xml:space="preserve"> </w:t>
      </w:r>
      <w:r w:rsidRPr="002A28EB">
        <w:rPr>
          <w:rFonts w:cs="Segoe UI"/>
          <w:szCs w:val="22"/>
          <w:lang w:val="sk-SK" w:eastAsia="de-DE" w:bidi="bo-CN"/>
        </w:rPr>
        <w:t>Top 10 značiek tejto divízie v súčasnosti generuje približne 60 percent jej obratu.</w:t>
      </w:r>
      <w:r w:rsidRPr="00D92568">
        <w:rPr>
          <w:rFonts w:cs="Segoe UI"/>
          <w:szCs w:val="22"/>
          <w:lang w:val="sk-SK" w:eastAsia="de-DE"/>
        </w:rPr>
        <w:t xml:space="preserve"> </w:t>
      </w:r>
      <w:r w:rsidRPr="002A28EB">
        <w:rPr>
          <w:rFonts w:cs="Segoe UI"/>
          <w:szCs w:val="22"/>
          <w:lang w:val="sk-SK" w:eastAsia="de-DE" w:bidi="bo-CN"/>
        </w:rPr>
        <w:t>Týchto top 10 značiek zaznamenalo v druhom štvrťroku rast organického obratu o viac než 3 percentá, ktorý bol výsledkom vyváženého kladného vývoja tak v oblasti cien, ako aj objemu predaja.</w:t>
      </w:r>
    </w:p>
    <w:p w14:paraId="6637309C" w14:textId="77777777" w:rsidR="007347CB" w:rsidRPr="00F725A1" w:rsidRDefault="007347CB" w:rsidP="007347CB">
      <w:pPr>
        <w:autoSpaceDE w:val="0"/>
        <w:autoSpaceDN w:val="0"/>
        <w:adjustRightInd w:val="0"/>
        <w:rPr>
          <w:rFonts w:cs="Segoe UI"/>
          <w:szCs w:val="22"/>
          <w:highlight w:val="yellow"/>
          <w:lang w:val="sk-SK" w:eastAsia="de-DE"/>
        </w:rPr>
      </w:pPr>
    </w:p>
    <w:p w14:paraId="6E50CACD" w14:textId="77777777" w:rsidR="007347CB" w:rsidRPr="00D92568" w:rsidRDefault="007347CB" w:rsidP="007347C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 w:rsidRPr="007741C3">
        <w:rPr>
          <w:rFonts w:cs="Segoe UI"/>
          <w:bCs/>
          <w:szCs w:val="22"/>
          <w:lang w:val="sk-SK" w:bidi="bo-CN"/>
        </w:rPr>
        <w:lastRenderedPageBreak/>
        <w:t xml:space="preserve">S cieľom ďalej posilňovať svoju </w:t>
      </w:r>
      <w:r w:rsidRPr="007741C3">
        <w:rPr>
          <w:rFonts w:cs="Segoe UI"/>
          <w:b/>
          <w:szCs w:val="22"/>
          <w:lang w:val="sk-SK" w:bidi="bo-CN"/>
        </w:rPr>
        <w:t xml:space="preserve">konkurencieschopnosť </w:t>
      </w:r>
      <w:r w:rsidRPr="007741C3">
        <w:rPr>
          <w:rFonts w:cs="Segoe UI"/>
          <w:bCs/>
          <w:szCs w:val="22"/>
          <w:lang w:val="sk-SK" w:bidi="bo-CN"/>
        </w:rPr>
        <w:t xml:space="preserve">sa spoločnosť Henkel zameriava na silnú podporu </w:t>
      </w:r>
      <w:r w:rsidRPr="007741C3">
        <w:rPr>
          <w:rFonts w:cs="Segoe UI"/>
          <w:b/>
          <w:szCs w:val="22"/>
          <w:lang w:val="sk-SK" w:bidi="bo-CN"/>
        </w:rPr>
        <w:t xml:space="preserve">inovácií </w:t>
      </w:r>
      <w:r w:rsidRPr="007741C3">
        <w:rPr>
          <w:rFonts w:cs="Segoe UI"/>
          <w:bCs/>
          <w:szCs w:val="22"/>
          <w:lang w:val="sk-SK" w:bidi="bo-CN"/>
        </w:rPr>
        <w:t>v atraktívnych obchodných oblastiach.</w:t>
      </w:r>
      <w:r w:rsidRPr="00D92568">
        <w:rPr>
          <w:rFonts w:cs="Segoe UI"/>
          <w:bCs/>
          <w:szCs w:val="22"/>
          <w:lang w:val="sk-SK"/>
        </w:rPr>
        <w:t xml:space="preserve"> </w:t>
      </w:r>
      <w:r w:rsidRPr="007741C3">
        <w:rPr>
          <w:rFonts w:cs="Segoe UI"/>
          <w:bCs/>
          <w:szCs w:val="22"/>
          <w:lang w:val="sk-SK" w:bidi="bo-CN"/>
        </w:rPr>
        <w:t xml:space="preserve">Inovácie sa podieľali na raste obidvoch obchodných divízií aj v prvom polroku 2025. Obchodná divízia </w:t>
      </w:r>
      <w:proofErr w:type="spellStart"/>
      <w:r w:rsidRPr="007741C3">
        <w:rPr>
          <w:rFonts w:cs="Segoe UI"/>
          <w:b/>
          <w:szCs w:val="22"/>
          <w:lang w:val="sk-SK" w:bidi="bo-CN"/>
        </w:rPr>
        <w:t>Adhesive</w:t>
      </w:r>
      <w:proofErr w:type="spellEnd"/>
      <w:r w:rsidRPr="007741C3">
        <w:rPr>
          <w:rFonts w:cs="Segoe UI"/>
          <w:b/>
          <w:szCs w:val="22"/>
          <w:lang w:val="sk-SK" w:bidi="bo-CN"/>
        </w:rPr>
        <w:t xml:space="preserve"> Technologies</w:t>
      </w:r>
      <w:r w:rsidRPr="007741C3">
        <w:rPr>
          <w:rFonts w:cs="Segoe UI"/>
          <w:bCs/>
          <w:szCs w:val="22"/>
          <w:lang w:val="sk-SK" w:bidi="bo-CN"/>
        </w:rPr>
        <w:t xml:space="preserve"> dosahuje dvojciferný rast v kategórii kovových obalov vďaka </w:t>
      </w:r>
      <w:r w:rsidRPr="008E4969">
        <w:rPr>
          <w:rFonts w:cs="Segoe UI"/>
          <w:bCs/>
          <w:szCs w:val="22"/>
          <w:lang w:val="sk-SK" w:bidi="bo-CN"/>
        </w:rPr>
        <w:t>jednoznačnej orientácii na udržateľné inovácie zamerané na zákazníka, čím sa jej darí prekonávať trhové očakávania.</w:t>
      </w:r>
      <w:r w:rsidRPr="008E4969">
        <w:rPr>
          <w:rFonts w:cs="Segoe UI"/>
          <w:bCs/>
          <w:szCs w:val="22"/>
          <w:lang w:val="sk-SK"/>
        </w:rPr>
        <w:t xml:space="preserve"> </w:t>
      </w:r>
      <w:r w:rsidRPr="008E4969">
        <w:rPr>
          <w:rFonts w:cs="Segoe UI"/>
          <w:bCs/>
          <w:szCs w:val="22"/>
          <w:lang w:val="sk-SK" w:bidi="bo-CN"/>
        </w:rPr>
        <w:t>Jedným z príkladov z tohto segmentu je čistiaci prostriedok na plechovky</w:t>
      </w:r>
      <w:r w:rsidRPr="007741C3">
        <w:rPr>
          <w:rFonts w:cs="Segoe UI"/>
          <w:bCs/>
          <w:szCs w:val="22"/>
          <w:lang w:val="sk-SK" w:bidi="bo-CN"/>
        </w:rPr>
        <w:t xml:space="preserve"> s nízkou penivosťou a účinnosťou pri nízkych teplotách, ktorý uviedla na trh ako prvá. Toto inovatívne riešenie prináša významné energetické úspory a nižšiu spotrebu vody až o 25 percent, čím prispieva k efektívnej a udržateľnej výrobe plechovkových obalov.</w:t>
      </w:r>
      <w:r w:rsidRPr="00D92568">
        <w:rPr>
          <w:rFonts w:cs="Segoe UI"/>
          <w:bCs/>
          <w:szCs w:val="22"/>
          <w:lang w:val="sk-SK"/>
        </w:rPr>
        <w:t xml:space="preserve"> </w:t>
      </w:r>
      <w:r w:rsidRPr="00571529">
        <w:rPr>
          <w:rFonts w:cs="Segoe UI"/>
          <w:bCs/>
          <w:szCs w:val="22"/>
          <w:lang w:val="sk-SK" w:bidi="bo-CN"/>
        </w:rPr>
        <w:t>V priebehu posledných troch rokov sa spoločnosti Henkel podarilo strojnásobiť veľkosť svojho podnikania v tomto segmente.</w:t>
      </w:r>
      <w:r w:rsidRPr="00D92568">
        <w:rPr>
          <w:rFonts w:cs="Segoe UI"/>
          <w:bCs/>
          <w:szCs w:val="22"/>
          <w:lang w:val="sk-SK"/>
        </w:rPr>
        <w:t xml:space="preserve"> </w:t>
      </w:r>
      <w:r w:rsidRPr="00D118EF">
        <w:rPr>
          <w:rFonts w:cs="Segoe UI"/>
          <w:bCs/>
          <w:szCs w:val="22"/>
          <w:lang w:val="sk-SK" w:bidi="bo-CN"/>
        </w:rPr>
        <w:t xml:space="preserve">Obchodná divízia </w:t>
      </w:r>
      <w:proofErr w:type="spellStart"/>
      <w:r w:rsidRPr="00D118EF">
        <w:rPr>
          <w:rFonts w:cs="Segoe UI"/>
          <w:b/>
          <w:szCs w:val="22"/>
          <w:lang w:val="sk-SK" w:bidi="bo-CN"/>
        </w:rPr>
        <w:t>Consumer</w:t>
      </w:r>
      <w:proofErr w:type="spellEnd"/>
      <w:r w:rsidRPr="00D118EF">
        <w:rPr>
          <w:rFonts w:cs="Segoe UI"/>
          <w:b/>
          <w:szCs w:val="22"/>
          <w:lang w:val="sk-SK" w:bidi="bo-CN"/>
        </w:rPr>
        <w:t xml:space="preserve"> </w:t>
      </w:r>
      <w:proofErr w:type="spellStart"/>
      <w:r w:rsidRPr="00D118EF">
        <w:rPr>
          <w:rFonts w:cs="Segoe UI"/>
          <w:b/>
          <w:szCs w:val="22"/>
          <w:lang w:val="sk-SK" w:bidi="bo-CN"/>
        </w:rPr>
        <w:t>Brands</w:t>
      </w:r>
      <w:proofErr w:type="spellEnd"/>
      <w:r w:rsidRPr="00D118EF">
        <w:rPr>
          <w:rFonts w:cs="Segoe UI"/>
          <w:b/>
          <w:szCs w:val="22"/>
          <w:lang w:val="sk-SK" w:bidi="bo-CN"/>
        </w:rPr>
        <w:t xml:space="preserve"> </w:t>
      </w:r>
      <w:r w:rsidRPr="00D118EF">
        <w:rPr>
          <w:rFonts w:cs="Segoe UI"/>
          <w:bCs/>
          <w:szCs w:val="22"/>
          <w:lang w:val="sk-SK" w:bidi="bo-CN"/>
        </w:rPr>
        <w:t xml:space="preserve">pokračovala v uvádzaní novej značky </w:t>
      </w:r>
      <w:proofErr w:type="spellStart"/>
      <w:r w:rsidRPr="00D118EF">
        <w:rPr>
          <w:rFonts w:cs="Segoe UI"/>
          <w:bCs/>
          <w:szCs w:val="22"/>
          <w:lang w:val="sk-SK" w:bidi="bo-CN"/>
        </w:rPr>
        <w:t>Creme</w:t>
      </w:r>
      <w:proofErr w:type="spellEnd"/>
      <w:r w:rsidRPr="00D118EF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Pr="00D118EF">
        <w:rPr>
          <w:rFonts w:cs="Segoe UI"/>
          <w:bCs/>
          <w:szCs w:val="22"/>
          <w:lang w:val="sk-SK" w:bidi="bo-CN"/>
        </w:rPr>
        <w:t>Supreme</w:t>
      </w:r>
      <w:proofErr w:type="spellEnd"/>
      <w:r w:rsidRPr="00D118EF">
        <w:rPr>
          <w:rFonts w:cs="Segoe UI"/>
          <w:bCs/>
          <w:szCs w:val="22"/>
          <w:lang w:val="sk-SK" w:bidi="bo-CN"/>
        </w:rPr>
        <w:t xml:space="preserve"> na ďalších trhoch, ktoré v druhom polroku prispelo k výraznému rastu v kategórii spotrebiteľských prípravkov na farbenie vlasov.</w:t>
      </w:r>
      <w:r w:rsidRPr="00D92568">
        <w:rPr>
          <w:rFonts w:cs="Segoe UI"/>
          <w:bCs/>
          <w:szCs w:val="22"/>
          <w:lang w:val="sk-SK"/>
        </w:rPr>
        <w:t xml:space="preserve"> </w:t>
      </w:r>
      <w:proofErr w:type="spellStart"/>
      <w:r w:rsidRPr="00D118EF">
        <w:rPr>
          <w:rFonts w:cs="Segoe UI"/>
          <w:bCs/>
          <w:szCs w:val="22"/>
          <w:lang w:val="sk-SK" w:bidi="bo-CN"/>
        </w:rPr>
        <w:t>Creme</w:t>
      </w:r>
      <w:proofErr w:type="spellEnd"/>
      <w:r w:rsidRPr="00D118EF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Pr="00D118EF">
        <w:rPr>
          <w:rFonts w:cs="Segoe UI"/>
          <w:bCs/>
          <w:szCs w:val="22"/>
          <w:lang w:val="sk-SK" w:bidi="bo-CN"/>
        </w:rPr>
        <w:t>Supreme</w:t>
      </w:r>
      <w:proofErr w:type="spellEnd"/>
      <w:r w:rsidRPr="00D118EF">
        <w:rPr>
          <w:rFonts w:cs="Segoe UI"/>
          <w:bCs/>
          <w:szCs w:val="22"/>
          <w:lang w:val="sk-SK" w:bidi="bo-CN"/>
        </w:rPr>
        <w:t xml:space="preserve"> je </w:t>
      </w:r>
      <w:r>
        <w:rPr>
          <w:rFonts w:cs="Segoe UI"/>
          <w:bCs/>
          <w:szCs w:val="22"/>
          <w:lang w:val="sk-SK" w:bidi="bo-CN"/>
        </w:rPr>
        <w:t>prvá farba na vlasy, ktorá sa o </w:t>
      </w:r>
      <w:proofErr w:type="spellStart"/>
      <w:r>
        <w:rPr>
          <w:rFonts w:cs="Segoe UI"/>
          <w:bCs/>
          <w:szCs w:val="22"/>
          <w:lang w:val="sk-SK" w:bidi="bo-CN"/>
        </w:rPr>
        <w:t>ne</w:t>
      </w:r>
      <w:proofErr w:type="spellEnd"/>
      <w:r>
        <w:rPr>
          <w:rFonts w:cs="Segoe UI"/>
          <w:bCs/>
          <w:szCs w:val="22"/>
          <w:lang w:val="sk-SK" w:bidi="bo-CN"/>
        </w:rPr>
        <w:t xml:space="preserve"> zároveň stará vďaka</w:t>
      </w:r>
      <w:r w:rsidRPr="00D118EF">
        <w:rPr>
          <w:rFonts w:cs="Segoe UI"/>
          <w:bCs/>
          <w:szCs w:val="22"/>
          <w:lang w:val="sk-SK" w:bidi="bo-CN"/>
        </w:rPr>
        <w:t xml:space="preserve"> </w:t>
      </w:r>
      <w:r>
        <w:rPr>
          <w:rFonts w:cs="Segoe UI"/>
          <w:bCs/>
          <w:szCs w:val="22"/>
          <w:lang w:val="sk-SK" w:bidi="bo-CN"/>
        </w:rPr>
        <w:t xml:space="preserve">inovatívnej </w:t>
      </w:r>
      <w:proofErr w:type="spellStart"/>
      <w:r>
        <w:rPr>
          <w:rFonts w:cs="Segoe UI"/>
          <w:bCs/>
          <w:szCs w:val="22"/>
          <w:lang w:val="sk-SK" w:bidi="bo-CN"/>
        </w:rPr>
        <w:t>bondingovej</w:t>
      </w:r>
      <w:proofErr w:type="spellEnd"/>
      <w:r>
        <w:rPr>
          <w:rFonts w:cs="Segoe UI"/>
          <w:bCs/>
          <w:szCs w:val="22"/>
          <w:lang w:val="sk-SK" w:bidi="bo-CN"/>
        </w:rPr>
        <w:t xml:space="preserve"> technológii</w:t>
      </w:r>
      <w:r w:rsidRPr="00D118EF">
        <w:rPr>
          <w:rFonts w:cs="Segoe UI"/>
          <w:bCs/>
          <w:szCs w:val="22"/>
          <w:lang w:val="sk-SK" w:bidi="bo-CN"/>
        </w:rPr>
        <w:t>,</w:t>
      </w:r>
      <w:r w:rsidRPr="00D92568">
        <w:rPr>
          <w:rFonts w:cs="Segoe UI"/>
          <w:bCs/>
          <w:szCs w:val="22"/>
          <w:lang w:val="sk-SK"/>
        </w:rPr>
        <w:t xml:space="preserve"> </w:t>
      </w:r>
      <w:r w:rsidRPr="00D118EF">
        <w:rPr>
          <w:rFonts w:cs="Segoe UI"/>
          <w:bCs/>
          <w:szCs w:val="22"/>
          <w:lang w:val="sk-SK" w:bidi="bo-CN"/>
        </w:rPr>
        <w:t xml:space="preserve">ktorá prostredníctvom </w:t>
      </w:r>
      <w:proofErr w:type="spellStart"/>
      <w:r w:rsidRPr="00D118EF">
        <w:rPr>
          <w:rFonts w:cs="Segoe UI"/>
          <w:bCs/>
          <w:szCs w:val="22"/>
          <w:lang w:val="sk-SK" w:bidi="bo-CN"/>
        </w:rPr>
        <w:t>mikrospojení</w:t>
      </w:r>
      <w:proofErr w:type="spellEnd"/>
      <w:r w:rsidRPr="00D118EF">
        <w:rPr>
          <w:rFonts w:cs="Segoe UI"/>
          <w:bCs/>
          <w:szCs w:val="22"/>
          <w:lang w:val="sk-SK" w:bidi="bo-CN"/>
        </w:rPr>
        <w:t xml:space="preserve"> posilňuje štruktúru vlasu a lepšie drží vlasové vlákna pokope.</w:t>
      </w:r>
      <w:r w:rsidRPr="00D92568">
        <w:rPr>
          <w:rFonts w:cs="Segoe UI"/>
          <w:bCs/>
          <w:szCs w:val="22"/>
          <w:lang w:val="sk-SK"/>
        </w:rPr>
        <w:t xml:space="preserve"> </w:t>
      </w:r>
      <w:r w:rsidRPr="00D118EF">
        <w:rPr>
          <w:rFonts w:cs="Segoe UI"/>
          <w:bCs/>
          <w:szCs w:val="22"/>
          <w:lang w:val="sk-SK" w:bidi="bo-CN"/>
        </w:rPr>
        <w:t>Zároveň okolo vlasu vytvára ochrannú vrstvu, ktorá ho ochraňuje pred lámaním.</w:t>
      </w:r>
    </w:p>
    <w:p w14:paraId="2C811D86" w14:textId="77777777" w:rsidR="007347CB" w:rsidRPr="00F725A1" w:rsidRDefault="007347CB" w:rsidP="007347C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11B55725" w14:textId="70566BAD" w:rsidR="0055571E" w:rsidRPr="00E60F21" w:rsidRDefault="007347CB" w:rsidP="007347CB">
      <w:pPr>
        <w:rPr>
          <w:rFonts w:cs="Segoe UI"/>
          <w:i/>
          <w:iCs/>
          <w:szCs w:val="22"/>
          <w:lang w:val="sk-SK"/>
        </w:rPr>
      </w:pPr>
      <w:r w:rsidRPr="00E60F21">
        <w:rPr>
          <w:rFonts w:cs="Segoe UI"/>
          <w:i/>
          <w:iCs/>
          <w:szCs w:val="22"/>
          <w:lang w:val="sk-SK" w:eastAsia="de-DE" w:bidi="bo-CN"/>
        </w:rPr>
        <w:t xml:space="preserve"> „Po pomalom štarte do fiškálneho roka 2025 sa nám v druhom štvrťroku podarilo významne zvýšiť obrat, predovšetkým v rámci spotrebiteľských trhových segmentov.</w:t>
      </w:r>
      <w:r w:rsidRPr="00E60F21">
        <w:rPr>
          <w:rFonts w:cs="Segoe UI"/>
          <w:i/>
          <w:iCs/>
          <w:szCs w:val="22"/>
          <w:lang w:val="sk-SK" w:eastAsia="de-DE"/>
        </w:rPr>
        <w:t xml:space="preserve"> </w:t>
      </w:r>
      <w:r w:rsidRPr="00E60F21">
        <w:rPr>
          <w:rFonts w:cs="Segoe UI"/>
          <w:i/>
          <w:iCs/>
          <w:szCs w:val="22"/>
          <w:lang w:val="sk-SK" w:eastAsia="de-DE" w:bidi="bo-CN"/>
        </w:rPr>
        <w:t>Zároveň sme pokračovali vo výraznom zvyšovaní ziskovosti v obidvoch obchodných divíziách,</w:t>
      </w:r>
      <w:r w:rsidRPr="00D118EF">
        <w:rPr>
          <w:rFonts w:cs="Segoe UI"/>
          <w:szCs w:val="22"/>
          <w:lang w:val="sk-SK" w:eastAsia="de-DE" w:bidi="bo-CN"/>
        </w:rPr>
        <w:t xml:space="preserve">“ povedal </w:t>
      </w:r>
      <w:proofErr w:type="spellStart"/>
      <w:r w:rsidRPr="00D118EF">
        <w:rPr>
          <w:rFonts w:cs="Segoe UI"/>
          <w:szCs w:val="22"/>
          <w:lang w:val="sk-SK" w:eastAsia="de-DE" w:bidi="bo-CN"/>
        </w:rPr>
        <w:t>Carsten</w:t>
      </w:r>
      <w:proofErr w:type="spellEnd"/>
      <w:r w:rsidRPr="00D118EF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D118EF">
        <w:rPr>
          <w:rFonts w:cs="Segoe UI"/>
          <w:szCs w:val="22"/>
          <w:lang w:val="sk-SK" w:eastAsia="de-DE" w:bidi="bo-CN"/>
        </w:rPr>
        <w:t>Knobel</w:t>
      </w:r>
      <w:proofErr w:type="spellEnd"/>
      <w:r w:rsidRPr="00D118EF">
        <w:rPr>
          <w:rFonts w:cs="Segoe UI"/>
          <w:szCs w:val="22"/>
          <w:lang w:val="sk-SK" w:eastAsia="de-DE" w:bidi="bo-CN"/>
        </w:rPr>
        <w:t>.</w:t>
      </w:r>
      <w:r w:rsidRPr="00D92568">
        <w:rPr>
          <w:rFonts w:cs="Segoe UI"/>
          <w:szCs w:val="22"/>
          <w:lang w:val="sk-SK" w:eastAsia="de-DE"/>
        </w:rPr>
        <w:t xml:space="preserve"> </w:t>
      </w:r>
      <w:r w:rsidRPr="00E60F21">
        <w:rPr>
          <w:rFonts w:cs="Segoe UI"/>
          <w:i/>
          <w:iCs/>
          <w:szCs w:val="22"/>
          <w:lang w:val="sk-SK" w:eastAsia="de-DE" w:bidi="bo-CN"/>
        </w:rPr>
        <w:t>„Z toho jasne vidieť, že transformácia spoločnosti Henkel je už teraz úspešná.</w:t>
      </w:r>
      <w:r w:rsidRPr="00E60F21">
        <w:rPr>
          <w:rFonts w:cs="Segoe UI"/>
          <w:i/>
          <w:iCs/>
          <w:szCs w:val="22"/>
          <w:lang w:val="sk-SK" w:eastAsia="de-DE"/>
        </w:rPr>
        <w:t xml:space="preserve"> </w:t>
      </w:r>
      <w:r w:rsidRPr="00E60F21">
        <w:rPr>
          <w:rFonts w:cs="Segoe UI"/>
          <w:i/>
          <w:iCs/>
          <w:szCs w:val="22"/>
          <w:lang w:val="sk-SK" w:eastAsia="de-DE" w:bidi="bo-CN"/>
        </w:rPr>
        <w:t>V transformácii budeme ďalej pokračovať, aby sme si z dlhodobého hľadiska vylepšili svoju pozíciu a zvýšili konkurencieschopnosť.</w:t>
      </w:r>
      <w:r w:rsidRPr="00E60F21">
        <w:rPr>
          <w:rFonts w:cs="Segoe UI"/>
          <w:i/>
          <w:iCs/>
          <w:szCs w:val="22"/>
          <w:lang w:val="sk-SK" w:eastAsia="de-DE"/>
        </w:rPr>
        <w:t xml:space="preserve"> </w:t>
      </w:r>
      <w:r w:rsidRPr="00E60F21">
        <w:rPr>
          <w:rFonts w:cs="Segoe UI"/>
          <w:i/>
          <w:iCs/>
          <w:szCs w:val="22"/>
          <w:lang w:val="sk-SK" w:eastAsia="de-DE" w:bidi="bo-CN"/>
        </w:rPr>
        <w:t xml:space="preserve">Spoločnosť transformujeme, aby bola v budúcnosti úspešná, a s jasne definovanou stratégiou sme na dobrej ceste k ďalšiemu </w:t>
      </w:r>
      <w:proofErr w:type="spellStart"/>
      <w:r w:rsidRPr="00E60F21">
        <w:rPr>
          <w:rFonts w:cs="Segoe UI"/>
          <w:i/>
          <w:iCs/>
          <w:szCs w:val="22"/>
          <w:lang w:val="sk-SK" w:eastAsia="de-DE" w:bidi="bo-CN"/>
        </w:rPr>
        <w:t>profitabilnému</w:t>
      </w:r>
      <w:proofErr w:type="spellEnd"/>
      <w:r w:rsidRPr="00E60F21">
        <w:rPr>
          <w:rFonts w:cs="Segoe UI"/>
          <w:i/>
          <w:iCs/>
          <w:szCs w:val="22"/>
          <w:lang w:val="sk-SK" w:eastAsia="de-DE" w:bidi="bo-CN"/>
        </w:rPr>
        <w:t xml:space="preserve"> rastu.“</w:t>
      </w:r>
    </w:p>
    <w:p w14:paraId="74DCD38C" w14:textId="4DDF859B" w:rsidR="007F0F63" w:rsidRPr="00B71239" w:rsidRDefault="007F0F63" w:rsidP="00643D8A">
      <w:pPr>
        <w:rPr>
          <w:rFonts w:cs="Segoe UI"/>
          <w:szCs w:val="22"/>
          <w:lang w:val="sk-SK"/>
        </w:rPr>
      </w:pPr>
    </w:p>
    <w:p w14:paraId="13157B68" w14:textId="3A2BEE11" w:rsidR="00385185" w:rsidRPr="00B71239" w:rsidRDefault="00385185" w:rsidP="00643D8A">
      <w:pPr>
        <w:rPr>
          <w:rFonts w:cs="Segoe UI"/>
          <w:szCs w:val="22"/>
          <w:lang w:val="sk-SK"/>
        </w:rPr>
      </w:pPr>
    </w:p>
    <w:p w14:paraId="03D40B48" w14:textId="77777777" w:rsidR="00385185" w:rsidRPr="00B71239" w:rsidRDefault="00385185" w:rsidP="00643D8A">
      <w:pPr>
        <w:rPr>
          <w:rFonts w:cs="Segoe UI"/>
          <w:szCs w:val="22"/>
          <w:lang w:val="sk-SK"/>
        </w:rPr>
      </w:pP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6BEF0573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</w:t>
      </w:r>
      <w:r w:rsidR="00E54B2E">
        <w:rPr>
          <w:rStyle w:val="AboutandContactBody"/>
          <w:lang w:val="sk-SK" w:bidi="bo-CN"/>
        </w:rPr>
        <w:t>, tmelmi</w:t>
      </w:r>
      <w:r w:rsidRPr="00B71239">
        <w:rPr>
          <w:rStyle w:val="AboutandContactBody"/>
          <w:lang w:val="sk-SK" w:bidi="bo-CN"/>
        </w:rPr>
        <w:t xml:space="preserve">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981A94">
        <w:rPr>
          <w:rStyle w:val="AboutandContactBody"/>
          <w:lang w:val="sk-SK" w:bidi="bo-CN"/>
        </w:rPr>
        <w:t>4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</w:t>
      </w:r>
      <w:r w:rsidR="00BD2831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 mld. eur a upravený prevádzkový zisk približne vo výške </w:t>
      </w:r>
      <w:r w:rsidR="00F12341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>,</w:t>
      </w:r>
      <w:r w:rsidR="00F12341">
        <w:rPr>
          <w:rStyle w:val="AboutandContactBody"/>
          <w:lang w:val="sk-SK" w:bidi="bo-CN"/>
        </w:rPr>
        <w:t>1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lastRenderedPageBreak/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</w:t>
      </w:r>
      <w:r w:rsidR="00EF6666">
        <w:rPr>
          <w:rStyle w:val="AboutandContactBody"/>
          <w:lang w:val="sk-SK" w:bidi="bo-CN"/>
        </w:rPr>
        <w:t>7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68E0D0F8" w14:textId="2D66BDB3" w:rsidR="006D488C" w:rsidRPr="006D488C" w:rsidRDefault="006D488C" w:rsidP="006D488C">
      <w:pPr>
        <w:rPr>
          <w:sz w:val="18"/>
          <w:lang w:val="sk-SK"/>
        </w:rPr>
      </w:pPr>
      <w:r w:rsidRPr="006D488C">
        <w:rPr>
          <w:sz w:val="18"/>
          <w:lang w:val="sk-SK"/>
        </w:rPr>
        <w:t>HENKEL SLOVENSKO spol. s r. o.</w:t>
      </w:r>
      <w:r w:rsidRPr="006D488C">
        <w:rPr>
          <w:b/>
          <w:bCs/>
          <w:sz w:val="18"/>
          <w:lang w:val="sk-SK"/>
        </w:rPr>
        <w:t> </w:t>
      </w:r>
      <w:r w:rsidRPr="006D488C">
        <w:rPr>
          <w:sz w:val="18"/>
          <w:lang w:val="sk-SK"/>
        </w:rPr>
        <w:t xml:space="preserve">pôsobí na slovenskom trhu od roku 1991 a zastrešuje obe obchodné divízie spoločnosti – Henkel </w:t>
      </w:r>
      <w:proofErr w:type="spellStart"/>
      <w:r w:rsidRPr="006D488C">
        <w:rPr>
          <w:sz w:val="18"/>
          <w:lang w:val="sk-SK"/>
        </w:rPr>
        <w:t>Consumer</w:t>
      </w:r>
      <w:proofErr w:type="spellEnd"/>
      <w:r w:rsidRPr="006D488C">
        <w:rPr>
          <w:sz w:val="18"/>
          <w:lang w:val="sk-SK"/>
        </w:rPr>
        <w:t xml:space="preserve"> </w:t>
      </w:r>
      <w:proofErr w:type="spellStart"/>
      <w:r w:rsidRPr="006D488C">
        <w:rPr>
          <w:sz w:val="18"/>
          <w:lang w:val="sk-SK"/>
        </w:rPr>
        <w:t>Brands</w:t>
      </w:r>
      <w:proofErr w:type="spellEnd"/>
      <w:r w:rsidRPr="006D488C">
        <w:rPr>
          <w:sz w:val="18"/>
          <w:lang w:val="sk-SK"/>
        </w:rPr>
        <w:t xml:space="preserve"> a Henkel </w:t>
      </w:r>
      <w:proofErr w:type="spellStart"/>
      <w:r w:rsidRPr="006D488C">
        <w:rPr>
          <w:sz w:val="18"/>
          <w:lang w:val="sk-SK"/>
        </w:rPr>
        <w:t>Adhesive</w:t>
      </w:r>
      <w:proofErr w:type="spellEnd"/>
      <w:r w:rsidRPr="006D488C">
        <w:rPr>
          <w:sz w:val="18"/>
          <w:lang w:val="sk-SK"/>
        </w:rPr>
        <w:t xml:space="preserve"> Technologies. Významnou súčasťou je aj GBS</w:t>
      </w:r>
      <w:r w:rsidRPr="006D488C">
        <w:rPr>
          <w:sz w:val="18"/>
          <w:vertAlign w:val="superscript"/>
          <w:lang w:val="sk-SK"/>
        </w:rPr>
        <w:t>+</w:t>
      </w:r>
      <w:r w:rsidRPr="006D488C">
        <w:rPr>
          <w:sz w:val="18"/>
          <w:lang w:val="sk-SK"/>
        </w:rPr>
        <w:t xml:space="preserve"> Bratislava – najväčšia expertná pobočka skupiny Henkel na svete. Od svojho založenia v roku 2006 poskytuje služby naprieč Európou a ďalšími regiónmi vo viac ako 30 jazykoch a zamestnáva vyše 1 600 odborníkov. Spolu s lokálnym obchodným zastúpením, ktoré ponúka viac než 50 značiek, má Henkel na Slovensku viac ako 1 900 zamestnancov. Spoločnosť je osem rokov po sebe ocenená titulom Najzamestnávateľ v kategórii Centrá zdieľaných služieb. Taktiež získala množstvo uznaní za svoj prístup k diverzite, rovnosti a inklúzii, udržateľnosti, starostlivosti o zdravie zamestnancov a inovatívnej komunikácii. Viac informácií nájdete na</w:t>
      </w:r>
      <w:r w:rsidR="002F160A">
        <w:rPr>
          <w:sz w:val="18"/>
          <w:lang w:val="sk-SK"/>
        </w:rPr>
        <w:t xml:space="preserve"> stránke</w:t>
      </w:r>
      <w:r w:rsidRPr="006D488C">
        <w:rPr>
          <w:sz w:val="18"/>
          <w:lang w:val="sk-SK"/>
        </w:rPr>
        <w:t xml:space="preserve"> </w:t>
      </w:r>
      <w:hyperlink r:id="rId12" w:tgtFrame="_new" w:history="1">
        <w:r w:rsidRPr="006D488C">
          <w:rPr>
            <w:rStyle w:val="Hypertextovprepojenie"/>
            <w:szCs w:val="24"/>
            <w:lang w:val="sk-SK"/>
          </w:rPr>
          <w:t>www.henkel.sk</w:t>
        </w:r>
      </w:hyperlink>
      <w:r w:rsidR="002F160A">
        <w:rPr>
          <w:sz w:val="18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A3CBB" w14:textId="77777777" w:rsidR="00CA1E93" w:rsidRDefault="00CA1E93">
      <w:r>
        <w:separator/>
      </w:r>
    </w:p>
  </w:endnote>
  <w:endnote w:type="continuationSeparator" w:id="0">
    <w:p w14:paraId="09B41E0B" w14:textId="77777777" w:rsidR="00CA1E93" w:rsidRDefault="00CA1E93">
      <w:r>
        <w:continuationSeparator/>
      </w:r>
    </w:p>
  </w:endnote>
  <w:endnote w:type="continuationNotice" w:id="1">
    <w:p w14:paraId="0D16BFDF" w14:textId="77777777" w:rsidR="00CA1E93" w:rsidRDefault="00CA1E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BD51" w14:textId="77777777" w:rsidR="00CA1E93" w:rsidRDefault="00CA1E93">
      <w:r>
        <w:separator/>
      </w:r>
    </w:p>
  </w:footnote>
  <w:footnote w:type="continuationSeparator" w:id="0">
    <w:p w14:paraId="47888321" w14:textId="77777777" w:rsidR="00CA1E93" w:rsidRDefault="00CA1E93">
      <w:r>
        <w:continuationSeparator/>
      </w:r>
    </w:p>
  </w:footnote>
  <w:footnote w:type="continuationNotice" w:id="1">
    <w:p w14:paraId="422D0D66" w14:textId="77777777" w:rsidR="00CA1E93" w:rsidRDefault="00CA1E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14AC"/>
    <w:multiLevelType w:val="hybridMultilevel"/>
    <w:tmpl w:val="FFFFFFFF"/>
    <w:lvl w:ilvl="0" w:tplc="7F22C7A8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D4FBB"/>
    <w:multiLevelType w:val="hybridMultilevel"/>
    <w:tmpl w:val="FFFFFFFF"/>
    <w:lvl w:ilvl="0" w:tplc="BFD02278">
      <w:numFmt w:val="bullet"/>
      <w:lvlText w:val=""/>
      <w:lvlJc w:val="left"/>
      <w:pPr>
        <w:ind w:left="361" w:hanging="360"/>
      </w:pPr>
      <w:rPr>
        <w:rFonts w:ascii="Wingdings" w:eastAsia="Times New Roman" w:hAnsi="Wingdings" w:hint="default"/>
        <w:b w:val="0"/>
        <w:i w:val="0"/>
        <w:color w:val="E0000E"/>
        <w:spacing w:val="0"/>
        <w:w w:val="100"/>
        <w:sz w:val="22"/>
      </w:rPr>
    </w:lvl>
    <w:lvl w:ilvl="1" w:tplc="D480B16C">
      <w:numFmt w:val="bullet"/>
      <w:lvlText w:val="–"/>
      <w:lvlJc w:val="left"/>
      <w:pPr>
        <w:ind w:left="702" w:hanging="360"/>
      </w:pPr>
      <w:rPr>
        <w:rFonts w:ascii="Segoe UI" w:eastAsia="Times New Roman" w:hAnsi="Segoe UI" w:hint="default"/>
        <w:b w:val="0"/>
        <w:i w:val="0"/>
        <w:color w:val="E0000E"/>
        <w:spacing w:val="0"/>
        <w:w w:val="100"/>
        <w:sz w:val="22"/>
      </w:rPr>
    </w:lvl>
    <w:lvl w:ilvl="2" w:tplc="02D62C02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9C40D990">
      <w:numFmt w:val="bullet"/>
      <w:lvlText w:val="•"/>
      <w:lvlJc w:val="left"/>
      <w:pPr>
        <w:ind w:left="2749" w:hanging="360"/>
      </w:pPr>
      <w:rPr>
        <w:rFonts w:hint="default"/>
      </w:rPr>
    </w:lvl>
    <w:lvl w:ilvl="4" w:tplc="1406A6DA">
      <w:numFmt w:val="bullet"/>
      <w:lvlText w:val="•"/>
      <w:lvlJc w:val="left"/>
      <w:pPr>
        <w:ind w:left="3774" w:hanging="360"/>
      </w:pPr>
      <w:rPr>
        <w:rFonts w:hint="default"/>
      </w:rPr>
    </w:lvl>
    <w:lvl w:ilvl="5" w:tplc="8AE8738E"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7EAABB1E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09289774"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DD12C02C"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14" w15:restartNumberingAfterBreak="0">
    <w:nsid w:val="16740AFE"/>
    <w:multiLevelType w:val="hybridMultilevel"/>
    <w:tmpl w:val="FFFFFFFF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4B6752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2"/>
  </w:num>
  <w:num w:numId="2" w16cid:durableId="1563175876">
    <w:abstractNumId w:val="11"/>
  </w:num>
  <w:num w:numId="3" w16cid:durableId="1141115785">
    <w:abstractNumId w:val="19"/>
  </w:num>
  <w:num w:numId="4" w16cid:durableId="1658344630">
    <w:abstractNumId w:val="17"/>
  </w:num>
  <w:num w:numId="5" w16cid:durableId="2132553883">
    <w:abstractNumId w:val="15"/>
  </w:num>
  <w:num w:numId="6" w16cid:durableId="545726518">
    <w:abstractNumId w:val="18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811820217">
    <w:abstractNumId w:val="16"/>
  </w:num>
  <w:num w:numId="18" w16cid:durableId="1389498502">
    <w:abstractNumId w:val="10"/>
  </w:num>
  <w:num w:numId="19" w16cid:durableId="1911965640">
    <w:abstractNumId w:val="14"/>
  </w:num>
  <w:num w:numId="20" w16cid:durableId="2038196024">
    <w:abstractNumId w:val="13"/>
  </w:num>
  <w:num w:numId="21" w16cid:durableId="8623973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44A0"/>
    <w:rsid w:val="000B695A"/>
    <w:rsid w:val="000C2041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A1617"/>
    <w:rsid w:val="001B7C0D"/>
    <w:rsid w:val="001B7C20"/>
    <w:rsid w:val="001C0B32"/>
    <w:rsid w:val="001C4BE1"/>
    <w:rsid w:val="001D53A9"/>
    <w:rsid w:val="001D71D8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160A"/>
    <w:rsid w:val="002F7E11"/>
    <w:rsid w:val="00304087"/>
    <w:rsid w:val="00310ACD"/>
    <w:rsid w:val="0031379F"/>
    <w:rsid w:val="00316352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66F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25ACE"/>
    <w:rsid w:val="00530731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88C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347CB"/>
    <w:rsid w:val="00742398"/>
    <w:rsid w:val="007507B5"/>
    <w:rsid w:val="0075091D"/>
    <w:rsid w:val="00753A24"/>
    <w:rsid w:val="00756F9B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576"/>
    <w:rsid w:val="009527FE"/>
    <w:rsid w:val="009739A0"/>
    <w:rsid w:val="00974F84"/>
    <w:rsid w:val="009767C7"/>
    <w:rsid w:val="00981A94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67B1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D0387"/>
    <w:rsid w:val="00BD2307"/>
    <w:rsid w:val="00BD2831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10B6"/>
    <w:rsid w:val="00C42C93"/>
    <w:rsid w:val="00C47D87"/>
    <w:rsid w:val="00C5376E"/>
    <w:rsid w:val="00C808A6"/>
    <w:rsid w:val="00C915C9"/>
    <w:rsid w:val="00C97091"/>
    <w:rsid w:val="00C97260"/>
    <w:rsid w:val="00CA1E93"/>
    <w:rsid w:val="00CA2001"/>
    <w:rsid w:val="00CB5B6C"/>
    <w:rsid w:val="00CB61A7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1D8A"/>
    <w:rsid w:val="00E37F70"/>
    <w:rsid w:val="00E411B9"/>
    <w:rsid w:val="00E4177E"/>
    <w:rsid w:val="00E446C1"/>
    <w:rsid w:val="00E54B2E"/>
    <w:rsid w:val="00E60F21"/>
    <w:rsid w:val="00E758B9"/>
    <w:rsid w:val="00E85569"/>
    <w:rsid w:val="00E856AF"/>
    <w:rsid w:val="00E862B1"/>
    <w:rsid w:val="00E86B83"/>
    <w:rsid w:val="00E87C64"/>
    <w:rsid w:val="00E93A01"/>
    <w:rsid w:val="00E93FF8"/>
    <w:rsid w:val="00E962F0"/>
    <w:rsid w:val="00E96EAF"/>
    <w:rsid w:val="00EA1752"/>
    <w:rsid w:val="00EA2BDC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6666"/>
    <w:rsid w:val="00EF7111"/>
    <w:rsid w:val="00EF7D1A"/>
    <w:rsid w:val="00F00DC2"/>
    <w:rsid w:val="00F0448F"/>
    <w:rsid w:val="00F0716C"/>
    <w:rsid w:val="00F12341"/>
    <w:rsid w:val="00F266D9"/>
    <w:rsid w:val="00F270E9"/>
    <w:rsid w:val="00F275C0"/>
    <w:rsid w:val="00F30D88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0FF3797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050100C2-AE67-4F80-B339-FA8D084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34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customStyle="1" w:styleId="He01FlietextAufzhlung1Ebene">
    <w:name w:val="_He_01_Fließtext Aufzählung 1. Ebene"/>
    <w:next w:val="Normlny"/>
    <w:qFormat/>
    <w:rsid w:val="00BD2307"/>
    <w:pPr>
      <w:numPr>
        <w:numId w:val="18"/>
      </w:numPr>
      <w:spacing w:after="113"/>
    </w:pPr>
    <w:rPr>
      <w:sz w:val="22"/>
      <w:szCs w:val="22"/>
      <w:lang w:val="de-DE"/>
    </w:rPr>
  </w:style>
  <w:style w:type="paragraph" w:customStyle="1" w:styleId="He01FlietextAufzhlung2Ebene">
    <w:name w:val="_He_01_Fließtext Aufzählung 2. Ebene"/>
    <w:next w:val="Normlny"/>
    <w:qFormat/>
    <w:rsid w:val="00BD2307"/>
    <w:pPr>
      <w:numPr>
        <w:numId w:val="19"/>
      </w:numPr>
      <w:spacing w:after="160"/>
    </w:pPr>
    <w:rPr>
      <w:sz w:val="22"/>
      <w:szCs w:val="22"/>
      <w:lang w:val="de-DE"/>
    </w:rPr>
  </w:style>
  <w:style w:type="paragraph" w:customStyle="1" w:styleId="He01Flietext">
    <w:name w:val="_He_01_Fließtext"/>
    <w:qFormat/>
    <w:rsid w:val="007347CB"/>
    <w:pPr>
      <w:spacing w:after="160"/>
    </w:pPr>
    <w:rPr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32</TotalTime>
  <Pages>8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18014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Katarína Kvanková</cp:lastModifiedBy>
  <cp:revision>39</cp:revision>
  <cp:lastPrinted>2016-11-16T10:11:00Z</cp:lastPrinted>
  <dcterms:created xsi:type="dcterms:W3CDTF">2023-08-02T08:38:00Z</dcterms:created>
  <dcterms:modified xsi:type="dcterms:W3CDTF">2025-08-12T12:06:00Z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