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26BB5" w14:textId="77777777" w:rsidR="00B422EC" w:rsidRPr="00727D2B" w:rsidRDefault="00081692" w:rsidP="00E670B5">
      <w:pPr>
        <w:pStyle w:val="MonthDayYear"/>
        <w:tabs>
          <w:tab w:val="left" w:pos="7371"/>
        </w:tabs>
      </w:pPr>
      <w:r>
        <w:tab/>
        <w:t>7 Ağustos 2025</w:t>
      </w:r>
    </w:p>
    <w:p w14:paraId="6C026BB6" w14:textId="77777777" w:rsidR="00033476" w:rsidRPr="009C4C57" w:rsidRDefault="007B5F6B" w:rsidP="00033476">
      <w:pPr>
        <w:pStyle w:val="Topline"/>
        <w:spacing w:after="360"/>
        <w:rPr>
          <w:rFonts w:asciiTheme="majorHAnsi" w:hAnsiTheme="majorHAnsi" w:cs="Cambria"/>
        </w:rPr>
      </w:pPr>
      <w:r>
        <w:rPr>
          <w:rFonts w:asciiTheme="majorHAnsi" w:hAnsiTheme="majorHAnsi"/>
        </w:rPr>
        <w:t>Henkel 2025 mali yılında kârlı büyümenin devam etmesini bekliyor</w:t>
      </w:r>
    </w:p>
    <w:p w14:paraId="6C026BB7" w14:textId="77777777" w:rsidR="00033476" w:rsidRPr="00C95327" w:rsidRDefault="00033476" w:rsidP="00202C65">
      <w:pPr>
        <w:jc w:val="left"/>
        <w:rPr>
          <w:rStyle w:val="Headline"/>
          <w:rFonts w:asciiTheme="majorHAnsi" w:hAnsiTheme="majorHAnsi" w:cs="Cambria"/>
        </w:rPr>
      </w:pPr>
      <w:r>
        <w:rPr>
          <w:rStyle w:val="Headline"/>
          <w:rFonts w:asciiTheme="majorHAnsi" w:hAnsiTheme="majorHAnsi"/>
        </w:rPr>
        <w:t>Henkel yılın ilk yarısında satış büyümesini hızlandırırken iyi bir marj ve kazanç artışı da sağladı</w:t>
      </w:r>
    </w:p>
    <w:p w14:paraId="6C026BB8" w14:textId="77777777" w:rsidR="00033476" w:rsidRPr="00C95327" w:rsidRDefault="00033476" w:rsidP="00033476"/>
    <w:p w14:paraId="6C026BB9" w14:textId="6C0C6341" w:rsidR="00033476" w:rsidRPr="00665769" w:rsidRDefault="00665769" w:rsidP="00BF6651">
      <w:pPr>
        <w:pStyle w:val="ListParagraph"/>
        <w:numPr>
          <w:ilvl w:val="0"/>
          <w:numId w:val="7"/>
        </w:numPr>
        <w:spacing w:after="80"/>
        <w:ind w:left="284" w:right="-108" w:hanging="357"/>
        <w:contextualSpacing w:val="0"/>
        <w:jc w:val="left"/>
        <w:rPr>
          <w:rFonts w:asciiTheme="majorHAnsi" w:hAnsiTheme="majorHAnsi" w:cs="Cambria"/>
          <w:b/>
          <w:szCs w:val="22"/>
        </w:rPr>
      </w:pPr>
      <w:bookmarkStart w:id="0" w:name="_Hlk140061525"/>
      <w:bookmarkStart w:id="1" w:name="_Hlk43712519"/>
      <w:r>
        <w:rPr>
          <w:rFonts w:asciiTheme="majorHAnsi" w:hAnsiTheme="majorHAnsi"/>
          <w:b/>
        </w:rPr>
        <w:t xml:space="preserve">Grubun yılın ilk yarısındaki satışları organik olarak önceki yıldaki seviyede seyrediyor: 10,4 milyar </w:t>
      </w:r>
      <w:r w:rsidR="00F67A32">
        <w:rPr>
          <w:rFonts w:asciiTheme="majorHAnsi" w:hAnsiTheme="majorHAnsi"/>
          <w:b/>
        </w:rPr>
        <w:t>Euro</w:t>
      </w:r>
      <w:r>
        <w:rPr>
          <w:rFonts w:asciiTheme="majorHAnsi" w:hAnsiTheme="majorHAnsi"/>
          <w:b/>
        </w:rPr>
        <w:t xml:space="preserve"> (organik </w:t>
      </w:r>
      <w:r w:rsidR="00F67A32">
        <w:rPr>
          <w:rFonts w:asciiTheme="majorHAnsi" w:hAnsiTheme="majorHAnsi"/>
          <w:b/>
        </w:rPr>
        <w:t xml:space="preserve">değişim </w:t>
      </w:r>
      <w:r>
        <w:rPr>
          <w:rFonts w:asciiTheme="majorHAnsi" w:hAnsiTheme="majorHAnsi"/>
          <w:b/>
        </w:rPr>
        <w:t>yüzde -0,1; 2. çeyrek: yüzde +0,9)</w:t>
      </w:r>
      <w:r w:rsidR="00F67A32">
        <w:rPr>
          <w:rFonts w:asciiTheme="majorHAnsi" w:hAnsiTheme="majorHAnsi"/>
          <w:b/>
        </w:rPr>
        <w:t>.</w:t>
      </w:r>
    </w:p>
    <w:p w14:paraId="6C026BBA" w14:textId="3248999E" w:rsidR="00665769" w:rsidRPr="009235A0" w:rsidRDefault="00665769" w:rsidP="00665769">
      <w:pPr>
        <w:pStyle w:val="ListParagraph"/>
        <w:numPr>
          <w:ilvl w:val="0"/>
          <w:numId w:val="7"/>
        </w:numPr>
        <w:spacing w:after="80"/>
        <w:ind w:left="284" w:right="-108" w:hanging="357"/>
        <w:contextualSpacing w:val="0"/>
        <w:jc w:val="left"/>
        <w:rPr>
          <w:rFonts w:asciiTheme="majorHAnsi" w:hAnsiTheme="majorHAnsi" w:cs="Cambria"/>
          <w:b/>
          <w:szCs w:val="22"/>
        </w:rPr>
      </w:pPr>
      <w:r>
        <w:rPr>
          <w:rFonts w:asciiTheme="majorHAnsi" w:hAnsiTheme="majorHAnsi"/>
          <w:b/>
        </w:rPr>
        <w:t>Faaliyet karı (VFÖK)* 1,614 milyar Euro'ya ulaştı (yüzde +0,2</w:t>
      </w:r>
      <w:r w:rsidR="00F67A32">
        <w:rPr>
          <w:rFonts w:asciiTheme="majorHAnsi" w:hAnsiTheme="majorHAnsi"/>
          <w:b/>
        </w:rPr>
        <w:t xml:space="preserve"> artış</w:t>
      </w:r>
      <w:r>
        <w:rPr>
          <w:rFonts w:asciiTheme="majorHAnsi" w:hAnsiTheme="majorHAnsi"/>
          <w:b/>
        </w:rPr>
        <w:t>).</w:t>
      </w:r>
    </w:p>
    <w:p w14:paraId="6C026BBB" w14:textId="77777777" w:rsidR="00665769" w:rsidRPr="009235A0" w:rsidRDefault="00665769" w:rsidP="00665769">
      <w:pPr>
        <w:pStyle w:val="ListParagraph"/>
        <w:numPr>
          <w:ilvl w:val="0"/>
          <w:numId w:val="7"/>
        </w:numPr>
        <w:spacing w:after="80"/>
        <w:ind w:left="284" w:right="-108" w:hanging="357"/>
        <w:contextualSpacing w:val="0"/>
        <w:jc w:val="left"/>
        <w:rPr>
          <w:rFonts w:asciiTheme="majorHAnsi" w:hAnsiTheme="majorHAnsi" w:cs="Cambria"/>
          <w:b/>
          <w:szCs w:val="22"/>
        </w:rPr>
      </w:pPr>
      <w:r>
        <w:rPr>
          <w:rFonts w:asciiTheme="majorHAnsi" w:hAnsiTheme="majorHAnsi"/>
          <w:b/>
        </w:rPr>
        <w:t>VFÖK marjı* da iyileşerek yüzde 15,5'e yükseldi (+60 baz puan).</w:t>
      </w:r>
    </w:p>
    <w:p w14:paraId="6C026BBC" w14:textId="3052FDA8" w:rsidR="00665769" w:rsidRPr="00314B5C" w:rsidRDefault="00665769" w:rsidP="00665769">
      <w:pPr>
        <w:pStyle w:val="ListParagraph"/>
        <w:numPr>
          <w:ilvl w:val="0"/>
          <w:numId w:val="7"/>
        </w:numPr>
        <w:spacing w:after="80"/>
        <w:ind w:left="284" w:right="-108" w:hanging="357"/>
        <w:contextualSpacing w:val="0"/>
        <w:jc w:val="left"/>
        <w:rPr>
          <w:rFonts w:asciiTheme="majorHAnsi" w:hAnsiTheme="majorHAnsi" w:cs="Cambria"/>
          <w:b/>
          <w:szCs w:val="22"/>
        </w:rPr>
      </w:pPr>
      <w:r>
        <w:rPr>
          <w:rFonts w:asciiTheme="majorHAnsi" w:hAnsiTheme="majorHAnsi"/>
          <w:b/>
        </w:rPr>
        <w:t>İmtiyazlı hisse senedi başına karlılık (EPS)* 2,81 Euro seviyesine yükseldi (sabit kurla yüzde +5,0</w:t>
      </w:r>
      <w:r w:rsidR="00F67A32">
        <w:rPr>
          <w:rFonts w:asciiTheme="majorHAnsi" w:hAnsiTheme="majorHAnsi"/>
          <w:b/>
        </w:rPr>
        <w:t xml:space="preserve"> artış</w:t>
      </w:r>
      <w:r>
        <w:rPr>
          <w:rFonts w:asciiTheme="majorHAnsi" w:hAnsiTheme="majorHAnsi"/>
          <w:b/>
        </w:rPr>
        <w:t>)</w:t>
      </w:r>
      <w:r w:rsidR="00F67A32">
        <w:rPr>
          <w:rFonts w:asciiTheme="majorHAnsi" w:hAnsiTheme="majorHAnsi"/>
          <w:b/>
        </w:rPr>
        <w:t>.</w:t>
      </w:r>
    </w:p>
    <w:bookmarkEnd w:id="0"/>
    <w:p w14:paraId="6C026BBD" w14:textId="07D7F956" w:rsidR="00033476" w:rsidRPr="009F21DA" w:rsidRDefault="009F21DA" w:rsidP="009F21DA">
      <w:pPr>
        <w:pStyle w:val="ListParagraph"/>
        <w:numPr>
          <w:ilvl w:val="0"/>
          <w:numId w:val="7"/>
        </w:numPr>
        <w:spacing w:after="80"/>
        <w:ind w:left="284" w:right="-108" w:hanging="357"/>
        <w:contextualSpacing w:val="0"/>
        <w:jc w:val="left"/>
        <w:rPr>
          <w:rFonts w:asciiTheme="majorHAnsi" w:hAnsiTheme="majorHAnsi" w:cs="Cambria"/>
          <w:b/>
          <w:szCs w:val="22"/>
        </w:rPr>
      </w:pPr>
      <w:r>
        <w:rPr>
          <w:rFonts w:asciiTheme="majorHAnsi" w:hAnsiTheme="majorHAnsi"/>
          <w:b/>
        </w:rPr>
        <w:t>Amaca Yönelik Büyüme Gündemi'nde mesafe kat edildi</w:t>
      </w:r>
      <w:r w:rsidR="00F67A32">
        <w:rPr>
          <w:rFonts w:asciiTheme="majorHAnsi" w:hAnsiTheme="majorHAnsi"/>
          <w:b/>
        </w:rPr>
        <w:t>.</w:t>
      </w:r>
    </w:p>
    <w:p w14:paraId="6C026BBE" w14:textId="1D81F775" w:rsidR="00811469" w:rsidRPr="00371AE6" w:rsidRDefault="00727D2B" w:rsidP="003036D9">
      <w:pPr>
        <w:pStyle w:val="ListParagraph"/>
        <w:widowControl w:val="0"/>
        <w:numPr>
          <w:ilvl w:val="1"/>
          <w:numId w:val="21"/>
        </w:numPr>
        <w:tabs>
          <w:tab w:val="left" w:pos="702"/>
        </w:tabs>
        <w:autoSpaceDE w:val="0"/>
        <w:autoSpaceDN w:val="0"/>
        <w:spacing w:before="113" w:after="120" w:line="240" w:lineRule="auto"/>
        <w:contextualSpacing w:val="0"/>
        <w:jc w:val="left"/>
      </w:pPr>
      <w:r>
        <w:t>Global trendlere net bir şekilde odaklanmak, sektörün zorlu ortamında Yapıştırıcı Teknolojilerinin rekabet gücünü ve esnekliğini artırmaktadır</w:t>
      </w:r>
      <w:r w:rsidR="006060E3">
        <w:t>.</w:t>
      </w:r>
    </w:p>
    <w:p w14:paraId="6C026BBF" w14:textId="4304092C" w:rsidR="00B44E44" w:rsidRPr="00371AE6" w:rsidRDefault="00371AE6" w:rsidP="00B44E44">
      <w:pPr>
        <w:pStyle w:val="ListParagraph"/>
        <w:widowControl w:val="0"/>
        <w:numPr>
          <w:ilvl w:val="1"/>
          <w:numId w:val="21"/>
        </w:numPr>
        <w:tabs>
          <w:tab w:val="left" w:pos="702"/>
        </w:tabs>
        <w:autoSpaceDE w:val="0"/>
        <w:autoSpaceDN w:val="0"/>
        <w:spacing w:before="113" w:after="120" w:line="240" w:lineRule="auto"/>
        <w:ind w:left="697" w:hanging="357"/>
        <w:contextualSpacing w:val="0"/>
        <w:jc w:val="left"/>
      </w:pPr>
      <w:r>
        <w:t>Tüketici Markalarında kaydedilen önemli miktar artışı: İlk 10 marka iyi bir organik satış büyümesi yakaladı</w:t>
      </w:r>
      <w:r w:rsidR="00A829EB">
        <w:t>.</w:t>
      </w:r>
    </w:p>
    <w:p w14:paraId="6C026BC0" w14:textId="77777777" w:rsidR="00072356" w:rsidRPr="00072356" w:rsidRDefault="00072356" w:rsidP="00072356">
      <w:pPr>
        <w:pStyle w:val="He01FlietextAufzhlung1Ebene"/>
        <w:ind w:hanging="357"/>
        <w:rPr>
          <w:b/>
          <w:bCs/>
        </w:rPr>
      </w:pPr>
      <w:r>
        <w:rPr>
          <w:b/>
        </w:rPr>
        <w:t>2025 mali yılına ilişkin öngörü güncellendi:</w:t>
      </w:r>
    </w:p>
    <w:p w14:paraId="6C026BC1" w14:textId="77777777" w:rsidR="00072356" w:rsidRPr="00727D2B" w:rsidRDefault="00072356" w:rsidP="00072356">
      <w:pPr>
        <w:pStyle w:val="He01FlietextAufzhlung2Ebene"/>
      </w:pPr>
      <w:r>
        <w:t>Organik satış büyümesi: Yüzde 1,0 - 2,0 aralığında (önceki öngörü: yüzde 1,5 - 3,5 aralığında)</w:t>
      </w:r>
    </w:p>
    <w:p w14:paraId="6C026BC2" w14:textId="77777777" w:rsidR="00072356" w:rsidRPr="00072356" w:rsidRDefault="00072356" w:rsidP="00072356">
      <w:pPr>
        <w:pStyle w:val="He01FlietextAufzhlung2Ebene"/>
      </w:pPr>
      <w:r>
        <w:t>Düzeltilmiş satış kazancı: Yüzde 14,5 - 15,5 aralığında (önceki öngörü: yüzde 14.0 - 15.5 aralığında)</w:t>
      </w:r>
    </w:p>
    <w:p w14:paraId="6C026BC3" w14:textId="77777777" w:rsidR="00072356" w:rsidRPr="00072356" w:rsidRDefault="00072356" w:rsidP="00072356">
      <w:pPr>
        <w:pStyle w:val="He01FlietextAufzhlung2Ebene"/>
      </w:pPr>
      <w:r>
        <w:t>İmtiyazlı hisse senedi başına karlılık (EPS): Sabit kur ile düşük ila yüksek tek haneli yüzde aralığında artış (değişim yok).</w:t>
      </w:r>
    </w:p>
    <w:p w14:paraId="6C026BC4" w14:textId="77777777" w:rsidR="00727D2B" w:rsidRPr="00AE0F23" w:rsidRDefault="00727D2B" w:rsidP="005C6F40">
      <w:pPr>
        <w:pStyle w:val="He01Flietext"/>
        <w:spacing w:after="0" w:line="276" w:lineRule="auto"/>
        <w:jc w:val="both"/>
        <w:rPr>
          <w:rFonts w:cs="Segoe UI"/>
        </w:rPr>
      </w:pPr>
    </w:p>
    <w:p w14:paraId="6C026BC5" w14:textId="0F32B03D" w:rsidR="00401267" w:rsidRPr="003F08FD" w:rsidRDefault="003C1C03" w:rsidP="005C6F40">
      <w:pPr>
        <w:pStyle w:val="He01Flietext"/>
        <w:spacing w:after="0" w:line="276" w:lineRule="auto"/>
        <w:jc w:val="both"/>
      </w:pPr>
      <w:r>
        <w:rPr>
          <w:noProof/>
          <w:lang w:eastAsia="tr-TR"/>
        </w:rPr>
        <mc:AlternateContent>
          <mc:Choice Requires="wps">
            <w:drawing>
              <wp:anchor distT="45720" distB="45720" distL="114300" distR="114300" simplePos="0" relativeHeight="251659264" behindDoc="0" locked="0" layoutInCell="1" allowOverlap="1" wp14:anchorId="6C026BFA" wp14:editId="6C026BFB">
                <wp:simplePos x="0" y="0"/>
                <wp:positionH relativeFrom="margin">
                  <wp:posOffset>-53975</wp:posOffset>
                </wp:positionH>
                <wp:positionV relativeFrom="page">
                  <wp:posOffset>9972040</wp:posOffset>
                </wp:positionV>
                <wp:extent cx="5374640" cy="270510"/>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640"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026C0A" w14:textId="77777777" w:rsidR="00C550D9" w:rsidRPr="003B6DC6" w:rsidRDefault="00C550D9" w:rsidP="00C550D9">
                            <w:pPr>
                              <w:autoSpaceDE w:val="0"/>
                              <w:autoSpaceDN w:val="0"/>
                              <w:adjustRightInd w:val="0"/>
                              <w:spacing w:after="60" w:line="240" w:lineRule="auto"/>
                              <w:rPr>
                                <w:sz w:val="16"/>
                                <w:szCs w:val="16"/>
                              </w:rPr>
                            </w:pPr>
                            <w:r>
                              <w:rPr>
                                <w:sz w:val="16"/>
                              </w:rPr>
                              <w:t>* Tek seferlik gider ve gelirler ile yeniden yapılandırma giderlerine göre düzeltilmiştir.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026BFA" id="_x0000_t202" coordsize="21600,21600" o:spt="202" path="m,l,21600r21600,l21600,xe">
                <v:stroke joinstyle="miter"/>
                <v:path gradientshapeok="t" o:connecttype="rect"/>
              </v:shapetype>
              <v:shape id="Textfeld 8" o:spid="_x0000_s1026" type="#_x0000_t202" style="position:absolute;left:0;text-align:left;margin-left:-4.25pt;margin-top:785.2pt;width:423.2pt;height:21.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" stroked="f">
                <v:textbox>
                  <w:txbxContent>
                    <w:p w14:paraId="6C026C0A" w14:textId="77777777" w:rsidR="00C550D9" w:rsidRPr="003B6DC6" w:rsidRDefault="00C550D9" w:rsidP="00C550D9">
                      <w:pPr>
                        <w:autoSpaceDE w:val="0"/>
                        <w:autoSpaceDN w:val="0"/>
                        <w:adjustRightInd w:val="0"/>
                        <w:spacing w:after="60" w:line="240" w:lineRule="auto"/>
                        <w:rPr>
                          <w:sz w:val="16"/>
                          <w:szCs w:val="16"/>
                        </w:rPr>
                      </w:pPr>
                      <w:r>
                        <w:rPr>
                          <w:sz w:val="16"/>
                        </w:rPr>
                        <w:t>* Tek seferlik gider ve gelirler ile yeniden yapılandırma giderlerine göre düzeltilmiştir.</w:t>
                      </w:r>
                    </w:p>
                  </w:txbxContent>
                </v:textbox>
                <w10:wrap anchorx="margin" anchory="page"/>
              </v:shape>
            </w:pict>
          </mc:Fallback>
        </mc:AlternateContent>
      </w:r>
      <w:r>
        <w:t>Düsseldorf –</w:t>
      </w:r>
      <w:bookmarkStart w:id="2" w:name="_Hlk109033326"/>
      <w:r>
        <w:t xml:space="preserve"> </w:t>
      </w:r>
      <w:bookmarkEnd w:id="2"/>
      <w:r w:rsidR="00A829EB">
        <w:t>H</w:t>
      </w:r>
      <w:r w:rsidR="003F08FD">
        <w:t>enkel</w:t>
      </w:r>
      <w:r w:rsidR="00A829EB">
        <w:t xml:space="preserve"> y</w:t>
      </w:r>
      <w:r>
        <w:t>ıla sakin bir başlangıç yaptıktan sonra</w:t>
      </w:r>
      <w:r w:rsidR="00A829EB">
        <w:t>,</w:t>
      </w:r>
      <w:r>
        <w:t xml:space="preserve"> ikinci çeyrekteki performansın da etkisiyle</w:t>
      </w:r>
      <w:r w:rsidR="00A829EB">
        <w:t>,</w:t>
      </w:r>
      <w:r>
        <w:t xml:space="preserve"> 2025'in ilk yarısında organik satış büyümesinde hızlanma kaydetti. Aynı dönemde karlılık da güçlü bir şekilde art</w:t>
      </w:r>
      <w:r w:rsidR="003F08FD">
        <w:t>tı.</w:t>
      </w:r>
      <w:r>
        <w:t xml:space="preserve"> </w:t>
      </w:r>
      <w:r w:rsidR="003F08FD" w:rsidRPr="003F08FD">
        <w:t>Henkel CEO'su Carsten Knobel</w:t>
      </w:r>
      <w:r w:rsidR="003F08FD">
        <w:t xml:space="preserve"> düşüncelerini, </w:t>
      </w:r>
      <w:r>
        <w:t xml:space="preserve">"Organik satış büyümesindeki artış her iki iş biriminden de kaynaklanırken, Tüketici Markalarının miktar </w:t>
      </w:r>
      <w:r>
        <w:lastRenderedPageBreak/>
        <w:t xml:space="preserve">büyümesinde görülen </w:t>
      </w:r>
      <w:r w:rsidR="003D07B5">
        <w:t xml:space="preserve">art arda </w:t>
      </w:r>
      <w:r w:rsidR="00F6668D">
        <w:t xml:space="preserve">gelen </w:t>
      </w:r>
      <w:r>
        <w:t>artış özellikle dikkat çekicidir. Fiyatlardaki olumlu gelişmeyle birlikte bu durum, ikinci çeyrekte organik satışlarda pozitif bir büyüme</w:t>
      </w:r>
      <w:r w:rsidR="003F08FD">
        <w:t xml:space="preserve"> sağlamıştır.</w:t>
      </w:r>
      <w:bookmarkStart w:id="3" w:name="_Hlk204078858"/>
      <w:r w:rsidR="003F08FD">
        <w:t xml:space="preserve"> </w:t>
      </w:r>
      <w:r>
        <w:t>Yapıştırıcı Teknolojileri iş birimi</w:t>
      </w:r>
      <w:r w:rsidR="003F08FD">
        <w:t xml:space="preserve"> ise</w:t>
      </w:r>
      <w:r>
        <w:t xml:space="preserve">, ilk altı ayda fiyat ve miktardaki dengeli gelişim sayesinde pozitif organik satış büyümesi elde etti” </w:t>
      </w:r>
      <w:r w:rsidR="003F08FD">
        <w:t xml:space="preserve">şeklinde ifade etti ve </w:t>
      </w:r>
      <w:r>
        <w:t xml:space="preserve"> ekledi:</w:t>
      </w:r>
    </w:p>
    <w:p w14:paraId="6C026BC6" w14:textId="77777777" w:rsidR="00401267" w:rsidRPr="00727D2B" w:rsidRDefault="00401267" w:rsidP="005C6F40">
      <w:pPr>
        <w:rPr>
          <w:rFonts w:cs="Segoe UI"/>
          <w:szCs w:val="22"/>
        </w:rPr>
      </w:pPr>
    </w:p>
    <w:p w14:paraId="6C026BC7" w14:textId="4C25E95C" w:rsidR="00337668" w:rsidRPr="00F275BB" w:rsidRDefault="00CC68F8" w:rsidP="002C45E8">
      <w:pPr>
        <w:rPr>
          <w:rFonts w:cs="Segoe UI"/>
          <w:szCs w:val="22"/>
        </w:rPr>
      </w:pPr>
      <w:r>
        <w:t>"Buna ek olarak, yılın ilk yarısında VFÖK marjımızı güçlü bir şekilde artırdık. Bu büyüme temel olarak</w:t>
      </w:r>
      <w:r w:rsidR="00E12108">
        <w:t>,</w:t>
      </w:r>
      <w:r>
        <w:t xml:space="preserve"> her iki iş birimindeki çok güçlü brüt </w:t>
      </w:r>
      <w:r w:rsidR="008A1AED">
        <w:t xml:space="preserve">kar </w:t>
      </w:r>
      <w:r>
        <w:t>marjlar ve olumlu iş tablosundan kaynaklanıyor. Ayrıca verimlilikte de kazanımlar sağlamaya devam ettik ve Tüketici Markalarında hedeflediğimiz tasarruf rakamlarına ulaşma ve hatta bunları aşma yolunda emin adımlarla ilerliyoruz. Aynı zamanda, gelecekteki büyüme potansiyelimizi artırmak için markalarımıza ve teknolojilerimize yatırım yapmaya devam e</w:t>
      </w:r>
      <w:r w:rsidR="00E12108">
        <w:t>ttik.”</w:t>
      </w:r>
      <w:bookmarkEnd w:id="3"/>
    </w:p>
    <w:p w14:paraId="6C026BC8" w14:textId="77777777" w:rsidR="00337668" w:rsidRPr="00F275BB" w:rsidRDefault="00337668" w:rsidP="00E874A2">
      <w:pPr>
        <w:rPr>
          <w:rFonts w:cs="Segoe UI"/>
          <w:szCs w:val="22"/>
        </w:rPr>
      </w:pPr>
    </w:p>
    <w:bookmarkEnd w:id="1"/>
    <w:p w14:paraId="6C026BC9" w14:textId="53A04CE7" w:rsidR="000D738C" w:rsidRPr="00F275BB" w:rsidRDefault="005C6F40" w:rsidP="00B52E6E">
      <w:pPr>
        <w:spacing w:after="120"/>
        <w:ind w:right="-108"/>
        <w:jc w:val="left"/>
        <w:rPr>
          <w:rFonts w:cs="Segoe UI"/>
          <w:b/>
          <w:bCs/>
          <w:szCs w:val="22"/>
        </w:rPr>
      </w:pPr>
      <w:r>
        <w:rPr>
          <w:b/>
        </w:rPr>
        <w:t xml:space="preserve">2025 </w:t>
      </w:r>
      <w:r w:rsidR="00486B77">
        <w:rPr>
          <w:b/>
        </w:rPr>
        <w:t>M</w:t>
      </w:r>
      <w:r>
        <w:rPr>
          <w:b/>
        </w:rPr>
        <w:t xml:space="preserve">ali </w:t>
      </w:r>
      <w:r w:rsidR="00486B77">
        <w:rPr>
          <w:b/>
        </w:rPr>
        <w:t>Y</w:t>
      </w:r>
      <w:r>
        <w:rPr>
          <w:b/>
        </w:rPr>
        <w:t xml:space="preserve">ılı </w:t>
      </w:r>
      <w:r w:rsidR="00486B77">
        <w:rPr>
          <w:b/>
        </w:rPr>
        <w:t>İ</w:t>
      </w:r>
      <w:r>
        <w:rPr>
          <w:b/>
        </w:rPr>
        <w:t xml:space="preserve">çin </w:t>
      </w:r>
      <w:r w:rsidR="00486B77">
        <w:rPr>
          <w:b/>
        </w:rPr>
        <w:t>Ö</w:t>
      </w:r>
      <w:r>
        <w:rPr>
          <w:b/>
        </w:rPr>
        <w:t xml:space="preserve">ngörü </w:t>
      </w:r>
      <w:r w:rsidR="00486B77">
        <w:rPr>
          <w:b/>
        </w:rPr>
        <w:t>G</w:t>
      </w:r>
      <w:r>
        <w:rPr>
          <w:b/>
        </w:rPr>
        <w:t>üncellendi</w:t>
      </w:r>
    </w:p>
    <w:p w14:paraId="6C026BCA" w14:textId="671FA927" w:rsidR="007B5F6B" w:rsidRDefault="007B5F6B" w:rsidP="007B5F6B">
      <w:pPr>
        <w:rPr>
          <w:rFonts w:cs="Segoe UI"/>
          <w:szCs w:val="22"/>
        </w:rPr>
      </w:pPr>
      <w:r>
        <w:t xml:space="preserve">Henkel, 2025'in ilk yarısında elde edilen iş performansına ve yılın geri kalanına ilişkin </w:t>
      </w:r>
      <w:r w:rsidR="006F4E51">
        <w:t>öngörülere</w:t>
      </w:r>
      <w:r>
        <w:t xml:space="preserve"> dayanarak, 2025 mali yılına ilişkin beklentilerini güncelledi.</w:t>
      </w:r>
    </w:p>
    <w:p w14:paraId="6C026BCB" w14:textId="77777777" w:rsidR="007B5F6B" w:rsidRDefault="007B5F6B" w:rsidP="007B5F6B">
      <w:pPr>
        <w:rPr>
          <w:rFonts w:cs="Segoe UI"/>
          <w:szCs w:val="22"/>
        </w:rPr>
      </w:pPr>
    </w:p>
    <w:p w14:paraId="6C026BCC" w14:textId="1FEF8EE3" w:rsidR="007B5F6B" w:rsidRPr="004851ED" w:rsidRDefault="001D00F4" w:rsidP="007B5F6B">
      <w:pPr>
        <w:rPr>
          <w:rFonts w:cs="Segoe UI"/>
          <w:szCs w:val="22"/>
        </w:rPr>
      </w:pPr>
      <w:r>
        <w:t xml:space="preserve">Carsten Knobel öngörü hakkında görüşlerini </w:t>
      </w:r>
      <w:r w:rsidR="007B5F6B">
        <w:t xml:space="preserve">"2025 mali yılı için daha fazla karlı büyüme bekliyor ve yılın ikinci yarısında satışlarda daha güçlü bir artış öngörüyoruz. Güncellenen </w:t>
      </w:r>
      <w:r w:rsidR="00EB7B80">
        <w:t>öngörü,</w:t>
      </w:r>
      <w:r w:rsidR="007B5F6B">
        <w:t xml:space="preserve"> zorlu makroekonomik ortamın iki iş birimimizin organik satış gelişimi üzerindeki etkisini göz önünde bulundurmaktadır. Bir yandan da karlılık beklentisindeki artış, brüt kar marjımızdaki olumlu gelişmeyi, portföy optimizasyonlarının faydalarını ve şirket içindeki verimlilik iyileştirmelerini de yansıtmaktadır. Güncellenen </w:t>
      </w:r>
      <w:r w:rsidR="004D3F0F">
        <w:t>öngörü</w:t>
      </w:r>
      <w:r w:rsidR="007B5F6B">
        <w:t xml:space="preserve"> aynı zamanda </w:t>
      </w:r>
      <w:r w:rsidR="000E0393">
        <w:t>global</w:t>
      </w:r>
      <w:r w:rsidR="007B5F6B">
        <w:t xml:space="preserve"> gümrük </w:t>
      </w:r>
      <w:r>
        <w:t>vergisi</w:t>
      </w:r>
      <w:r w:rsidR="007B5F6B">
        <w:t xml:space="preserve"> anlaşmalarının şu anda öngörülebilen etkilerini de dikkate almaya devam ediyor ve Henkel'in yıl boyunca iş gelişimine yönelik mevcut </w:t>
      </w:r>
      <w:r w:rsidR="000446B3">
        <w:t>pazar</w:t>
      </w:r>
      <w:r w:rsidR="007B5F6B">
        <w:t xml:space="preserve"> beklentileriyle genel olarak örtüşüyor" </w:t>
      </w:r>
      <w:r>
        <w:t xml:space="preserve">şeklinde ifade etti. </w:t>
      </w:r>
    </w:p>
    <w:p w14:paraId="6C026BCD" w14:textId="77777777" w:rsidR="007B5F6B" w:rsidRDefault="007B5F6B" w:rsidP="007B5F6B">
      <w:pPr>
        <w:rPr>
          <w:rFonts w:cs="Segoe UI"/>
          <w:szCs w:val="22"/>
        </w:rPr>
      </w:pPr>
    </w:p>
    <w:p w14:paraId="6C026BCE" w14:textId="2B766791" w:rsidR="00C95327" w:rsidRPr="00C95327" w:rsidRDefault="007B5F6B" w:rsidP="007B5F6B">
      <w:pPr>
        <w:rPr>
          <w:rFonts w:cs="Segoe UI"/>
          <w:szCs w:val="22"/>
        </w:rPr>
      </w:pPr>
      <w:r>
        <w:t xml:space="preserve">Henkel, bu mali yıl için organik satış büyümesinin yüzde 1,0 ile 2,0 aralığında olmasını bekliyor (önceki öngörü: yüzde 1,5 ile 3,5 aralığında). Yapıştırıcı Teknolojileri iş birimi için organik satış büyümesinin yüzde 2,0 ile 3,0 arasında gerçekleşmesi öngörülüyor (önceki öngörü: yüzde 2,0 ile 4,0 aralığında). Tüketici Markalarında organik satış büyümesinin yüzde 0,5 ile 1,5 arasında olması bekleniyor (önceki öngörü: yüzde 1,0 ile 3,0 arasında). Aynı zamanda, </w:t>
      </w:r>
      <w:r>
        <w:rPr>
          <w:b/>
          <w:bCs/>
        </w:rPr>
        <w:t>düzeltilmiş satış kazancı</w:t>
      </w:r>
      <w:r>
        <w:t xml:space="preserve"> (düzeltilmiş VFÖK marjı) beklentisi yüzde 14,5 ila 15,5 aralığına yükseltilmiştir (önceki öngörü: yüzde 14,0 ila 15,5). Düzeltilmiş satış kazancının Yapıştırıcı Teknolojileri'nde yüzde 16,5 - 17,5 aralığında (önceki öngörü: yüzde 16,0 - 17,5 aralığında), Tüketici Markaları'nda ise yüzde 14,0 - 15,0 aralığında (önceki öngörü: yüzde 13,5 - 15,0 aralığında) olması bekleniyor. Sabit kurla </w:t>
      </w:r>
      <w:r>
        <w:rPr>
          <w:b/>
          <w:bCs/>
        </w:rPr>
        <w:t>imtiyazlı hisse senedi başına karlılığın (EPS)</w:t>
      </w:r>
      <w:r>
        <w:t xml:space="preserve"> düşük ila yüksek tek haneli yüzdelerde artması beklentisi devam ediyor.</w:t>
      </w:r>
    </w:p>
    <w:p w14:paraId="6C026BCF" w14:textId="77777777" w:rsidR="00C95327" w:rsidRPr="004851ED" w:rsidRDefault="00C95327" w:rsidP="004851ED">
      <w:pPr>
        <w:rPr>
          <w:rFonts w:cs="Segoe UI"/>
          <w:szCs w:val="22"/>
        </w:rPr>
      </w:pPr>
    </w:p>
    <w:p w14:paraId="72DC364D" w14:textId="77777777" w:rsidR="00B645B4" w:rsidRDefault="00B645B4" w:rsidP="00033476">
      <w:pPr>
        <w:spacing w:after="120"/>
        <w:jc w:val="left"/>
        <w:rPr>
          <w:b/>
        </w:rPr>
      </w:pPr>
    </w:p>
    <w:p w14:paraId="6C026BD0" w14:textId="7B331C93" w:rsidR="00033476" w:rsidRPr="00236969" w:rsidRDefault="002E4B4E" w:rsidP="00033476">
      <w:pPr>
        <w:spacing w:after="120"/>
        <w:jc w:val="left"/>
        <w:rPr>
          <w:rFonts w:cs="Segoe UI"/>
          <w:b/>
          <w:bCs/>
          <w:szCs w:val="22"/>
        </w:rPr>
      </w:pPr>
      <w:r>
        <w:rPr>
          <w:b/>
        </w:rPr>
        <w:lastRenderedPageBreak/>
        <w:t>2025’ün İlk Yarısında Satış ve Karlılık Gelişimi</w:t>
      </w:r>
    </w:p>
    <w:p w14:paraId="6C026BD1" w14:textId="2B611BB3" w:rsidR="00236969" w:rsidRDefault="00236969" w:rsidP="00033476">
      <w:pPr>
        <w:rPr>
          <w:rFonts w:cs="Segoe UI"/>
          <w:szCs w:val="22"/>
        </w:rPr>
      </w:pPr>
      <w:r>
        <w:t xml:space="preserve">Henkel'in </w:t>
      </w:r>
      <w:r>
        <w:rPr>
          <w:b/>
          <w:bCs/>
        </w:rPr>
        <w:t xml:space="preserve">Grup </w:t>
      </w:r>
      <w:r w:rsidR="00E60943">
        <w:rPr>
          <w:b/>
          <w:bCs/>
        </w:rPr>
        <w:t>düzeyinde</w:t>
      </w:r>
      <w:r>
        <w:rPr>
          <w:b/>
          <w:bCs/>
        </w:rPr>
        <w:t xml:space="preserve"> satışları</w:t>
      </w:r>
      <w:r>
        <w:t xml:space="preserve"> 2025 yılının ilk yarısında yüzde -3,8'lik nominal değişimle 10,402 milyar Euro tutarında gerçekleşti (2. Çeyrek: 5,160 milyar Euro, yüzde -6,1</w:t>
      </w:r>
      <w:r w:rsidR="00E60943">
        <w:t xml:space="preserve"> değişim</w:t>
      </w:r>
      <w:r>
        <w:t xml:space="preserve">). Kur etkileri, satışları yüzde -2,8 oranında azalttı (2. Çeyrek: Yüzde -4.1). Satın alma ve elden çıkarmalar ise satışları yüzde -0,9 oranında azalttı (2. Çeyrek: Yüzde -2,9). Nisan 2025'te Kuzey Amerika'daki perakende markaları </w:t>
      </w:r>
      <w:r w:rsidR="009F5C69">
        <w:t>iş kolunun</w:t>
      </w:r>
      <w:r>
        <w:t xml:space="preserve"> elden çıkarılması olumsuz bir etki yaratırken, geçen yıl her iki iş biriminde yapılan satın almalar (Seal for Life ve Vidal Sassoon) olumlu katkıda bulunmuştur. Henkel’in </w:t>
      </w:r>
      <w:r>
        <w:rPr>
          <w:b/>
          <w:bCs/>
        </w:rPr>
        <w:t>organik</w:t>
      </w:r>
      <w:r w:rsidR="0055690A">
        <w:t xml:space="preserve"> </w:t>
      </w:r>
      <w:r w:rsidR="0055690A" w:rsidRPr="0055690A">
        <w:t>(döviz kurları ve satın alma/elden çıkarmalara göre düzeltilmiş)</w:t>
      </w:r>
      <w:r>
        <w:t xml:space="preserve"> satış</w:t>
      </w:r>
      <w:r w:rsidR="0055690A">
        <w:t xml:space="preserve">ları </w:t>
      </w:r>
      <w:r>
        <w:t xml:space="preserve">sadece yüzde -0,1’lik bir değişimle önceki yıla paralel bir seyir izlemiştir (2. </w:t>
      </w:r>
      <w:r w:rsidR="0055690A">
        <w:t>Ç</w:t>
      </w:r>
      <w:r>
        <w:t>eyrek: yüzde +0,9)</w:t>
      </w:r>
      <w:r w:rsidR="0055690A">
        <w:t>.</w:t>
      </w:r>
      <w:r>
        <w:t xml:space="preserve"> Bu gelişme her iki iş birimindeki olumlu fiyat değişiminden kaynaklanmıştır. Grup düzeyinde miktar olarak yılın ilk yarısında hafif bir düşüş görülmüştür. Bu özellikle</w:t>
      </w:r>
      <w:r w:rsidR="009C648B">
        <w:t>,</w:t>
      </w:r>
      <w:r>
        <w:t xml:space="preserve"> birinci çeyrekte Kuzey Amerika'da hem </w:t>
      </w:r>
      <w:r w:rsidR="008E492C">
        <w:t>endüstriyel</w:t>
      </w:r>
      <w:r>
        <w:t xml:space="preserve"> talebi hem de tüketici duyarlılığını etkileyen zorlu jeopolitik ve makroekonomik ortamdan kaynaklanan bir durumdur.</w:t>
      </w:r>
    </w:p>
    <w:p w14:paraId="6C026BD2" w14:textId="77777777" w:rsidR="00236969" w:rsidRDefault="00236969" w:rsidP="00033476">
      <w:pPr>
        <w:rPr>
          <w:rFonts w:cs="Segoe UI"/>
          <w:szCs w:val="22"/>
        </w:rPr>
      </w:pPr>
    </w:p>
    <w:p w14:paraId="6C026BD3" w14:textId="485B3C93" w:rsidR="00DF7441" w:rsidRDefault="006400E8" w:rsidP="006400E8">
      <w:pPr>
        <w:rPr>
          <w:rFonts w:cs="Segoe UI"/>
          <w:szCs w:val="22"/>
        </w:rPr>
      </w:pPr>
      <w:r>
        <w:rPr>
          <w:b/>
          <w:bCs/>
        </w:rPr>
        <w:t>Yapıştırıcı Teknolojileri</w:t>
      </w:r>
      <w:r>
        <w:t xml:space="preserve"> </w:t>
      </w:r>
      <w:r w:rsidR="00EC2695">
        <w:t>i</w:t>
      </w:r>
      <w:r>
        <w:t xml:space="preserve">ş </w:t>
      </w:r>
      <w:r w:rsidR="00EC2695">
        <w:t>b</w:t>
      </w:r>
      <w:r>
        <w:t xml:space="preserve">irimi, 2025 yılının ilk yarısında </w:t>
      </w:r>
      <w:r w:rsidR="008E492C">
        <w:t>büyük oranda</w:t>
      </w:r>
      <w:r>
        <w:t xml:space="preserve"> Mobilite ve Elektronik iş alanının etkisiyle yüzde 1,2 oranında bir organik satış büyümesi sağlamıştır (2. </w:t>
      </w:r>
      <w:r w:rsidR="00283086">
        <w:t>Ç</w:t>
      </w:r>
      <w:r>
        <w:t xml:space="preserve">eyrek: yüzde +1,3). </w:t>
      </w:r>
      <w:r>
        <w:rPr>
          <w:b/>
        </w:rPr>
        <w:t xml:space="preserve">Tüketici Markaları </w:t>
      </w:r>
      <w:r w:rsidR="00EC2695">
        <w:t>i</w:t>
      </w:r>
      <w:r>
        <w:t xml:space="preserve">ş </w:t>
      </w:r>
      <w:r w:rsidR="00EC2695">
        <w:t>b</w:t>
      </w:r>
      <w:r>
        <w:t xml:space="preserve">iriminin organik satışlarında yüzde -1,6 oranında bir gerileme kaydedilmiştir (2. </w:t>
      </w:r>
      <w:r w:rsidR="00283086">
        <w:t>Ç</w:t>
      </w:r>
      <w:r>
        <w:t xml:space="preserve">eyrek: yüzde +0,4). Saç iş alanı pozitif organik satış büyümesi elde ederken, hem Çamaşır ve Ev Bakım hem de </w:t>
      </w:r>
      <w:r w:rsidR="0034508E">
        <w:t>d</w:t>
      </w:r>
      <w:r>
        <w:t>iğer Tüketici Ürünleri iş alanları organik satış büyümesinde gerilemiştir.</w:t>
      </w:r>
    </w:p>
    <w:p w14:paraId="6C026BD4" w14:textId="77777777" w:rsidR="00DF7441" w:rsidRDefault="00DF7441" w:rsidP="006400E8">
      <w:pPr>
        <w:rPr>
          <w:rFonts w:cs="Segoe UI"/>
          <w:szCs w:val="22"/>
        </w:rPr>
      </w:pPr>
    </w:p>
    <w:p w14:paraId="6C026BD5" w14:textId="0803F0FD" w:rsidR="00FB1C39" w:rsidRPr="00FB1C39" w:rsidRDefault="00FB1C39" w:rsidP="00FB1C39">
      <w:pPr>
        <w:rPr>
          <w:rFonts w:cs="Segoe UI"/>
          <w:szCs w:val="22"/>
        </w:rPr>
      </w:pPr>
      <w:r>
        <w:rPr>
          <w:b/>
          <w:bCs/>
        </w:rPr>
        <w:t>Avrupa</w:t>
      </w:r>
      <w:r>
        <w:t xml:space="preserve"> ve </w:t>
      </w:r>
      <w:r>
        <w:rPr>
          <w:b/>
          <w:bCs/>
        </w:rPr>
        <w:t>Kuzey Amerika</w:t>
      </w:r>
      <w:r>
        <w:t xml:space="preserve"> bölgelerinde, temel olarak zorlu jeopolitik ve makroekonomik ortam nedeniyle organik satışlarda sırasıyla yüzde -1,9 (2. </w:t>
      </w:r>
      <w:r w:rsidR="00283086">
        <w:t>Ç</w:t>
      </w:r>
      <w:r>
        <w:t xml:space="preserve">eyrek: yüzde -1,8) ve yüzde -3,4 (2. </w:t>
      </w:r>
      <w:r w:rsidR="00283086">
        <w:t>Ç</w:t>
      </w:r>
      <w:r>
        <w:t xml:space="preserve">eyrek: yüzde -1,2) düşüş kaydedilmiştir. Öte yandan </w:t>
      </w:r>
      <w:r>
        <w:rPr>
          <w:b/>
          <w:bCs/>
        </w:rPr>
        <w:t>IMEA</w:t>
      </w:r>
      <w:r>
        <w:t xml:space="preserve"> bölgesinde Henkel yüzde 9,1 gibi kayda değer bir organik satış büyümesi elde etmiştir (2. </w:t>
      </w:r>
      <w:r w:rsidR="00230CA9">
        <w:t>Ç</w:t>
      </w:r>
      <w:r>
        <w:t xml:space="preserve">eyrek: yüzde +13,9). </w:t>
      </w:r>
      <w:r>
        <w:rPr>
          <w:b/>
          <w:bCs/>
        </w:rPr>
        <w:t>Latin Amerika</w:t>
      </w:r>
      <w:r>
        <w:t xml:space="preserve"> bölgesi yüzde 0,4 oranında pozitif organik satış büyümesi görmüştür (2. </w:t>
      </w:r>
      <w:r w:rsidR="00230CA9">
        <w:t>Ç</w:t>
      </w:r>
      <w:r>
        <w:t xml:space="preserve">eyrek: yüzde -0,6). </w:t>
      </w:r>
      <w:r>
        <w:rPr>
          <w:b/>
          <w:bCs/>
        </w:rPr>
        <w:t>Asya</w:t>
      </w:r>
      <w:r w:rsidR="00283086">
        <w:rPr>
          <w:b/>
          <w:bCs/>
        </w:rPr>
        <w:t>-</w:t>
      </w:r>
      <w:r>
        <w:rPr>
          <w:b/>
          <w:bCs/>
        </w:rPr>
        <w:t>Pasifik</w:t>
      </w:r>
      <w:r>
        <w:t xml:space="preserve"> bölgesi yüzde 3,4 oranında güçlü bir organik satış büyümesi gerçekleştirmiştir (2. </w:t>
      </w:r>
      <w:r w:rsidR="00230CA9">
        <w:t>Ç</w:t>
      </w:r>
      <w:r>
        <w:t>eyrek: yüzde +3,1).</w:t>
      </w:r>
    </w:p>
    <w:p w14:paraId="6C026BD6" w14:textId="77777777" w:rsidR="00FB1C39" w:rsidRPr="00FB1C39" w:rsidRDefault="00FB1C39" w:rsidP="00FB1C39">
      <w:pPr>
        <w:rPr>
          <w:rFonts w:cs="Segoe UI"/>
          <w:szCs w:val="22"/>
        </w:rPr>
      </w:pPr>
    </w:p>
    <w:p w14:paraId="6C026BD7" w14:textId="77777777" w:rsidR="00015C17" w:rsidRDefault="00015C17" w:rsidP="00033476">
      <w:pPr>
        <w:rPr>
          <w:rFonts w:cs="Segoe UI"/>
          <w:bCs/>
          <w:szCs w:val="22"/>
        </w:rPr>
      </w:pPr>
      <w:r>
        <w:rPr>
          <w:b/>
          <w:bCs/>
        </w:rPr>
        <w:t>Düzeltilmiş faaliyet karı (düzeltilmiş VFÖK)</w:t>
      </w:r>
      <w:r>
        <w:t xml:space="preserve"> 2024'ün ilk yarısındaki 1,610 milyar Euro düzeyinden hafif bir artışla 1,614 milyar Euro'ya yükselmiştir. </w:t>
      </w:r>
    </w:p>
    <w:p w14:paraId="6C026BD8" w14:textId="77777777" w:rsidR="00015C17" w:rsidRDefault="00015C17" w:rsidP="00033476">
      <w:pPr>
        <w:rPr>
          <w:rFonts w:cs="Segoe UI"/>
          <w:bCs/>
          <w:szCs w:val="22"/>
        </w:rPr>
      </w:pPr>
    </w:p>
    <w:p w14:paraId="6C026BD9" w14:textId="0C3F80AE" w:rsidR="00015C17" w:rsidRDefault="00015C17" w:rsidP="00033476">
      <w:pPr>
        <w:rPr>
          <w:rFonts w:cs="Segoe UI"/>
          <w:bCs/>
          <w:szCs w:val="22"/>
        </w:rPr>
      </w:pPr>
      <w:r>
        <w:t>Henkel Gru</w:t>
      </w:r>
      <w:r w:rsidR="00283086">
        <w:t>p’un</w:t>
      </w:r>
      <w:r>
        <w:t xml:space="preserve"> </w:t>
      </w:r>
      <w:r>
        <w:rPr>
          <w:b/>
          <w:bCs/>
        </w:rPr>
        <w:t>düzeltilmiş satış kazancı (düzeltilmiş VFÖK marjı)</w:t>
      </w:r>
      <w:r>
        <w:t xml:space="preserve"> 60 baz puanlık bir artış kaydederek yüzde 14,9’dan yüzde 15,5 seviyesine çıkmıştır.</w:t>
      </w:r>
    </w:p>
    <w:p w14:paraId="6C026BDA" w14:textId="77777777" w:rsidR="00015C17" w:rsidRDefault="00015C17" w:rsidP="00033476">
      <w:pPr>
        <w:rPr>
          <w:rFonts w:cs="Segoe UI"/>
          <w:bCs/>
          <w:szCs w:val="22"/>
        </w:rPr>
      </w:pPr>
    </w:p>
    <w:p w14:paraId="6C026BDB" w14:textId="47ADBE58" w:rsidR="00015C17" w:rsidRDefault="00015C17" w:rsidP="00033476">
      <w:pPr>
        <w:rPr>
          <w:rFonts w:cs="Segoe UI"/>
          <w:bCs/>
          <w:szCs w:val="22"/>
        </w:rPr>
      </w:pPr>
      <w:r>
        <w:rPr>
          <w:b/>
        </w:rPr>
        <w:t>İmtiyazlı hisse senedi başına karlılık</w:t>
      </w:r>
      <w:r>
        <w:t xml:space="preserve"> da artış göstererek 2,66 Euro’ya ulaşmıştır (bir önceki yıl: 2,46 Euro). </w:t>
      </w:r>
      <w:r w:rsidR="003971E6">
        <w:t>e</w:t>
      </w:r>
      <w:r>
        <w:t xml:space="preserve"> imtiyazlı hisse </w:t>
      </w:r>
      <w:r w:rsidR="002136CC">
        <w:t xml:space="preserve">senedi </w:t>
      </w:r>
      <w:r>
        <w:t xml:space="preserve">başına karlılık bir önceki yılın 2,78 Euro'luk değerine kıyasla </w:t>
      </w:r>
      <w:r>
        <w:lastRenderedPageBreak/>
        <w:t xml:space="preserve">yüzde 1,1 oranında </w:t>
      </w:r>
      <w:r w:rsidR="002136CC">
        <w:t>artartak</w:t>
      </w:r>
      <w:r>
        <w:t xml:space="preserve"> 2,81 Euro'ya yükseldi. Sabit kur ile imtiyazlı hisse senedi başına karlılık yüzde 5,0 oranında artış gösterdi.</w:t>
      </w:r>
    </w:p>
    <w:p w14:paraId="6C026BDC" w14:textId="77777777" w:rsidR="0074552F" w:rsidRDefault="0074552F" w:rsidP="00033476">
      <w:pPr>
        <w:rPr>
          <w:rFonts w:cs="Segoe UI"/>
          <w:bCs/>
          <w:szCs w:val="22"/>
        </w:rPr>
      </w:pPr>
    </w:p>
    <w:p w14:paraId="6C026BDD" w14:textId="77777777" w:rsidR="00033476" w:rsidRPr="002E1A8B" w:rsidRDefault="002E1A8B" w:rsidP="00033476">
      <w:pPr>
        <w:rPr>
          <w:rFonts w:cs="Segoe UI"/>
          <w:szCs w:val="22"/>
        </w:rPr>
      </w:pPr>
      <w:r>
        <w:rPr>
          <w:b/>
          <w:bCs/>
        </w:rPr>
        <w:t>Net işletme sermayesi</w:t>
      </w:r>
      <w:r>
        <w:t>nin satışlara oranı ikinci çeyrekte önceki yıla kıyasla yüzde 0,8 puan artarak yüzde 5,2 seviyesinden yüzde 6,0’ya ulaşmıştır.</w:t>
      </w:r>
    </w:p>
    <w:p w14:paraId="74A5BDBE" w14:textId="77777777" w:rsidR="00BF1364" w:rsidRDefault="00BF1364" w:rsidP="008A169F">
      <w:pPr>
        <w:autoSpaceDE w:val="0"/>
        <w:autoSpaceDN w:val="0"/>
        <w:adjustRightInd w:val="0"/>
      </w:pPr>
    </w:p>
    <w:p w14:paraId="75B94D8C" w14:textId="6D8FC0AB" w:rsidR="004338FA" w:rsidRPr="004338FA" w:rsidRDefault="004338FA" w:rsidP="004338FA">
      <w:pPr>
        <w:autoSpaceDE w:val="0"/>
        <w:autoSpaceDN w:val="0"/>
        <w:adjustRightInd w:val="0"/>
      </w:pPr>
      <w:r w:rsidRPr="004338FA">
        <w:rPr>
          <w:b/>
          <w:bCs/>
        </w:rPr>
        <w:t xml:space="preserve">Serbest nakit akışı, </w:t>
      </w:r>
      <w:r w:rsidRPr="004338FA">
        <w:t>485 milyon Euro ile 2024’ün ilk yarısın</w:t>
      </w:r>
      <w:r w:rsidR="001F380C">
        <w:t>a</w:t>
      </w:r>
      <w:r w:rsidRPr="004338FA">
        <w:t xml:space="preserve"> </w:t>
      </w:r>
      <w:r w:rsidR="001F380C">
        <w:t>(</w:t>
      </w:r>
      <w:r w:rsidRPr="004338FA">
        <w:t>772 milyon Euro</w:t>
      </w:r>
      <w:r w:rsidR="001F380C">
        <w:t>)</w:t>
      </w:r>
      <w:r w:rsidRPr="004338FA">
        <w:t xml:space="preserve"> kıyasla daha düşük gerçekleşmiştir. Bu durumun nedenleri arasında, daha yüksek net işletme sermayesi ile birlikte, gerek maddi</w:t>
      </w:r>
      <w:r w:rsidR="00C1431D">
        <w:t xml:space="preserve"> </w:t>
      </w:r>
      <w:r w:rsidRPr="004338FA">
        <w:t>varlıklara (arazi, tesis ve ekipman) gerekse maddi olmayan varlıklara yapılan yatırımlar için ödenen tutarlardaki artış yer almaktadır.</w:t>
      </w:r>
    </w:p>
    <w:p w14:paraId="6C026BE0" w14:textId="77777777" w:rsidR="00033476" w:rsidRPr="001E785E" w:rsidRDefault="00033476" w:rsidP="00033476">
      <w:pPr>
        <w:autoSpaceDE w:val="0"/>
        <w:autoSpaceDN w:val="0"/>
        <w:adjustRightInd w:val="0"/>
        <w:rPr>
          <w:rFonts w:cs="Segoe UI"/>
          <w:szCs w:val="22"/>
          <w:highlight w:val="yellow"/>
        </w:rPr>
      </w:pPr>
    </w:p>
    <w:p w14:paraId="6C026BE1" w14:textId="77777777" w:rsidR="00033476" w:rsidRPr="005D629E" w:rsidRDefault="005D629E" w:rsidP="005B7690">
      <w:r>
        <w:t xml:space="preserve">30 Haziran 2025 itibarıyla </w:t>
      </w:r>
      <w:r>
        <w:rPr>
          <w:b/>
          <w:bCs/>
        </w:rPr>
        <w:t>net mali durum</w:t>
      </w:r>
      <w:r>
        <w:t xml:space="preserve"> -494 milyon Euro'dur (31 Aralık 2024: -93 milyon Euro).</w:t>
      </w:r>
    </w:p>
    <w:p w14:paraId="6C026BE2" w14:textId="77777777" w:rsidR="00832837" w:rsidRPr="005D629E" w:rsidRDefault="00832837" w:rsidP="00033476">
      <w:pPr>
        <w:spacing w:after="120"/>
        <w:rPr>
          <w:rFonts w:cs="Segoe UI"/>
          <w:b/>
          <w:bCs/>
          <w:szCs w:val="22"/>
          <w:lang w:eastAsia="de-DE"/>
        </w:rPr>
      </w:pPr>
    </w:p>
    <w:p w14:paraId="6C026BE3" w14:textId="77777777" w:rsidR="00033476" w:rsidRPr="005D629E" w:rsidRDefault="005D629E" w:rsidP="00033476">
      <w:pPr>
        <w:spacing w:after="120"/>
        <w:rPr>
          <w:rFonts w:cs="Segoe UI"/>
          <w:b/>
          <w:bCs/>
          <w:szCs w:val="22"/>
          <w:highlight w:val="yellow"/>
        </w:rPr>
      </w:pPr>
      <w:r>
        <w:rPr>
          <w:b/>
        </w:rPr>
        <w:t>2025'ün İlk Yarısında İş Birimlerindeki Gelişmeler</w:t>
      </w:r>
    </w:p>
    <w:p w14:paraId="6C026BE4" w14:textId="7A827C1E" w:rsidR="00827E24" w:rsidRPr="006E095F" w:rsidRDefault="005D629E" w:rsidP="00033476">
      <w:pPr>
        <w:rPr>
          <w:rFonts w:cs="Segoe UI"/>
          <w:bCs/>
          <w:szCs w:val="22"/>
        </w:rPr>
      </w:pPr>
      <w:bookmarkStart w:id="4" w:name="SNAMD_dc825768bfb2420dbdc0e075b6c733f3"/>
      <w:bookmarkStart w:id="5" w:name="SNERR_085cbfa1dc5245baabab2f6ce609ab4b"/>
      <w:r>
        <w:t xml:space="preserve">Yapıştırıcı Teknolojileri iş birimindeki </w:t>
      </w:r>
      <w:r>
        <w:rPr>
          <w:b/>
          <w:bCs/>
        </w:rPr>
        <w:t>satışlar</w:t>
      </w:r>
      <w:r>
        <w:t xml:space="preserve"> 2025'in ilk yarısında </w:t>
      </w:r>
      <w:r>
        <w:rPr>
          <w:b/>
          <w:bCs/>
        </w:rPr>
        <w:t>organik olarak</w:t>
      </w:r>
      <w:r>
        <w:t xml:space="preserve"> yüzde 1,2 oranında artmıştır (2. </w:t>
      </w:r>
      <w:r w:rsidR="008B403C">
        <w:t>Ç</w:t>
      </w:r>
      <w:r>
        <w:t>eyrek: yüzde 1,3). Bu artışın nedeni fiyat ve miktardaki dengeli olumlu gelişmedir. Nominal olarak satışlar 5</w:t>
      </w:r>
      <w:r w:rsidR="008B403C">
        <w:t>,</w:t>
      </w:r>
      <w:r>
        <w:t>416 milyar Euro'ya ulaşmış olup, bu rakam bir önceki yıl</w:t>
      </w:r>
      <w:r w:rsidR="008B403C">
        <w:t>ın</w:t>
      </w:r>
      <w:r>
        <w:t xml:space="preserve"> seviye</w:t>
      </w:r>
      <w:r w:rsidR="008B403C">
        <w:t>si</w:t>
      </w:r>
      <w:r>
        <w:t xml:space="preserve">nin yüzde -1,1 altındadır (2. </w:t>
      </w:r>
      <w:r w:rsidR="008B403C">
        <w:t>Ç</w:t>
      </w:r>
      <w:r>
        <w:t>eyrek: 2</w:t>
      </w:r>
      <w:r w:rsidR="008B403C">
        <w:t>,</w:t>
      </w:r>
      <w:r>
        <w:t>701 milyar Euro).</w:t>
      </w:r>
      <w:r w:rsidR="008B403C" w:rsidRPr="006E095F" w:rsidDel="008B403C">
        <w:rPr>
          <w:color w:val="000000" w:themeColor="text1"/>
        </w:rPr>
        <w:t xml:space="preserve"> </w:t>
      </w:r>
      <w:bookmarkEnd w:id="4"/>
      <w:bookmarkEnd w:id="5"/>
    </w:p>
    <w:p w14:paraId="6C026BE5" w14:textId="77777777" w:rsidR="007664AF" w:rsidRPr="006E095F" w:rsidRDefault="007664AF" w:rsidP="00033476">
      <w:pPr>
        <w:rPr>
          <w:rFonts w:cs="Segoe UI"/>
          <w:szCs w:val="18"/>
        </w:rPr>
      </w:pPr>
    </w:p>
    <w:p w14:paraId="6C026BE6" w14:textId="4D1FB8B9" w:rsidR="003B13E8" w:rsidRDefault="003B13E8" w:rsidP="003B13E8">
      <w:pPr>
        <w:rPr>
          <w:rFonts w:cs="Segoe UI"/>
          <w:szCs w:val="18"/>
        </w:rPr>
      </w:pPr>
      <w:r>
        <w:t>Yapıştırıcı Teknolojileri iş biriminin yılın ilk yarısındaki pozitif organik satış büyümesi, esasen satışlarda yüzde 2,8'lik (2</w:t>
      </w:r>
      <w:r w:rsidRPr="008A25BB">
        <w:rPr>
          <w:color w:val="000000" w:themeColor="text1"/>
        </w:rPr>
        <w:t xml:space="preserve">. </w:t>
      </w:r>
      <w:r w:rsidR="008B403C" w:rsidRPr="00837758">
        <w:rPr>
          <w:color w:val="000000" w:themeColor="text1"/>
        </w:rPr>
        <w:t>Ç</w:t>
      </w:r>
      <w:r w:rsidRPr="00837758">
        <w:rPr>
          <w:color w:val="000000" w:themeColor="text1"/>
        </w:rPr>
        <w:t>eyrek</w:t>
      </w:r>
      <w:r>
        <w:t xml:space="preserve">: yüzde +2,5) iyi bir organik artış yakalanan </w:t>
      </w:r>
      <w:r>
        <w:rPr>
          <w:b/>
          <w:bCs/>
        </w:rPr>
        <w:t>Mobilite ve Elektronik</w:t>
      </w:r>
      <w:r>
        <w:t xml:space="preserve"> iş alanından kaynaklanmıştır. Bu artışta Elektronik iş kolundaki çift haneli organik satış büyümesi ve Endüstriyel iş kolundaki çok güçlü organik satış büyümesi etkili olmuştur. Buna karşın, zorlu pazar ortamı nedeniyle Otomotiv iş kolunda gerileme yaşanmıştır. </w:t>
      </w:r>
      <w:r>
        <w:rPr>
          <w:b/>
        </w:rPr>
        <w:t>Ambalajlama ve Tüketici Ürünleri</w:t>
      </w:r>
      <w:r>
        <w:t xml:space="preserve"> iş alanı istikrarlı bir organik satış büyümesi kaydetmiştir (2. çeyrek: yüzde +0,4). Ambalajlama iş kolu organik satışlarda hafif bir düşüş kaydederken, bu durum Tüketici Ürünleri iş kolunun organik satışlarındaki olumlu artışla dengelenmiştir. </w:t>
      </w:r>
      <w:r>
        <w:rPr>
          <w:b/>
          <w:bCs/>
        </w:rPr>
        <w:t>Nalburiye, İnşaat ve Profesyonel</w:t>
      </w:r>
      <w:r>
        <w:t xml:space="preserve"> iş alanı yüzde 0,6 (2. çeyrek: yüzde +0,8) seviyesinde organik satış büyümesine ulaşmıştır. Bu büyüme, özellikle İnşaat iş kolunun organik satış rakamlarındaki güçlü artıştan kaynaklanmıştır. Tüketici ve Nalburiye ile Genel İmalat ve Bakım iş kolları önceki yılın aynı dönemine kıyasla istikrarlı bir gelişme kaydetmiştir. </w:t>
      </w:r>
    </w:p>
    <w:p w14:paraId="6C026BE7" w14:textId="77777777" w:rsidR="00074942" w:rsidRPr="001E785E" w:rsidRDefault="00074942" w:rsidP="00033476">
      <w:pPr>
        <w:rPr>
          <w:rFonts w:cs="Segoe UI"/>
          <w:bCs/>
          <w:szCs w:val="22"/>
        </w:rPr>
      </w:pPr>
    </w:p>
    <w:p w14:paraId="6C026BE8" w14:textId="09EA587B" w:rsidR="00B241F2" w:rsidRPr="00D64FE1" w:rsidRDefault="003B13E8" w:rsidP="00033476">
      <w:pPr>
        <w:rPr>
          <w:rFonts w:cs="Segoe UI"/>
          <w:bCs/>
          <w:szCs w:val="22"/>
        </w:rPr>
      </w:pPr>
      <w:r>
        <w:rPr>
          <w:b/>
          <w:bCs/>
        </w:rPr>
        <w:t>Düzeltilmiş faaliyet karı</w:t>
      </w:r>
      <w:r>
        <w:t xml:space="preserve"> 931 milyon Euro ile bir önceki yılın biraz altında kalmıştır. Öte yandan, </w:t>
      </w:r>
      <w:r>
        <w:rPr>
          <w:b/>
          <w:bCs/>
        </w:rPr>
        <w:t>düzeltilmiş satış karı</w:t>
      </w:r>
      <w:r>
        <w:t xml:space="preserve"> (düzeltilmiş VFÖK marjı) bir önceki yılın aynı dönemindeki yüzde 17,0 </w:t>
      </w:r>
      <w:r w:rsidR="001B4446">
        <w:t>seviyesine</w:t>
      </w:r>
      <w:r>
        <w:t xml:space="preserve"> kıyasla yüzde 17,2'ye yükselmiştir. Bu durum temel olarak olumlu iş dağılımından kaynaklanmıştır.</w:t>
      </w:r>
    </w:p>
    <w:p w14:paraId="6C026BE9" w14:textId="77777777" w:rsidR="008A169F" w:rsidRPr="00D64FE1" w:rsidRDefault="008A169F" w:rsidP="00A15FD2">
      <w:pPr>
        <w:rPr>
          <w:rFonts w:cs="Segoe UI"/>
          <w:b/>
          <w:bCs/>
          <w:szCs w:val="22"/>
        </w:rPr>
      </w:pPr>
    </w:p>
    <w:p w14:paraId="6C026BEA" w14:textId="3F3BDDA5" w:rsidR="00A15FD2" w:rsidRPr="001E785E" w:rsidRDefault="00EB0325" w:rsidP="00A15FD2">
      <w:pPr>
        <w:rPr>
          <w:rFonts w:cs="Segoe UI"/>
          <w:szCs w:val="22"/>
        </w:rPr>
      </w:pPr>
      <w:r>
        <w:rPr>
          <w:b/>
          <w:bCs/>
        </w:rPr>
        <w:lastRenderedPageBreak/>
        <w:t>Tüketici Markaları</w:t>
      </w:r>
      <w:r>
        <w:t xml:space="preserve"> iş biriminin </w:t>
      </w:r>
      <w:r>
        <w:rPr>
          <w:b/>
          <w:bCs/>
        </w:rPr>
        <w:t>organik</w:t>
      </w:r>
      <w:r>
        <w:t xml:space="preserve"> satış rakamlarında bir önceki yılın aynı dönemine kıyasla yüzde -1,6 (2. </w:t>
      </w:r>
      <w:r w:rsidR="000F4B10">
        <w:t>Ç</w:t>
      </w:r>
      <w:r>
        <w:t xml:space="preserve">eyrek: yüzde +0,4) değişim görülmüştür. Nominal olarak </w:t>
      </w:r>
      <w:r>
        <w:rPr>
          <w:b/>
          <w:bCs/>
        </w:rPr>
        <w:t>satışlar</w:t>
      </w:r>
      <w:r>
        <w:t xml:space="preserve"> 4,907 milyara Euro'ya (2. </w:t>
      </w:r>
      <w:r w:rsidR="000F4B10">
        <w:t>Ç</w:t>
      </w:r>
      <w:r>
        <w:t>eyrek: 2,422 milyar Euro) ulaşırken bir önceki yıla kıyasla yüzde -6</w:t>
      </w:r>
      <w:r w:rsidR="000F4B10">
        <w:t>,</w:t>
      </w:r>
      <w:r>
        <w:t>8 düşüş kaydedilmiştir. İş birimi, 2024 yılının ilk yarısına kıyasla iyi bir fiyat gelişimi yakalamıştır. Buna karşın, Kuzey Amerika ve Avrupa gibi önemli pazarlardaki zorlu tüketici ortamı nedeniyle miktarlar gerilemiştir.</w:t>
      </w:r>
    </w:p>
    <w:p w14:paraId="6C026BEB" w14:textId="77777777" w:rsidR="00A15FD2" w:rsidRPr="001E785E" w:rsidRDefault="00A15FD2" w:rsidP="00A15FD2">
      <w:pPr>
        <w:rPr>
          <w:rFonts w:cs="Segoe UI"/>
          <w:szCs w:val="22"/>
        </w:rPr>
      </w:pPr>
    </w:p>
    <w:p w14:paraId="6C026BEC" w14:textId="5125715D" w:rsidR="00D64FE1" w:rsidRDefault="00D64FE1" w:rsidP="00D64FE1">
      <w:pPr>
        <w:rPr>
          <w:rFonts w:cs="Segoe UI"/>
          <w:szCs w:val="22"/>
        </w:rPr>
      </w:pPr>
      <w:r>
        <w:t xml:space="preserve">Yılın ilk yarısında </w:t>
      </w:r>
      <w:r>
        <w:rPr>
          <w:b/>
          <w:bCs/>
        </w:rPr>
        <w:t>Çamaşır ve Ev Bakım</w:t>
      </w:r>
      <w:r>
        <w:t xml:space="preserve"> iş alanının organik satış rakamlarında yüzde -2,6'lık (2. </w:t>
      </w:r>
      <w:r w:rsidR="000959F1">
        <w:t>Ç</w:t>
      </w:r>
      <w:r>
        <w:t xml:space="preserve">eyrek: yüzde -0,9) bir düşüş gerçekleşmiştir. Ev Bakım iş kolu, temel olarak Bulaşık kategorisindeki çok güçlü organik satış büyümesinin etkisiyle pozitif organik satış büyümesi sağlamıştır. Buna karşılık, Çamaşır Bakım iş kolunda organik satışlarda bir düşüş kaydedilmiştir. </w:t>
      </w:r>
      <w:r>
        <w:rPr>
          <w:b/>
          <w:bCs/>
        </w:rPr>
        <w:t>Saç</w:t>
      </w:r>
      <w:r>
        <w:t xml:space="preserve"> iş alanı yılın ilk altı ayında yüzde 0,9 oranında pozitif bir organik satış büyümesi elde etmiştir (2. </w:t>
      </w:r>
      <w:r w:rsidR="000959F1">
        <w:t>Ç</w:t>
      </w:r>
      <w:r>
        <w:t xml:space="preserve">eyrek: yüzde +3,2). Tüketici </w:t>
      </w:r>
      <w:r w:rsidR="00231D69">
        <w:t>Ü</w:t>
      </w:r>
      <w:r>
        <w:t xml:space="preserve">rünlerinde, Saç </w:t>
      </w:r>
      <w:r w:rsidR="00231D69">
        <w:t>Boyaları</w:t>
      </w:r>
      <w:r>
        <w:t xml:space="preserve"> kategorisinin çok güçlü gelişimi ve Saç Şekillendir</w:t>
      </w:r>
      <w:r w:rsidR="00231D69">
        <w:t>me</w:t>
      </w:r>
      <w:r>
        <w:t xml:space="preserve"> kategorisinin iyi gelişimi sayesinde iyi bir organik satış büyümesi yakalanmıştır. Profesyonel </w:t>
      </w:r>
      <w:r w:rsidR="00231D69">
        <w:t>iş alanında</w:t>
      </w:r>
      <w:r>
        <w:t xml:space="preserve"> ise</w:t>
      </w:r>
      <w:r w:rsidR="00231D69">
        <w:t>,</w:t>
      </w:r>
      <w:r>
        <w:t xml:space="preserve"> özellikle Kuzey Amerika bölgesindeki zorlu tüketici ortamı nedeniyle organik satışlarda hafif bir düşüş kaydedilmiştir. </w:t>
      </w:r>
      <w:r>
        <w:rPr>
          <w:b/>
          <w:bCs/>
        </w:rPr>
        <w:t>Diğer Tüketici Ürünleri</w:t>
      </w:r>
      <w:r>
        <w:t xml:space="preserve"> iş alanında, özellikle Kuzey Amerika ve Avrupa’da Vücut Bakım kategorisindeki olumsuz gelişmelerin bir sonucu olarak organik satışlarda yılın ilk yarısında yüzde -4,2'lik (2. çeyrek: yüzde -1,7) bir düşüş görülmüştür.</w:t>
      </w:r>
    </w:p>
    <w:p w14:paraId="6C026BED" w14:textId="77777777" w:rsidR="00D64FE1" w:rsidRDefault="00D64FE1" w:rsidP="00D64FE1">
      <w:pPr>
        <w:rPr>
          <w:rFonts w:cs="Segoe UI"/>
          <w:szCs w:val="22"/>
        </w:rPr>
      </w:pPr>
    </w:p>
    <w:p w14:paraId="6C026BEE" w14:textId="3E3146AF" w:rsidR="00D64FE1" w:rsidRDefault="00D64FE1" w:rsidP="00535180">
      <w:pPr>
        <w:rPr>
          <w:b/>
        </w:rPr>
      </w:pPr>
      <w:r>
        <w:t xml:space="preserve">748 milyon Euro’luk </w:t>
      </w:r>
      <w:r>
        <w:rPr>
          <w:b/>
        </w:rPr>
        <w:t>düzeltilmiş faaliyet karı</w:t>
      </w:r>
      <w:r>
        <w:t xml:space="preserve"> bir önceki yılın aynı döneminde yakalanan düzeyin hafifçe altında kalmıştır. </w:t>
      </w:r>
      <w:r>
        <w:rPr>
          <w:b/>
          <w:bCs/>
        </w:rPr>
        <w:t>Düzeltilmiş satış ka</w:t>
      </w:r>
      <w:r w:rsidR="00851072">
        <w:rPr>
          <w:b/>
          <w:bCs/>
        </w:rPr>
        <w:t>zancı</w:t>
      </w:r>
      <w:r>
        <w:t xml:space="preserve"> (düzeltilmiş VFÖK marjı) önemli bir artışla bir önceki yılın aynı dönemindeki yüzde 14,3 rakamına kıyasla yüzde 15,3'e yükselmiştir. Bu gelişmede, portföy</w:t>
      </w:r>
      <w:r w:rsidR="00F631CC">
        <w:t>de</w:t>
      </w:r>
      <w:r>
        <w:t xml:space="preserve"> devam eden </w:t>
      </w:r>
      <w:r w:rsidR="00F631CC">
        <w:t>değer belirleme</w:t>
      </w:r>
      <w:r>
        <w:t xml:space="preserve"> ve tedarik zincirinin optimizasyonu yoluyla elde edilen tasarruflar etkili olmuştur.</w:t>
      </w:r>
      <w:r>
        <w:rPr>
          <w:b/>
        </w:rPr>
        <w:t xml:space="preserve"> </w:t>
      </w:r>
    </w:p>
    <w:p w14:paraId="6C026BEF" w14:textId="77777777" w:rsidR="004542DA" w:rsidRPr="001E785E" w:rsidRDefault="004542DA" w:rsidP="00535180">
      <w:pPr>
        <w:rPr>
          <w:rFonts w:cs="Segoe UI"/>
          <w:szCs w:val="22"/>
        </w:rPr>
      </w:pPr>
    </w:p>
    <w:p w14:paraId="6C026BF0" w14:textId="23391EFA" w:rsidR="00B50061" w:rsidRPr="00596AD0" w:rsidRDefault="00B50061" w:rsidP="00B50061">
      <w:pPr>
        <w:spacing w:after="120"/>
        <w:rPr>
          <w:rFonts w:cs="Segoe UI"/>
          <w:szCs w:val="22"/>
        </w:rPr>
      </w:pPr>
      <w:r>
        <w:rPr>
          <w:b/>
        </w:rPr>
        <w:t>Amaca Yönelik Büyüme Gündemi</w:t>
      </w:r>
      <w:r w:rsidR="00486B77">
        <w:rPr>
          <w:b/>
        </w:rPr>
        <w:t>’</w:t>
      </w:r>
      <w:r>
        <w:rPr>
          <w:b/>
        </w:rPr>
        <w:t xml:space="preserve">nde </w:t>
      </w:r>
      <w:r w:rsidR="00486B77">
        <w:rPr>
          <w:b/>
        </w:rPr>
        <w:t>M</w:t>
      </w:r>
      <w:r>
        <w:rPr>
          <w:b/>
        </w:rPr>
        <w:t xml:space="preserve">esafe </w:t>
      </w:r>
      <w:r w:rsidR="00486B77">
        <w:rPr>
          <w:b/>
        </w:rPr>
        <w:t>K</w:t>
      </w:r>
      <w:r>
        <w:rPr>
          <w:b/>
        </w:rPr>
        <w:t xml:space="preserve">at </w:t>
      </w:r>
      <w:r w:rsidR="00486B77">
        <w:rPr>
          <w:b/>
        </w:rPr>
        <w:t>E</w:t>
      </w:r>
      <w:r>
        <w:rPr>
          <w:b/>
        </w:rPr>
        <w:t>dildi</w:t>
      </w:r>
    </w:p>
    <w:p w14:paraId="6C026BF1" w14:textId="28F24F26" w:rsidR="00B50061" w:rsidRPr="0090090F" w:rsidRDefault="00B50061" w:rsidP="00B50061">
      <w:pPr>
        <w:autoSpaceDE w:val="0"/>
        <w:autoSpaceDN w:val="0"/>
        <w:adjustRightInd w:val="0"/>
        <w:rPr>
          <w:rFonts w:cs="Segoe UI"/>
          <w:szCs w:val="22"/>
        </w:rPr>
      </w:pPr>
      <w:r>
        <w:t>Henkel, 2025 yılının ilk yarısında, amaca yönelik büyüme gündeminin stratejik önceliklerini başarıyla uygulamaya devam etmiş ve iyi bir ilerleme kaydetmiştir.</w:t>
      </w:r>
    </w:p>
    <w:p w14:paraId="6C026BF2" w14:textId="77777777" w:rsidR="00B50061" w:rsidRPr="0090090F" w:rsidRDefault="00B50061" w:rsidP="00B50061">
      <w:pPr>
        <w:autoSpaceDE w:val="0"/>
        <w:autoSpaceDN w:val="0"/>
        <w:adjustRightInd w:val="0"/>
        <w:rPr>
          <w:rFonts w:cs="Segoe UI"/>
          <w:szCs w:val="22"/>
        </w:rPr>
      </w:pPr>
    </w:p>
    <w:p w14:paraId="6C026BF3" w14:textId="718D584A" w:rsidR="00B50061" w:rsidRPr="001C5B08" w:rsidRDefault="00B50061" w:rsidP="00B50061">
      <w:pPr>
        <w:autoSpaceDE w:val="0"/>
        <w:autoSpaceDN w:val="0"/>
        <w:adjustRightInd w:val="0"/>
        <w:rPr>
          <w:rFonts w:cs="Segoe UI"/>
          <w:szCs w:val="22"/>
        </w:rPr>
      </w:pPr>
      <w:r>
        <w:rPr>
          <w:b/>
          <w:bCs/>
        </w:rPr>
        <w:t>Yapıştırıcı Teknolojileri</w:t>
      </w:r>
      <w:r>
        <w:t xml:space="preserve"> iş</w:t>
      </w:r>
      <w:r w:rsidR="004B737E">
        <w:t xml:space="preserve"> biriminde</w:t>
      </w:r>
      <w:r>
        <w:t xml:space="preserve"> Henkel'in mobilite, bağlanabilirlik, dijitalleşme, kentleşme ve sürdürülebilirlik gibi </w:t>
      </w:r>
      <w:r w:rsidR="004B737E">
        <w:t>global</w:t>
      </w:r>
      <w:r>
        <w:t xml:space="preserve"> trendlere net bir şekilde odaklanması, zorlu bir pazar ortamında rekabet gücünü ve dayanıklılığını artırmasına yardımcı olmaktadır. Örneğin sürdürülebilirlik alanında Henkel, çeşitli sektörlerdeki müşterilerini </w:t>
      </w:r>
      <w:r w:rsidR="003C7093" w:rsidRPr="003C7093">
        <w:t xml:space="preserve">sürdürülebilirlik hedeflerine ulaşmalarında </w:t>
      </w:r>
      <w:r>
        <w:t>etkili</w:t>
      </w:r>
      <w:r w:rsidR="003C7093">
        <w:t xml:space="preserve"> ve</w:t>
      </w:r>
      <w:r>
        <w:t xml:space="preserve"> çevre</w:t>
      </w:r>
      <w:r w:rsidR="003C7093">
        <w:t>sel</w:t>
      </w:r>
      <w:r>
        <w:t xml:space="preserve"> açı</w:t>
      </w:r>
      <w:r w:rsidR="003C7093">
        <w:t>dan</w:t>
      </w:r>
      <w:r>
        <w:t xml:space="preserve"> verimli çözümlerle desteklemektedir. Henkel, </w:t>
      </w:r>
      <w:r>
        <w:rPr>
          <w:b/>
          <w:bCs/>
        </w:rPr>
        <w:t>Tüketici Markaları</w:t>
      </w:r>
      <w:r>
        <w:t xml:space="preserve"> iş biriminde portföyün</w:t>
      </w:r>
      <w:r w:rsidR="00B5068D">
        <w:t>e</w:t>
      </w:r>
      <w:r>
        <w:t xml:space="preserve"> daha</w:t>
      </w:r>
      <w:r w:rsidR="003C7093">
        <w:t xml:space="preserve"> fazla odaklamıştır.</w:t>
      </w:r>
      <w:r>
        <w:t xml:space="preserve"> İlk 10 marka şu anda satışların yaklaşık yüzde 60'ını oluşturmaktadır. İkinci çeyrekte bu ilk 10 marka, fiyat ve miktarda dengeli bir pozitif gelişim göstererek yüzde 3'ün üzerinde organik satış büyümesi kaydetmiştir.</w:t>
      </w:r>
    </w:p>
    <w:p w14:paraId="6C026BF4" w14:textId="77777777" w:rsidR="00B50061" w:rsidRPr="001C5B08" w:rsidRDefault="00B50061" w:rsidP="00B50061">
      <w:pPr>
        <w:autoSpaceDE w:val="0"/>
        <w:autoSpaceDN w:val="0"/>
        <w:adjustRightInd w:val="0"/>
        <w:rPr>
          <w:rFonts w:cs="Segoe UI"/>
          <w:szCs w:val="22"/>
          <w:highlight w:val="yellow"/>
          <w:lang w:eastAsia="de-DE"/>
        </w:rPr>
      </w:pPr>
    </w:p>
    <w:p w14:paraId="6C026BF7" w14:textId="1EF1650A" w:rsidR="00B50061" w:rsidRPr="001C5B08" w:rsidRDefault="00B50061" w:rsidP="00B50061">
      <w:pPr>
        <w:autoSpaceDE w:val="0"/>
        <w:autoSpaceDN w:val="0"/>
        <w:adjustRightInd w:val="0"/>
        <w:rPr>
          <w:rFonts w:cs="Segoe UI"/>
          <w:bCs/>
          <w:szCs w:val="22"/>
        </w:rPr>
      </w:pPr>
      <w:r>
        <w:t xml:space="preserve">Henkel, </w:t>
      </w:r>
      <w:r>
        <w:rPr>
          <w:b/>
          <w:bCs/>
        </w:rPr>
        <w:t>rekabetçiliğini</w:t>
      </w:r>
      <w:r>
        <w:t xml:space="preserve"> daha da artırmak için cazip iş alanlarında güçlü </w:t>
      </w:r>
      <w:r>
        <w:rPr>
          <w:b/>
          <w:bCs/>
        </w:rPr>
        <w:t>inovasyonlara</w:t>
      </w:r>
      <w:r>
        <w:t xml:space="preserve"> odaklanmaktadır. Bu hamleler, 2025 yılının ilk yarısında her iki iş biriminin de büyümesine katkıda bulunmuştur. </w:t>
      </w:r>
      <w:r>
        <w:rPr>
          <w:b/>
          <w:bCs/>
        </w:rPr>
        <w:t>Yapıştırıcı Teknolojileri</w:t>
      </w:r>
      <w:r>
        <w:t xml:space="preserve"> iş biriminde Henkel, sürdürülebilir ve müşteri odaklı inovasyonlara net bir şekilde odaklanarak metal ambalaj işinde yüksek tek haneli büyüme elde etmiş ve böylece pazarın üzerinde bir performans göstermiştir. Bu segmentten verilebilecek örneklerden biri, pazarda bir ilk olan</w:t>
      </w:r>
      <w:r w:rsidR="00606102">
        <w:t>,</w:t>
      </w:r>
      <w:r>
        <w:t xml:space="preserve"> düşük sıcaklıkta kullanılabilen ve az köpüren teneke kutu temizleyicisidir. </w:t>
      </w:r>
      <w:r w:rsidR="004456C0">
        <w:t xml:space="preserve">Bu yenilik, önemli ölçüde enerji tasarrufu ve yüzde 25'e kadar daha az su tüketimi ile verimli ve sürdürülebilir içecek kutusu üretimini mümkün kılmaktadır. Henkel son üç yılda bu alandaki iş hacmini üç katına çıkarmıştır. </w:t>
      </w:r>
      <w:r w:rsidR="004456C0">
        <w:rPr>
          <w:b/>
          <w:bCs/>
        </w:rPr>
        <w:t>Tüketici Markaları</w:t>
      </w:r>
      <w:r w:rsidR="004456C0">
        <w:t xml:space="preserve"> iş biriminde, yeni marka Creme Supreme'in yeni pazarlara da sunulması, ikinci çeyrekte Tüketici</w:t>
      </w:r>
      <w:r w:rsidR="007304A4">
        <w:t>ye Yönelik Boyalar</w:t>
      </w:r>
      <w:r w:rsidR="004456C0">
        <w:t xml:space="preserve"> kategorisinin önemli ölçüde büyümesine katkıda bulunmuştur. Creme Supreme, yenilikçi bağlanma teknolojisine sahip ilk bakım yapan saç boyasıdır. Mikro bağlar sayesinde saç yapısını güçlendirir ve saç liflerini daha iyi </w:t>
      </w:r>
      <w:r w:rsidR="007304A4">
        <w:t xml:space="preserve">bir şekilde </w:t>
      </w:r>
      <w:r w:rsidR="004456C0">
        <w:t xml:space="preserve">bir arada tutar. </w:t>
      </w:r>
      <w:r>
        <w:t>Ayrıca saçı saran koruyucu bir tabaka oluşturarak kırılmaları önler.</w:t>
      </w:r>
    </w:p>
    <w:p w14:paraId="6C026BF8" w14:textId="77777777" w:rsidR="00B50061" w:rsidRPr="001C5B08" w:rsidRDefault="00B50061" w:rsidP="00B50061">
      <w:pPr>
        <w:autoSpaceDE w:val="0"/>
        <w:autoSpaceDN w:val="0"/>
        <w:adjustRightInd w:val="0"/>
        <w:rPr>
          <w:rFonts w:cs="Segoe UI"/>
          <w:bCs/>
          <w:szCs w:val="22"/>
        </w:rPr>
      </w:pPr>
    </w:p>
    <w:p w14:paraId="6C026BF9" w14:textId="61F700A5" w:rsidR="00B50061" w:rsidRDefault="008863E8" w:rsidP="00B50061">
      <w:r>
        <w:t xml:space="preserve">Henkel CEO’su Carsten Knobel görüşlerini, </w:t>
      </w:r>
      <w:r w:rsidR="00B50061">
        <w:t>"2025 mali yılına yavaş bir başlangıç yaptıktan sonra, ikinci çeyrekte özellikle tüketici</w:t>
      </w:r>
      <w:r>
        <w:t xml:space="preserve"> iş birimlerimizde</w:t>
      </w:r>
      <w:r w:rsidR="00B50061">
        <w:t xml:space="preserve"> önemli bir gelişme kaydetmeyi başardık. Aynı zamanda, her iki iş biriminde de karlılığı güçlü bir şekilde arttırmaya devam ettik.</w:t>
      </w:r>
      <w:r>
        <w:t xml:space="preserve"> </w:t>
      </w:r>
      <w:r w:rsidR="00B50061">
        <w:t>Bu, Henkel'in dönüşümünün şimdiden başarılı olduğunu açıkça gösteriyor. Uzun vadede daha da iyi konumlanmak ve daha rekabetçi olmak için bu değişimi sürdüreceğiz. Henkel'</w:t>
      </w:r>
      <w:r>
        <w:t>i</w:t>
      </w:r>
      <w:r w:rsidR="00B50061">
        <w:t xml:space="preserve"> başarılı bir gelecek için dönüş</w:t>
      </w:r>
      <w:r>
        <w:t xml:space="preserve">türüyoruz </w:t>
      </w:r>
      <w:r w:rsidR="00B50061">
        <w:t>ve net bir stratejiyle daha da karlı büyüme için doğru yoldayız."</w:t>
      </w:r>
      <w:r>
        <w:t xml:space="preserve"> şeklinde sonlandırdı.</w:t>
      </w:r>
    </w:p>
    <w:p w14:paraId="5BFCB2B6" w14:textId="77777777" w:rsidR="000711D3" w:rsidRDefault="000711D3" w:rsidP="00B50061"/>
    <w:p w14:paraId="6F4B5FD0" w14:textId="77777777" w:rsidR="000711D3" w:rsidRPr="006E6D74" w:rsidRDefault="000711D3" w:rsidP="000711D3">
      <w:pPr>
        <w:rPr>
          <w:rFonts w:cs="Segoe UI"/>
          <w:b/>
          <w:bCs/>
          <w:sz w:val="18"/>
          <w:szCs w:val="18"/>
        </w:rPr>
      </w:pPr>
      <w:r w:rsidRPr="006E6D74">
        <w:rPr>
          <w:rFonts w:cs="Segoe UI"/>
          <w:b/>
          <w:bCs/>
          <w:sz w:val="18"/>
          <w:szCs w:val="18"/>
        </w:rPr>
        <w:t xml:space="preserve">Henkel Hakkında </w:t>
      </w:r>
    </w:p>
    <w:p w14:paraId="39A7A806" w14:textId="2FC32793" w:rsidR="000711D3" w:rsidRPr="006E6D74" w:rsidRDefault="000711D3" w:rsidP="000711D3">
      <w:pPr>
        <w:rPr>
          <w:rFonts w:cs="Segoe UI"/>
          <w:sz w:val="18"/>
          <w:szCs w:val="18"/>
        </w:rPr>
      </w:pPr>
      <w:r w:rsidRPr="006E6D74">
        <w:rPr>
          <w:rFonts w:cs="Segoe UI"/>
          <w:sz w:val="18"/>
          <w:szCs w:val="18"/>
        </w:rPr>
        <w:t xml:space="preserve">Markaları, inovasyonları ve teknolojileri ile Henkel, endüstriyel ve tüketici iş birimlerinde, dünya genelindeki pazarlarda lider konumlara sahiptir. Henkel’in Yapıştırıcı Teknolojileri İş Birimi; yapıştırıcılar, yalıtım malzemeleri ve kaplamalar pazarlarında global bir liderdir. Tüketici Markaları İş Birimi, özellikle Çamaşır ve Ev Bakım ile Saç iş alanları olmak üzere, dünya genelinde pek çok pazar ve kategoride lider konumlarda bulunmaktadır. Henkel’in en büyük üç markası Loctite, Persil ve Schwarzkopf markalarıdır. 2024 mali yılında Henkel, yaklaşık 21,6 milyar Euro satış ve yaklaşık 3,1 milyar Euro düzeltilmiş faaliyet karı bildirmiştir. Henkel’in imtiyazlı hisse senetleri, Almanya DAX borsa endeksine kayıtlıdır. Sürdürülebilirlik, Henkel’in köklü geleneğinin önemli bir bileşenidir ve şirket somut hedefler doğrultusunda hayata geçirdiği net bir sürdürülebilirlik stratejisine sahiptir. 1876’da kurulmuş olan Henkel, bugün dünyanın dört bir yanında güçlü bir şirket kültürü ile bir araya gelen, ortak değerlerde birleşen ve “Pioneers at heart for the good of generations” (Gelecek Nesiller İçin İyiliğe Öncülük Ediyoruz) amacında buluşan yaklaşık 47.000 kişiyi istihdam etmektedir. Detaylı bilgi için </w:t>
      </w:r>
      <w:hyperlink r:id="rId12" w:history="1">
        <w:r w:rsidR="00CB1187" w:rsidRPr="003A625E">
          <w:rPr>
            <w:rStyle w:val="Hyperlink"/>
          </w:rPr>
          <w:t>www.henkel.com</w:t>
        </w:r>
      </w:hyperlink>
      <w:r w:rsidR="00CB1187">
        <w:rPr>
          <w:rStyle w:val="AboutandContactBody"/>
        </w:rPr>
        <w:t xml:space="preserve"> </w:t>
      </w:r>
      <w:r w:rsidRPr="006E6D74">
        <w:rPr>
          <w:rFonts w:cs="Segoe UI"/>
          <w:sz w:val="18"/>
          <w:szCs w:val="18"/>
        </w:rPr>
        <w:t>adresini ziyaret edebilirsiniz.</w:t>
      </w:r>
    </w:p>
    <w:p w14:paraId="0455EC00" w14:textId="77777777" w:rsidR="000711D3" w:rsidRPr="006E6D74" w:rsidRDefault="000711D3" w:rsidP="00B50061">
      <w:pPr>
        <w:rPr>
          <w:rStyle w:val="AboutandContactHeadline"/>
          <w:szCs w:val="18"/>
        </w:rPr>
      </w:pPr>
    </w:p>
    <w:sectPr w:rsidR="000711D3" w:rsidRPr="006E6D74" w:rsidSect="00A41DBE">
      <w:headerReference w:type="even" r:id="rId13"/>
      <w:footerReference w:type="default" r:id="rId14"/>
      <w:headerReference w:type="first" r:id="rId15"/>
      <w:footerReference w:type="first" r:id="rId16"/>
      <w:pgSz w:w="11907" w:h="16840" w:code="9"/>
      <w:pgMar w:top="1944" w:right="1411" w:bottom="1843"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C558B" w14:textId="77777777" w:rsidR="004C559A" w:rsidRDefault="004C559A">
      <w:r>
        <w:separator/>
      </w:r>
    </w:p>
  </w:endnote>
  <w:endnote w:type="continuationSeparator" w:id="0">
    <w:p w14:paraId="18E0C7FD" w14:textId="77777777" w:rsidR="004C559A" w:rsidRDefault="004C559A">
      <w:r>
        <w:continuationSeparator/>
      </w:r>
    </w:p>
  </w:endnote>
  <w:endnote w:type="continuationNotice" w:id="1">
    <w:p w14:paraId="77D185FE" w14:textId="77777777" w:rsidR="004C559A" w:rsidRDefault="004C55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26C05" w14:textId="0FC61FB5" w:rsidR="00CF6F33" w:rsidRPr="00112A28" w:rsidRDefault="00112A28" w:rsidP="00112A28">
    <w:pPr>
      <w:pStyle w:val="Footer"/>
      <w:tabs>
        <w:tab w:val="clear" w:pos="7083"/>
        <w:tab w:val="clear" w:pos="8640"/>
        <w:tab w:val="right" w:pos="9071"/>
      </w:tabs>
      <w:jc w:val="both"/>
    </w:pPr>
    <w:r>
      <w:tab/>
      <w:t xml:space="preserve">Sayfa </w:t>
    </w:r>
    <w:r w:rsidRPr="00BF6E82">
      <w:fldChar w:fldCharType="begin"/>
    </w:r>
    <w:r w:rsidRPr="00BF6E82">
      <w:instrText xml:space="preserve"> PAGE  \* Arabic  \* MERGEFORMAT </w:instrText>
    </w:r>
    <w:r w:rsidRPr="00BF6E82">
      <w:fldChar w:fldCharType="separate"/>
    </w:r>
    <w:r w:rsidR="00EC2695">
      <w:t>7</w:t>
    </w:r>
    <w:r w:rsidRPr="00BF6E82">
      <w:fldChar w:fldCharType="end"/>
    </w:r>
    <w:r>
      <w:t>/</w:t>
    </w:r>
    <w:fldSimple w:instr="NUMPAGES  \* Arabic  \* MERGEFORMAT">
      <w:r w:rsidR="00EC2695">
        <w:t>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26C07" w14:textId="77777777" w:rsidR="00CF6F33" w:rsidRPr="00992A11" w:rsidRDefault="00D604A7" w:rsidP="00992A11">
    <w:pPr>
      <w:pStyle w:val="Footer"/>
    </w:pPr>
    <w:r>
      <w:t xml:space="preserve">Sayfa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EC2695">
      <w:t>1</w:t>
    </w:r>
    <w:r w:rsidR="00CF6F33" w:rsidRPr="00992A11">
      <w:fldChar w:fldCharType="end"/>
    </w:r>
    <w:r>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EC2695">
      <w:t>7</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8FC71" w14:textId="77777777" w:rsidR="004C559A" w:rsidRDefault="004C559A">
      <w:r>
        <w:separator/>
      </w:r>
    </w:p>
  </w:footnote>
  <w:footnote w:type="continuationSeparator" w:id="0">
    <w:p w14:paraId="215B3D32" w14:textId="77777777" w:rsidR="004C559A" w:rsidRDefault="004C559A">
      <w:r>
        <w:continuationSeparator/>
      </w:r>
    </w:p>
  </w:footnote>
  <w:footnote w:type="continuationNotice" w:id="1">
    <w:p w14:paraId="043B8B6A" w14:textId="77777777" w:rsidR="004C559A" w:rsidRDefault="004C559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26C02"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26C06" w14:textId="39EDD048" w:rsidR="00CF6F33" w:rsidRPr="00EB46D9" w:rsidRDefault="00B645B4" w:rsidP="00EB46D9">
    <w:pPr>
      <w:pStyle w:val="Header"/>
    </w:pPr>
    <w:r w:rsidRPr="00EB46D9">
      <w:rPr>
        <w:noProof/>
        <w:lang w:eastAsia="tr-TR"/>
      </w:rPr>
      <w:drawing>
        <wp:anchor distT="0" distB="0" distL="114300" distR="114300" simplePos="0" relativeHeight="251660288" behindDoc="0" locked="1" layoutInCell="1" allowOverlap="1" wp14:anchorId="735C289A" wp14:editId="1A0D9173">
          <wp:simplePos x="0" y="0"/>
          <wp:positionH relativeFrom="margin">
            <wp:align>right</wp:align>
          </wp:positionH>
          <wp:positionV relativeFrom="margin">
            <wp:posOffset>-1331595</wp:posOffset>
          </wp:positionV>
          <wp:extent cx="1051560" cy="603250"/>
          <wp:effectExtent l="0" t="0" r="0" b="6350"/>
          <wp:wrapNone/>
          <wp:docPr id="1653066876" name="Grafik 1653066876" descr="A red oval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066876" name="Grafik 1653066876" descr="A red oval with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3C1C03">
      <w:rPr>
        <w:noProof/>
        <w:lang w:eastAsia="tr-TR"/>
      </w:rPr>
      <mc:AlternateContent>
        <mc:Choice Requires="wpg">
          <w:drawing>
            <wp:anchor distT="0" distB="0" distL="114300" distR="114300" simplePos="0" relativeHeight="251658240" behindDoc="0" locked="0" layoutInCell="1" allowOverlap="1" wp14:anchorId="6C026C08" wp14:editId="6C026C09">
              <wp:simplePos x="0" y="0"/>
              <wp:positionH relativeFrom="page">
                <wp:posOffset>180340</wp:posOffset>
              </wp:positionH>
              <wp:positionV relativeFrom="page">
                <wp:posOffset>3780790</wp:posOffset>
              </wp:positionV>
              <wp:extent cx="179705" cy="3780155"/>
              <wp:effectExtent l="0" t="0" r="0" b="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2D635C0E"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CZcwHsCAwAAsAwAAA4AAAAAAAAAAAAAAAAALgIAAGRycy9lMm9Eb2MueG1s&#10;UEsBAi0AFAAGAAgAAAAhAORzzknhAAAACgEAAA8AAAAAAAAAAAAAAAAAXAUAAGRycy9kb3ducmV2&#10;LnhtbFBLBQYAAAAABAAEAPMAAABqBgAAAAA=&#10;">
              <v:line id="Line 17"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vKwcIAAADaAAAADwAAAGRycy9kb3ducmV2LnhtbESPT2sCMRTE7wW/Q3gFb5ptFdHVKCoK&#10;Ujz47+DxsXndXZq8LEmq67dvBKHHYWZ+w8wWrTXiRj7UjhV89DMQxIXTNZcKLudtbwwiRGSNxjEp&#10;eFCAxbzzNsNcuzsf6XaKpUgQDjkqqGJscilDUZHF0HcNcfK+nbcYk/Sl1B7vCW6N/MyykbRYc1qo&#10;sKF1RcXP6dcquC79Bjd2NZzs/dkMDtvRGs2XUt33djkFEamN/+FXe6cVDOB5Jd0AOf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vKwcIAAADaAAAADwAAAAAAAAAAAAAA&#10;AAChAgAAZHJzL2Rvd25yZXYueG1sUEsFBgAAAAAEAAQA+QAAAJADAAAAAA==&#10;" stroked="f" strokecolor="#e1000f" strokeweight=".5pt"/>
              <v:line id="Line 18"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JStcIAAADaAAAADwAAAGRycy9kb3ducmV2LnhtbESPQWsCMRSE7wX/Q3hCb5rVititUVQU&#10;injQtYceH5vX3aXJy5JE3f57Iwg9DjPzDTNfdtaIK/nQOFYwGmYgiEunG64UfJ13gxmIEJE1Gsek&#10;4I8CLBe9lznm2t34RNciViJBOOSooI6xzaUMZU0Ww9C1xMn7cd5iTNJXUnu8Jbg1cpxlU2mx4bRQ&#10;Y0ubmsrf4mIVfK/8Frd2PXk/+LN5O+6mGzR7pV773eoDRKQu/oef7U+tYAKPK+kG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dJStcIAAADaAAAADwAAAAAAAAAAAAAA&#10;AAChAgAAZHJzL2Rvd25yZXYueG1sUEsFBgAAAAAEAAQA+QAAAJADAAAAAA==&#10;" stroked="f" strokecolor="#e1000f" strokeweight=".5pt"/>
              <v:line id="Line 19"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73LsQAAADaAAAADwAAAGRycy9kb3ducmV2LnhtbESPT2sCMRTE7wW/Q3iCN822ttKumxUr&#10;CqV48E8PPT42z92lycuSpLp+e1MQehxm5jdMseitEWfyoXWs4HGSgSCunG65VvB13IxfQYSIrNE4&#10;JgVXCrAoBw8F5tpdeE/nQ6xFgnDIUUETY5dLGaqGLIaJ64iTd3LeYkzS11J7vCS4NfIpy2bSYstp&#10;ocGOVg1VP4dfq+B76de4tu/Pb1t/NNPdZrZC86nUaNgv5yAi9fE/fG9/aAUv8Hcl3QBZ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nvcuxAAAANoAAAAPAAAAAAAAAAAA&#10;AAAAAKECAABkcnMvZG93bnJldi54bWxQSwUGAAAAAAQABAD5AAAAkgMAAAAA&#10;" stroked="f" strokecolor="#e1000f" strokeweight=".5pt"/>
              <w10:wrap anchorx="page" anchory="page"/>
            </v:group>
          </w:pict>
        </mc:Fallback>
      </mc:AlternateContent>
    </w:r>
    <w:r w:rsidR="003C1C03">
      <w:t>Basın Bülteni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109D5C"/>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F614AC"/>
    <w:multiLevelType w:val="hybridMultilevel"/>
    <w:tmpl w:val="FFFFFFFF"/>
    <w:lvl w:ilvl="0" w:tplc="7F22C7A8">
      <w:start w:val="1"/>
      <w:numFmt w:val="bullet"/>
      <w:pStyle w:val="He01FlietextAufzhlung1Ebene"/>
      <w:lvlText w:val=""/>
      <w:lvlJc w:val="left"/>
      <w:pPr>
        <w:ind w:left="36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38E1865"/>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7CF4270"/>
    <w:multiLevelType w:val="hybridMultilevel"/>
    <w:tmpl w:val="FFFFFFFF"/>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8E4621"/>
    <w:multiLevelType w:val="hybridMultilevel"/>
    <w:tmpl w:val="FFFFFFFF"/>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5" w15:restartNumberingAfterBreak="0">
    <w:nsid w:val="1294669F"/>
    <w:multiLevelType w:val="hybridMultilevel"/>
    <w:tmpl w:val="FFFFFFFF"/>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9D4FBB"/>
    <w:multiLevelType w:val="hybridMultilevel"/>
    <w:tmpl w:val="FFFFFFFF"/>
    <w:lvl w:ilvl="0" w:tplc="BFD02278">
      <w:numFmt w:val="bullet"/>
      <w:lvlText w:val=""/>
      <w:lvlJc w:val="left"/>
      <w:pPr>
        <w:ind w:left="361" w:hanging="360"/>
      </w:pPr>
      <w:rPr>
        <w:rFonts w:ascii="Wingdings" w:eastAsia="Times New Roman" w:hAnsi="Wingdings" w:hint="default"/>
        <w:b w:val="0"/>
        <w:i w:val="0"/>
        <w:color w:val="E0000E"/>
        <w:spacing w:val="0"/>
        <w:w w:val="100"/>
        <w:sz w:val="22"/>
      </w:rPr>
    </w:lvl>
    <w:lvl w:ilvl="1" w:tplc="D480B16C">
      <w:numFmt w:val="bullet"/>
      <w:lvlText w:val="–"/>
      <w:lvlJc w:val="left"/>
      <w:pPr>
        <w:ind w:left="702" w:hanging="360"/>
      </w:pPr>
      <w:rPr>
        <w:rFonts w:ascii="Segoe UI" w:eastAsia="Times New Roman" w:hAnsi="Segoe UI" w:hint="default"/>
        <w:b w:val="0"/>
        <w:i w:val="0"/>
        <w:color w:val="E0000E"/>
        <w:spacing w:val="0"/>
        <w:w w:val="100"/>
        <w:sz w:val="22"/>
      </w:rPr>
    </w:lvl>
    <w:lvl w:ilvl="2" w:tplc="02D62C02">
      <w:numFmt w:val="bullet"/>
      <w:lvlText w:val="•"/>
      <w:lvlJc w:val="left"/>
      <w:pPr>
        <w:ind w:left="1724" w:hanging="360"/>
      </w:pPr>
      <w:rPr>
        <w:rFonts w:hint="default"/>
      </w:rPr>
    </w:lvl>
    <w:lvl w:ilvl="3" w:tplc="9C40D990">
      <w:numFmt w:val="bullet"/>
      <w:lvlText w:val="•"/>
      <w:lvlJc w:val="left"/>
      <w:pPr>
        <w:ind w:left="2749" w:hanging="360"/>
      </w:pPr>
      <w:rPr>
        <w:rFonts w:hint="default"/>
      </w:rPr>
    </w:lvl>
    <w:lvl w:ilvl="4" w:tplc="1406A6DA">
      <w:numFmt w:val="bullet"/>
      <w:lvlText w:val="•"/>
      <w:lvlJc w:val="left"/>
      <w:pPr>
        <w:ind w:left="3774" w:hanging="360"/>
      </w:pPr>
      <w:rPr>
        <w:rFonts w:hint="default"/>
      </w:rPr>
    </w:lvl>
    <w:lvl w:ilvl="5" w:tplc="8AE8738E">
      <w:numFmt w:val="bullet"/>
      <w:lvlText w:val="•"/>
      <w:lvlJc w:val="left"/>
      <w:pPr>
        <w:ind w:left="4799" w:hanging="360"/>
      </w:pPr>
      <w:rPr>
        <w:rFonts w:hint="default"/>
      </w:rPr>
    </w:lvl>
    <w:lvl w:ilvl="6" w:tplc="7EAABB1E">
      <w:numFmt w:val="bullet"/>
      <w:lvlText w:val="•"/>
      <w:lvlJc w:val="left"/>
      <w:pPr>
        <w:ind w:left="5824" w:hanging="360"/>
      </w:pPr>
      <w:rPr>
        <w:rFonts w:hint="default"/>
      </w:rPr>
    </w:lvl>
    <w:lvl w:ilvl="7" w:tplc="09289774">
      <w:numFmt w:val="bullet"/>
      <w:lvlText w:val="•"/>
      <w:lvlJc w:val="left"/>
      <w:pPr>
        <w:ind w:left="6848" w:hanging="360"/>
      </w:pPr>
      <w:rPr>
        <w:rFonts w:hint="default"/>
      </w:rPr>
    </w:lvl>
    <w:lvl w:ilvl="8" w:tplc="DD12C02C">
      <w:numFmt w:val="bullet"/>
      <w:lvlText w:val="•"/>
      <w:lvlJc w:val="left"/>
      <w:pPr>
        <w:ind w:left="7873" w:hanging="360"/>
      </w:pPr>
      <w:rPr>
        <w:rFonts w:hint="default"/>
      </w:rPr>
    </w:lvl>
  </w:abstractNum>
  <w:abstractNum w:abstractNumId="7" w15:restartNumberingAfterBreak="0">
    <w:nsid w:val="15E233B2"/>
    <w:multiLevelType w:val="hybridMultilevel"/>
    <w:tmpl w:val="FFFFFFFF"/>
    <w:lvl w:ilvl="0" w:tplc="4B4C214C">
      <w:start w:val="1"/>
      <w:numFmt w:val="bullet"/>
      <w:lvlText w:val=""/>
      <w:lvlJc w:val="left"/>
      <w:pPr>
        <w:ind w:left="720" w:hanging="360"/>
      </w:pPr>
      <w:rPr>
        <w:rFonts w:ascii="Wingdings" w:hAnsi="Wingdings" w:hint="default"/>
        <w:color w:val="E1000F"/>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740AFE"/>
    <w:multiLevelType w:val="hybridMultilevel"/>
    <w:tmpl w:val="FFFFFFFF"/>
    <w:lvl w:ilvl="0" w:tplc="3FDAE620">
      <w:start w:val="1"/>
      <w:numFmt w:val="bullet"/>
      <w:pStyle w:val="He01FlietextAufzhlung2Ebene"/>
      <w:lvlText w:val="–"/>
      <w:lvlJc w:val="left"/>
      <w:pPr>
        <w:ind w:left="700" w:hanging="360"/>
      </w:pPr>
      <w:rPr>
        <w:rFonts w:ascii="Segoe UI" w:hAnsi="Segoe UI" w:hint="default"/>
        <w:color w:val="E1000F"/>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9" w15:restartNumberingAfterBreak="0">
    <w:nsid w:val="210B585C"/>
    <w:multiLevelType w:val="hybridMultilevel"/>
    <w:tmpl w:val="FFFFFFFF"/>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246F7BE2"/>
    <w:multiLevelType w:val="hybridMultilevel"/>
    <w:tmpl w:val="FFFFFFFF"/>
    <w:lvl w:ilvl="0" w:tplc="FFFFFFFF">
      <w:start w:val="1"/>
      <w:numFmt w:val="bullet"/>
      <w:lvlText w:val=""/>
      <w:lvlJc w:val="left"/>
      <w:pPr>
        <w:ind w:left="360" w:hanging="360"/>
      </w:pPr>
      <w:rPr>
        <w:rFonts w:ascii="Wingdings" w:hAnsi="Wingdings" w:hint="default"/>
        <w:color w:val="E1000F"/>
      </w:rPr>
    </w:lvl>
    <w:lvl w:ilvl="1" w:tplc="0407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3F4B6752"/>
    <w:multiLevelType w:val="hybridMultilevel"/>
    <w:tmpl w:val="FFFFFFFF"/>
    <w:lvl w:ilvl="0" w:tplc="36002C28">
      <w:start w:val="1"/>
      <w:numFmt w:val="bullet"/>
      <w:lvlText w:val=""/>
      <w:lvlJc w:val="left"/>
      <w:pPr>
        <w:ind w:left="360" w:hanging="360"/>
      </w:pPr>
      <w:rPr>
        <w:rFonts w:ascii="Wingdings" w:hAnsi="Wingdings" w:hint="default"/>
        <w:color w:val="E1000F"/>
        <w:sz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0C5131F"/>
    <w:multiLevelType w:val="hybridMultilevel"/>
    <w:tmpl w:val="FFFFFFFF"/>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3" w15:restartNumberingAfterBreak="0">
    <w:nsid w:val="52C76F01"/>
    <w:multiLevelType w:val="hybridMultilevel"/>
    <w:tmpl w:val="FFFFFFFF"/>
    <w:lvl w:ilvl="0" w:tplc="FFFFFFFF">
      <w:start w:val="1"/>
      <w:numFmt w:val="bullet"/>
      <w:lvlText w:val=""/>
      <w:lvlJc w:val="left"/>
      <w:pPr>
        <w:ind w:left="720" w:hanging="360"/>
      </w:pPr>
      <w:rPr>
        <w:rFonts w:ascii="Wingdings" w:hAnsi="Wingdings" w:hint="default"/>
        <w:color w:val="E1000F"/>
      </w:rPr>
    </w:lvl>
    <w:lvl w:ilvl="1" w:tplc="4B4C214C">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49B0C97"/>
    <w:multiLevelType w:val="hybridMultilevel"/>
    <w:tmpl w:val="FFFFFFFF"/>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136284"/>
    <w:multiLevelType w:val="hybridMultilevel"/>
    <w:tmpl w:val="FFFFFFFF"/>
    <w:lvl w:ilvl="0" w:tplc="FFFFFFFF">
      <w:start w:val="1"/>
      <w:numFmt w:val="bullet"/>
      <w:lvlText w:val=""/>
      <w:lvlJc w:val="left"/>
      <w:pPr>
        <w:ind w:left="720" w:hanging="360"/>
      </w:pPr>
      <w:rPr>
        <w:rFonts w:ascii="Wingdings" w:hAnsi="Wingdings" w:hint="default"/>
        <w:color w:val="E1000F"/>
      </w:rPr>
    </w:lvl>
    <w:lvl w:ilvl="1" w:tplc="FFFFFFFF">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2C72573"/>
    <w:multiLevelType w:val="hybridMultilevel"/>
    <w:tmpl w:val="FFFFFFFF"/>
    <w:lvl w:ilvl="0" w:tplc="4B4C214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6BB6FB3"/>
    <w:multiLevelType w:val="hybridMultilevel"/>
    <w:tmpl w:val="FFFFFFFF"/>
    <w:lvl w:ilvl="0" w:tplc="A86EF76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A89532E"/>
    <w:multiLevelType w:val="hybridMultilevel"/>
    <w:tmpl w:val="FFFFFFFF"/>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AB624AF"/>
    <w:multiLevelType w:val="hybridMultilevel"/>
    <w:tmpl w:val="FFFFFFFF"/>
    <w:lvl w:ilvl="0" w:tplc="4B4C214C">
      <w:start w:val="1"/>
      <w:numFmt w:val="bullet"/>
      <w:lvlText w:val=""/>
      <w:lvlJc w:val="left"/>
      <w:pPr>
        <w:ind w:left="72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AB00033"/>
    <w:multiLevelType w:val="hybridMultilevel"/>
    <w:tmpl w:val="FFFFFFFF"/>
    <w:lvl w:ilvl="0" w:tplc="04070005">
      <w:start w:val="1"/>
      <w:numFmt w:val="bullet"/>
      <w:lvlText w:val=""/>
      <w:lvlJc w:val="left"/>
      <w:pPr>
        <w:ind w:left="360" w:hanging="360"/>
      </w:pPr>
      <w:rPr>
        <w:rFonts w:ascii="Wingdings" w:hAnsi="Wingdings" w:hint="default"/>
        <w:color w:val="E1000F"/>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536436101">
    <w:abstractNumId w:val="3"/>
  </w:num>
  <w:num w:numId="2" w16cid:durableId="842205748">
    <w:abstractNumId w:val="2"/>
  </w:num>
  <w:num w:numId="3" w16cid:durableId="460997182">
    <w:abstractNumId w:val="18"/>
  </w:num>
  <w:num w:numId="4" w16cid:durableId="846672232">
    <w:abstractNumId w:val="12"/>
  </w:num>
  <w:num w:numId="5" w16cid:durableId="2032952415">
    <w:abstractNumId w:val="9"/>
  </w:num>
  <w:num w:numId="6" w16cid:durableId="618995434">
    <w:abstractNumId w:val="14"/>
  </w:num>
  <w:num w:numId="7" w16cid:durableId="1480227892">
    <w:abstractNumId w:val="11"/>
  </w:num>
  <w:num w:numId="8" w16cid:durableId="1334911258">
    <w:abstractNumId w:val="17"/>
  </w:num>
  <w:num w:numId="9" w16cid:durableId="1354260608">
    <w:abstractNumId w:val="1"/>
  </w:num>
  <w:num w:numId="10" w16cid:durableId="1757938789">
    <w:abstractNumId w:val="20"/>
  </w:num>
  <w:num w:numId="11" w16cid:durableId="1635063149">
    <w:abstractNumId w:val="10"/>
  </w:num>
  <w:num w:numId="12" w16cid:durableId="1874609193">
    <w:abstractNumId w:val="1"/>
  </w:num>
  <w:num w:numId="13" w16cid:durableId="88235695">
    <w:abstractNumId w:val="4"/>
  </w:num>
  <w:num w:numId="14" w16cid:durableId="2104953340">
    <w:abstractNumId w:val="5"/>
  </w:num>
  <w:num w:numId="15" w16cid:durableId="161169347">
    <w:abstractNumId w:val="19"/>
  </w:num>
  <w:num w:numId="16" w16cid:durableId="805203335">
    <w:abstractNumId w:val="15"/>
  </w:num>
  <w:num w:numId="17" w16cid:durableId="1838956822">
    <w:abstractNumId w:val="13"/>
  </w:num>
  <w:num w:numId="18" w16cid:durableId="1459493426">
    <w:abstractNumId w:val="7"/>
  </w:num>
  <w:num w:numId="19" w16cid:durableId="1997413878">
    <w:abstractNumId w:val="16"/>
  </w:num>
  <w:num w:numId="20" w16cid:durableId="715352670">
    <w:abstractNumId w:val="8"/>
  </w:num>
  <w:num w:numId="21" w16cid:durableId="1384868941">
    <w:abstractNumId w:val="6"/>
  </w:num>
  <w:num w:numId="22" w16cid:durableId="1678386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3451C"/>
    <w:rsid w:val="00000839"/>
    <w:rsid w:val="00002AA4"/>
    <w:rsid w:val="00004621"/>
    <w:rsid w:val="00004F3C"/>
    <w:rsid w:val="000050F2"/>
    <w:rsid w:val="00005267"/>
    <w:rsid w:val="00006346"/>
    <w:rsid w:val="000069EB"/>
    <w:rsid w:val="00006A45"/>
    <w:rsid w:val="000070A8"/>
    <w:rsid w:val="0001055B"/>
    <w:rsid w:val="00012E70"/>
    <w:rsid w:val="000136FE"/>
    <w:rsid w:val="00014FC1"/>
    <w:rsid w:val="00015C17"/>
    <w:rsid w:val="00016137"/>
    <w:rsid w:val="00020DC3"/>
    <w:rsid w:val="00021C67"/>
    <w:rsid w:val="00024147"/>
    <w:rsid w:val="00024483"/>
    <w:rsid w:val="000256A9"/>
    <w:rsid w:val="00026EEE"/>
    <w:rsid w:val="000301F0"/>
    <w:rsid w:val="00030557"/>
    <w:rsid w:val="00030701"/>
    <w:rsid w:val="00030F51"/>
    <w:rsid w:val="00031E51"/>
    <w:rsid w:val="00033476"/>
    <w:rsid w:val="000343EB"/>
    <w:rsid w:val="0003567B"/>
    <w:rsid w:val="00035A84"/>
    <w:rsid w:val="00037933"/>
    <w:rsid w:val="00040816"/>
    <w:rsid w:val="0004082A"/>
    <w:rsid w:val="00040CC9"/>
    <w:rsid w:val="00041F81"/>
    <w:rsid w:val="000425ED"/>
    <w:rsid w:val="000434EF"/>
    <w:rsid w:val="000446B3"/>
    <w:rsid w:val="00045CCB"/>
    <w:rsid w:val="000510FC"/>
    <w:rsid w:val="00051555"/>
    <w:rsid w:val="0005165F"/>
    <w:rsid w:val="00051E86"/>
    <w:rsid w:val="000525F1"/>
    <w:rsid w:val="0005486A"/>
    <w:rsid w:val="00054AFE"/>
    <w:rsid w:val="0005544E"/>
    <w:rsid w:val="0005619D"/>
    <w:rsid w:val="00056A64"/>
    <w:rsid w:val="00056EEE"/>
    <w:rsid w:val="000575F9"/>
    <w:rsid w:val="0006148D"/>
    <w:rsid w:val="00061653"/>
    <w:rsid w:val="000618FC"/>
    <w:rsid w:val="00065466"/>
    <w:rsid w:val="000665F3"/>
    <w:rsid w:val="00067071"/>
    <w:rsid w:val="00067F67"/>
    <w:rsid w:val="00070652"/>
    <w:rsid w:val="00070757"/>
    <w:rsid w:val="000711D3"/>
    <w:rsid w:val="00071284"/>
    <w:rsid w:val="00072356"/>
    <w:rsid w:val="00073AED"/>
    <w:rsid w:val="00074942"/>
    <w:rsid w:val="000751A7"/>
    <w:rsid w:val="0007558F"/>
    <w:rsid w:val="0007746E"/>
    <w:rsid w:val="0007752A"/>
    <w:rsid w:val="00077AF9"/>
    <w:rsid w:val="00080D10"/>
    <w:rsid w:val="00081241"/>
    <w:rsid w:val="00081692"/>
    <w:rsid w:val="00081EF8"/>
    <w:rsid w:val="00082417"/>
    <w:rsid w:val="0008357F"/>
    <w:rsid w:val="00083A35"/>
    <w:rsid w:val="00083A61"/>
    <w:rsid w:val="00083DAB"/>
    <w:rsid w:val="0008406B"/>
    <w:rsid w:val="00084918"/>
    <w:rsid w:val="0008581D"/>
    <w:rsid w:val="00090DB6"/>
    <w:rsid w:val="00090E73"/>
    <w:rsid w:val="00091F11"/>
    <w:rsid w:val="00092859"/>
    <w:rsid w:val="00094235"/>
    <w:rsid w:val="000959F1"/>
    <w:rsid w:val="00096638"/>
    <w:rsid w:val="00096AD4"/>
    <w:rsid w:val="00097DB9"/>
    <w:rsid w:val="000A05E0"/>
    <w:rsid w:val="000A06FB"/>
    <w:rsid w:val="000A31D3"/>
    <w:rsid w:val="000A4B52"/>
    <w:rsid w:val="000A50CF"/>
    <w:rsid w:val="000A511E"/>
    <w:rsid w:val="000A64B3"/>
    <w:rsid w:val="000A6C25"/>
    <w:rsid w:val="000A6D45"/>
    <w:rsid w:val="000B005C"/>
    <w:rsid w:val="000B10DE"/>
    <w:rsid w:val="000B2E86"/>
    <w:rsid w:val="000B5D2F"/>
    <w:rsid w:val="000B5E32"/>
    <w:rsid w:val="000B6244"/>
    <w:rsid w:val="000B695A"/>
    <w:rsid w:val="000B72A8"/>
    <w:rsid w:val="000C1D69"/>
    <w:rsid w:val="000C210A"/>
    <w:rsid w:val="000C27E5"/>
    <w:rsid w:val="000C30D6"/>
    <w:rsid w:val="000C3D43"/>
    <w:rsid w:val="000C47D1"/>
    <w:rsid w:val="000C50A1"/>
    <w:rsid w:val="000C540F"/>
    <w:rsid w:val="000C56DD"/>
    <w:rsid w:val="000C63F4"/>
    <w:rsid w:val="000C65FB"/>
    <w:rsid w:val="000C7373"/>
    <w:rsid w:val="000D11CB"/>
    <w:rsid w:val="000D14C4"/>
    <w:rsid w:val="000D1672"/>
    <w:rsid w:val="000D178A"/>
    <w:rsid w:val="000D18CE"/>
    <w:rsid w:val="000D18E3"/>
    <w:rsid w:val="000D40C6"/>
    <w:rsid w:val="000D4349"/>
    <w:rsid w:val="000D52F6"/>
    <w:rsid w:val="000D58A1"/>
    <w:rsid w:val="000D6C67"/>
    <w:rsid w:val="000D738C"/>
    <w:rsid w:val="000E0393"/>
    <w:rsid w:val="000E0CAB"/>
    <w:rsid w:val="000E11D9"/>
    <w:rsid w:val="000E1B84"/>
    <w:rsid w:val="000E2EDC"/>
    <w:rsid w:val="000E2F62"/>
    <w:rsid w:val="000E38ED"/>
    <w:rsid w:val="000E45C7"/>
    <w:rsid w:val="000E5A02"/>
    <w:rsid w:val="000E7F24"/>
    <w:rsid w:val="000F03BE"/>
    <w:rsid w:val="000F1757"/>
    <w:rsid w:val="000F225B"/>
    <w:rsid w:val="000F333E"/>
    <w:rsid w:val="000F41BC"/>
    <w:rsid w:val="000F48E9"/>
    <w:rsid w:val="000F4B10"/>
    <w:rsid w:val="000F4DAE"/>
    <w:rsid w:val="000F689C"/>
    <w:rsid w:val="000F7ADB"/>
    <w:rsid w:val="000F7FAF"/>
    <w:rsid w:val="001002DD"/>
    <w:rsid w:val="0010048F"/>
    <w:rsid w:val="00100D8B"/>
    <w:rsid w:val="00102045"/>
    <w:rsid w:val="00102264"/>
    <w:rsid w:val="00103537"/>
    <w:rsid w:val="00103B01"/>
    <w:rsid w:val="0010421C"/>
    <w:rsid w:val="0010465B"/>
    <w:rsid w:val="0010570F"/>
    <w:rsid w:val="00105975"/>
    <w:rsid w:val="00105DD4"/>
    <w:rsid w:val="00110090"/>
    <w:rsid w:val="0011116D"/>
    <w:rsid w:val="00111386"/>
    <w:rsid w:val="001118DF"/>
    <w:rsid w:val="00111F4D"/>
    <w:rsid w:val="00112A28"/>
    <w:rsid w:val="00113571"/>
    <w:rsid w:val="00114DDF"/>
    <w:rsid w:val="00115230"/>
    <w:rsid w:val="00115B5F"/>
    <w:rsid w:val="001162B4"/>
    <w:rsid w:val="00116B3A"/>
    <w:rsid w:val="00116DF3"/>
    <w:rsid w:val="00122B90"/>
    <w:rsid w:val="00122CBC"/>
    <w:rsid w:val="0012397D"/>
    <w:rsid w:val="0012414B"/>
    <w:rsid w:val="00124FA3"/>
    <w:rsid w:val="00126C65"/>
    <w:rsid w:val="00126D4A"/>
    <w:rsid w:val="00131762"/>
    <w:rsid w:val="001318EB"/>
    <w:rsid w:val="00132DA9"/>
    <w:rsid w:val="0013305B"/>
    <w:rsid w:val="00133B99"/>
    <w:rsid w:val="0013464E"/>
    <w:rsid w:val="0013569C"/>
    <w:rsid w:val="00135939"/>
    <w:rsid w:val="001369E3"/>
    <w:rsid w:val="001375DD"/>
    <w:rsid w:val="00142EFB"/>
    <w:rsid w:val="001438BF"/>
    <w:rsid w:val="001443BD"/>
    <w:rsid w:val="00144A87"/>
    <w:rsid w:val="00145B62"/>
    <w:rsid w:val="00146193"/>
    <w:rsid w:val="00150993"/>
    <w:rsid w:val="00152022"/>
    <w:rsid w:val="00152026"/>
    <w:rsid w:val="00152A41"/>
    <w:rsid w:val="00154D35"/>
    <w:rsid w:val="001577E9"/>
    <w:rsid w:val="00157A59"/>
    <w:rsid w:val="0016138C"/>
    <w:rsid w:val="00162D60"/>
    <w:rsid w:val="001640D5"/>
    <w:rsid w:val="001653D7"/>
    <w:rsid w:val="001659FB"/>
    <w:rsid w:val="00166F97"/>
    <w:rsid w:val="00172C99"/>
    <w:rsid w:val="001731CE"/>
    <w:rsid w:val="00175C72"/>
    <w:rsid w:val="00177B37"/>
    <w:rsid w:val="00180F93"/>
    <w:rsid w:val="00181B06"/>
    <w:rsid w:val="00182629"/>
    <w:rsid w:val="001827BF"/>
    <w:rsid w:val="001828C3"/>
    <w:rsid w:val="00186010"/>
    <w:rsid w:val="0018672E"/>
    <w:rsid w:val="00186AB1"/>
    <w:rsid w:val="00191458"/>
    <w:rsid w:val="00191DD2"/>
    <w:rsid w:val="00192778"/>
    <w:rsid w:val="001945F1"/>
    <w:rsid w:val="00196A14"/>
    <w:rsid w:val="00197E9B"/>
    <w:rsid w:val="001A0718"/>
    <w:rsid w:val="001A1185"/>
    <w:rsid w:val="001A1FEB"/>
    <w:rsid w:val="001A2003"/>
    <w:rsid w:val="001A3D77"/>
    <w:rsid w:val="001A4C03"/>
    <w:rsid w:val="001A7411"/>
    <w:rsid w:val="001B3094"/>
    <w:rsid w:val="001B30F7"/>
    <w:rsid w:val="001B31F0"/>
    <w:rsid w:val="001B4446"/>
    <w:rsid w:val="001B4862"/>
    <w:rsid w:val="001B5147"/>
    <w:rsid w:val="001B65FF"/>
    <w:rsid w:val="001B710A"/>
    <w:rsid w:val="001B771D"/>
    <w:rsid w:val="001B7C20"/>
    <w:rsid w:val="001B7F28"/>
    <w:rsid w:val="001C0B32"/>
    <w:rsid w:val="001C2B63"/>
    <w:rsid w:val="001C2D66"/>
    <w:rsid w:val="001C368D"/>
    <w:rsid w:val="001C36F7"/>
    <w:rsid w:val="001C4BE1"/>
    <w:rsid w:val="001C4CE3"/>
    <w:rsid w:val="001C5338"/>
    <w:rsid w:val="001C5B08"/>
    <w:rsid w:val="001C63C6"/>
    <w:rsid w:val="001C7F21"/>
    <w:rsid w:val="001D00F4"/>
    <w:rsid w:val="001D1497"/>
    <w:rsid w:val="001D361C"/>
    <w:rsid w:val="001D5534"/>
    <w:rsid w:val="001D63D9"/>
    <w:rsid w:val="001D7ADF"/>
    <w:rsid w:val="001E0F71"/>
    <w:rsid w:val="001E17FB"/>
    <w:rsid w:val="001E255E"/>
    <w:rsid w:val="001E2B9B"/>
    <w:rsid w:val="001E2C06"/>
    <w:rsid w:val="001E35BA"/>
    <w:rsid w:val="001E4650"/>
    <w:rsid w:val="001E49D3"/>
    <w:rsid w:val="001E4CCB"/>
    <w:rsid w:val="001E51A6"/>
    <w:rsid w:val="001E52CB"/>
    <w:rsid w:val="001E6D05"/>
    <w:rsid w:val="001E73E8"/>
    <w:rsid w:val="001E785E"/>
    <w:rsid w:val="001E7C28"/>
    <w:rsid w:val="001F11A1"/>
    <w:rsid w:val="001F1AB5"/>
    <w:rsid w:val="001F1BDF"/>
    <w:rsid w:val="001F1D6D"/>
    <w:rsid w:val="001F35F8"/>
    <w:rsid w:val="001F380C"/>
    <w:rsid w:val="001F39FC"/>
    <w:rsid w:val="001F4966"/>
    <w:rsid w:val="001F4AC3"/>
    <w:rsid w:val="001F4CAC"/>
    <w:rsid w:val="001F52E0"/>
    <w:rsid w:val="001F590C"/>
    <w:rsid w:val="001F7110"/>
    <w:rsid w:val="001F75DB"/>
    <w:rsid w:val="001F773D"/>
    <w:rsid w:val="001F7E96"/>
    <w:rsid w:val="002005F5"/>
    <w:rsid w:val="00202284"/>
    <w:rsid w:val="00202C65"/>
    <w:rsid w:val="0020528D"/>
    <w:rsid w:val="0020543B"/>
    <w:rsid w:val="00205A66"/>
    <w:rsid w:val="002063CF"/>
    <w:rsid w:val="00206613"/>
    <w:rsid w:val="0020756B"/>
    <w:rsid w:val="00207E75"/>
    <w:rsid w:val="00210D86"/>
    <w:rsid w:val="0021158F"/>
    <w:rsid w:val="00212488"/>
    <w:rsid w:val="002129A6"/>
    <w:rsid w:val="002136CC"/>
    <w:rsid w:val="002151DB"/>
    <w:rsid w:val="0021591A"/>
    <w:rsid w:val="00215C56"/>
    <w:rsid w:val="00217E9D"/>
    <w:rsid w:val="00220628"/>
    <w:rsid w:val="00221A45"/>
    <w:rsid w:val="00221BA0"/>
    <w:rsid w:val="00224B7D"/>
    <w:rsid w:val="0022578F"/>
    <w:rsid w:val="002260C7"/>
    <w:rsid w:val="002304D2"/>
    <w:rsid w:val="00230CA9"/>
    <w:rsid w:val="00231D69"/>
    <w:rsid w:val="002333DA"/>
    <w:rsid w:val="002338C1"/>
    <w:rsid w:val="00233D04"/>
    <w:rsid w:val="00234ABD"/>
    <w:rsid w:val="0023525F"/>
    <w:rsid w:val="00236491"/>
    <w:rsid w:val="00236969"/>
    <w:rsid w:val="00236C3B"/>
    <w:rsid w:val="00236E2A"/>
    <w:rsid w:val="00237F62"/>
    <w:rsid w:val="00240316"/>
    <w:rsid w:val="00241E10"/>
    <w:rsid w:val="00242367"/>
    <w:rsid w:val="0024458B"/>
    <w:rsid w:val="0024586A"/>
    <w:rsid w:val="0024601F"/>
    <w:rsid w:val="002502E1"/>
    <w:rsid w:val="00250F80"/>
    <w:rsid w:val="0025124F"/>
    <w:rsid w:val="002518A2"/>
    <w:rsid w:val="00252807"/>
    <w:rsid w:val="002528B3"/>
    <w:rsid w:val="002533CC"/>
    <w:rsid w:val="0025551F"/>
    <w:rsid w:val="00255F8C"/>
    <w:rsid w:val="00256174"/>
    <w:rsid w:val="00256F0C"/>
    <w:rsid w:val="00257231"/>
    <w:rsid w:val="00260318"/>
    <w:rsid w:val="002617D6"/>
    <w:rsid w:val="00261C23"/>
    <w:rsid w:val="00262C05"/>
    <w:rsid w:val="00263868"/>
    <w:rsid w:val="00264E86"/>
    <w:rsid w:val="00266359"/>
    <w:rsid w:val="002715AF"/>
    <w:rsid w:val="002717F0"/>
    <w:rsid w:val="0027301C"/>
    <w:rsid w:val="00273099"/>
    <w:rsid w:val="00276C44"/>
    <w:rsid w:val="00277220"/>
    <w:rsid w:val="00281089"/>
    <w:rsid w:val="00281D14"/>
    <w:rsid w:val="00282953"/>
    <w:rsid w:val="00282C13"/>
    <w:rsid w:val="00283086"/>
    <w:rsid w:val="002833D8"/>
    <w:rsid w:val="00285669"/>
    <w:rsid w:val="00286BF6"/>
    <w:rsid w:val="00287DEE"/>
    <w:rsid w:val="002903B7"/>
    <w:rsid w:val="00291187"/>
    <w:rsid w:val="00293D0F"/>
    <w:rsid w:val="00294B60"/>
    <w:rsid w:val="00294EB3"/>
    <w:rsid w:val="00295E54"/>
    <w:rsid w:val="002962D7"/>
    <w:rsid w:val="00296C33"/>
    <w:rsid w:val="002A0167"/>
    <w:rsid w:val="002A0D7B"/>
    <w:rsid w:val="002A0DF7"/>
    <w:rsid w:val="002A268C"/>
    <w:rsid w:val="002A2975"/>
    <w:rsid w:val="002A460D"/>
    <w:rsid w:val="002A4CEA"/>
    <w:rsid w:val="002A505B"/>
    <w:rsid w:val="002A5EE9"/>
    <w:rsid w:val="002A60E0"/>
    <w:rsid w:val="002B03A5"/>
    <w:rsid w:val="002B0BB4"/>
    <w:rsid w:val="002B1AA8"/>
    <w:rsid w:val="002B1E51"/>
    <w:rsid w:val="002B1E87"/>
    <w:rsid w:val="002B233F"/>
    <w:rsid w:val="002B2345"/>
    <w:rsid w:val="002B3555"/>
    <w:rsid w:val="002B45C2"/>
    <w:rsid w:val="002B687A"/>
    <w:rsid w:val="002C1344"/>
    <w:rsid w:val="002C252E"/>
    <w:rsid w:val="002C3A2A"/>
    <w:rsid w:val="002C458A"/>
    <w:rsid w:val="002C45E8"/>
    <w:rsid w:val="002C5BA6"/>
    <w:rsid w:val="002C6552"/>
    <w:rsid w:val="002C6773"/>
    <w:rsid w:val="002C6F51"/>
    <w:rsid w:val="002C73EC"/>
    <w:rsid w:val="002C79C4"/>
    <w:rsid w:val="002D0FE0"/>
    <w:rsid w:val="002D269A"/>
    <w:rsid w:val="002D2A3D"/>
    <w:rsid w:val="002D3E72"/>
    <w:rsid w:val="002D3EAC"/>
    <w:rsid w:val="002D46A9"/>
    <w:rsid w:val="002D5D1D"/>
    <w:rsid w:val="002D6EFD"/>
    <w:rsid w:val="002D71E6"/>
    <w:rsid w:val="002D74CF"/>
    <w:rsid w:val="002E0A45"/>
    <w:rsid w:val="002E0B17"/>
    <w:rsid w:val="002E1A8B"/>
    <w:rsid w:val="002E26B4"/>
    <w:rsid w:val="002E3FF5"/>
    <w:rsid w:val="002E4B4E"/>
    <w:rsid w:val="002E4FFB"/>
    <w:rsid w:val="002E512B"/>
    <w:rsid w:val="002E6110"/>
    <w:rsid w:val="002E63A7"/>
    <w:rsid w:val="002E650E"/>
    <w:rsid w:val="002E670C"/>
    <w:rsid w:val="002E6D7B"/>
    <w:rsid w:val="002E6E2F"/>
    <w:rsid w:val="002E7DED"/>
    <w:rsid w:val="002F0334"/>
    <w:rsid w:val="002F2A7B"/>
    <w:rsid w:val="002F4AB2"/>
    <w:rsid w:val="002F51C6"/>
    <w:rsid w:val="002F5431"/>
    <w:rsid w:val="002F5944"/>
    <w:rsid w:val="002F6850"/>
    <w:rsid w:val="002F7BC2"/>
    <w:rsid w:val="002F7E11"/>
    <w:rsid w:val="0030037C"/>
    <w:rsid w:val="00301C72"/>
    <w:rsid w:val="003036D9"/>
    <w:rsid w:val="00304087"/>
    <w:rsid w:val="003053DC"/>
    <w:rsid w:val="003054B0"/>
    <w:rsid w:val="003057B1"/>
    <w:rsid w:val="003062AD"/>
    <w:rsid w:val="00310ACD"/>
    <w:rsid w:val="00312C23"/>
    <w:rsid w:val="00312ED8"/>
    <w:rsid w:val="0031379F"/>
    <w:rsid w:val="00313A9C"/>
    <w:rsid w:val="00314A97"/>
    <w:rsid w:val="00314B5C"/>
    <w:rsid w:val="0031510F"/>
    <w:rsid w:val="0031621E"/>
    <w:rsid w:val="00316A16"/>
    <w:rsid w:val="00320228"/>
    <w:rsid w:val="00320289"/>
    <w:rsid w:val="00320A26"/>
    <w:rsid w:val="003212F3"/>
    <w:rsid w:val="00321344"/>
    <w:rsid w:val="00321788"/>
    <w:rsid w:val="00325064"/>
    <w:rsid w:val="00325630"/>
    <w:rsid w:val="00325EC9"/>
    <w:rsid w:val="00326910"/>
    <w:rsid w:val="00326D29"/>
    <w:rsid w:val="003279C6"/>
    <w:rsid w:val="0032B295"/>
    <w:rsid w:val="00331A3E"/>
    <w:rsid w:val="0033451C"/>
    <w:rsid w:val="00335660"/>
    <w:rsid w:val="00335FBD"/>
    <w:rsid w:val="00336854"/>
    <w:rsid w:val="00337668"/>
    <w:rsid w:val="0033769B"/>
    <w:rsid w:val="0034015C"/>
    <w:rsid w:val="00341409"/>
    <w:rsid w:val="00341CAE"/>
    <w:rsid w:val="003442F4"/>
    <w:rsid w:val="00344546"/>
    <w:rsid w:val="00344AA3"/>
    <w:rsid w:val="0034508E"/>
    <w:rsid w:val="003455CF"/>
    <w:rsid w:val="00345FA1"/>
    <w:rsid w:val="0034716E"/>
    <w:rsid w:val="00350439"/>
    <w:rsid w:val="00350B86"/>
    <w:rsid w:val="00350CB4"/>
    <w:rsid w:val="00351EA9"/>
    <w:rsid w:val="00353705"/>
    <w:rsid w:val="00354C69"/>
    <w:rsid w:val="00355536"/>
    <w:rsid w:val="003562E8"/>
    <w:rsid w:val="003614D7"/>
    <w:rsid w:val="00361FB0"/>
    <w:rsid w:val="0036357D"/>
    <w:rsid w:val="003649BC"/>
    <w:rsid w:val="00364F7E"/>
    <w:rsid w:val="0036577C"/>
    <w:rsid w:val="00365E44"/>
    <w:rsid w:val="003662B1"/>
    <w:rsid w:val="003667AD"/>
    <w:rsid w:val="00367AA1"/>
    <w:rsid w:val="00370A5B"/>
    <w:rsid w:val="00371AE6"/>
    <w:rsid w:val="00372497"/>
    <w:rsid w:val="00372E36"/>
    <w:rsid w:val="00373D53"/>
    <w:rsid w:val="00375653"/>
    <w:rsid w:val="00375DFA"/>
    <w:rsid w:val="00375F7D"/>
    <w:rsid w:val="003767D3"/>
    <w:rsid w:val="00376EE9"/>
    <w:rsid w:val="00376FFC"/>
    <w:rsid w:val="00377C3F"/>
    <w:rsid w:val="00377CBB"/>
    <w:rsid w:val="00383839"/>
    <w:rsid w:val="00384F62"/>
    <w:rsid w:val="00385185"/>
    <w:rsid w:val="003851C4"/>
    <w:rsid w:val="00385438"/>
    <w:rsid w:val="003858E5"/>
    <w:rsid w:val="00387494"/>
    <w:rsid w:val="003877B6"/>
    <w:rsid w:val="003910BB"/>
    <w:rsid w:val="00391539"/>
    <w:rsid w:val="003921B7"/>
    <w:rsid w:val="00393887"/>
    <w:rsid w:val="00393F1B"/>
    <w:rsid w:val="00394C6B"/>
    <w:rsid w:val="00395318"/>
    <w:rsid w:val="0039610B"/>
    <w:rsid w:val="00396BE1"/>
    <w:rsid w:val="003971E6"/>
    <w:rsid w:val="00397C2B"/>
    <w:rsid w:val="00397C90"/>
    <w:rsid w:val="003A0961"/>
    <w:rsid w:val="003A290F"/>
    <w:rsid w:val="003A33EF"/>
    <w:rsid w:val="003A392C"/>
    <w:rsid w:val="003A4AAA"/>
    <w:rsid w:val="003A4B10"/>
    <w:rsid w:val="003A4E2E"/>
    <w:rsid w:val="003A4E62"/>
    <w:rsid w:val="003A56EB"/>
    <w:rsid w:val="003A5A6A"/>
    <w:rsid w:val="003A625E"/>
    <w:rsid w:val="003A6F7B"/>
    <w:rsid w:val="003A775E"/>
    <w:rsid w:val="003A7AB2"/>
    <w:rsid w:val="003B02F2"/>
    <w:rsid w:val="003B0BD0"/>
    <w:rsid w:val="003B0CDD"/>
    <w:rsid w:val="003B1069"/>
    <w:rsid w:val="003B13E8"/>
    <w:rsid w:val="003B2BB0"/>
    <w:rsid w:val="003B2CC9"/>
    <w:rsid w:val="003B38CC"/>
    <w:rsid w:val="003B390A"/>
    <w:rsid w:val="003B3D53"/>
    <w:rsid w:val="003B4E3A"/>
    <w:rsid w:val="003B6373"/>
    <w:rsid w:val="003B6738"/>
    <w:rsid w:val="003B6DC6"/>
    <w:rsid w:val="003B79E1"/>
    <w:rsid w:val="003C0E8C"/>
    <w:rsid w:val="003C15DE"/>
    <w:rsid w:val="003C1C03"/>
    <w:rsid w:val="003C2096"/>
    <w:rsid w:val="003C2889"/>
    <w:rsid w:val="003C34C9"/>
    <w:rsid w:val="003C4EB2"/>
    <w:rsid w:val="003C5E05"/>
    <w:rsid w:val="003C63D0"/>
    <w:rsid w:val="003C7093"/>
    <w:rsid w:val="003C7959"/>
    <w:rsid w:val="003D07B5"/>
    <w:rsid w:val="003D0FD1"/>
    <w:rsid w:val="003D21D0"/>
    <w:rsid w:val="003D2E79"/>
    <w:rsid w:val="003D3968"/>
    <w:rsid w:val="003D42AF"/>
    <w:rsid w:val="003D4AD2"/>
    <w:rsid w:val="003D5E11"/>
    <w:rsid w:val="003D73C0"/>
    <w:rsid w:val="003E031D"/>
    <w:rsid w:val="003E6849"/>
    <w:rsid w:val="003E7305"/>
    <w:rsid w:val="003F08FD"/>
    <w:rsid w:val="003F0C1C"/>
    <w:rsid w:val="003F1AF3"/>
    <w:rsid w:val="003F25E4"/>
    <w:rsid w:val="003F4743"/>
    <w:rsid w:val="003F4804"/>
    <w:rsid w:val="003F4AAA"/>
    <w:rsid w:val="003F4D8D"/>
    <w:rsid w:val="003F5BA8"/>
    <w:rsid w:val="003F64A2"/>
    <w:rsid w:val="003F66A4"/>
    <w:rsid w:val="00401267"/>
    <w:rsid w:val="00401508"/>
    <w:rsid w:val="00401688"/>
    <w:rsid w:val="004024D9"/>
    <w:rsid w:val="0040257E"/>
    <w:rsid w:val="004025C3"/>
    <w:rsid w:val="0040386D"/>
    <w:rsid w:val="00403A2C"/>
    <w:rsid w:val="00404188"/>
    <w:rsid w:val="00406435"/>
    <w:rsid w:val="004066F9"/>
    <w:rsid w:val="00406CBE"/>
    <w:rsid w:val="004073DC"/>
    <w:rsid w:val="004128C1"/>
    <w:rsid w:val="004137C0"/>
    <w:rsid w:val="004138F3"/>
    <w:rsid w:val="00421217"/>
    <w:rsid w:val="00421F20"/>
    <w:rsid w:val="00423B63"/>
    <w:rsid w:val="00423FDF"/>
    <w:rsid w:val="004250AA"/>
    <w:rsid w:val="00427BEA"/>
    <w:rsid w:val="00427EDC"/>
    <w:rsid w:val="00430120"/>
    <w:rsid w:val="004313E7"/>
    <w:rsid w:val="00431B17"/>
    <w:rsid w:val="00431BBC"/>
    <w:rsid w:val="00432542"/>
    <w:rsid w:val="004338FA"/>
    <w:rsid w:val="004339B2"/>
    <w:rsid w:val="00436CCB"/>
    <w:rsid w:val="004379C2"/>
    <w:rsid w:val="00440223"/>
    <w:rsid w:val="00442C16"/>
    <w:rsid w:val="00444A70"/>
    <w:rsid w:val="004456C0"/>
    <w:rsid w:val="0044763B"/>
    <w:rsid w:val="004514E8"/>
    <w:rsid w:val="00451681"/>
    <w:rsid w:val="00451E88"/>
    <w:rsid w:val="00452696"/>
    <w:rsid w:val="00453F32"/>
    <w:rsid w:val="004542DA"/>
    <w:rsid w:val="00454665"/>
    <w:rsid w:val="004565AD"/>
    <w:rsid w:val="00456A53"/>
    <w:rsid w:val="00457B39"/>
    <w:rsid w:val="00460CD2"/>
    <w:rsid w:val="0046100E"/>
    <w:rsid w:val="0046213C"/>
    <w:rsid w:val="00462518"/>
    <w:rsid w:val="0046266D"/>
    <w:rsid w:val="004629B3"/>
    <w:rsid w:val="00463022"/>
    <w:rsid w:val="0046376E"/>
    <w:rsid w:val="00463B50"/>
    <w:rsid w:val="00464155"/>
    <w:rsid w:val="0046587C"/>
    <w:rsid w:val="0046690F"/>
    <w:rsid w:val="0046792B"/>
    <w:rsid w:val="00471116"/>
    <w:rsid w:val="00472FEC"/>
    <w:rsid w:val="0047503A"/>
    <w:rsid w:val="00476830"/>
    <w:rsid w:val="0047696E"/>
    <w:rsid w:val="004770F6"/>
    <w:rsid w:val="004812D2"/>
    <w:rsid w:val="00481477"/>
    <w:rsid w:val="00481710"/>
    <w:rsid w:val="00483B28"/>
    <w:rsid w:val="004851ED"/>
    <w:rsid w:val="004858E1"/>
    <w:rsid w:val="00485EF2"/>
    <w:rsid w:val="004864A1"/>
    <w:rsid w:val="00486B77"/>
    <w:rsid w:val="0048769E"/>
    <w:rsid w:val="00490787"/>
    <w:rsid w:val="00490A03"/>
    <w:rsid w:val="00490B0D"/>
    <w:rsid w:val="00490E5D"/>
    <w:rsid w:val="00492B0A"/>
    <w:rsid w:val="00492D88"/>
    <w:rsid w:val="00493327"/>
    <w:rsid w:val="0049382E"/>
    <w:rsid w:val="00493B38"/>
    <w:rsid w:val="00494DBE"/>
    <w:rsid w:val="004958DA"/>
    <w:rsid w:val="00495CE6"/>
    <w:rsid w:val="00497524"/>
    <w:rsid w:val="00497D5E"/>
    <w:rsid w:val="004A144D"/>
    <w:rsid w:val="004A1D27"/>
    <w:rsid w:val="004A2A8B"/>
    <w:rsid w:val="004A2C3C"/>
    <w:rsid w:val="004A323C"/>
    <w:rsid w:val="004A476A"/>
    <w:rsid w:val="004B0801"/>
    <w:rsid w:val="004B1117"/>
    <w:rsid w:val="004B1A6B"/>
    <w:rsid w:val="004B1FC8"/>
    <w:rsid w:val="004B339A"/>
    <w:rsid w:val="004B511F"/>
    <w:rsid w:val="004B522C"/>
    <w:rsid w:val="004B54E8"/>
    <w:rsid w:val="004B737E"/>
    <w:rsid w:val="004B773C"/>
    <w:rsid w:val="004C0138"/>
    <w:rsid w:val="004C0599"/>
    <w:rsid w:val="004C0686"/>
    <w:rsid w:val="004C08BC"/>
    <w:rsid w:val="004C12E8"/>
    <w:rsid w:val="004C130C"/>
    <w:rsid w:val="004C1578"/>
    <w:rsid w:val="004C174B"/>
    <w:rsid w:val="004C286B"/>
    <w:rsid w:val="004C33BA"/>
    <w:rsid w:val="004C47EA"/>
    <w:rsid w:val="004C4FEB"/>
    <w:rsid w:val="004C559A"/>
    <w:rsid w:val="004C6570"/>
    <w:rsid w:val="004C678C"/>
    <w:rsid w:val="004C6B79"/>
    <w:rsid w:val="004C7345"/>
    <w:rsid w:val="004D059B"/>
    <w:rsid w:val="004D09E8"/>
    <w:rsid w:val="004D09F9"/>
    <w:rsid w:val="004D0E64"/>
    <w:rsid w:val="004D2963"/>
    <w:rsid w:val="004D304E"/>
    <w:rsid w:val="004D3F0F"/>
    <w:rsid w:val="004D4543"/>
    <w:rsid w:val="004D48A8"/>
    <w:rsid w:val="004D4CB6"/>
    <w:rsid w:val="004D4DCB"/>
    <w:rsid w:val="004E0907"/>
    <w:rsid w:val="004E20CF"/>
    <w:rsid w:val="004E2324"/>
    <w:rsid w:val="004E28C9"/>
    <w:rsid w:val="004E3341"/>
    <w:rsid w:val="004E5124"/>
    <w:rsid w:val="004E531A"/>
    <w:rsid w:val="004E7BE2"/>
    <w:rsid w:val="004E7E3A"/>
    <w:rsid w:val="004F10C1"/>
    <w:rsid w:val="004F1C5E"/>
    <w:rsid w:val="004F2D27"/>
    <w:rsid w:val="004F3E47"/>
    <w:rsid w:val="004F4CC8"/>
    <w:rsid w:val="004F4F5A"/>
    <w:rsid w:val="004F51FF"/>
    <w:rsid w:val="004F56E7"/>
    <w:rsid w:val="004F5AD9"/>
    <w:rsid w:val="004F699F"/>
    <w:rsid w:val="0050008F"/>
    <w:rsid w:val="00500955"/>
    <w:rsid w:val="0050159C"/>
    <w:rsid w:val="005018C2"/>
    <w:rsid w:val="005022B7"/>
    <w:rsid w:val="00502E62"/>
    <w:rsid w:val="00503719"/>
    <w:rsid w:val="00504DA3"/>
    <w:rsid w:val="00506B8A"/>
    <w:rsid w:val="005110D3"/>
    <w:rsid w:val="00515B6A"/>
    <w:rsid w:val="00520A65"/>
    <w:rsid w:val="00521280"/>
    <w:rsid w:val="00521891"/>
    <w:rsid w:val="005218B8"/>
    <w:rsid w:val="0052212B"/>
    <w:rsid w:val="005221A8"/>
    <w:rsid w:val="005224A4"/>
    <w:rsid w:val="005230C7"/>
    <w:rsid w:val="0052625A"/>
    <w:rsid w:val="005266EA"/>
    <w:rsid w:val="00527072"/>
    <w:rsid w:val="0053001D"/>
    <w:rsid w:val="00534B46"/>
    <w:rsid w:val="00534CE8"/>
    <w:rsid w:val="00535018"/>
    <w:rsid w:val="00535180"/>
    <w:rsid w:val="0053558B"/>
    <w:rsid w:val="005355DB"/>
    <w:rsid w:val="00535866"/>
    <w:rsid w:val="00540358"/>
    <w:rsid w:val="00540A05"/>
    <w:rsid w:val="00540A72"/>
    <w:rsid w:val="00540D47"/>
    <w:rsid w:val="005428D7"/>
    <w:rsid w:val="00542D43"/>
    <w:rsid w:val="00544504"/>
    <w:rsid w:val="00544768"/>
    <w:rsid w:val="005463C3"/>
    <w:rsid w:val="005465A3"/>
    <w:rsid w:val="00547C7C"/>
    <w:rsid w:val="00550391"/>
    <w:rsid w:val="005506D5"/>
    <w:rsid w:val="00550864"/>
    <w:rsid w:val="00550B92"/>
    <w:rsid w:val="00551D6C"/>
    <w:rsid w:val="00552BFD"/>
    <w:rsid w:val="00553580"/>
    <w:rsid w:val="00553B15"/>
    <w:rsid w:val="005550A8"/>
    <w:rsid w:val="00555138"/>
    <w:rsid w:val="0055571E"/>
    <w:rsid w:val="0055690A"/>
    <w:rsid w:val="00556F67"/>
    <w:rsid w:val="00557849"/>
    <w:rsid w:val="00560D23"/>
    <w:rsid w:val="00563009"/>
    <w:rsid w:val="005635B7"/>
    <w:rsid w:val="0056399C"/>
    <w:rsid w:val="005652E8"/>
    <w:rsid w:val="0056637D"/>
    <w:rsid w:val="0056772E"/>
    <w:rsid w:val="005678EE"/>
    <w:rsid w:val="00567A17"/>
    <w:rsid w:val="00567DB8"/>
    <w:rsid w:val="005709F4"/>
    <w:rsid w:val="005750FB"/>
    <w:rsid w:val="0057667C"/>
    <w:rsid w:val="00576BDA"/>
    <w:rsid w:val="00577DB4"/>
    <w:rsid w:val="00580D2D"/>
    <w:rsid w:val="00581B1C"/>
    <w:rsid w:val="005826DA"/>
    <w:rsid w:val="005826FB"/>
    <w:rsid w:val="00582943"/>
    <w:rsid w:val="00582D0E"/>
    <w:rsid w:val="00582E09"/>
    <w:rsid w:val="005833F0"/>
    <w:rsid w:val="00586280"/>
    <w:rsid w:val="005865FC"/>
    <w:rsid w:val="005869CE"/>
    <w:rsid w:val="00586CAF"/>
    <w:rsid w:val="005873E9"/>
    <w:rsid w:val="00587A90"/>
    <w:rsid w:val="00587F6C"/>
    <w:rsid w:val="00591180"/>
    <w:rsid w:val="00592CEB"/>
    <w:rsid w:val="00592E9F"/>
    <w:rsid w:val="005948A6"/>
    <w:rsid w:val="00595286"/>
    <w:rsid w:val="00596AD0"/>
    <w:rsid w:val="0059722C"/>
    <w:rsid w:val="005977A6"/>
    <w:rsid w:val="00597D07"/>
    <w:rsid w:val="00597DD6"/>
    <w:rsid w:val="005A16E6"/>
    <w:rsid w:val="005A30D7"/>
    <w:rsid w:val="005A3846"/>
    <w:rsid w:val="005A5E6B"/>
    <w:rsid w:val="005A678F"/>
    <w:rsid w:val="005A7DE8"/>
    <w:rsid w:val="005A7E97"/>
    <w:rsid w:val="005B0DFE"/>
    <w:rsid w:val="005B2CD2"/>
    <w:rsid w:val="005B632A"/>
    <w:rsid w:val="005B6A58"/>
    <w:rsid w:val="005B7690"/>
    <w:rsid w:val="005C2D0E"/>
    <w:rsid w:val="005C369D"/>
    <w:rsid w:val="005C5A83"/>
    <w:rsid w:val="005C6F40"/>
    <w:rsid w:val="005C7112"/>
    <w:rsid w:val="005D0561"/>
    <w:rsid w:val="005D0AD9"/>
    <w:rsid w:val="005D1A67"/>
    <w:rsid w:val="005D22F6"/>
    <w:rsid w:val="005D2C3B"/>
    <w:rsid w:val="005D629E"/>
    <w:rsid w:val="005D6774"/>
    <w:rsid w:val="005D68AA"/>
    <w:rsid w:val="005D6BD1"/>
    <w:rsid w:val="005E060E"/>
    <w:rsid w:val="005E0C30"/>
    <w:rsid w:val="005E1302"/>
    <w:rsid w:val="005E1657"/>
    <w:rsid w:val="005E1BBB"/>
    <w:rsid w:val="005E1DCB"/>
    <w:rsid w:val="005E2377"/>
    <w:rsid w:val="005E2EE4"/>
    <w:rsid w:val="005E326D"/>
    <w:rsid w:val="005E33E0"/>
    <w:rsid w:val="005E3FBB"/>
    <w:rsid w:val="005E66B4"/>
    <w:rsid w:val="005E69D9"/>
    <w:rsid w:val="005E6CB1"/>
    <w:rsid w:val="005E7116"/>
    <w:rsid w:val="005E7971"/>
    <w:rsid w:val="005F17D1"/>
    <w:rsid w:val="005F27F4"/>
    <w:rsid w:val="005F3239"/>
    <w:rsid w:val="005F39BF"/>
    <w:rsid w:val="005F566C"/>
    <w:rsid w:val="005F6567"/>
    <w:rsid w:val="005F676D"/>
    <w:rsid w:val="005F7A8A"/>
    <w:rsid w:val="00600998"/>
    <w:rsid w:val="00600ACF"/>
    <w:rsid w:val="006019EB"/>
    <w:rsid w:val="006027CA"/>
    <w:rsid w:val="00602BDC"/>
    <w:rsid w:val="00604527"/>
    <w:rsid w:val="006051BA"/>
    <w:rsid w:val="00605DFE"/>
    <w:rsid w:val="006060E3"/>
    <w:rsid w:val="00606102"/>
    <w:rsid w:val="00606A00"/>
    <w:rsid w:val="00607094"/>
    <w:rsid w:val="00607256"/>
    <w:rsid w:val="0060790C"/>
    <w:rsid w:val="0060791E"/>
    <w:rsid w:val="00610215"/>
    <w:rsid w:val="00611F08"/>
    <w:rsid w:val="00613104"/>
    <w:rsid w:val="00613BF1"/>
    <w:rsid w:val="00614331"/>
    <w:rsid w:val="006144B1"/>
    <w:rsid w:val="00615A5C"/>
    <w:rsid w:val="006177FF"/>
    <w:rsid w:val="00617FC0"/>
    <w:rsid w:val="0062077F"/>
    <w:rsid w:val="00621BC7"/>
    <w:rsid w:val="00622033"/>
    <w:rsid w:val="0062232C"/>
    <w:rsid w:val="006275E5"/>
    <w:rsid w:val="00630644"/>
    <w:rsid w:val="006335F1"/>
    <w:rsid w:val="006336FD"/>
    <w:rsid w:val="00633B49"/>
    <w:rsid w:val="006345B6"/>
    <w:rsid w:val="006349FD"/>
    <w:rsid w:val="00635616"/>
    <w:rsid w:val="00635712"/>
    <w:rsid w:val="00635984"/>
    <w:rsid w:val="00635F41"/>
    <w:rsid w:val="006368FF"/>
    <w:rsid w:val="006377D4"/>
    <w:rsid w:val="006400E8"/>
    <w:rsid w:val="00640135"/>
    <w:rsid w:val="006402FF"/>
    <w:rsid w:val="0064107F"/>
    <w:rsid w:val="00643D8A"/>
    <w:rsid w:val="00645A5C"/>
    <w:rsid w:val="00647AB9"/>
    <w:rsid w:val="00650894"/>
    <w:rsid w:val="0065112B"/>
    <w:rsid w:val="00652091"/>
    <w:rsid w:val="00652229"/>
    <w:rsid w:val="00652793"/>
    <w:rsid w:val="006528DE"/>
    <w:rsid w:val="00657789"/>
    <w:rsid w:val="00660320"/>
    <w:rsid w:val="0066187E"/>
    <w:rsid w:val="00662375"/>
    <w:rsid w:val="006626CA"/>
    <w:rsid w:val="00663487"/>
    <w:rsid w:val="00665769"/>
    <w:rsid w:val="006662DE"/>
    <w:rsid w:val="00672382"/>
    <w:rsid w:val="00672743"/>
    <w:rsid w:val="006733BB"/>
    <w:rsid w:val="00676E80"/>
    <w:rsid w:val="006802BC"/>
    <w:rsid w:val="00681257"/>
    <w:rsid w:val="00681C3E"/>
    <w:rsid w:val="006822E9"/>
    <w:rsid w:val="006823EE"/>
    <w:rsid w:val="00682643"/>
    <w:rsid w:val="00682EB9"/>
    <w:rsid w:val="00682F1E"/>
    <w:rsid w:val="006832C1"/>
    <w:rsid w:val="0068378C"/>
    <w:rsid w:val="006839D3"/>
    <w:rsid w:val="0068441A"/>
    <w:rsid w:val="00684CF3"/>
    <w:rsid w:val="0068699A"/>
    <w:rsid w:val="00686ACC"/>
    <w:rsid w:val="00687028"/>
    <w:rsid w:val="00690B19"/>
    <w:rsid w:val="0069650C"/>
    <w:rsid w:val="0069681A"/>
    <w:rsid w:val="006A0A3C"/>
    <w:rsid w:val="006A1ED8"/>
    <w:rsid w:val="006A59E9"/>
    <w:rsid w:val="006A5AB1"/>
    <w:rsid w:val="006A75B8"/>
    <w:rsid w:val="006A79F0"/>
    <w:rsid w:val="006B048F"/>
    <w:rsid w:val="006B0AE4"/>
    <w:rsid w:val="006B359D"/>
    <w:rsid w:val="006B47EE"/>
    <w:rsid w:val="006B499F"/>
    <w:rsid w:val="006B54C6"/>
    <w:rsid w:val="006B617F"/>
    <w:rsid w:val="006C1FB8"/>
    <w:rsid w:val="006C1FE4"/>
    <w:rsid w:val="006C2BB0"/>
    <w:rsid w:val="006C33BE"/>
    <w:rsid w:val="006C4B3D"/>
    <w:rsid w:val="006C5B53"/>
    <w:rsid w:val="006C72CA"/>
    <w:rsid w:val="006C7E78"/>
    <w:rsid w:val="006D064D"/>
    <w:rsid w:val="006D098F"/>
    <w:rsid w:val="006D20E3"/>
    <w:rsid w:val="006D2218"/>
    <w:rsid w:val="006D33E1"/>
    <w:rsid w:val="006D4996"/>
    <w:rsid w:val="006D4EE6"/>
    <w:rsid w:val="006D535B"/>
    <w:rsid w:val="006D54AB"/>
    <w:rsid w:val="006D58E5"/>
    <w:rsid w:val="006E095F"/>
    <w:rsid w:val="006E1084"/>
    <w:rsid w:val="006E10B2"/>
    <w:rsid w:val="006E1FA9"/>
    <w:rsid w:val="006E2D24"/>
    <w:rsid w:val="006E3006"/>
    <w:rsid w:val="006E3BB0"/>
    <w:rsid w:val="006E4F02"/>
    <w:rsid w:val="006E5032"/>
    <w:rsid w:val="006E5BDA"/>
    <w:rsid w:val="006E6D74"/>
    <w:rsid w:val="006E7AC9"/>
    <w:rsid w:val="006F0FC7"/>
    <w:rsid w:val="006F1A3A"/>
    <w:rsid w:val="006F39A9"/>
    <w:rsid w:val="006F3D9D"/>
    <w:rsid w:val="006F4E51"/>
    <w:rsid w:val="006F524E"/>
    <w:rsid w:val="006F5D57"/>
    <w:rsid w:val="006F643F"/>
    <w:rsid w:val="006F670F"/>
    <w:rsid w:val="006F77F3"/>
    <w:rsid w:val="0070063C"/>
    <w:rsid w:val="00700939"/>
    <w:rsid w:val="00700D69"/>
    <w:rsid w:val="00702921"/>
    <w:rsid w:val="0070298D"/>
    <w:rsid w:val="00703272"/>
    <w:rsid w:val="0070362C"/>
    <w:rsid w:val="0070471B"/>
    <w:rsid w:val="00704A68"/>
    <w:rsid w:val="00705BBE"/>
    <w:rsid w:val="00706893"/>
    <w:rsid w:val="00706A8D"/>
    <w:rsid w:val="0070733C"/>
    <w:rsid w:val="007101A5"/>
    <w:rsid w:val="007102D5"/>
    <w:rsid w:val="0071043A"/>
    <w:rsid w:val="00710C5D"/>
    <w:rsid w:val="0071348C"/>
    <w:rsid w:val="00715598"/>
    <w:rsid w:val="00717273"/>
    <w:rsid w:val="00720FD4"/>
    <w:rsid w:val="00721072"/>
    <w:rsid w:val="007222EB"/>
    <w:rsid w:val="007230AD"/>
    <w:rsid w:val="0072314B"/>
    <w:rsid w:val="007235C0"/>
    <w:rsid w:val="00723C6D"/>
    <w:rsid w:val="00724550"/>
    <w:rsid w:val="007246A0"/>
    <w:rsid w:val="00724737"/>
    <w:rsid w:val="00724AF2"/>
    <w:rsid w:val="00727D2B"/>
    <w:rsid w:val="007304A4"/>
    <w:rsid w:val="00730624"/>
    <w:rsid w:val="0073096C"/>
    <w:rsid w:val="0073100D"/>
    <w:rsid w:val="00731368"/>
    <w:rsid w:val="00733429"/>
    <w:rsid w:val="00733A46"/>
    <w:rsid w:val="00735E2D"/>
    <w:rsid w:val="00736624"/>
    <w:rsid w:val="00736DDC"/>
    <w:rsid w:val="00736F2C"/>
    <w:rsid w:val="007419C8"/>
    <w:rsid w:val="00741D9F"/>
    <w:rsid w:val="00742398"/>
    <w:rsid w:val="007432A9"/>
    <w:rsid w:val="0074457C"/>
    <w:rsid w:val="0074552F"/>
    <w:rsid w:val="0074567F"/>
    <w:rsid w:val="00745C0B"/>
    <w:rsid w:val="00746050"/>
    <w:rsid w:val="00746118"/>
    <w:rsid w:val="00746C7F"/>
    <w:rsid w:val="007507B5"/>
    <w:rsid w:val="0075091D"/>
    <w:rsid w:val="00750EC4"/>
    <w:rsid w:val="00751831"/>
    <w:rsid w:val="0075201B"/>
    <w:rsid w:val="007523F8"/>
    <w:rsid w:val="00753A24"/>
    <w:rsid w:val="0075430D"/>
    <w:rsid w:val="007558B1"/>
    <w:rsid w:val="00756424"/>
    <w:rsid w:val="0075779F"/>
    <w:rsid w:val="00760198"/>
    <w:rsid w:val="0076354B"/>
    <w:rsid w:val="007658F3"/>
    <w:rsid w:val="007661FA"/>
    <w:rsid w:val="007664AF"/>
    <w:rsid w:val="00766EA2"/>
    <w:rsid w:val="00767034"/>
    <w:rsid w:val="007712DB"/>
    <w:rsid w:val="00772188"/>
    <w:rsid w:val="0077222A"/>
    <w:rsid w:val="00772D30"/>
    <w:rsid w:val="00773909"/>
    <w:rsid w:val="0077411B"/>
    <w:rsid w:val="0077433B"/>
    <w:rsid w:val="00774E1E"/>
    <w:rsid w:val="007768C6"/>
    <w:rsid w:val="0078094C"/>
    <w:rsid w:val="0078118A"/>
    <w:rsid w:val="007813D0"/>
    <w:rsid w:val="00782DD7"/>
    <w:rsid w:val="007845AC"/>
    <w:rsid w:val="007845F0"/>
    <w:rsid w:val="00785993"/>
    <w:rsid w:val="00785A0D"/>
    <w:rsid w:val="00785FC4"/>
    <w:rsid w:val="007863BF"/>
    <w:rsid w:val="007866E2"/>
    <w:rsid w:val="00786BA3"/>
    <w:rsid w:val="00790993"/>
    <w:rsid w:val="0079202F"/>
    <w:rsid w:val="0079203E"/>
    <w:rsid w:val="007934C3"/>
    <w:rsid w:val="00794903"/>
    <w:rsid w:val="00795486"/>
    <w:rsid w:val="00795AF2"/>
    <w:rsid w:val="00795E4F"/>
    <w:rsid w:val="007A0287"/>
    <w:rsid w:val="007A09FC"/>
    <w:rsid w:val="007A15BB"/>
    <w:rsid w:val="007A2AAD"/>
    <w:rsid w:val="007A4432"/>
    <w:rsid w:val="007A59E9"/>
    <w:rsid w:val="007A784E"/>
    <w:rsid w:val="007A7E31"/>
    <w:rsid w:val="007B02A0"/>
    <w:rsid w:val="007B278C"/>
    <w:rsid w:val="007B2DAD"/>
    <w:rsid w:val="007B3774"/>
    <w:rsid w:val="007B453B"/>
    <w:rsid w:val="007B459E"/>
    <w:rsid w:val="007B4939"/>
    <w:rsid w:val="007B499C"/>
    <w:rsid w:val="007B4D4B"/>
    <w:rsid w:val="007B58C6"/>
    <w:rsid w:val="007B5EE2"/>
    <w:rsid w:val="007B5F6B"/>
    <w:rsid w:val="007B76D8"/>
    <w:rsid w:val="007C0646"/>
    <w:rsid w:val="007C1E5E"/>
    <w:rsid w:val="007C1E9D"/>
    <w:rsid w:val="007C36C2"/>
    <w:rsid w:val="007C3827"/>
    <w:rsid w:val="007C3AE3"/>
    <w:rsid w:val="007C459E"/>
    <w:rsid w:val="007C53C3"/>
    <w:rsid w:val="007C6C51"/>
    <w:rsid w:val="007D0000"/>
    <w:rsid w:val="007D1543"/>
    <w:rsid w:val="007D1926"/>
    <w:rsid w:val="007D2A02"/>
    <w:rsid w:val="007D4ACB"/>
    <w:rsid w:val="007D5587"/>
    <w:rsid w:val="007D5EA2"/>
    <w:rsid w:val="007D6144"/>
    <w:rsid w:val="007D62A4"/>
    <w:rsid w:val="007D6CE5"/>
    <w:rsid w:val="007D77BC"/>
    <w:rsid w:val="007E0503"/>
    <w:rsid w:val="007E0917"/>
    <w:rsid w:val="007E1736"/>
    <w:rsid w:val="007E25DD"/>
    <w:rsid w:val="007E2887"/>
    <w:rsid w:val="007E3318"/>
    <w:rsid w:val="007E3B2C"/>
    <w:rsid w:val="007E6EA1"/>
    <w:rsid w:val="007E7EFB"/>
    <w:rsid w:val="007F0F63"/>
    <w:rsid w:val="007F2B1E"/>
    <w:rsid w:val="007F4590"/>
    <w:rsid w:val="007F62B4"/>
    <w:rsid w:val="007F7DF9"/>
    <w:rsid w:val="00800FD6"/>
    <w:rsid w:val="00801517"/>
    <w:rsid w:val="00804053"/>
    <w:rsid w:val="00804966"/>
    <w:rsid w:val="0080510A"/>
    <w:rsid w:val="0080596A"/>
    <w:rsid w:val="00805CBF"/>
    <w:rsid w:val="008079E2"/>
    <w:rsid w:val="00810891"/>
    <w:rsid w:val="00810AC4"/>
    <w:rsid w:val="00811469"/>
    <w:rsid w:val="0081218E"/>
    <w:rsid w:val="0081228B"/>
    <w:rsid w:val="0081278B"/>
    <w:rsid w:val="00813492"/>
    <w:rsid w:val="00813A7E"/>
    <w:rsid w:val="00814DE2"/>
    <w:rsid w:val="00815423"/>
    <w:rsid w:val="008155E7"/>
    <w:rsid w:val="008177EE"/>
    <w:rsid w:val="00817895"/>
    <w:rsid w:val="00817AE8"/>
    <w:rsid w:val="00817DE8"/>
    <w:rsid w:val="008229F5"/>
    <w:rsid w:val="008259DE"/>
    <w:rsid w:val="0082699A"/>
    <w:rsid w:val="00827D15"/>
    <w:rsid w:val="00827E24"/>
    <w:rsid w:val="00827F2A"/>
    <w:rsid w:val="00832633"/>
    <w:rsid w:val="00832837"/>
    <w:rsid w:val="0083342C"/>
    <w:rsid w:val="00833869"/>
    <w:rsid w:val="00833CEB"/>
    <w:rsid w:val="008359B8"/>
    <w:rsid w:val="00835C04"/>
    <w:rsid w:val="0083662B"/>
    <w:rsid w:val="008372D2"/>
    <w:rsid w:val="00837758"/>
    <w:rsid w:val="008377BC"/>
    <w:rsid w:val="008424E5"/>
    <w:rsid w:val="00844C17"/>
    <w:rsid w:val="00846017"/>
    <w:rsid w:val="00847726"/>
    <w:rsid w:val="00851033"/>
    <w:rsid w:val="00851072"/>
    <w:rsid w:val="00851A55"/>
    <w:rsid w:val="00851CB1"/>
    <w:rsid w:val="00852511"/>
    <w:rsid w:val="0085252F"/>
    <w:rsid w:val="00855FD0"/>
    <w:rsid w:val="00857408"/>
    <w:rsid w:val="008578A9"/>
    <w:rsid w:val="0086072A"/>
    <w:rsid w:val="0086088F"/>
    <w:rsid w:val="008614F1"/>
    <w:rsid w:val="00862FD6"/>
    <w:rsid w:val="008639B3"/>
    <w:rsid w:val="00863C1A"/>
    <w:rsid w:val="00863DA3"/>
    <w:rsid w:val="00863ED7"/>
    <w:rsid w:val="0086470F"/>
    <w:rsid w:val="00865882"/>
    <w:rsid w:val="00866CDD"/>
    <w:rsid w:val="00867A66"/>
    <w:rsid w:val="008712FE"/>
    <w:rsid w:val="0087142D"/>
    <w:rsid w:val="00871FF6"/>
    <w:rsid w:val="00872928"/>
    <w:rsid w:val="00872DA6"/>
    <w:rsid w:val="00873416"/>
    <w:rsid w:val="00873956"/>
    <w:rsid w:val="0087538C"/>
    <w:rsid w:val="00875CB0"/>
    <w:rsid w:val="008770CC"/>
    <w:rsid w:val="00877800"/>
    <w:rsid w:val="00877C32"/>
    <w:rsid w:val="00877F6E"/>
    <w:rsid w:val="0088094B"/>
    <w:rsid w:val="00880E08"/>
    <w:rsid w:val="00880E72"/>
    <w:rsid w:val="0088176E"/>
    <w:rsid w:val="008825EE"/>
    <w:rsid w:val="00882DE4"/>
    <w:rsid w:val="0088313E"/>
    <w:rsid w:val="0088596E"/>
    <w:rsid w:val="00885D26"/>
    <w:rsid w:val="008860A4"/>
    <w:rsid w:val="008863E8"/>
    <w:rsid w:val="00886A4B"/>
    <w:rsid w:val="00886C54"/>
    <w:rsid w:val="00886F34"/>
    <w:rsid w:val="008870ED"/>
    <w:rsid w:val="008877FC"/>
    <w:rsid w:val="00887E5A"/>
    <w:rsid w:val="00891D8A"/>
    <w:rsid w:val="0089796A"/>
    <w:rsid w:val="0089799B"/>
    <w:rsid w:val="008A169F"/>
    <w:rsid w:val="008A1AED"/>
    <w:rsid w:val="008A2375"/>
    <w:rsid w:val="008A25BB"/>
    <w:rsid w:val="008A399F"/>
    <w:rsid w:val="008A54B6"/>
    <w:rsid w:val="008A56FE"/>
    <w:rsid w:val="008A584C"/>
    <w:rsid w:val="008A6A8D"/>
    <w:rsid w:val="008A7D22"/>
    <w:rsid w:val="008A7DEB"/>
    <w:rsid w:val="008B1B65"/>
    <w:rsid w:val="008B3557"/>
    <w:rsid w:val="008B3936"/>
    <w:rsid w:val="008B39E0"/>
    <w:rsid w:val="008B403C"/>
    <w:rsid w:val="008B4302"/>
    <w:rsid w:val="008B605A"/>
    <w:rsid w:val="008C093B"/>
    <w:rsid w:val="008C0E76"/>
    <w:rsid w:val="008C2665"/>
    <w:rsid w:val="008C5CD8"/>
    <w:rsid w:val="008C6041"/>
    <w:rsid w:val="008C68D0"/>
    <w:rsid w:val="008C74E3"/>
    <w:rsid w:val="008D0936"/>
    <w:rsid w:val="008D403B"/>
    <w:rsid w:val="008D4707"/>
    <w:rsid w:val="008D7698"/>
    <w:rsid w:val="008D76C5"/>
    <w:rsid w:val="008E0A04"/>
    <w:rsid w:val="008E0AFA"/>
    <w:rsid w:val="008E131A"/>
    <w:rsid w:val="008E2799"/>
    <w:rsid w:val="008E3A7E"/>
    <w:rsid w:val="008E411B"/>
    <w:rsid w:val="008E492C"/>
    <w:rsid w:val="008E4F56"/>
    <w:rsid w:val="008E75D3"/>
    <w:rsid w:val="008E7E48"/>
    <w:rsid w:val="008F02E9"/>
    <w:rsid w:val="008F0CE4"/>
    <w:rsid w:val="008F125E"/>
    <w:rsid w:val="008F1CC5"/>
    <w:rsid w:val="008F2B54"/>
    <w:rsid w:val="008F2CC5"/>
    <w:rsid w:val="008F2F3B"/>
    <w:rsid w:val="008F3CFA"/>
    <w:rsid w:val="008F4C1E"/>
    <w:rsid w:val="008F4D2F"/>
    <w:rsid w:val="008F510A"/>
    <w:rsid w:val="008F55A2"/>
    <w:rsid w:val="00900235"/>
    <w:rsid w:val="009004CC"/>
    <w:rsid w:val="0090090F"/>
    <w:rsid w:val="00900D3C"/>
    <w:rsid w:val="00906292"/>
    <w:rsid w:val="009123C5"/>
    <w:rsid w:val="00914B5B"/>
    <w:rsid w:val="00917162"/>
    <w:rsid w:val="009172B9"/>
    <w:rsid w:val="009178AA"/>
    <w:rsid w:val="009218AE"/>
    <w:rsid w:val="00921B5F"/>
    <w:rsid w:val="00923001"/>
    <w:rsid w:val="0092358D"/>
    <w:rsid w:val="009235A0"/>
    <w:rsid w:val="009238BF"/>
    <w:rsid w:val="009251CC"/>
    <w:rsid w:val="00925656"/>
    <w:rsid w:val="00925692"/>
    <w:rsid w:val="0092714E"/>
    <w:rsid w:val="00927661"/>
    <w:rsid w:val="00927A0C"/>
    <w:rsid w:val="00931E24"/>
    <w:rsid w:val="009324F0"/>
    <w:rsid w:val="00932993"/>
    <w:rsid w:val="00932AF8"/>
    <w:rsid w:val="009338D2"/>
    <w:rsid w:val="0093478F"/>
    <w:rsid w:val="0093520D"/>
    <w:rsid w:val="00936826"/>
    <w:rsid w:val="00936896"/>
    <w:rsid w:val="00940B3D"/>
    <w:rsid w:val="00942002"/>
    <w:rsid w:val="00942359"/>
    <w:rsid w:val="00943D07"/>
    <w:rsid w:val="009446D6"/>
    <w:rsid w:val="009457DC"/>
    <w:rsid w:val="0094623A"/>
    <w:rsid w:val="00946FC5"/>
    <w:rsid w:val="00947885"/>
    <w:rsid w:val="009504AB"/>
    <w:rsid w:val="00951212"/>
    <w:rsid w:val="00951818"/>
    <w:rsid w:val="00952168"/>
    <w:rsid w:val="009527FE"/>
    <w:rsid w:val="009529B2"/>
    <w:rsid w:val="009535A6"/>
    <w:rsid w:val="009538D0"/>
    <w:rsid w:val="0095421F"/>
    <w:rsid w:val="009555CA"/>
    <w:rsid w:val="00955D69"/>
    <w:rsid w:val="00960539"/>
    <w:rsid w:val="009605B1"/>
    <w:rsid w:val="009607E1"/>
    <w:rsid w:val="00960CBC"/>
    <w:rsid w:val="009621EE"/>
    <w:rsid w:val="00963A06"/>
    <w:rsid w:val="00964B2B"/>
    <w:rsid w:val="00965192"/>
    <w:rsid w:val="009679FC"/>
    <w:rsid w:val="00967DD4"/>
    <w:rsid w:val="009700B1"/>
    <w:rsid w:val="0097043F"/>
    <w:rsid w:val="00970ECF"/>
    <w:rsid w:val="00971261"/>
    <w:rsid w:val="00971FD4"/>
    <w:rsid w:val="009722CB"/>
    <w:rsid w:val="009739A0"/>
    <w:rsid w:val="00974EE4"/>
    <w:rsid w:val="00974F84"/>
    <w:rsid w:val="00975D5B"/>
    <w:rsid w:val="00976216"/>
    <w:rsid w:val="009767C7"/>
    <w:rsid w:val="00977D30"/>
    <w:rsid w:val="009809DA"/>
    <w:rsid w:val="00980D2C"/>
    <w:rsid w:val="00980E69"/>
    <w:rsid w:val="00983159"/>
    <w:rsid w:val="0098334C"/>
    <w:rsid w:val="009839AE"/>
    <w:rsid w:val="00984643"/>
    <w:rsid w:val="0098576C"/>
    <w:rsid w:val="0098579A"/>
    <w:rsid w:val="00987D1D"/>
    <w:rsid w:val="00991475"/>
    <w:rsid w:val="009918DD"/>
    <w:rsid w:val="0099195A"/>
    <w:rsid w:val="00991BD2"/>
    <w:rsid w:val="00992407"/>
    <w:rsid w:val="00992A11"/>
    <w:rsid w:val="00994681"/>
    <w:rsid w:val="0099486A"/>
    <w:rsid w:val="009A0B33"/>
    <w:rsid w:val="009A0E26"/>
    <w:rsid w:val="009A16EC"/>
    <w:rsid w:val="009A1C88"/>
    <w:rsid w:val="009A22C2"/>
    <w:rsid w:val="009A6655"/>
    <w:rsid w:val="009A743E"/>
    <w:rsid w:val="009A7CF6"/>
    <w:rsid w:val="009B1B55"/>
    <w:rsid w:val="009B29B7"/>
    <w:rsid w:val="009B3199"/>
    <w:rsid w:val="009B36CE"/>
    <w:rsid w:val="009B3B37"/>
    <w:rsid w:val="009B63F4"/>
    <w:rsid w:val="009B7D1F"/>
    <w:rsid w:val="009C088E"/>
    <w:rsid w:val="009C17DC"/>
    <w:rsid w:val="009C37AB"/>
    <w:rsid w:val="009C4C57"/>
    <w:rsid w:val="009C4C7A"/>
    <w:rsid w:val="009C4D35"/>
    <w:rsid w:val="009C5E51"/>
    <w:rsid w:val="009C648B"/>
    <w:rsid w:val="009C7B68"/>
    <w:rsid w:val="009D1522"/>
    <w:rsid w:val="009D3561"/>
    <w:rsid w:val="009D51F0"/>
    <w:rsid w:val="009D51F7"/>
    <w:rsid w:val="009D7252"/>
    <w:rsid w:val="009E1FF6"/>
    <w:rsid w:val="009E2A7E"/>
    <w:rsid w:val="009E3CAF"/>
    <w:rsid w:val="009E3F48"/>
    <w:rsid w:val="009E53A5"/>
    <w:rsid w:val="009E5B95"/>
    <w:rsid w:val="009E5CCE"/>
    <w:rsid w:val="009E5EB4"/>
    <w:rsid w:val="009F21DA"/>
    <w:rsid w:val="009F563C"/>
    <w:rsid w:val="009F5C69"/>
    <w:rsid w:val="009F610E"/>
    <w:rsid w:val="00A00DA9"/>
    <w:rsid w:val="00A00E4B"/>
    <w:rsid w:val="00A00F7E"/>
    <w:rsid w:val="00A02ED4"/>
    <w:rsid w:val="00A0384F"/>
    <w:rsid w:val="00A03E9A"/>
    <w:rsid w:val="00A044D6"/>
    <w:rsid w:val="00A04ADB"/>
    <w:rsid w:val="00A04F89"/>
    <w:rsid w:val="00A05F11"/>
    <w:rsid w:val="00A10F76"/>
    <w:rsid w:val="00A11E0F"/>
    <w:rsid w:val="00A12378"/>
    <w:rsid w:val="00A141E9"/>
    <w:rsid w:val="00A15D78"/>
    <w:rsid w:val="00A15EBE"/>
    <w:rsid w:val="00A15FD2"/>
    <w:rsid w:val="00A17F5B"/>
    <w:rsid w:val="00A20196"/>
    <w:rsid w:val="00A2022D"/>
    <w:rsid w:val="00A216E5"/>
    <w:rsid w:val="00A22C2B"/>
    <w:rsid w:val="00A24752"/>
    <w:rsid w:val="00A25884"/>
    <w:rsid w:val="00A26744"/>
    <w:rsid w:val="00A26CB6"/>
    <w:rsid w:val="00A30A00"/>
    <w:rsid w:val="00A32F82"/>
    <w:rsid w:val="00A32F8B"/>
    <w:rsid w:val="00A3431E"/>
    <w:rsid w:val="00A34B41"/>
    <w:rsid w:val="00A34F9F"/>
    <w:rsid w:val="00A36481"/>
    <w:rsid w:val="00A36675"/>
    <w:rsid w:val="00A3756F"/>
    <w:rsid w:val="00A37C5E"/>
    <w:rsid w:val="00A40007"/>
    <w:rsid w:val="00A41CC3"/>
    <w:rsid w:val="00A41DBE"/>
    <w:rsid w:val="00A41F0F"/>
    <w:rsid w:val="00A42D6F"/>
    <w:rsid w:val="00A43870"/>
    <w:rsid w:val="00A44642"/>
    <w:rsid w:val="00A4474B"/>
    <w:rsid w:val="00A45A62"/>
    <w:rsid w:val="00A462DC"/>
    <w:rsid w:val="00A4657C"/>
    <w:rsid w:val="00A46C7E"/>
    <w:rsid w:val="00A51CE8"/>
    <w:rsid w:val="00A51DB8"/>
    <w:rsid w:val="00A52E0B"/>
    <w:rsid w:val="00A52FA1"/>
    <w:rsid w:val="00A54AC5"/>
    <w:rsid w:val="00A54C2A"/>
    <w:rsid w:val="00A55DC3"/>
    <w:rsid w:val="00A56D41"/>
    <w:rsid w:val="00A56DEC"/>
    <w:rsid w:val="00A60529"/>
    <w:rsid w:val="00A60899"/>
    <w:rsid w:val="00A608D3"/>
    <w:rsid w:val="00A60F91"/>
    <w:rsid w:val="00A61353"/>
    <w:rsid w:val="00A61481"/>
    <w:rsid w:val="00A616F1"/>
    <w:rsid w:val="00A61A48"/>
    <w:rsid w:val="00A629D6"/>
    <w:rsid w:val="00A6364F"/>
    <w:rsid w:val="00A637C9"/>
    <w:rsid w:val="00A65278"/>
    <w:rsid w:val="00A66DB1"/>
    <w:rsid w:val="00A67A92"/>
    <w:rsid w:val="00A70DC6"/>
    <w:rsid w:val="00A74FDC"/>
    <w:rsid w:val="00A77192"/>
    <w:rsid w:val="00A80737"/>
    <w:rsid w:val="00A8089F"/>
    <w:rsid w:val="00A829EB"/>
    <w:rsid w:val="00A83F98"/>
    <w:rsid w:val="00A842D5"/>
    <w:rsid w:val="00A87870"/>
    <w:rsid w:val="00A903F3"/>
    <w:rsid w:val="00A90F18"/>
    <w:rsid w:val="00A90FFB"/>
    <w:rsid w:val="00A9149D"/>
    <w:rsid w:val="00A91A70"/>
    <w:rsid w:val="00A92659"/>
    <w:rsid w:val="00A9302F"/>
    <w:rsid w:val="00A940AF"/>
    <w:rsid w:val="00A94B0F"/>
    <w:rsid w:val="00A957F6"/>
    <w:rsid w:val="00A959CF"/>
    <w:rsid w:val="00A97316"/>
    <w:rsid w:val="00A974AA"/>
    <w:rsid w:val="00AA010B"/>
    <w:rsid w:val="00AA0D54"/>
    <w:rsid w:val="00AA17CD"/>
    <w:rsid w:val="00AA1B85"/>
    <w:rsid w:val="00AA24E8"/>
    <w:rsid w:val="00AA3290"/>
    <w:rsid w:val="00AA34E8"/>
    <w:rsid w:val="00AA4353"/>
    <w:rsid w:val="00AA46F0"/>
    <w:rsid w:val="00AA4CA2"/>
    <w:rsid w:val="00AA6481"/>
    <w:rsid w:val="00AA7270"/>
    <w:rsid w:val="00AA7D68"/>
    <w:rsid w:val="00AB0C08"/>
    <w:rsid w:val="00AB12AC"/>
    <w:rsid w:val="00AB1CB6"/>
    <w:rsid w:val="00AB1D9A"/>
    <w:rsid w:val="00AB2D3A"/>
    <w:rsid w:val="00AB47E8"/>
    <w:rsid w:val="00AB4A1F"/>
    <w:rsid w:val="00AB5C61"/>
    <w:rsid w:val="00AB60F7"/>
    <w:rsid w:val="00AC2C10"/>
    <w:rsid w:val="00AC3540"/>
    <w:rsid w:val="00AC3D15"/>
    <w:rsid w:val="00AC5055"/>
    <w:rsid w:val="00AC668B"/>
    <w:rsid w:val="00AC735A"/>
    <w:rsid w:val="00AD0C22"/>
    <w:rsid w:val="00AD1AD7"/>
    <w:rsid w:val="00AD1AE2"/>
    <w:rsid w:val="00AD3290"/>
    <w:rsid w:val="00AD442C"/>
    <w:rsid w:val="00AD44FE"/>
    <w:rsid w:val="00AD5A37"/>
    <w:rsid w:val="00AD72D3"/>
    <w:rsid w:val="00AD73BF"/>
    <w:rsid w:val="00AD7C94"/>
    <w:rsid w:val="00AE05A4"/>
    <w:rsid w:val="00AE0F23"/>
    <w:rsid w:val="00AE177E"/>
    <w:rsid w:val="00AE2147"/>
    <w:rsid w:val="00AE25FC"/>
    <w:rsid w:val="00AE3F99"/>
    <w:rsid w:val="00AE400C"/>
    <w:rsid w:val="00AE4765"/>
    <w:rsid w:val="00AE49F1"/>
    <w:rsid w:val="00AE4A1C"/>
    <w:rsid w:val="00AE4B7A"/>
    <w:rsid w:val="00AE5532"/>
    <w:rsid w:val="00AE74D8"/>
    <w:rsid w:val="00AF0B6F"/>
    <w:rsid w:val="00AF16F9"/>
    <w:rsid w:val="00AF1D69"/>
    <w:rsid w:val="00AF30D0"/>
    <w:rsid w:val="00AF3FEC"/>
    <w:rsid w:val="00AF41FA"/>
    <w:rsid w:val="00AF4ABE"/>
    <w:rsid w:val="00AF617E"/>
    <w:rsid w:val="00AF71EB"/>
    <w:rsid w:val="00B00988"/>
    <w:rsid w:val="00B01405"/>
    <w:rsid w:val="00B038D9"/>
    <w:rsid w:val="00B052E8"/>
    <w:rsid w:val="00B05CCA"/>
    <w:rsid w:val="00B0676C"/>
    <w:rsid w:val="00B07D1C"/>
    <w:rsid w:val="00B100C9"/>
    <w:rsid w:val="00B10E8A"/>
    <w:rsid w:val="00B11099"/>
    <w:rsid w:val="00B1118A"/>
    <w:rsid w:val="00B14271"/>
    <w:rsid w:val="00B16270"/>
    <w:rsid w:val="00B176D8"/>
    <w:rsid w:val="00B20272"/>
    <w:rsid w:val="00B22578"/>
    <w:rsid w:val="00B23C16"/>
    <w:rsid w:val="00B23C52"/>
    <w:rsid w:val="00B241F2"/>
    <w:rsid w:val="00B247C7"/>
    <w:rsid w:val="00B259E1"/>
    <w:rsid w:val="00B2685D"/>
    <w:rsid w:val="00B26D1E"/>
    <w:rsid w:val="00B27DA3"/>
    <w:rsid w:val="00B30351"/>
    <w:rsid w:val="00B30375"/>
    <w:rsid w:val="00B312C0"/>
    <w:rsid w:val="00B32601"/>
    <w:rsid w:val="00B3270B"/>
    <w:rsid w:val="00B33837"/>
    <w:rsid w:val="00B33C2A"/>
    <w:rsid w:val="00B33C35"/>
    <w:rsid w:val="00B34A14"/>
    <w:rsid w:val="00B35967"/>
    <w:rsid w:val="00B363D9"/>
    <w:rsid w:val="00B3671E"/>
    <w:rsid w:val="00B422EC"/>
    <w:rsid w:val="00B44324"/>
    <w:rsid w:val="00B44875"/>
    <w:rsid w:val="00B44C07"/>
    <w:rsid w:val="00B44E44"/>
    <w:rsid w:val="00B46320"/>
    <w:rsid w:val="00B4657A"/>
    <w:rsid w:val="00B471F4"/>
    <w:rsid w:val="00B47F0A"/>
    <w:rsid w:val="00B50061"/>
    <w:rsid w:val="00B5068D"/>
    <w:rsid w:val="00B50B6B"/>
    <w:rsid w:val="00B50FD4"/>
    <w:rsid w:val="00B52E6E"/>
    <w:rsid w:val="00B53BE4"/>
    <w:rsid w:val="00B53FF8"/>
    <w:rsid w:val="00B54329"/>
    <w:rsid w:val="00B54885"/>
    <w:rsid w:val="00B54BFF"/>
    <w:rsid w:val="00B5508F"/>
    <w:rsid w:val="00B554C9"/>
    <w:rsid w:val="00B56AD9"/>
    <w:rsid w:val="00B56EE3"/>
    <w:rsid w:val="00B57158"/>
    <w:rsid w:val="00B5778D"/>
    <w:rsid w:val="00B614C0"/>
    <w:rsid w:val="00B634AB"/>
    <w:rsid w:val="00B63533"/>
    <w:rsid w:val="00B63624"/>
    <w:rsid w:val="00B645B4"/>
    <w:rsid w:val="00B6678B"/>
    <w:rsid w:val="00B7037B"/>
    <w:rsid w:val="00B71798"/>
    <w:rsid w:val="00B719F6"/>
    <w:rsid w:val="00B726D4"/>
    <w:rsid w:val="00B72969"/>
    <w:rsid w:val="00B72CA4"/>
    <w:rsid w:val="00B758FD"/>
    <w:rsid w:val="00B76807"/>
    <w:rsid w:val="00B76890"/>
    <w:rsid w:val="00B77D24"/>
    <w:rsid w:val="00B818C3"/>
    <w:rsid w:val="00B81A6C"/>
    <w:rsid w:val="00B8214F"/>
    <w:rsid w:val="00B82B43"/>
    <w:rsid w:val="00B82B48"/>
    <w:rsid w:val="00B85133"/>
    <w:rsid w:val="00B8643A"/>
    <w:rsid w:val="00B86A4F"/>
    <w:rsid w:val="00B9025B"/>
    <w:rsid w:val="00B93035"/>
    <w:rsid w:val="00B940EB"/>
    <w:rsid w:val="00B9431C"/>
    <w:rsid w:val="00B95798"/>
    <w:rsid w:val="00B958E8"/>
    <w:rsid w:val="00B974C3"/>
    <w:rsid w:val="00B97637"/>
    <w:rsid w:val="00B97E4A"/>
    <w:rsid w:val="00BA09B2"/>
    <w:rsid w:val="00BA0B44"/>
    <w:rsid w:val="00BA0F35"/>
    <w:rsid w:val="00BA465D"/>
    <w:rsid w:val="00BA52C0"/>
    <w:rsid w:val="00BA5B46"/>
    <w:rsid w:val="00BA63D4"/>
    <w:rsid w:val="00BA67F9"/>
    <w:rsid w:val="00BB1E13"/>
    <w:rsid w:val="00BB2D73"/>
    <w:rsid w:val="00BB400D"/>
    <w:rsid w:val="00BB45BA"/>
    <w:rsid w:val="00BB45EF"/>
    <w:rsid w:val="00BB48B2"/>
    <w:rsid w:val="00BB4A3A"/>
    <w:rsid w:val="00BB4D6A"/>
    <w:rsid w:val="00BB5AFE"/>
    <w:rsid w:val="00BB5D0B"/>
    <w:rsid w:val="00BB629C"/>
    <w:rsid w:val="00BC0995"/>
    <w:rsid w:val="00BC1761"/>
    <w:rsid w:val="00BC19ED"/>
    <w:rsid w:val="00BC26B9"/>
    <w:rsid w:val="00BC308B"/>
    <w:rsid w:val="00BC36D4"/>
    <w:rsid w:val="00BC513A"/>
    <w:rsid w:val="00BC696C"/>
    <w:rsid w:val="00BC6C56"/>
    <w:rsid w:val="00BC6DE2"/>
    <w:rsid w:val="00BC6E62"/>
    <w:rsid w:val="00BD013A"/>
    <w:rsid w:val="00BD2510"/>
    <w:rsid w:val="00BD3A53"/>
    <w:rsid w:val="00BD3E34"/>
    <w:rsid w:val="00BD4E7E"/>
    <w:rsid w:val="00BD5A19"/>
    <w:rsid w:val="00BD656A"/>
    <w:rsid w:val="00BD6D1B"/>
    <w:rsid w:val="00BE13AB"/>
    <w:rsid w:val="00BE2403"/>
    <w:rsid w:val="00BE2C8C"/>
    <w:rsid w:val="00BE2D0A"/>
    <w:rsid w:val="00BE47D4"/>
    <w:rsid w:val="00BE6622"/>
    <w:rsid w:val="00BE793A"/>
    <w:rsid w:val="00BE7A0B"/>
    <w:rsid w:val="00BE7FF3"/>
    <w:rsid w:val="00BF114D"/>
    <w:rsid w:val="00BF1364"/>
    <w:rsid w:val="00BF2B82"/>
    <w:rsid w:val="00BF2CEB"/>
    <w:rsid w:val="00BF432A"/>
    <w:rsid w:val="00BF5D70"/>
    <w:rsid w:val="00BF64A6"/>
    <w:rsid w:val="00BF6651"/>
    <w:rsid w:val="00BF6796"/>
    <w:rsid w:val="00BF6E82"/>
    <w:rsid w:val="00C060C7"/>
    <w:rsid w:val="00C06DCC"/>
    <w:rsid w:val="00C07F92"/>
    <w:rsid w:val="00C10EA4"/>
    <w:rsid w:val="00C11D25"/>
    <w:rsid w:val="00C13217"/>
    <w:rsid w:val="00C1431D"/>
    <w:rsid w:val="00C15BEC"/>
    <w:rsid w:val="00C15DB5"/>
    <w:rsid w:val="00C208E2"/>
    <w:rsid w:val="00C20D11"/>
    <w:rsid w:val="00C21897"/>
    <w:rsid w:val="00C21DC1"/>
    <w:rsid w:val="00C21EBD"/>
    <w:rsid w:val="00C22054"/>
    <w:rsid w:val="00C2288E"/>
    <w:rsid w:val="00C22B54"/>
    <w:rsid w:val="00C24279"/>
    <w:rsid w:val="00C24C17"/>
    <w:rsid w:val="00C31595"/>
    <w:rsid w:val="00C31B25"/>
    <w:rsid w:val="00C3309D"/>
    <w:rsid w:val="00C3411D"/>
    <w:rsid w:val="00C34357"/>
    <w:rsid w:val="00C34829"/>
    <w:rsid w:val="00C363B8"/>
    <w:rsid w:val="00C3758F"/>
    <w:rsid w:val="00C37960"/>
    <w:rsid w:val="00C403F5"/>
    <w:rsid w:val="00C40B88"/>
    <w:rsid w:val="00C44489"/>
    <w:rsid w:val="00C44FC2"/>
    <w:rsid w:val="00C452D4"/>
    <w:rsid w:val="00C47D87"/>
    <w:rsid w:val="00C47FCD"/>
    <w:rsid w:val="00C50FA6"/>
    <w:rsid w:val="00C5368E"/>
    <w:rsid w:val="00C5376E"/>
    <w:rsid w:val="00C53A95"/>
    <w:rsid w:val="00C53F04"/>
    <w:rsid w:val="00C550D9"/>
    <w:rsid w:val="00C554C1"/>
    <w:rsid w:val="00C55AEE"/>
    <w:rsid w:val="00C56DE7"/>
    <w:rsid w:val="00C5701B"/>
    <w:rsid w:val="00C6069A"/>
    <w:rsid w:val="00C61BDC"/>
    <w:rsid w:val="00C64158"/>
    <w:rsid w:val="00C64D40"/>
    <w:rsid w:val="00C6565D"/>
    <w:rsid w:val="00C65957"/>
    <w:rsid w:val="00C66218"/>
    <w:rsid w:val="00C677C9"/>
    <w:rsid w:val="00C70DBC"/>
    <w:rsid w:val="00C71E80"/>
    <w:rsid w:val="00C74198"/>
    <w:rsid w:val="00C74F1A"/>
    <w:rsid w:val="00C751C6"/>
    <w:rsid w:val="00C7750A"/>
    <w:rsid w:val="00C80467"/>
    <w:rsid w:val="00C808A6"/>
    <w:rsid w:val="00C84AC6"/>
    <w:rsid w:val="00C855DB"/>
    <w:rsid w:val="00C855F3"/>
    <w:rsid w:val="00C86270"/>
    <w:rsid w:val="00C86C49"/>
    <w:rsid w:val="00C90C20"/>
    <w:rsid w:val="00C948CF"/>
    <w:rsid w:val="00C94F6F"/>
    <w:rsid w:val="00C95327"/>
    <w:rsid w:val="00C95798"/>
    <w:rsid w:val="00C95A74"/>
    <w:rsid w:val="00C95B71"/>
    <w:rsid w:val="00C97091"/>
    <w:rsid w:val="00C97260"/>
    <w:rsid w:val="00C97391"/>
    <w:rsid w:val="00CA089E"/>
    <w:rsid w:val="00CA14A5"/>
    <w:rsid w:val="00CA1A7C"/>
    <w:rsid w:val="00CA1AB8"/>
    <w:rsid w:val="00CA2001"/>
    <w:rsid w:val="00CA2B10"/>
    <w:rsid w:val="00CA3F11"/>
    <w:rsid w:val="00CA5256"/>
    <w:rsid w:val="00CA5564"/>
    <w:rsid w:val="00CA7E40"/>
    <w:rsid w:val="00CB078E"/>
    <w:rsid w:val="00CB1187"/>
    <w:rsid w:val="00CB2416"/>
    <w:rsid w:val="00CB3782"/>
    <w:rsid w:val="00CB4D20"/>
    <w:rsid w:val="00CB537B"/>
    <w:rsid w:val="00CB5B6C"/>
    <w:rsid w:val="00CB74E3"/>
    <w:rsid w:val="00CC052E"/>
    <w:rsid w:val="00CC0657"/>
    <w:rsid w:val="00CC06E5"/>
    <w:rsid w:val="00CC08A8"/>
    <w:rsid w:val="00CC0B14"/>
    <w:rsid w:val="00CC2ACD"/>
    <w:rsid w:val="00CC31D6"/>
    <w:rsid w:val="00CC5B9C"/>
    <w:rsid w:val="00CC68F8"/>
    <w:rsid w:val="00CC7AF9"/>
    <w:rsid w:val="00CD02DF"/>
    <w:rsid w:val="00CD10A5"/>
    <w:rsid w:val="00CD16BE"/>
    <w:rsid w:val="00CD179F"/>
    <w:rsid w:val="00CD1F32"/>
    <w:rsid w:val="00CD2268"/>
    <w:rsid w:val="00CD4616"/>
    <w:rsid w:val="00CD56AF"/>
    <w:rsid w:val="00CD5FFA"/>
    <w:rsid w:val="00CD608B"/>
    <w:rsid w:val="00CD61BB"/>
    <w:rsid w:val="00CD6EB1"/>
    <w:rsid w:val="00CE33D5"/>
    <w:rsid w:val="00CE3FC9"/>
    <w:rsid w:val="00CE4712"/>
    <w:rsid w:val="00CE48AE"/>
    <w:rsid w:val="00CE6073"/>
    <w:rsid w:val="00CE761C"/>
    <w:rsid w:val="00CE7FFD"/>
    <w:rsid w:val="00CF4118"/>
    <w:rsid w:val="00CF53F5"/>
    <w:rsid w:val="00CF5773"/>
    <w:rsid w:val="00CF5D37"/>
    <w:rsid w:val="00CF6353"/>
    <w:rsid w:val="00CF6F33"/>
    <w:rsid w:val="00CF7C7B"/>
    <w:rsid w:val="00D0176E"/>
    <w:rsid w:val="00D02248"/>
    <w:rsid w:val="00D04429"/>
    <w:rsid w:val="00D04B47"/>
    <w:rsid w:val="00D04E37"/>
    <w:rsid w:val="00D063B8"/>
    <w:rsid w:val="00D06825"/>
    <w:rsid w:val="00D06E0B"/>
    <w:rsid w:val="00D072F9"/>
    <w:rsid w:val="00D07467"/>
    <w:rsid w:val="00D076E6"/>
    <w:rsid w:val="00D10594"/>
    <w:rsid w:val="00D15CDD"/>
    <w:rsid w:val="00D17185"/>
    <w:rsid w:val="00D17E3B"/>
    <w:rsid w:val="00D20AA1"/>
    <w:rsid w:val="00D21B50"/>
    <w:rsid w:val="00D2306F"/>
    <w:rsid w:val="00D233A1"/>
    <w:rsid w:val="00D23C09"/>
    <w:rsid w:val="00D23CED"/>
    <w:rsid w:val="00D241D1"/>
    <w:rsid w:val="00D24BD2"/>
    <w:rsid w:val="00D254F7"/>
    <w:rsid w:val="00D2573D"/>
    <w:rsid w:val="00D260A2"/>
    <w:rsid w:val="00D30CC6"/>
    <w:rsid w:val="00D30DA4"/>
    <w:rsid w:val="00D31722"/>
    <w:rsid w:val="00D31D9F"/>
    <w:rsid w:val="00D3260C"/>
    <w:rsid w:val="00D32DE6"/>
    <w:rsid w:val="00D33DB5"/>
    <w:rsid w:val="00D34CBB"/>
    <w:rsid w:val="00D35790"/>
    <w:rsid w:val="00D41971"/>
    <w:rsid w:val="00D442D5"/>
    <w:rsid w:val="00D45043"/>
    <w:rsid w:val="00D45C1D"/>
    <w:rsid w:val="00D45C81"/>
    <w:rsid w:val="00D46C5F"/>
    <w:rsid w:val="00D4757A"/>
    <w:rsid w:val="00D51576"/>
    <w:rsid w:val="00D519AF"/>
    <w:rsid w:val="00D532A9"/>
    <w:rsid w:val="00D5437A"/>
    <w:rsid w:val="00D5611E"/>
    <w:rsid w:val="00D5653B"/>
    <w:rsid w:val="00D56C30"/>
    <w:rsid w:val="00D56DF7"/>
    <w:rsid w:val="00D5726D"/>
    <w:rsid w:val="00D572AC"/>
    <w:rsid w:val="00D604A7"/>
    <w:rsid w:val="00D6071F"/>
    <w:rsid w:val="00D6084C"/>
    <w:rsid w:val="00D60AA4"/>
    <w:rsid w:val="00D61D6E"/>
    <w:rsid w:val="00D62A31"/>
    <w:rsid w:val="00D62EF1"/>
    <w:rsid w:val="00D6309D"/>
    <w:rsid w:val="00D634F9"/>
    <w:rsid w:val="00D6389F"/>
    <w:rsid w:val="00D644CA"/>
    <w:rsid w:val="00D64EA0"/>
    <w:rsid w:val="00D64FE1"/>
    <w:rsid w:val="00D66FC2"/>
    <w:rsid w:val="00D677CD"/>
    <w:rsid w:val="00D7044E"/>
    <w:rsid w:val="00D704A8"/>
    <w:rsid w:val="00D70A2B"/>
    <w:rsid w:val="00D70CA5"/>
    <w:rsid w:val="00D743AE"/>
    <w:rsid w:val="00D74E1F"/>
    <w:rsid w:val="00D74F48"/>
    <w:rsid w:val="00D758F4"/>
    <w:rsid w:val="00D76C7E"/>
    <w:rsid w:val="00D771DE"/>
    <w:rsid w:val="00D7776D"/>
    <w:rsid w:val="00D80C6C"/>
    <w:rsid w:val="00D81AEF"/>
    <w:rsid w:val="00D82A42"/>
    <w:rsid w:val="00D834F1"/>
    <w:rsid w:val="00D83609"/>
    <w:rsid w:val="00D83AA6"/>
    <w:rsid w:val="00D84295"/>
    <w:rsid w:val="00D846BE"/>
    <w:rsid w:val="00D851C7"/>
    <w:rsid w:val="00D85C0D"/>
    <w:rsid w:val="00D866CB"/>
    <w:rsid w:val="00D86909"/>
    <w:rsid w:val="00D87A9A"/>
    <w:rsid w:val="00D90625"/>
    <w:rsid w:val="00D909F8"/>
    <w:rsid w:val="00D9152C"/>
    <w:rsid w:val="00D92179"/>
    <w:rsid w:val="00D922C6"/>
    <w:rsid w:val="00D9293F"/>
    <w:rsid w:val="00D92DE7"/>
    <w:rsid w:val="00D93598"/>
    <w:rsid w:val="00D93FDD"/>
    <w:rsid w:val="00D942F8"/>
    <w:rsid w:val="00D9644B"/>
    <w:rsid w:val="00D97A5B"/>
    <w:rsid w:val="00DA1E18"/>
    <w:rsid w:val="00DA2009"/>
    <w:rsid w:val="00DA296C"/>
    <w:rsid w:val="00DA585A"/>
    <w:rsid w:val="00DA7741"/>
    <w:rsid w:val="00DA7769"/>
    <w:rsid w:val="00DB05B1"/>
    <w:rsid w:val="00DB2823"/>
    <w:rsid w:val="00DB2D74"/>
    <w:rsid w:val="00DB3786"/>
    <w:rsid w:val="00DB59E8"/>
    <w:rsid w:val="00DB5A79"/>
    <w:rsid w:val="00DB5EF1"/>
    <w:rsid w:val="00DB7A76"/>
    <w:rsid w:val="00DC20D1"/>
    <w:rsid w:val="00DC2272"/>
    <w:rsid w:val="00DC2465"/>
    <w:rsid w:val="00DC307D"/>
    <w:rsid w:val="00DC329B"/>
    <w:rsid w:val="00DC4BCA"/>
    <w:rsid w:val="00DC5CA4"/>
    <w:rsid w:val="00DC5CDA"/>
    <w:rsid w:val="00DC5E2C"/>
    <w:rsid w:val="00DC6B80"/>
    <w:rsid w:val="00DC7D48"/>
    <w:rsid w:val="00DD0253"/>
    <w:rsid w:val="00DD145A"/>
    <w:rsid w:val="00DD512E"/>
    <w:rsid w:val="00DD5EC8"/>
    <w:rsid w:val="00DD7B34"/>
    <w:rsid w:val="00DD7BEC"/>
    <w:rsid w:val="00DE083E"/>
    <w:rsid w:val="00DE0C22"/>
    <w:rsid w:val="00DE1177"/>
    <w:rsid w:val="00DE23BE"/>
    <w:rsid w:val="00DE2CEA"/>
    <w:rsid w:val="00DE3CFE"/>
    <w:rsid w:val="00DE4A8F"/>
    <w:rsid w:val="00DE567C"/>
    <w:rsid w:val="00DE6154"/>
    <w:rsid w:val="00DE634D"/>
    <w:rsid w:val="00DE6A3C"/>
    <w:rsid w:val="00DE6C0E"/>
    <w:rsid w:val="00DE74F4"/>
    <w:rsid w:val="00DE7C8B"/>
    <w:rsid w:val="00DE7F97"/>
    <w:rsid w:val="00DF0AAF"/>
    <w:rsid w:val="00DF1010"/>
    <w:rsid w:val="00DF2244"/>
    <w:rsid w:val="00DF334D"/>
    <w:rsid w:val="00DF4D68"/>
    <w:rsid w:val="00DF53D9"/>
    <w:rsid w:val="00DF5837"/>
    <w:rsid w:val="00DF5AEA"/>
    <w:rsid w:val="00DF5D49"/>
    <w:rsid w:val="00DF63F6"/>
    <w:rsid w:val="00DF7441"/>
    <w:rsid w:val="00DF7992"/>
    <w:rsid w:val="00DF7BD0"/>
    <w:rsid w:val="00E003E6"/>
    <w:rsid w:val="00E008AC"/>
    <w:rsid w:val="00E00C8E"/>
    <w:rsid w:val="00E0219D"/>
    <w:rsid w:val="00E0276A"/>
    <w:rsid w:val="00E028C7"/>
    <w:rsid w:val="00E0374B"/>
    <w:rsid w:val="00E0632F"/>
    <w:rsid w:val="00E06C36"/>
    <w:rsid w:val="00E071A9"/>
    <w:rsid w:val="00E07D26"/>
    <w:rsid w:val="00E10B28"/>
    <w:rsid w:val="00E117FD"/>
    <w:rsid w:val="00E12108"/>
    <w:rsid w:val="00E13747"/>
    <w:rsid w:val="00E14758"/>
    <w:rsid w:val="00E16505"/>
    <w:rsid w:val="00E17A13"/>
    <w:rsid w:val="00E21088"/>
    <w:rsid w:val="00E22514"/>
    <w:rsid w:val="00E23C5E"/>
    <w:rsid w:val="00E23E29"/>
    <w:rsid w:val="00E24632"/>
    <w:rsid w:val="00E25155"/>
    <w:rsid w:val="00E25AEA"/>
    <w:rsid w:val="00E27C2C"/>
    <w:rsid w:val="00E3051B"/>
    <w:rsid w:val="00E30AE4"/>
    <w:rsid w:val="00E30D26"/>
    <w:rsid w:val="00E30DEF"/>
    <w:rsid w:val="00E30ED2"/>
    <w:rsid w:val="00E31276"/>
    <w:rsid w:val="00E3155D"/>
    <w:rsid w:val="00E31875"/>
    <w:rsid w:val="00E32102"/>
    <w:rsid w:val="00E34666"/>
    <w:rsid w:val="00E346E8"/>
    <w:rsid w:val="00E35684"/>
    <w:rsid w:val="00E36A66"/>
    <w:rsid w:val="00E37C6A"/>
    <w:rsid w:val="00E37F70"/>
    <w:rsid w:val="00E41377"/>
    <w:rsid w:val="00E414AC"/>
    <w:rsid w:val="00E41985"/>
    <w:rsid w:val="00E42B89"/>
    <w:rsid w:val="00E446C1"/>
    <w:rsid w:val="00E46BCD"/>
    <w:rsid w:val="00E505AA"/>
    <w:rsid w:val="00E51467"/>
    <w:rsid w:val="00E51CCC"/>
    <w:rsid w:val="00E52079"/>
    <w:rsid w:val="00E545D7"/>
    <w:rsid w:val="00E547FE"/>
    <w:rsid w:val="00E54960"/>
    <w:rsid w:val="00E55927"/>
    <w:rsid w:val="00E5669C"/>
    <w:rsid w:val="00E56A58"/>
    <w:rsid w:val="00E60943"/>
    <w:rsid w:val="00E60ECA"/>
    <w:rsid w:val="00E613AB"/>
    <w:rsid w:val="00E637B6"/>
    <w:rsid w:val="00E645AE"/>
    <w:rsid w:val="00E663B6"/>
    <w:rsid w:val="00E66BBE"/>
    <w:rsid w:val="00E670B5"/>
    <w:rsid w:val="00E6780D"/>
    <w:rsid w:val="00E67B4F"/>
    <w:rsid w:val="00E71DFE"/>
    <w:rsid w:val="00E73083"/>
    <w:rsid w:val="00E74990"/>
    <w:rsid w:val="00E756E4"/>
    <w:rsid w:val="00E758B9"/>
    <w:rsid w:val="00E76025"/>
    <w:rsid w:val="00E76B45"/>
    <w:rsid w:val="00E806A5"/>
    <w:rsid w:val="00E807BE"/>
    <w:rsid w:val="00E81BC1"/>
    <w:rsid w:val="00E82FE5"/>
    <w:rsid w:val="00E83724"/>
    <w:rsid w:val="00E83871"/>
    <w:rsid w:val="00E83F47"/>
    <w:rsid w:val="00E84236"/>
    <w:rsid w:val="00E84C02"/>
    <w:rsid w:val="00E85569"/>
    <w:rsid w:val="00E856AF"/>
    <w:rsid w:val="00E859D9"/>
    <w:rsid w:val="00E86B83"/>
    <w:rsid w:val="00E86D6E"/>
    <w:rsid w:val="00E874A2"/>
    <w:rsid w:val="00E878FB"/>
    <w:rsid w:val="00E87C64"/>
    <w:rsid w:val="00E912E1"/>
    <w:rsid w:val="00E919C3"/>
    <w:rsid w:val="00E91C4B"/>
    <w:rsid w:val="00E93A01"/>
    <w:rsid w:val="00E93FF8"/>
    <w:rsid w:val="00E948D8"/>
    <w:rsid w:val="00E94EB6"/>
    <w:rsid w:val="00E94F16"/>
    <w:rsid w:val="00E950CA"/>
    <w:rsid w:val="00E95CA8"/>
    <w:rsid w:val="00E96643"/>
    <w:rsid w:val="00E96CE0"/>
    <w:rsid w:val="00E96EAF"/>
    <w:rsid w:val="00EA044C"/>
    <w:rsid w:val="00EA1752"/>
    <w:rsid w:val="00EA1911"/>
    <w:rsid w:val="00EA539B"/>
    <w:rsid w:val="00EA5A89"/>
    <w:rsid w:val="00EA5BDB"/>
    <w:rsid w:val="00EA5C39"/>
    <w:rsid w:val="00EA63FA"/>
    <w:rsid w:val="00EA7DEB"/>
    <w:rsid w:val="00EB0325"/>
    <w:rsid w:val="00EB0A73"/>
    <w:rsid w:val="00EB0A9C"/>
    <w:rsid w:val="00EB0B55"/>
    <w:rsid w:val="00EB3A98"/>
    <w:rsid w:val="00EB46D9"/>
    <w:rsid w:val="00EB4909"/>
    <w:rsid w:val="00EB6EF6"/>
    <w:rsid w:val="00EB7B80"/>
    <w:rsid w:val="00EC0199"/>
    <w:rsid w:val="00EC0E64"/>
    <w:rsid w:val="00EC11AB"/>
    <w:rsid w:val="00EC142D"/>
    <w:rsid w:val="00EC1E16"/>
    <w:rsid w:val="00EC2695"/>
    <w:rsid w:val="00EC2DD1"/>
    <w:rsid w:val="00EC4BA5"/>
    <w:rsid w:val="00EC52DA"/>
    <w:rsid w:val="00EC5EBC"/>
    <w:rsid w:val="00EC6F28"/>
    <w:rsid w:val="00EC72CD"/>
    <w:rsid w:val="00EC73C2"/>
    <w:rsid w:val="00ED0024"/>
    <w:rsid w:val="00ED0EA0"/>
    <w:rsid w:val="00ED0F85"/>
    <w:rsid w:val="00ED2B5C"/>
    <w:rsid w:val="00ED3269"/>
    <w:rsid w:val="00ED3A18"/>
    <w:rsid w:val="00ED3AB7"/>
    <w:rsid w:val="00ED3C57"/>
    <w:rsid w:val="00EE1A8C"/>
    <w:rsid w:val="00EE1C03"/>
    <w:rsid w:val="00EE3FED"/>
    <w:rsid w:val="00EE4643"/>
    <w:rsid w:val="00EE529F"/>
    <w:rsid w:val="00EE65B6"/>
    <w:rsid w:val="00EE7C86"/>
    <w:rsid w:val="00EF1330"/>
    <w:rsid w:val="00EF15FF"/>
    <w:rsid w:val="00EF31D8"/>
    <w:rsid w:val="00EF55E6"/>
    <w:rsid w:val="00EF5707"/>
    <w:rsid w:val="00EF69E8"/>
    <w:rsid w:val="00EF6F1F"/>
    <w:rsid w:val="00EF70EC"/>
    <w:rsid w:val="00EF7111"/>
    <w:rsid w:val="00EF739C"/>
    <w:rsid w:val="00EF7D1A"/>
    <w:rsid w:val="00F02759"/>
    <w:rsid w:val="00F03B49"/>
    <w:rsid w:val="00F0448F"/>
    <w:rsid w:val="00F04E9B"/>
    <w:rsid w:val="00F0716C"/>
    <w:rsid w:val="00F105AE"/>
    <w:rsid w:val="00F108A8"/>
    <w:rsid w:val="00F12F4F"/>
    <w:rsid w:val="00F13319"/>
    <w:rsid w:val="00F13EFA"/>
    <w:rsid w:val="00F14353"/>
    <w:rsid w:val="00F1628B"/>
    <w:rsid w:val="00F16EBE"/>
    <w:rsid w:val="00F21398"/>
    <w:rsid w:val="00F22E81"/>
    <w:rsid w:val="00F26998"/>
    <w:rsid w:val="00F270E9"/>
    <w:rsid w:val="00F273EF"/>
    <w:rsid w:val="00F27440"/>
    <w:rsid w:val="00F275BB"/>
    <w:rsid w:val="00F275C0"/>
    <w:rsid w:val="00F317B5"/>
    <w:rsid w:val="00F33348"/>
    <w:rsid w:val="00F346B6"/>
    <w:rsid w:val="00F3608D"/>
    <w:rsid w:val="00F36145"/>
    <w:rsid w:val="00F37BDD"/>
    <w:rsid w:val="00F40716"/>
    <w:rsid w:val="00F41503"/>
    <w:rsid w:val="00F417D4"/>
    <w:rsid w:val="00F432CF"/>
    <w:rsid w:val="00F43506"/>
    <w:rsid w:val="00F437FD"/>
    <w:rsid w:val="00F43B69"/>
    <w:rsid w:val="00F43DD4"/>
    <w:rsid w:val="00F440E6"/>
    <w:rsid w:val="00F4479A"/>
    <w:rsid w:val="00F44D82"/>
    <w:rsid w:val="00F45589"/>
    <w:rsid w:val="00F46207"/>
    <w:rsid w:val="00F466C8"/>
    <w:rsid w:val="00F469A9"/>
    <w:rsid w:val="00F46B50"/>
    <w:rsid w:val="00F47C20"/>
    <w:rsid w:val="00F50B46"/>
    <w:rsid w:val="00F50D1F"/>
    <w:rsid w:val="00F51545"/>
    <w:rsid w:val="00F521DE"/>
    <w:rsid w:val="00F53FC2"/>
    <w:rsid w:val="00F54162"/>
    <w:rsid w:val="00F541D4"/>
    <w:rsid w:val="00F553CE"/>
    <w:rsid w:val="00F56043"/>
    <w:rsid w:val="00F5664E"/>
    <w:rsid w:val="00F56BD8"/>
    <w:rsid w:val="00F56FA9"/>
    <w:rsid w:val="00F6136B"/>
    <w:rsid w:val="00F6171A"/>
    <w:rsid w:val="00F62303"/>
    <w:rsid w:val="00F62306"/>
    <w:rsid w:val="00F631CC"/>
    <w:rsid w:val="00F635FC"/>
    <w:rsid w:val="00F63D03"/>
    <w:rsid w:val="00F65E2F"/>
    <w:rsid w:val="00F66520"/>
    <w:rsid w:val="00F6668D"/>
    <w:rsid w:val="00F66B33"/>
    <w:rsid w:val="00F66EA7"/>
    <w:rsid w:val="00F67385"/>
    <w:rsid w:val="00F67A32"/>
    <w:rsid w:val="00F67DF1"/>
    <w:rsid w:val="00F7054E"/>
    <w:rsid w:val="00F7137C"/>
    <w:rsid w:val="00F72A09"/>
    <w:rsid w:val="00F74E67"/>
    <w:rsid w:val="00F7552B"/>
    <w:rsid w:val="00F8309B"/>
    <w:rsid w:val="00F831E2"/>
    <w:rsid w:val="00F833C9"/>
    <w:rsid w:val="00F8533A"/>
    <w:rsid w:val="00F90064"/>
    <w:rsid w:val="00F9022A"/>
    <w:rsid w:val="00F90520"/>
    <w:rsid w:val="00F938B1"/>
    <w:rsid w:val="00F94217"/>
    <w:rsid w:val="00F9586C"/>
    <w:rsid w:val="00F962CF"/>
    <w:rsid w:val="00F96AFD"/>
    <w:rsid w:val="00F96F4C"/>
    <w:rsid w:val="00FA07F4"/>
    <w:rsid w:val="00FA1398"/>
    <w:rsid w:val="00FA1515"/>
    <w:rsid w:val="00FA2E19"/>
    <w:rsid w:val="00FA43C8"/>
    <w:rsid w:val="00FA697F"/>
    <w:rsid w:val="00FB0147"/>
    <w:rsid w:val="00FB0823"/>
    <w:rsid w:val="00FB0F92"/>
    <w:rsid w:val="00FB1C39"/>
    <w:rsid w:val="00FB2FB3"/>
    <w:rsid w:val="00FB3846"/>
    <w:rsid w:val="00FB5059"/>
    <w:rsid w:val="00FB5521"/>
    <w:rsid w:val="00FB610D"/>
    <w:rsid w:val="00FB626E"/>
    <w:rsid w:val="00FC2B60"/>
    <w:rsid w:val="00FC4477"/>
    <w:rsid w:val="00FC46FB"/>
    <w:rsid w:val="00FC51FF"/>
    <w:rsid w:val="00FC5FDA"/>
    <w:rsid w:val="00FC6615"/>
    <w:rsid w:val="00FC6630"/>
    <w:rsid w:val="00FC7B66"/>
    <w:rsid w:val="00FD06E6"/>
    <w:rsid w:val="00FD0D94"/>
    <w:rsid w:val="00FD106C"/>
    <w:rsid w:val="00FD2BD3"/>
    <w:rsid w:val="00FD3DEF"/>
    <w:rsid w:val="00FD3E98"/>
    <w:rsid w:val="00FD4CCA"/>
    <w:rsid w:val="00FD58B1"/>
    <w:rsid w:val="00FD60E3"/>
    <w:rsid w:val="00FD6BB8"/>
    <w:rsid w:val="00FD6FBC"/>
    <w:rsid w:val="00FD7002"/>
    <w:rsid w:val="00FD7610"/>
    <w:rsid w:val="00FE04BA"/>
    <w:rsid w:val="00FE234B"/>
    <w:rsid w:val="00FE2A9E"/>
    <w:rsid w:val="00FE34B3"/>
    <w:rsid w:val="00FE46B7"/>
    <w:rsid w:val="00FE4CEC"/>
    <w:rsid w:val="00FF0420"/>
    <w:rsid w:val="00FF41B8"/>
    <w:rsid w:val="00FF5237"/>
    <w:rsid w:val="00FF5B79"/>
    <w:rsid w:val="06763376"/>
    <w:rsid w:val="06D79157"/>
    <w:rsid w:val="0DD79F36"/>
    <w:rsid w:val="11E43BAB"/>
    <w:rsid w:val="121534C5"/>
    <w:rsid w:val="139FEB93"/>
    <w:rsid w:val="161E678D"/>
    <w:rsid w:val="19090967"/>
    <w:rsid w:val="1B3C24C5"/>
    <w:rsid w:val="210B7837"/>
    <w:rsid w:val="23B4E6BE"/>
    <w:rsid w:val="24F18C83"/>
    <w:rsid w:val="25653D02"/>
    <w:rsid w:val="27AA7305"/>
    <w:rsid w:val="3310C0BE"/>
    <w:rsid w:val="38EF0D05"/>
    <w:rsid w:val="39A07357"/>
    <w:rsid w:val="42088138"/>
    <w:rsid w:val="511D528A"/>
    <w:rsid w:val="588ADAF6"/>
    <w:rsid w:val="5CE173DD"/>
    <w:rsid w:val="66EB6E8A"/>
    <w:rsid w:val="69981A89"/>
    <w:rsid w:val="7629CDD5"/>
    <w:rsid w:val="772E53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C026BB5"/>
  <w14:defaultImageDpi w14:val="0"/>
  <w15:docId w15:val="{65049D5F-F03D-4A3F-AE18-15988AB2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Segoe UI"/>
        <w:sz w:val="18"/>
        <w:szCs w:val="18"/>
        <w:lang w:val="tr-TR"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rFonts w:cs="Times New Roman"/>
      <w:sz w:val="22"/>
      <w:szCs w:val="24"/>
    </w:rPr>
  </w:style>
  <w:style w:type="paragraph" w:styleId="Heading1">
    <w:name w:val="heading 1"/>
    <w:basedOn w:val="Normal"/>
    <w:next w:val="Normal"/>
    <w:link w:val="Heading1Char"/>
    <w:uiPriority w:val="99"/>
    <w:qFormat/>
    <w:pPr>
      <w:keepNext/>
      <w:spacing w:line="420" w:lineRule="atLeast"/>
      <w:outlineLvl w:val="0"/>
    </w:pPr>
    <w:rPr>
      <w:rFonts w:cs="Arial"/>
      <w:b/>
      <w:bCs/>
      <w:kern w:val="32"/>
      <w:sz w:val="36"/>
      <w:szCs w:val="32"/>
    </w:rPr>
  </w:style>
  <w:style w:type="paragraph" w:styleId="Heading2">
    <w:name w:val="heading 2"/>
    <w:basedOn w:val="Normal"/>
    <w:next w:val="Normal"/>
    <w:link w:val="Heading2Char"/>
    <w:uiPriority w:val="9"/>
    <w:qFormat/>
    <w:pPr>
      <w:keepNext/>
      <w:outlineLvl w:val="1"/>
    </w:pPr>
    <w:rPr>
      <w:rFonts w:cs="Arial"/>
      <w:bCs/>
      <w:iCs/>
      <w:color w:val="E1000F"/>
      <w:szCs w:val="28"/>
    </w:rPr>
  </w:style>
  <w:style w:type="paragraph" w:styleId="Heading3">
    <w:name w:val="heading 3"/>
    <w:basedOn w:val="Heading2"/>
    <w:next w:val="Normal"/>
    <w:link w:val="Heading3Char"/>
    <w:uiPriority w:val="9"/>
    <w:qFormat/>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Header">
    <w:name w:val="header"/>
    <w:basedOn w:val="Normal"/>
    <w:link w:val="HeaderChar"/>
    <w:uiPriority w:val="99"/>
    <w:rsid w:val="00C3758F"/>
    <w:pPr>
      <w:tabs>
        <w:tab w:val="left" w:pos="2607"/>
        <w:tab w:val="center" w:pos="4320"/>
        <w:tab w:val="right" w:pos="9356"/>
      </w:tabs>
      <w:spacing w:before="1440" w:line="100" w:lineRule="atLeast"/>
      <w:jc w:val="right"/>
    </w:pPr>
    <w:rPr>
      <w:rFonts w:cs="Segoe UI"/>
      <w:b/>
      <w:bCs/>
      <w:color w:val="3E3C3C"/>
      <w:sz w:val="40"/>
      <w:szCs w:val="40"/>
    </w:rPr>
  </w:style>
  <w:style w:type="character" w:customStyle="1" w:styleId="Heading1Char">
    <w:name w:val="Heading 1 Char"/>
    <w:basedOn w:val="DefaultParagraphFont"/>
    <w:link w:val="Heading1"/>
    <w:uiPriority w:val="99"/>
    <w:locked/>
    <w:rsid w:val="00B422EC"/>
    <w:rPr>
      <w:rFonts w:ascii="Arial" w:hAnsi="Arial" w:cs="Times New Roman"/>
      <w:b/>
      <w:kern w:val="32"/>
      <w:sz w:val="32"/>
      <w:lang w:val="tr-TR" w:eastAsia="x-none"/>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character" w:customStyle="1" w:styleId="HeaderChar">
    <w:name w:val="Header Char"/>
    <w:basedOn w:val="DefaultParagraphFont"/>
    <w:link w:val="Header"/>
    <w:uiPriority w:val="99"/>
    <w:semiHidden/>
    <w:locked/>
    <w:rPr>
      <w:rFonts w:cs="Times New Roman"/>
      <w:sz w:val="24"/>
      <w:szCs w:val="24"/>
    </w:rPr>
  </w:style>
  <w:style w:type="paragraph" w:customStyle="1" w:styleId="Intro">
    <w:name w:val="Intro"/>
    <w:basedOn w:val="Normal"/>
    <w:pPr>
      <w:spacing w:after="300"/>
    </w:pPr>
    <w:rPr>
      <w:color w:val="415055"/>
      <w:sz w:val="24"/>
    </w:rPr>
  </w:style>
  <w:style w:type="character" w:customStyle="1" w:styleId="FooterChar">
    <w:name w:val="Footer Char"/>
    <w:basedOn w:val="DefaultParagraphFont"/>
    <w:link w:val="Footer"/>
    <w:uiPriority w:val="99"/>
    <w:locked/>
    <w:rsid w:val="00992A11"/>
    <w:rPr>
      <w:rFonts w:ascii="Segoe UI" w:hAnsi="Segoe UI" w:cs="Times New Roman"/>
      <w:noProof/>
      <w:sz w:val="24"/>
      <w:lang w:val="tr-TR"/>
    </w:rPr>
  </w:style>
  <w:style w:type="paragraph" w:customStyle="1" w:styleId="NumBullet">
    <w:name w:val="Num_Bullet"/>
    <w:basedOn w:val="Normal"/>
    <w:pPr>
      <w:numPr>
        <w:numId w:val="1"/>
      </w:numPr>
      <w:tabs>
        <w:tab w:val="left" w:pos="357"/>
      </w:tabs>
      <w:ind w:left="357" w:hanging="357"/>
    </w:pPr>
  </w:style>
  <w:style w:type="paragraph" w:customStyle="1" w:styleId="Page1Name">
    <w:name w:val="Page1_Name"/>
    <w:basedOn w:val="Normal"/>
    <w:pPr>
      <w:spacing w:after="420" w:line="360" w:lineRule="atLeast"/>
    </w:pPr>
    <w:rPr>
      <w:b/>
      <w:sz w:val="30"/>
    </w:rPr>
  </w:style>
  <w:style w:type="paragraph" w:customStyle="1" w:styleId="Page1Title">
    <w:name w:val="Page1_Title"/>
    <w:basedOn w:val="Normal"/>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leGrid">
    <w:name w:val="Table Grid"/>
    <w:basedOn w:val="TableNormal"/>
    <w:uiPriority w:val="59"/>
    <w:pPr>
      <w:spacing w:line="260" w:lineRule="atLeast"/>
    </w:pPr>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pPr>
      <w:spacing w:line="240" w:lineRule="atLeast"/>
    </w:pPr>
    <w:rPr>
      <w:sz w:val="13"/>
    </w:rPr>
  </w:style>
  <w:style w:type="character" w:customStyle="1" w:styleId="InfoZchn">
    <w:name w:val="Info Zchn"/>
    <w:link w:val="Info"/>
    <w:locked/>
    <w:rPr>
      <w:rFonts w:ascii="Arial" w:hAnsi="Arial"/>
      <w:sz w:val="24"/>
      <w:lang w:val="tr-TR" w:eastAsia="en-US"/>
    </w:rPr>
  </w:style>
  <w:style w:type="paragraph" w:customStyle="1" w:styleId="Standard12pt">
    <w:name w:val="Standard_12pt"/>
    <w:basedOn w:val="Normal"/>
    <w:pPr>
      <w:spacing w:line="300" w:lineRule="atLeast"/>
    </w:pPr>
    <w:rPr>
      <w:sz w:val="24"/>
    </w:rPr>
  </w:style>
  <w:style w:type="character" w:styleId="Hyperlink">
    <w:name w:val="Hyperlink"/>
    <w:basedOn w:val="DefaultParagraphFont"/>
    <w:uiPriority w:val="99"/>
    <w:rsid w:val="00336854"/>
    <w:rPr>
      <w:rFonts w:ascii="Segoe UI" w:hAnsi="Segoe UI" w:cs="Times New Roman"/>
      <w:color w:val="0000FF"/>
      <w:sz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uiPriority w:val="99"/>
    <w:rsid w:val="00336854"/>
    <w:pPr>
      <w:spacing w:line="240" w:lineRule="auto"/>
    </w:pPr>
    <w:rPr>
      <w:sz w:val="18"/>
      <w:szCs w:val="18"/>
    </w:rPr>
  </w:style>
  <w:style w:type="paragraph" w:customStyle="1" w:styleId="MittlereListe2-Akzent21">
    <w:name w:val="Mittlere Liste 2 - Akzent 21"/>
    <w:hidden/>
    <w:uiPriority w:val="99"/>
    <w:semiHidden/>
    <w:rsid w:val="002E0B17"/>
    <w:rPr>
      <w:rFonts w:ascii="Arial" w:hAnsi="Arial" w:cs="Times New Roman"/>
      <w:szCs w:val="24"/>
    </w:rPr>
  </w:style>
  <w:style w:type="character" w:customStyle="1" w:styleId="BalloonTextChar">
    <w:name w:val="Balloon Text Char"/>
    <w:basedOn w:val="DefaultParagraphFont"/>
    <w:link w:val="BalloonText"/>
    <w:uiPriority w:val="99"/>
    <w:locked/>
    <w:rsid w:val="00336854"/>
    <w:rPr>
      <w:rFonts w:ascii="Segoe UI" w:hAnsi="Segoe UI" w:cs="Times New Roman"/>
      <w:sz w:val="18"/>
      <w:lang w:val="tr-TR" w:eastAsia="x-none"/>
    </w:rPr>
  </w:style>
  <w:style w:type="character" w:customStyle="1" w:styleId="UnresolvedMention1">
    <w:name w:val="Unresolved Mention1"/>
    <w:basedOn w:val="DefaultParagraphFont"/>
    <w:uiPriority w:val="99"/>
    <w:semiHidden/>
    <w:unhideWhenUsed/>
    <w:rsid w:val="000C210A"/>
    <w:rPr>
      <w:rFonts w:cs="Times New Roman"/>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rFonts w:cs="Times New Roman"/>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cs="Times New Roman"/>
      <w:sz w:val="18"/>
    </w:rPr>
  </w:style>
  <w:style w:type="character" w:customStyle="1" w:styleId="AboutandContactHeadline">
    <w:name w:val="About and Contact Headline"/>
    <w:basedOn w:val="DefaultParagraphFont"/>
    <w:rsid w:val="00336854"/>
    <w:rPr>
      <w:rFonts w:ascii="Segoe UI" w:hAnsi="Segoe UI" w:cs="Times New Roman"/>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basedOn w:val="DefaultParagraphFont"/>
    <w:uiPriority w:val="99"/>
    <w:rsid w:val="00846017"/>
    <w:rPr>
      <w:rFonts w:cs="Times New Roman"/>
      <w:sz w:val="16"/>
    </w:rPr>
  </w:style>
  <w:style w:type="paragraph" w:styleId="CommentText">
    <w:name w:val="annotation text"/>
    <w:basedOn w:val="Normal"/>
    <w:link w:val="CommentTextChar"/>
    <w:uiPriority w:val="99"/>
    <w:rsid w:val="00846017"/>
    <w:pPr>
      <w:spacing w:line="260" w:lineRule="atLeast"/>
      <w:jc w:val="left"/>
    </w:pPr>
    <w:rPr>
      <w:rFonts w:ascii="Arial" w:hAnsi="Arial"/>
      <w:sz w:val="20"/>
      <w:szCs w:val="20"/>
    </w:rPr>
  </w:style>
  <w:style w:type="paragraph" w:styleId="CommentSubject">
    <w:name w:val="annotation subject"/>
    <w:basedOn w:val="CommentText"/>
    <w:next w:val="CommentText"/>
    <w:link w:val="CommentSubjectChar"/>
    <w:uiPriority w:val="99"/>
    <w:rsid w:val="0020528D"/>
    <w:pPr>
      <w:spacing w:line="240" w:lineRule="auto"/>
      <w:jc w:val="both"/>
    </w:pPr>
    <w:rPr>
      <w:rFonts w:ascii="Segoe UI" w:hAnsi="Segoe UI"/>
      <w:b/>
      <w:bCs/>
    </w:rPr>
  </w:style>
  <w:style w:type="character" w:customStyle="1" w:styleId="CommentTextChar">
    <w:name w:val="Comment Text Char"/>
    <w:basedOn w:val="DefaultParagraphFont"/>
    <w:link w:val="CommentText"/>
    <w:uiPriority w:val="99"/>
    <w:locked/>
    <w:rsid w:val="00846017"/>
    <w:rPr>
      <w:rFonts w:ascii="Arial" w:hAnsi="Arial" w:cs="Times New Roman"/>
      <w:sz w:val="20"/>
      <w:szCs w:val="20"/>
      <w:lang w:val="tr-TR" w:eastAsia="x-none"/>
    </w:rPr>
  </w:style>
  <w:style w:type="paragraph" w:styleId="Revision">
    <w:name w:val="Revision"/>
    <w:hidden/>
    <w:uiPriority w:val="62"/>
    <w:unhideWhenUsed/>
    <w:rsid w:val="006E2D24"/>
    <w:rPr>
      <w:rFonts w:cs="Times New Roman"/>
      <w:sz w:val="22"/>
      <w:szCs w:val="24"/>
    </w:rPr>
  </w:style>
  <w:style w:type="character" w:customStyle="1" w:styleId="CommentSubjectChar">
    <w:name w:val="Comment Subject Char"/>
    <w:basedOn w:val="CommentTextChar"/>
    <w:link w:val="CommentSubject"/>
    <w:uiPriority w:val="99"/>
    <w:locked/>
    <w:rsid w:val="0020528D"/>
    <w:rPr>
      <w:rFonts w:ascii="Arial" w:hAnsi="Arial" w:cs="Times New Roman"/>
      <w:b/>
      <w:bCs/>
      <w:sz w:val="20"/>
      <w:szCs w:val="20"/>
      <w:lang w:val="tr-TR" w:eastAsia="x-none"/>
    </w:rPr>
  </w:style>
  <w:style w:type="paragraph" w:customStyle="1" w:styleId="He04Funote">
    <w:name w:val="_He_04_Fußnote"/>
    <w:next w:val="Normal"/>
    <w:qFormat/>
    <w:rsid w:val="00A90F18"/>
    <w:pPr>
      <w:tabs>
        <w:tab w:val="left" w:pos="85"/>
      </w:tabs>
      <w:spacing w:line="256" w:lineRule="auto"/>
      <w:ind w:left="85" w:hanging="85"/>
    </w:pPr>
    <w:rPr>
      <w:rFonts w:cs="Times New Roman"/>
      <w:sz w:val="15"/>
      <w:szCs w:val="22"/>
    </w:rPr>
  </w:style>
  <w:style w:type="character" w:styleId="FootnoteReference">
    <w:name w:val="footnote reference"/>
    <w:basedOn w:val="DefaultParagraphFont"/>
    <w:uiPriority w:val="99"/>
    <w:unhideWhenUsed/>
    <w:rsid w:val="00A90F18"/>
    <w:rPr>
      <w:rFonts w:cs="Times New Roman"/>
      <w:vertAlign w:val="superscript"/>
    </w:rPr>
  </w:style>
  <w:style w:type="character" w:styleId="FollowedHyperlink">
    <w:name w:val="FollowedHyperlink"/>
    <w:basedOn w:val="DefaultParagraphFont"/>
    <w:uiPriority w:val="99"/>
    <w:rsid w:val="00B1118A"/>
    <w:rPr>
      <w:rFonts w:cs="Times New Roman"/>
      <w:color w:val="954F72" w:themeColor="followedHyperlink"/>
      <w:u w:val="single"/>
    </w:rPr>
  </w:style>
  <w:style w:type="paragraph" w:customStyle="1" w:styleId="He01FlietextAufzhlung1Ebene">
    <w:name w:val="_He_01_Fließtext Aufzählung 1. Ebene"/>
    <w:next w:val="Normal"/>
    <w:qFormat/>
    <w:rsid w:val="00B471F4"/>
    <w:pPr>
      <w:numPr>
        <w:numId w:val="9"/>
      </w:numPr>
      <w:spacing w:after="113"/>
    </w:pPr>
    <w:rPr>
      <w:rFonts w:cs="Times New Roman"/>
      <w:sz w:val="22"/>
      <w:szCs w:val="22"/>
    </w:rPr>
  </w:style>
  <w:style w:type="character" w:customStyle="1" w:styleId="ui-provider">
    <w:name w:val="ui-provider"/>
    <w:basedOn w:val="DefaultParagraphFont"/>
    <w:rsid w:val="00C86C49"/>
    <w:rPr>
      <w:rFonts w:cs="Times New Roman"/>
    </w:rPr>
  </w:style>
  <w:style w:type="paragraph" w:customStyle="1" w:styleId="He01Flietext">
    <w:name w:val="_He_01_Fließtext"/>
    <w:qFormat/>
    <w:rsid w:val="007558B1"/>
    <w:pPr>
      <w:spacing w:after="160"/>
    </w:pPr>
    <w:rPr>
      <w:rFonts w:cs="Times New Roman"/>
      <w:sz w:val="22"/>
      <w:szCs w:val="22"/>
    </w:rPr>
  </w:style>
  <w:style w:type="paragraph" w:styleId="FootnoteText">
    <w:name w:val="footnote text"/>
    <w:basedOn w:val="Normal"/>
    <w:link w:val="FootnoteTextChar"/>
    <w:uiPriority w:val="99"/>
    <w:unhideWhenUsed/>
    <w:rsid w:val="00F9022A"/>
    <w:pPr>
      <w:spacing w:line="240" w:lineRule="auto"/>
      <w:jc w:val="left"/>
    </w:pPr>
    <w:rPr>
      <w:szCs w:val="20"/>
    </w:rPr>
  </w:style>
  <w:style w:type="character" w:styleId="Strong">
    <w:name w:val="Strong"/>
    <w:basedOn w:val="DefaultParagraphFont"/>
    <w:uiPriority w:val="22"/>
    <w:qFormat/>
    <w:rsid w:val="00033476"/>
    <w:rPr>
      <w:rFonts w:cs="Times New Roman"/>
      <w:b/>
      <w:bCs/>
    </w:rPr>
  </w:style>
  <w:style w:type="character" w:customStyle="1" w:styleId="FootnoteTextChar">
    <w:name w:val="Footnote Text Char"/>
    <w:basedOn w:val="DefaultParagraphFont"/>
    <w:link w:val="FootnoteText"/>
    <w:uiPriority w:val="99"/>
    <w:locked/>
    <w:rsid w:val="00F9022A"/>
    <w:rPr>
      <w:rFonts w:eastAsia="Times New Roman" w:cs="Times New Roman"/>
      <w:sz w:val="20"/>
      <w:szCs w:val="20"/>
      <w:lang w:val="tr-TR" w:eastAsia="x-none"/>
    </w:rPr>
  </w:style>
  <w:style w:type="paragraph" w:customStyle="1" w:styleId="He01FlietextAufzhlung2Ebene">
    <w:name w:val="_He_01_Fließtext Aufzählung 2. Ebene"/>
    <w:next w:val="He01Flietext"/>
    <w:qFormat/>
    <w:rsid w:val="00700939"/>
    <w:pPr>
      <w:numPr>
        <w:numId w:val="20"/>
      </w:numPr>
      <w:spacing w:after="160"/>
    </w:pPr>
    <w:rPr>
      <w:rFonts w:cs="Times New Roman"/>
      <w:sz w:val="22"/>
      <w:szCs w:val="22"/>
    </w:rPr>
  </w:style>
  <w:style w:type="paragraph" w:customStyle="1" w:styleId="He05Fett">
    <w:name w:val="_He_05_Fett"/>
    <w:next w:val="He01Flietext"/>
    <w:link w:val="He05FettZchn"/>
    <w:qFormat/>
    <w:rsid w:val="00B33C35"/>
    <w:pPr>
      <w:spacing w:after="160" w:line="259" w:lineRule="auto"/>
    </w:pPr>
    <w:rPr>
      <w:rFonts w:cs="Times New Roman"/>
      <w:b/>
      <w:szCs w:val="22"/>
    </w:rPr>
  </w:style>
  <w:style w:type="character" w:customStyle="1" w:styleId="He05FettZchn">
    <w:name w:val="_He_05_Fett Zchn"/>
    <w:basedOn w:val="DefaultParagraphFont"/>
    <w:link w:val="He05Fett"/>
    <w:locked/>
    <w:rsid w:val="00B33C35"/>
    <w:rPr>
      <w:rFonts w:eastAsia="Times New Roman" w:cs="Times New Roman"/>
      <w:b/>
      <w:sz w:val="22"/>
      <w:szCs w:val="22"/>
      <w:lang w:val="tr-TR" w:eastAsia="x-none"/>
    </w:rPr>
  </w:style>
  <w:style w:type="paragraph" w:styleId="BodyText">
    <w:name w:val="Body Text"/>
    <w:basedOn w:val="Normal"/>
    <w:link w:val="BodyTextChar"/>
    <w:uiPriority w:val="1"/>
    <w:qFormat/>
    <w:rsid w:val="0056637D"/>
    <w:pPr>
      <w:widowControl w:val="0"/>
      <w:autoSpaceDE w:val="0"/>
      <w:autoSpaceDN w:val="0"/>
      <w:spacing w:line="240" w:lineRule="auto"/>
      <w:ind w:left="1"/>
      <w:jc w:val="left"/>
    </w:pPr>
    <w:rPr>
      <w:rFonts w:cs="Segoe UI"/>
      <w:szCs w:val="22"/>
    </w:rPr>
  </w:style>
  <w:style w:type="paragraph" w:styleId="NormalWeb">
    <w:name w:val="Normal (Web)"/>
    <w:basedOn w:val="Normal"/>
    <w:uiPriority w:val="99"/>
    <w:unhideWhenUsed/>
    <w:rsid w:val="004456C0"/>
    <w:pPr>
      <w:spacing w:before="100" w:beforeAutospacing="1" w:after="100" w:afterAutospacing="1" w:line="240" w:lineRule="auto"/>
      <w:jc w:val="left"/>
    </w:pPr>
    <w:rPr>
      <w:rFonts w:ascii="Times New Roman" w:hAnsi="Times New Roman"/>
      <w:sz w:val="24"/>
      <w:lang w:eastAsia="de-DE"/>
    </w:rPr>
  </w:style>
  <w:style w:type="character" w:customStyle="1" w:styleId="BodyTextChar">
    <w:name w:val="Body Text Char"/>
    <w:basedOn w:val="DefaultParagraphFont"/>
    <w:link w:val="BodyText"/>
    <w:uiPriority w:val="1"/>
    <w:locked/>
    <w:rsid w:val="0056637D"/>
    <w:rPr>
      <w:rFonts w:eastAsia="Times New Roman" w:cs="Segoe UI"/>
      <w:sz w:val="22"/>
      <w:szCs w:val="22"/>
      <w:lang w:val="tr-TR"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837188">
      <w:bodyDiv w:val="1"/>
      <w:marLeft w:val="0"/>
      <w:marRight w:val="0"/>
      <w:marTop w:val="0"/>
      <w:marBottom w:val="0"/>
      <w:divBdr>
        <w:top w:val="none" w:sz="0" w:space="0" w:color="auto"/>
        <w:left w:val="none" w:sz="0" w:space="0" w:color="auto"/>
        <w:bottom w:val="none" w:sz="0" w:space="0" w:color="auto"/>
        <w:right w:val="none" w:sz="0" w:space="0" w:color="auto"/>
      </w:divBdr>
      <w:divsChild>
        <w:div w:id="991325783">
          <w:marLeft w:val="0"/>
          <w:marRight w:val="0"/>
          <w:marTop w:val="0"/>
          <w:marBottom w:val="0"/>
          <w:divBdr>
            <w:top w:val="none" w:sz="0" w:space="0" w:color="auto"/>
            <w:left w:val="none" w:sz="0" w:space="0" w:color="auto"/>
            <w:bottom w:val="none" w:sz="0" w:space="0" w:color="auto"/>
            <w:right w:val="none" w:sz="0" w:space="0" w:color="auto"/>
          </w:divBdr>
          <w:divsChild>
            <w:div w:id="180706729">
              <w:marLeft w:val="0"/>
              <w:marRight w:val="0"/>
              <w:marTop w:val="0"/>
              <w:marBottom w:val="0"/>
              <w:divBdr>
                <w:top w:val="none" w:sz="0" w:space="0" w:color="auto"/>
                <w:left w:val="none" w:sz="0" w:space="0" w:color="auto"/>
                <w:bottom w:val="none" w:sz="0" w:space="0" w:color="auto"/>
                <w:right w:val="none" w:sz="0" w:space="0" w:color="auto"/>
              </w:divBdr>
              <w:divsChild>
                <w:div w:id="1508908243">
                  <w:marLeft w:val="0"/>
                  <w:marRight w:val="0"/>
                  <w:marTop w:val="0"/>
                  <w:marBottom w:val="0"/>
                  <w:divBdr>
                    <w:top w:val="none" w:sz="0" w:space="0" w:color="auto"/>
                    <w:left w:val="none" w:sz="0" w:space="0" w:color="auto"/>
                    <w:bottom w:val="none" w:sz="0" w:space="0" w:color="auto"/>
                    <w:right w:val="none" w:sz="0" w:space="0" w:color="auto"/>
                  </w:divBdr>
                  <w:divsChild>
                    <w:div w:id="500198930">
                      <w:marLeft w:val="0"/>
                      <w:marRight w:val="0"/>
                      <w:marTop w:val="0"/>
                      <w:marBottom w:val="0"/>
                      <w:divBdr>
                        <w:top w:val="none" w:sz="0" w:space="0" w:color="auto"/>
                        <w:left w:val="none" w:sz="0" w:space="0" w:color="auto"/>
                        <w:bottom w:val="none" w:sz="0" w:space="0" w:color="auto"/>
                        <w:right w:val="none" w:sz="0" w:space="0" w:color="auto"/>
                      </w:divBdr>
                      <w:divsChild>
                        <w:div w:id="1314408981">
                          <w:marLeft w:val="0"/>
                          <w:marRight w:val="0"/>
                          <w:marTop w:val="0"/>
                          <w:marBottom w:val="0"/>
                          <w:divBdr>
                            <w:top w:val="none" w:sz="0" w:space="0" w:color="auto"/>
                            <w:left w:val="none" w:sz="0" w:space="0" w:color="auto"/>
                            <w:bottom w:val="none" w:sz="0" w:space="0" w:color="auto"/>
                            <w:right w:val="none" w:sz="0" w:space="0" w:color="auto"/>
                          </w:divBdr>
                          <w:divsChild>
                            <w:div w:id="2387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82425">
                  <w:marLeft w:val="0"/>
                  <w:marRight w:val="0"/>
                  <w:marTop w:val="0"/>
                  <w:marBottom w:val="0"/>
                  <w:divBdr>
                    <w:top w:val="none" w:sz="0" w:space="0" w:color="auto"/>
                    <w:left w:val="none" w:sz="0" w:space="0" w:color="auto"/>
                    <w:bottom w:val="none" w:sz="0" w:space="0" w:color="auto"/>
                    <w:right w:val="none" w:sz="0" w:space="0" w:color="auto"/>
                  </w:divBdr>
                  <w:divsChild>
                    <w:div w:id="124494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867639">
      <w:marLeft w:val="0"/>
      <w:marRight w:val="0"/>
      <w:marTop w:val="0"/>
      <w:marBottom w:val="0"/>
      <w:divBdr>
        <w:top w:val="none" w:sz="0" w:space="0" w:color="auto"/>
        <w:left w:val="none" w:sz="0" w:space="0" w:color="auto"/>
        <w:bottom w:val="none" w:sz="0" w:space="0" w:color="auto"/>
        <w:right w:val="none" w:sz="0" w:space="0" w:color="auto"/>
      </w:divBdr>
    </w:div>
    <w:div w:id="1078867642">
      <w:marLeft w:val="0"/>
      <w:marRight w:val="0"/>
      <w:marTop w:val="0"/>
      <w:marBottom w:val="0"/>
      <w:divBdr>
        <w:top w:val="none" w:sz="0" w:space="0" w:color="auto"/>
        <w:left w:val="none" w:sz="0" w:space="0" w:color="auto"/>
        <w:bottom w:val="none" w:sz="0" w:space="0" w:color="auto"/>
        <w:right w:val="none" w:sz="0" w:space="0" w:color="auto"/>
      </w:divBdr>
    </w:div>
    <w:div w:id="1078867644">
      <w:marLeft w:val="0"/>
      <w:marRight w:val="0"/>
      <w:marTop w:val="0"/>
      <w:marBottom w:val="0"/>
      <w:divBdr>
        <w:top w:val="none" w:sz="0" w:space="0" w:color="auto"/>
        <w:left w:val="none" w:sz="0" w:space="0" w:color="auto"/>
        <w:bottom w:val="none" w:sz="0" w:space="0" w:color="auto"/>
        <w:right w:val="none" w:sz="0" w:space="0" w:color="auto"/>
      </w:divBdr>
    </w:div>
    <w:div w:id="1078867645">
      <w:marLeft w:val="0"/>
      <w:marRight w:val="0"/>
      <w:marTop w:val="0"/>
      <w:marBottom w:val="0"/>
      <w:divBdr>
        <w:top w:val="none" w:sz="0" w:space="0" w:color="auto"/>
        <w:left w:val="none" w:sz="0" w:space="0" w:color="auto"/>
        <w:bottom w:val="none" w:sz="0" w:space="0" w:color="auto"/>
        <w:right w:val="none" w:sz="0" w:space="0" w:color="auto"/>
      </w:divBdr>
    </w:div>
    <w:div w:id="1078867646">
      <w:marLeft w:val="0"/>
      <w:marRight w:val="0"/>
      <w:marTop w:val="0"/>
      <w:marBottom w:val="0"/>
      <w:divBdr>
        <w:top w:val="none" w:sz="0" w:space="0" w:color="auto"/>
        <w:left w:val="none" w:sz="0" w:space="0" w:color="auto"/>
        <w:bottom w:val="none" w:sz="0" w:space="0" w:color="auto"/>
        <w:right w:val="none" w:sz="0" w:space="0" w:color="auto"/>
      </w:divBdr>
    </w:div>
    <w:div w:id="1078867648">
      <w:marLeft w:val="0"/>
      <w:marRight w:val="0"/>
      <w:marTop w:val="0"/>
      <w:marBottom w:val="0"/>
      <w:divBdr>
        <w:top w:val="none" w:sz="0" w:space="0" w:color="auto"/>
        <w:left w:val="none" w:sz="0" w:space="0" w:color="auto"/>
        <w:bottom w:val="none" w:sz="0" w:space="0" w:color="auto"/>
        <w:right w:val="none" w:sz="0" w:space="0" w:color="auto"/>
      </w:divBdr>
    </w:div>
    <w:div w:id="1078867649">
      <w:marLeft w:val="0"/>
      <w:marRight w:val="0"/>
      <w:marTop w:val="0"/>
      <w:marBottom w:val="0"/>
      <w:divBdr>
        <w:top w:val="none" w:sz="0" w:space="0" w:color="auto"/>
        <w:left w:val="none" w:sz="0" w:space="0" w:color="auto"/>
        <w:bottom w:val="none" w:sz="0" w:space="0" w:color="auto"/>
        <w:right w:val="none" w:sz="0" w:space="0" w:color="auto"/>
      </w:divBdr>
    </w:div>
    <w:div w:id="1078867650">
      <w:marLeft w:val="0"/>
      <w:marRight w:val="0"/>
      <w:marTop w:val="0"/>
      <w:marBottom w:val="0"/>
      <w:divBdr>
        <w:top w:val="none" w:sz="0" w:space="0" w:color="auto"/>
        <w:left w:val="none" w:sz="0" w:space="0" w:color="auto"/>
        <w:bottom w:val="none" w:sz="0" w:space="0" w:color="auto"/>
        <w:right w:val="none" w:sz="0" w:space="0" w:color="auto"/>
      </w:divBdr>
    </w:div>
    <w:div w:id="1078867651">
      <w:marLeft w:val="0"/>
      <w:marRight w:val="0"/>
      <w:marTop w:val="0"/>
      <w:marBottom w:val="0"/>
      <w:divBdr>
        <w:top w:val="none" w:sz="0" w:space="0" w:color="auto"/>
        <w:left w:val="none" w:sz="0" w:space="0" w:color="auto"/>
        <w:bottom w:val="none" w:sz="0" w:space="0" w:color="auto"/>
        <w:right w:val="none" w:sz="0" w:space="0" w:color="auto"/>
      </w:divBdr>
    </w:div>
    <w:div w:id="1078867652">
      <w:marLeft w:val="0"/>
      <w:marRight w:val="0"/>
      <w:marTop w:val="0"/>
      <w:marBottom w:val="0"/>
      <w:divBdr>
        <w:top w:val="none" w:sz="0" w:space="0" w:color="auto"/>
        <w:left w:val="none" w:sz="0" w:space="0" w:color="auto"/>
        <w:bottom w:val="none" w:sz="0" w:space="0" w:color="auto"/>
        <w:right w:val="none" w:sz="0" w:space="0" w:color="auto"/>
      </w:divBdr>
    </w:div>
    <w:div w:id="1078867653">
      <w:marLeft w:val="0"/>
      <w:marRight w:val="0"/>
      <w:marTop w:val="0"/>
      <w:marBottom w:val="0"/>
      <w:divBdr>
        <w:top w:val="none" w:sz="0" w:space="0" w:color="auto"/>
        <w:left w:val="none" w:sz="0" w:space="0" w:color="auto"/>
        <w:bottom w:val="none" w:sz="0" w:space="0" w:color="auto"/>
        <w:right w:val="none" w:sz="0" w:space="0" w:color="auto"/>
      </w:divBdr>
    </w:div>
    <w:div w:id="1078867654">
      <w:marLeft w:val="0"/>
      <w:marRight w:val="0"/>
      <w:marTop w:val="0"/>
      <w:marBottom w:val="0"/>
      <w:divBdr>
        <w:top w:val="none" w:sz="0" w:space="0" w:color="auto"/>
        <w:left w:val="none" w:sz="0" w:space="0" w:color="auto"/>
        <w:bottom w:val="none" w:sz="0" w:space="0" w:color="auto"/>
        <w:right w:val="none" w:sz="0" w:space="0" w:color="auto"/>
      </w:divBdr>
    </w:div>
    <w:div w:id="1078867657">
      <w:marLeft w:val="0"/>
      <w:marRight w:val="0"/>
      <w:marTop w:val="0"/>
      <w:marBottom w:val="0"/>
      <w:divBdr>
        <w:top w:val="none" w:sz="0" w:space="0" w:color="auto"/>
        <w:left w:val="none" w:sz="0" w:space="0" w:color="auto"/>
        <w:bottom w:val="none" w:sz="0" w:space="0" w:color="auto"/>
        <w:right w:val="none" w:sz="0" w:space="0" w:color="auto"/>
      </w:divBdr>
      <w:divsChild>
        <w:div w:id="1078867640">
          <w:marLeft w:val="0"/>
          <w:marRight w:val="0"/>
          <w:marTop w:val="0"/>
          <w:marBottom w:val="0"/>
          <w:divBdr>
            <w:top w:val="none" w:sz="0" w:space="0" w:color="auto"/>
            <w:left w:val="none" w:sz="0" w:space="0" w:color="auto"/>
            <w:bottom w:val="none" w:sz="0" w:space="0" w:color="auto"/>
            <w:right w:val="none" w:sz="0" w:space="0" w:color="auto"/>
          </w:divBdr>
        </w:div>
        <w:div w:id="1078867641">
          <w:marLeft w:val="0"/>
          <w:marRight w:val="0"/>
          <w:marTop w:val="0"/>
          <w:marBottom w:val="0"/>
          <w:divBdr>
            <w:top w:val="none" w:sz="0" w:space="0" w:color="auto"/>
            <w:left w:val="none" w:sz="0" w:space="0" w:color="auto"/>
            <w:bottom w:val="none" w:sz="0" w:space="0" w:color="auto"/>
            <w:right w:val="none" w:sz="0" w:space="0" w:color="auto"/>
          </w:divBdr>
        </w:div>
        <w:div w:id="1078867643">
          <w:marLeft w:val="0"/>
          <w:marRight w:val="0"/>
          <w:marTop w:val="0"/>
          <w:marBottom w:val="0"/>
          <w:divBdr>
            <w:top w:val="none" w:sz="0" w:space="0" w:color="auto"/>
            <w:left w:val="none" w:sz="0" w:space="0" w:color="auto"/>
            <w:bottom w:val="none" w:sz="0" w:space="0" w:color="auto"/>
            <w:right w:val="none" w:sz="0" w:space="0" w:color="auto"/>
          </w:divBdr>
        </w:div>
        <w:div w:id="1078867647">
          <w:marLeft w:val="0"/>
          <w:marRight w:val="0"/>
          <w:marTop w:val="0"/>
          <w:marBottom w:val="0"/>
          <w:divBdr>
            <w:top w:val="none" w:sz="0" w:space="0" w:color="auto"/>
            <w:left w:val="none" w:sz="0" w:space="0" w:color="auto"/>
            <w:bottom w:val="none" w:sz="0" w:space="0" w:color="auto"/>
            <w:right w:val="none" w:sz="0" w:space="0" w:color="auto"/>
          </w:divBdr>
        </w:div>
        <w:div w:id="1078867655">
          <w:marLeft w:val="0"/>
          <w:marRight w:val="0"/>
          <w:marTop w:val="0"/>
          <w:marBottom w:val="0"/>
          <w:divBdr>
            <w:top w:val="none" w:sz="0" w:space="0" w:color="auto"/>
            <w:left w:val="none" w:sz="0" w:space="0" w:color="auto"/>
            <w:bottom w:val="none" w:sz="0" w:space="0" w:color="auto"/>
            <w:right w:val="none" w:sz="0" w:space="0" w:color="auto"/>
          </w:divBdr>
        </w:div>
        <w:div w:id="1078867656">
          <w:marLeft w:val="0"/>
          <w:marRight w:val="0"/>
          <w:marTop w:val="0"/>
          <w:marBottom w:val="0"/>
          <w:divBdr>
            <w:top w:val="none" w:sz="0" w:space="0" w:color="auto"/>
            <w:left w:val="none" w:sz="0" w:space="0" w:color="auto"/>
            <w:bottom w:val="none" w:sz="0" w:space="0" w:color="auto"/>
            <w:right w:val="none" w:sz="0" w:space="0" w:color="auto"/>
          </w:divBdr>
        </w:div>
      </w:divsChild>
    </w:div>
    <w:div w:id="1078867658">
      <w:marLeft w:val="0"/>
      <w:marRight w:val="0"/>
      <w:marTop w:val="0"/>
      <w:marBottom w:val="0"/>
      <w:divBdr>
        <w:top w:val="none" w:sz="0" w:space="0" w:color="auto"/>
        <w:left w:val="none" w:sz="0" w:space="0" w:color="auto"/>
        <w:bottom w:val="none" w:sz="0" w:space="0" w:color="auto"/>
        <w:right w:val="none" w:sz="0" w:space="0" w:color="auto"/>
      </w:divBdr>
    </w:div>
    <w:div w:id="2005428447">
      <w:bodyDiv w:val="1"/>
      <w:marLeft w:val="0"/>
      <w:marRight w:val="0"/>
      <w:marTop w:val="0"/>
      <w:marBottom w:val="0"/>
      <w:divBdr>
        <w:top w:val="none" w:sz="0" w:space="0" w:color="auto"/>
        <w:left w:val="none" w:sz="0" w:space="0" w:color="auto"/>
        <w:bottom w:val="none" w:sz="0" w:space="0" w:color="auto"/>
        <w:right w:val="none" w:sz="0" w:space="0" w:color="auto"/>
      </w:divBdr>
      <w:divsChild>
        <w:div w:id="2067603011">
          <w:marLeft w:val="0"/>
          <w:marRight w:val="0"/>
          <w:marTop w:val="0"/>
          <w:marBottom w:val="0"/>
          <w:divBdr>
            <w:top w:val="none" w:sz="0" w:space="0" w:color="auto"/>
            <w:left w:val="none" w:sz="0" w:space="0" w:color="auto"/>
            <w:bottom w:val="none" w:sz="0" w:space="0" w:color="auto"/>
            <w:right w:val="none" w:sz="0" w:space="0" w:color="auto"/>
          </w:divBdr>
          <w:divsChild>
            <w:div w:id="266273779">
              <w:marLeft w:val="0"/>
              <w:marRight w:val="0"/>
              <w:marTop w:val="0"/>
              <w:marBottom w:val="0"/>
              <w:divBdr>
                <w:top w:val="none" w:sz="0" w:space="0" w:color="auto"/>
                <w:left w:val="none" w:sz="0" w:space="0" w:color="auto"/>
                <w:bottom w:val="none" w:sz="0" w:space="0" w:color="auto"/>
                <w:right w:val="none" w:sz="0" w:space="0" w:color="auto"/>
              </w:divBdr>
              <w:divsChild>
                <w:div w:id="1975940142">
                  <w:marLeft w:val="0"/>
                  <w:marRight w:val="0"/>
                  <w:marTop w:val="0"/>
                  <w:marBottom w:val="0"/>
                  <w:divBdr>
                    <w:top w:val="none" w:sz="0" w:space="0" w:color="auto"/>
                    <w:left w:val="none" w:sz="0" w:space="0" w:color="auto"/>
                    <w:bottom w:val="none" w:sz="0" w:space="0" w:color="auto"/>
                    <w:right w:val="none" w:sz="0" w:space="0" w:color="auto"/>
                  </w:divBdr>
                  <w:divsChild>
                    <w:div w:id="1430924995">
                      <w:marLeft w:val="0"/>
                      <w:marRight w:val="0"/>
                      <w:marTop w:val="0"/>
                      <w:marBottom w:val="0"/>
                      <w:divBdr>
                        <w:top w:val="none" w:sz="0" w:space="0" w:color="auto"/>
                        <w:left w:val="none" w:sz="0" w:space="0" w:color="auto"/>
                        <w:bottom w:val="none" w:sz="0" w:space="0" w:color="auto"/>
                        <w:right w:val="none" w:sz="0" w:space="0" w:color="auto"/>
                      </w:divBdr>
                      <w:divsChild>
                        <w:div w:id="851143199">
                          <w:marLeft w:val="0"/>
                          <w:marRight w:val="0"/>
                          <w:marTop w:val="0"/>
                          <w:marBottom w:val="0"/>
                          <w:divBdr>
                            <w:top w:val="none" w:sz="0" w:space="0" w:color="auto"/>
                            <w:left w:val="none" w:sz="0" w:space="0" w:color="auto"/>
                            <w:bottom w:val="none" w:sz="0" w:space="0" w:color="auto"/>
                            <w:right w:val="none" w:sz="0" w:space="0" w:color="auto"/>
                          </w:divBdr>
                          <w:divsChild>
                            <w:div w:id="181980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823845">
                  <w:marLeft w:val="0"/>
                  <w:marRight w:val="0"/>
                  <w:marTop w:val="0"/>
                  <w:marBottom w:val="0"/>
                  <w:divBdr>
                    <w:top w:val="none" w:sz="0" w:space="0" w:color="auto"/>
                    <w:left w:val="none" w:sz="0" w:space="0" w:color="auto"/>
                    <w:bottom w:val="none" w:sz="0" w:space="0" w:color="auto"/>
                    <w:right w:val="none" w:sz="0" w:space="0" w:color="auto"/>
                  </w:divBdr>
                  <w:divsChild>
                    <w:div w:id="76095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2f792e8-4dad-42c1-ad63-44982727bf4d"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22" ma:contentTypeDescription="Create a new document." ma:contentTypeScope="" ma:versionID="e8b64b52e1ac86ee121164444417b25c">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9c7c8f3a356123b03710f7456b134ef0"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ef406d6b-70e0-427c-b08d-4edfc77771aa"/>
    <lcf76f155ced4ddcb4097134ff3c332f xmlns="487aa4a8-6e08-4624-a126-3644f60fbb35">
      <Terms xmlns="http://schemas.microsoft.com/office/infopath/2007/PartnerControls"/>
    </lcf76f155ced4ddcb4097134ff3c332f>
    <Datum xmlns="487aa4a8-6e08-4624-a126-3644f60fbb35" xsi:nil="true"/>
  </documentManagement>
</p:properties>
</file>

<file path=customXml/itemProps1.xml><?xml version="1.0" encoding="utf-8"?>
<ds:datastoreItem xmlns:ds="http://schemas.openxmlformats.org/officeDocument/2006/customXml" ds:itemID="{D53BAAF1-CF2F-4058-B02C-75239C5F4A4D}">
  <ds:schemaRefs>
    <ds:schemaRef ds:uri="http://schemas.openxmlformats.org/officeDocument/2006/bibliography"/>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5580E192-6FC8-46C4-8E80-19D6D1031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EBF90CF0-BE31-4C9C-880F-03D2B51C56C6}">
  <ds:schemaRefs>
    <ds:schemaRef ds:uri="http://schemas.microsoft.com/office/2006/metadata/properties"/>
    <ds:schemaRef ds:uri="http://schemas.microsoft.com/office/infopath/2007/PartnerControls"/>
    <ds:schemaRef ds:uri="ef406d6b-70e0-427c-b08d-4edfc77771aa"/>
    <ds:schemaRef ds:uri="487aa4a8-6e08-4624-a126-3644f60fbb35"/>
  </ds:schemaRefs>
</ds:datastoreItem>
</file>

<file path=docProps/app.xml><?xml version="1.0" encoding="utf-8"?>
<Properties xmlns="http://schemas.openxmlformats.org/officeDocument/2006/extended-properties" xmlns:vt="http://schemas.openxmlformats.org/officeDocument/2006/docPropsVTypes">
  <Template>C:\Users\frohng\AppData\Local\Temp\Temp1_Completed.zip\Completed\segoe-Henkel-press-release-template-2020-english.dotx</Template>
  <TotalTime>2</TotalTime>
  <Pages>6</Pages>
  <Words>2110</Words>
  <Characters>13740</Characters>
  <Application>Microsoft Office Word</Application>
  <DocSecurity>0</DocSecurity>
  <Lines>114</Lines>
  <Paragraphs>31</Paragraphs>
  <ScaleCrop>false</ScaleCrop>
  <HeadingPairs>
    <vt:vector size="2" baseType="variant">
      <vt:variant>
        <vt:lpstr>Konu Başlığı</vt:lpstr>
      </vt:variant>
      <vt:variant>
        <vt:i4>1</vt:i4>
      </vt:variant>
    </vt:vector>
  </HeadingPairs>
  <TitlesOfParts>
    <vt:vector size="1" baseType="lpstr">
      <vt:lpstr>Pressemitteilung</vt:lpstr>
    </vt:vector>
  </TitlesOfParts>
  <Company>Henkel AG &amp; Co. KGaA</Company>
  <LinksUpToDate>false</LinksUpToDate>
  <CharactersWithSpaces>15819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IMB</cp:lastModifiedBy>
  <cp:revision>144</cp:revision>
  <cp:lastPrinted>2025-07-30T07:03:00Z</cp:lastPrinted>
  <dcterms:created xsi:type="dcterms:W3CDTF">2025-08-07T06:35:00Z</dcterms:created>
  <dcterms:modified xsi:type="dcterms:W3CDTF">2025-08-18T07:11:00Z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y fmtid="{D5CDD505-2E9C-101B-9397-08002B2CF9AE}" pid="3" name="MediaServiceImageTags">
    <vt:lpwstr/>
  </property>
</Properties>
</file>