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3927B969" w:rsidR="00B422EC" w:rsidRPr="006374E0" w:rsidRDefault="00FF3975" w:rsidP="00643D8A">
      <w:pPr>
        <w:pStyle w:val="MonthDayYear"/>
        <w:rPr>
          <w:lang w:val="fr-FR"/>
        </w:rPr>
      </w:pPr>
      <w:r>
        <w:rPr>
          <w:lang w:val="fr-FR"/>
        </w:rPr>
        <w:t xml:space="preserve">18 </w:t>
      </w:r>
      <w:r w:rsidR="00B20FA7" w:rsidRPr="006374E0">
        <w:rPr>
          <w:lang w:val="fr-FR"/>
        </w:rPr>
        <w:t>février</w:t>
      </w:r>
      <w:r w:rsidR="00BF6E82" w:rsidRPr="006374E0">
        <w:rPr>
          <w:lang w:val="fr-FR"/>
        </w:rPr>
        <w:t xml:space="preserve"> 20</w:t>
      </w:r>
      <w:r w:rsidR="00F815D3" w:rsidRPr="006374E0">
        <w:rPr>
          <w:lang w:val="fr-FR"/>
        </w:rPr>
        <w:t>2</w:t>
      </w:r>
      <w:r w:rsidR="00F236F6" w:rsidRPr="006374E0">
        <w:rPr>
          <w:lang w:val="fr-FR"/>
        </w:rPr>
        <w:t>6</w:t>
      </w:r>
    </w:p>
    <w:p w14:paraId="09896324" w14:textId="048C8C4C" w:rsidR="007F0F63" w:rsidRPr="006374E0" w:rsidRDefault="00BD6041" w:rsidP="009D1522">
      <w:pPr>
        <w:pStyle w:val="Topline"/>
        <w:rPr>
          <w:lang w:val="fr-FR"/>
        </w:rPr>
      </w:pPr>
      <w:r>
        <w:rPr>
          <w:lang w:val="fr-FR"/>
        </w:rPr>
        <w:t>Progr</w:t>
      </w:r>
      <w:r w:rsidR="00FF3975">
        <w:rPr>
          <w:lang w:val="fr-FR"/>
        </w:rPr>
        <w:t>è</w:t>
      </w:r>
      <w:r>
        <w:rPr>
          <w:lang w:val="fr-FR"/>
        </w:rPr>
        <w:t>s</w:t>
      </w:r>
      <w:r w:rsidR="006374E0" w:rsidRPr="006374E0">
        <w:rPr>
          <w:lang w:val="fr-FR"/>
        </w:rPr>
        <w:t xml:space="preserve"> des notations en matière de développement durable</w:t>
      </w:r>
    </w:p>
    <w:p w14:paraId="6706FA18" w14:textId="09A63A33" w:rsidR="00852511" w:rsidRDefault="001A43EC" w:rsidP="00365E44">
      <w:pPr>
        <w:rPr>
          <w:b/>
          <w:bCs/>
          <w:sz w:val="32"/>
          <w:lang w:val="fr-FR"/>
        </w:rPr>
      </w:pPr>
      <w:r w:rsidRPr="001A43EC">
        <w:rPr>
          <w:b/>
          <w:bCs/>
          <w:sz w:val="32"/>
          <w:lang w:val="fr-FR"/>
        </w:rPr>
        <w:t xml:space="preserve">Henkel progresse dans les évaluations CDP et </w:t>
      </w:r>
      <w:proofErr w:type="spellStart"/>
      <w:r w:rsidRPr="001A43EC">
        <w:rPr>
          <w:b/>
          <w:bCs/>
          <w:sz w:val="32"/>
          <w:lang w:val="fr-FR"/>
        </w:rPr>
        <w:t>EcoVadis</w:t>
      </w:r>
      <w:proofErr w:type="spellEnd"/>
    </w:p>
    <w:p w14:paraId="0AD06347" w14:textId="77777777" w:rsidR="001A43EC" w:rsidRPr="001A43EC" w:rsidRDefault="001A43EC" w:rsidP="00365E44">
      <w:pPr>
        <w:rPr>
          <w:lang w:val="fr-FR"/>
        </w:rPr>
      </w:pPr>
    </w:p>
    <w:p w14:paraId="72FFF6B2" w14:textId="4881A5C1" w:rsidR="00E75096" w:rsidRPr="006374E0" w:rsidRDefault="00E75096" w:rsidP="00E75096">
      <w:pPr>
        <w:rPr>
          <w:rFonts w:cs="Segoe UI"/>
          <w:szCs w:val="22"/>
          <w:lang w:val="fr-FR"/>
        </w:rPr>
      </w:pPr>
      <w:r w:rsidRPr="006374E0">
        <w:rPr>
          <w:rFonts w:cs="Segoe UI"/>
          <w:szCs w:val="22"/>
          <w:lang w:val="fr-FR"/>
        </w:rPr>
        <w:t>Düsseldorf</w:t>
      </w:r>
      <w:r w:rsidR="007F0F63" w:rsidRPr="006374E0">
        <w:rPr>
          <w:rFonts w:cs="Segoe UI"/>
          <w:szCs w:val="22"/>
          <w:lang w:val="fr-FR"/>
        </w:rPr>
        <w:t xml:space="preserve"> – </w:t>
      </w:r>
      <w:r w:rsidR="006A3EEB" w:rsidRPr="006A3EEB">
        <w:rPr>
          <w:rFonts w:cs="Segoe UI"/>
          <w:szCs w:val="22"/>
          <w:lang w:val="fr-FR"/>
        </w:rPr>
        <w:t xml:space="preserve">Henkel annonce une nouvelle progression dans deux des principales évaluations internationales en matière de développement durable. Les résultats récemment publiés par CDP et </w:t>
      </w:r>
      <w:proofErr w:type="spellStart"/>
      <w:r w:rsidR="006A3EEB" w:rsidRPr="006A3EEB">
        <w:rPr>
          <w:rFonts w:cs="Segoe UI"/>
          <w:szCs w:val="22"/>
          <w:lang w:val="fr-FR"/>
        </w:rPr>
        <w:t>EcoVadis</w:t>
      </w:r>
      <w:proofErr w:type="spellEnd"/>
      <w:r w:rsidR="006A3EEB" w:rsidRPr="006A3EEB">
        <w:rPr>
          <w:rFonts w:cs="Segoe UI"/>
          <w:szCs w:val="22"/>
          <w:lang w:val="fr-FR"/>
        </w:rPr>
        <w:t xml:space="preserve"> confirment la dynamique d’amélioration continue du Groupe et renforcent sa position parmi les entreprises les plus engagées sur les enjeux environnementaux, sociaux et de gouvernance.</w:t>
      </w:r>
    </w:p>
    <w:p w14:paraId="74BEAF1A" w14:textId="77777777" w:rsidR="00DF7BE8" w:rsidRPr="006374E0" w:rsidRDefault="00DF7BE8" w:rsidP="00E75096">
      <w:pPr>
        <w:rPr>
          <w:rFonts w:cs="Segoe UI"/>
          <w:szCs w:val="22"/>
          <w:lang w:val="fr-FR"/>
        </w:rPr>
      </w:pPr>
    </w:p>
    <w:p w14:paraId="7A2E09D6" w14:textId="73810F70" w:rsidR="006374E0" w:rsidRPr="006374E0" w:rsidRDefault="006374E0" w:rsidP="00E75096">
      <w:pPr>
        <w:rPr>
          <w:rFonts w:cs="Segoe UI"/>
          <w:szCs w:val="22"/>
          <w:lang w:val="fr-FR"/>
        </w:rPr>
      </w:pPr>
      <w:r w:rsidRPr="006374E0">
        <w:rPr>
          <w:rFonts w:cs="Segoe UI"/>
          <w:szCs w:val="22"/>
          <w:lang w:val="fr-FR"/>
        </w:rPr>
        <w:t xml:space="preserve">Dans </w:t>
      </w:r>
      <w:r w:rsidRPr="006374E0">
        <w:rPr>
          <w:rFonts w:cs="Segoe UI"/>
          <w:b/>
          <w:bCs/>
          <w:szCs w:val="22"/>
          <w:lang w:val="fr-FR"/>
        </w:rPr>
        <w:t>l’évaluation CDP 2025</w:t>
      </w:r>
      <w:r w:rsidRPr="006374E0">
        <w:rPr>
          <w:rFonts w:cs="Segoe UI"/>
          <w:szCs w:val="22"/>
          <w:lang w:val="fr-FR"/>
        </w:rPr>
        <w:t xml:space="preserve">, Henkel obtient pour la première fois la </w:t>
      </w:r>
      <w:r w:rsidRPr="00FF3975">
        <w:rPr>
          <w:rFonts w:cs="Segoe UI"/>
          <w:b/>
          <w:bCs/>
          <w:szCs w:val="22"/>
          <w:lang w:val="fr-FR"/>
        </w:rPr>
        <w:t>note A</w:t>
      </w:r>
      <w:r w:rsidRPr="006374E0">
        <w:rPr>
          <w:rFonts w:cs="Segoe UI"/>
          <w:szCs w:val="22"/>
          <w:lang w:val="fr-FR"/>
        </w:rPr>
        <w:t xml:space="preserve"> pour </w:t>
      </w:r>
      <w:r w:rsidR="00C94F0F">
        <w:rPr>
          <w:rFonts w:cs="Segoe UI"/>
          <w:szCs w:val="22"/>
          <w:lang w:val="fr-FR"/>
        </w:rPr>
        <w:t xml:space="preserve">son </w:t>
      </w:r>
      <w:r w:rsidR="00C94F0F" w:rsidRPr="00FF3975">
        <w:rPr>
          <w:rFonts w:cs="Segoe UI"/>
          <w:b/>
          <w:bCs/>
          <w:szCs w:val="22"/>
          <w:lang w:val="fr-FR"/>
        </w:rPr>
        <w:t xml:space="preserve">action </w:t>
      </w:r>
      <w:r w:rsidRPr="00FF3975">
        <w:rPr>
          <w:rFonts w:cs="Segoe UI"/>
          <w:b/>
          <w:bCs/>
          <w:szCs w:val="22"/>
          <w:lang w:val="fr-FR"/>
        </w:rPr>
        <w:t>climat</w:t>
      </w:r>
      <w:r w:rsidR="00C94F0F" w:rsidRPr="00FF3975">
        <w:rPr>
          <w:rFonts w:cs="Segoe UI"/>
          <w:b/>
          <w:bCs/>
          <w:szCs w:val="22"/>
          <w:lang w:val="fr-FR"/>
        </w:rPr>
        <w:t>ique</w:t>
      </w:r>
      <w:r w:rsidRPr="006374E0">
        <w:rPr>
          <w:rFonts w:cs="Segoe UI"/>
          <w:szCs w:val="22"/>
          <w:lang w:val="fr-FR"/>
        </w:rPr>
        <w:t xml:space="preserve">. L’entreprise décroche également la </w:t>
      </w:r>
      <w:r w:rsidRPr="006374E0">
        <w:rPr>
          <w:rFonts w:cs="Segoe UI"/>
          <w:b/>
          <w:bCs/>
          <w:szCs w:val="22"/>
          <w:lang w:val="fr-FR"/>
        </w:rPr>
        <w:t xml:space="preserve">note B </w:t>
      </w:r>
      <w:r w:rsidRPr="006374E0">
        <w:rPr>
          <w:rFonts w:cs="Segoe UI"/>
          <w:szCs w:val="22"/>
          <w:lang w:val="fr-FR"/>
        </w:rPr>
        <w:t xml:space="preserve">pour </w:t>
      </w:r>
      <w:r w:rsidRPr="006374E0">
        <w:rPr>
          <w:rFonts w:cs="Segoe UI"/>
          <w:b/>
          <w:bCs/>
          <w:szCs w:val="22"/>
          <w:lang w:val="fr-FR"/>
        </w:rPr>
        <w:t>la gestion de l’eau</w:t>
      </w:r>
      <w:r w:rsidRPr="006374E0">
        <w:rPr>
          <w:rFonts w:cs="Segoe UI"/>
          <w:szCs w:val="22"/>
          <w:lang w:val="fr-FR"/>
        </w:rPr>
        <w:t xml:space="preserve"> et pour </w:t>
      </w:r>
      <w:r w:rsidRPr="006374E0">
        <w:rPr>
          <w:rFonts w:cs="Segoe UI"/>
          <w:b/>
          <w:bCs/>
          <w:szCs w:val="22"/>
          <w:lang w:val="fr-FR"/>
        </w:rPr>
        <w:t>les forêts</w:t>
      </w:r>
      <w:r w:rsidRPr="006374E0">
        <w:rPr>
          <w:rFonts w:cs="Segoe UI"/>
          <w:szCs w:val="22"/>
          <w:lang w:val="fr-FR"/>
        </w:rPr>
        <w:t>. Le CDP évalue</w:t>
      </w:r>
      <w:r w:rsidR="00A458A5">
        <w:rPr>
          <w:rFonts w:cs="Segoe UI"/>
          <w:szCs w:val="22"/>
          <w:lang w:val="fr-FR"/>
        </w:rPr>
        <w:t xml:space="preserve"> chaque année</w:t>
      </w:r>
      <w:r w:rsidRPr="006374E0">
        <w:rPr>
          <w:rFonts w:cs="Segoe UI"/>
          <w:szCs w:val="22"/>
          <w:lang w:val="fr-FR"/>
        </w:rPr>
        <w:t xml:space="preserve"> les entreprises du monde entier </w:t>
      </w:r>
      <w:r w:rsidR="00921200" w:rsidRPr="00921200">
        <w:rPr>
          <w:rFonts w:cs="Segoe UI"/>
          <w:szCs w:val="22"/>
          <w:lang w:val="fr-FR"/>
        </w:rPr>
        <w:t xml:space="preserve">sur la base de leurs actions et de leur </w:t>
      </w:r>
      <w:proofErr w:type="spellStart"/>
      <w:r w:rsidR="00921200" w:rsidRPr="00921200">
        <w:rPr>
          <w:rFonts w:cs="Segoe UI"/>
          <w:szCs w:val="22"/>
          <w:lang w:val="fr-FR"/>
        </w:rPr>
        <w:t>reporting</w:t>
      </w:r>
      <w:proofErr w:type="spellEnd"/>
      <w:r w:rsidR="00921200" w:rsidRPr="00921200">
        <w:rPr>
          <w:rFonts w:cs="Segoe UI"/>
          <w:szCs w:val="22"/>
          <w:lang w:val="fr-FR"/>
        </w:rPr>
        <w:t xml:space="preserve"> en matière de climat et de ressources naturelles</w:t>
      </w:r>
      <w:r w:rsidR="00921200">
        <w:rPr>
          <w:rFonts w:cs="Segoe UI"/>
          <w:szCs w:val="22"/>
          <w:lang w:val="fr-FR"/>
        </w:rPr>
        <w:t>.</w:t>
      </w:r>
    </w:p>
    <w:p w14:paraId="732BB5BE" w14:textId="77777777" w:rsidR="00DF7BE8" w:rsidRPr="00A458A5" w:rsidRDefault="00DF7BE8" w:rsidP="00E75096">
      <w:pPr>
        <w:rPr>
          <w:rFonts w:cs="Segoe UI"/>
          <w:szCs w:val="22"/>
          <w:lang w:val="fr-FR"/>
        </w:rPr>
      </w:pPr>
    </w:p>
    <w:p w14:paraId="10F603FB" w14:textId="1FCB32E9" w:rsidR="00C66D05" w:rsidRPr="00C66D05" w:rsidRDefault="00C66D05" w:rsidP="00E75096">
      <w:pPr>
        <w:rPr>
          <w:rFonts w:cs="Segoe UI"/>
          <w:szCs w:val="22"/>
          <w:lang w:val="fr-FR"/>
        </w:rPr>
      </w:pPr>
      <w:r w:rsidRPr="00C66D05">
        <w:rPr>
          <w:rFonts w:cs="Segoe UI"/>
          <w:szCs w:val="22"/>
          <w:lang w:val="fr-FR"/>
        </w:rPr>
        <w:t xml:space="preserve">Henkel progresse aussi dans la dernière </w:t>
      </w:r>
      <w:r w:rsidRPr="00C66D05">
        <w:rPr>
          <w:rFonts w:cs="Segoe UI"/>
          <w:b/>
          <w:bCs/>
          <w:szCs w:val="22"/>
          <w:lang w:val="fr-FR"/>
        </w:rPr>
        <w:t xml:space="preserve">évaluation </w:t>
      </w:r>
      <w:proofErr w:type="spellStart"/>
      <w:r w:rsidRPr="00C66D05">
        <w:rPr>
          <w:rFonts w:cs="Segoe UI"/>
          <w:b/>
          <w:bCs/>
          <w:szCs w:val="22"/>
          <w:lang w:val="fr-FR"/>
        </w:rPr>
        <w:t>EcoVadis</w:t>
      </w:r>
      <w:proofErr w:type="spellEnd"/>
      <w:r w:rsidRPr="00C66D05">
        <w:rPr>
          <w:rFonts w:cs="Segoe UI"/>
          <w:szCs w:val="22"/>
          <w:lang w:val="fr-FR"/>
        </w:rPr>
        <w:t xml:space="preserve"> : avec un score de </w:t>
      </w:r>
      <w:r w:rsidRPr="00C66D05">
        <w:rPr>
          <w:rFonts w:cs="Segoe UI"/>
          <w:b/>
          <w:bCs/>
          <w:szCs w:val="22"/>
          <w:lang w:val="fr-FR"/>
        </w:rPr>
        <w:t>84 points</w:t>
      </w:r>
      <w:r w:rsidRPr="00C66D05">
        <w:rPr>
          <w:rFonts w:cs="Segoe UI"/>
          <w:szCs w:val="22"/>
          <w:lang w:val="fr-FR"/>
        </w:rPr>
        <w:t xml:space="preserve"> (contre 78 l’année précédente), l’entreprise reçoit une nouvelle fois la </w:t>
      </w:r>
      <w:r w:rsidR="00130EF8">
        <w:rPr>
          <w:rFonts w:cs="Segoe UI"/>
          <w:b/>
          <w:bCs/>
          <w:szCs w:val="22"/>
          <w:lang w:val="fr-FR"/>
        </w:rPr>
        <w:t>M</w:t>
      </w:r>
      <w:r w:rsidRPr="00C66D05">
        <w:rPr>
          <w:rFonts w:cs="Segoe UI"/>
          <w:b/>
          <w:bCs/>
          <w:szCs w:val="22"/>
          <w:lang w:val="fr-FR"/>
        </w:rPr>
        <w:t xml:space="preserve">édaille </w:t>
      </w:r>
      <w:r w:rsidR="00130EF8">
        <w:rPr>
          <w:rFonts w:cs="Segoe UI"/>
          <w:b/>
          <w:bCs/>
          <w:szCs w:val="22"/>
          <w:lang w:val="fr-FR"/>
        </w:rPr>
        <w:t>O</w:t>
      </w:r>
      <w:r w:rsidRPr="00C66D05">
        <w:rPr>
          <w:rFonts w:cs="Segoe UI"/>
          <w:b/>
          <w:bCs/>
          <w:szCs w:val="22"/>
          <w:lang w:val="fr-FR"/>
        </w:rPr>
        <w:t>r</w:t>
      </w:r>
      <w:r w:rsidRPr="00C66D05">
        <w:rPr>
          <w:rFonts w:cs="Segoe UI"/>
          <w:szCs w:val="22"/>
          <w:lang w:val="fr-FR"/>
        </w:rPr>
        <w:t xml:space="preserve">, ce qui la place dans le </w:t>
      </w:r>
      <w:r w:rsidRPr="00C66D05">
        <w:rPr>
          <w:rFonts w:cs="Segoe UI"/>
          <w:b/>
          <w:bCs/>
          <w:szCs w:val="22"/>
          <w:lang w:val="fr-FR"/>
        </w:rPr>
        <w:t>top 5 %</w:t>
      </w:r>
      <w:r w:rsidRPr="00C66D05">
        <w:rPr>
          <w:rFonts w:cs="Segoe UI"/>
          <w:szCs w:val="22"/>
          <w:lang w:val="fr-FR"/>
        </w:rPr>
        <w:t xml:space="preserve"> des entreprises évaluées au niveau mondial. </w:t>
      </w:r>
      <w:proofErr w:type="spellStart"/>
      <w:r w:rsidRPr="00C66D05">
        <w:rPr>
          <w:rFonts w:cs="Segoe UI"/>
          <w:szCs w:val="22"/>
          <w:lang w:val="fr-FR"/>
        </w:rPr>
        <w:t>EcoVadis</w:t>
      </w:r>
      <w:proofErr w:type="spellEnd"/>
      <w:r w:rsidRPr="00C66D05">
        <w:rPr>
          <w:rFonts w:cs="Segoe UI"/>
          <w:szCs w:val="22"/>
          <w:lang w:val="fr-FR"/>
        </w:rPr>
        <w:t xml:space="preserve"> analyse la performance des entreprises en matière d’environnement, de conditions de travail et droits humains, d’éthique et d’achats responsables.</w:t>
      </w:r>
    </w:p>
    <w:p w14:paraId="5CB2C48A" w14:textId="77777777" w:rsidR="00DF7BE8" w:rsidRPr="00BD6041" w:rsidRDefault="00DF7BE8" w:rsidP="00E75096">
      <w:pPr>
        <w:rPr>
          <w:rFonts w:cs="Segoe UI"/>
          <w:szCs w:val="22"/>
          <w:lang w:val="fr-FR"/>
        </w:rPr>
      </w:pPr>
    </w:p>
    <w:p w14:paraId="59FB20F3" w14:textId="64CE7543" w:rsidR="00C66D05" w:rsidRDefault="00F86CC2" w:rsidP="00E75096">
      <w:pPr>
        <w:rPr>
          <w:rFonts w:cs="Segoe UI"/>
          <w:szCs w:val="22"/>
          <w:lang w:val="fr-FR"/>
        </w:rPr>
      </w:pPr>
      <w:r w:rsidRPr="00F86CC2">
        <w:rPr>
          <w:rFonts w:cs="Segoe UI"/>
          <w:szCs w:val="22"/>
          <w:lang w:val="fr-FR"/>
        </w:rPr>
        <w:t>Henkel figure également parmi les entreprises reconnues par d’autres agences et organismes de référence</w:t>
      </w:r>
      <w:r>
        <w:rPr>
          <w:rFonts w:cs="Segoe UI"/>
          <w:szCs w:val="22"/>
          <w:lang w:val="fr-FR"/>
        </w:rPr>
        <w:t xml:space="preserve"> en matière de développement durable</w:t>
      </w:r>
      <w:r w:rsidRPr="00F86CC2">
        <w:rPr>
          <w:rFonts w:cs="Segoe UI"/>
          <w:szCs w:val="22"/>
          <w:lang w:val="fr-FR"/>
        </w:rPr>
        <w:t xml:space="preserve">, tels que Morningstar </w:t>
      </w:r>
      <w:proofErr w:type="spellStart"/>
      <w:r w:rsidRPr="00F86CC2">
        <w:rPr>
          <w:rFonts w:cs="Segoe UI"/>
          <w:szCs w:val="22"/>
          <w:lang w:val="fr-FR"/>
        </w:rPr>
        <w:t>Sustainalytics</w:t>
      </w:r>
      <w:proofErr w:type="spellEnd"/>
      <w:r w:rsidRPr="00F86CC2">
        <w:rPr>
          <w:rFonts w:cs="Segoe UI"/>
          <w:szCs w:val="22"/>
          <w:lang w:val="fr-FR"/>
        </w:rPr>
        <w:t>, ISS ESG ou MSCI</w:t>
      </w:r>
      <w:r>
        <w:rPr>
          <w:rFonts w:cs="Segoe UI"/>
          <w:szCs w:val="22"/>
          <w:lang w:val="fr-FR"/>
        </w:rPr>
        <w:t>.</w:t>
      </w:r>
    </w:p>
    <w:p w14:paraId="26969ECB" w14:textId="77777777" w:rsidR="00F86CC2" w:rsidRPr="00C66D05" w:rsidRDefault="00F86CC2" w:rsidP="00E75096">
      <w:pPr>
        <w:rPr>
          <w:rFonts w:cs="Segoe UI"/>
          <w:szCs w:val="22"/>
          <w:lang w:val="fr-FR"/>
        </w:rPr>
      </w:pPr>
    </w:p>
    <w:p w14:paraId="717F79D9" w14:textId="357A0510" w:rsidR="00DF7BE8" w:rsidRPr="00FF3975" w:rsidRDefault="00317E66" w:rsidP="00FF3975">
      <w:pPr>
        <w:pStyle w:val="NormalWeb"/>
        <w:rPr>
          <w:rFonts w:asciiTheme="majorHAnsi" w:hAnsiTheme="majorHAnsi" w:cstheme="majorHAnsi"/>
          <w:sz w:val="22"/>
          <w:szCs w:val="22"/>
          <w:lang w:val="fr-FR" w:eastAsia="fr-FR"/>
        </w:rPr>
      </w:pPr>
      <w:r w:rsidRPr="00FF3975">
        <w:rPr>
          <w:rFonts w:asciiTheme="majorHAnsi" w:hAnsiTheme="majorHAnsi" w:cstheme="majorHAnsi"/>
          <w:sz w:val="22"/>
          <w:szCs w:val="22"/>
          <w:lang w:val="fr-FR"/>
        </w:rPr>
        <w:t>« Les évaluations indépendantes en matière de d</w:t>
      </w:r>
      <w:r w:rsidR="00F86CC2" w:rsidRPr="00FF3975">
        <w:rPr>
          <w:rFonts w:asciiTheme="majorHAnsi" w:hAnsiTheme="majorHAnsi" w:cstheme="majorHAnsi"/>
          <w:sz w:val="22"/>
          <w:szCs w:val="22"/>
          <w:lang w:val="fr-FR"/>
        </w:rPr>
        <w:t>éveloppement durable</w:t>
      </w:r>
      <w:r w:rsidRPr="00FF3975">
        <w:rPr>
          <w:rFonts w:asciiTheme="majorHAnsi" w:hAnsiTheme="majorHAnsi" w:cstheme="majorHAnsi"/>
          <w:sz w:val="22"/>
          <w:szCs w:val="22"/>
          <w:lang w:val="fr-FR"/>
        </w:rPr>
        <w:t xml:space="preserve"> sont essentielles pour garantir la transparence vis‑à‑vis de nos investisseurs et de nos clients, et pour mesurer objectivement nos performances afin de les faire progresser », explique Dorli Harms, </w:t>
      </w:r>
      <w:r w:rsidR="00130EF8" w:rsidRPr="00FF3975">
        <w:rPr>
          <w:rFonts w:asciiTheme="majorHAnsi" w:hAnsiTheme="majorHAnsi" w:cstheme="majorHAnsi"/>
          <w:sz w:val="22"/>
          <w:szCs w:val="22"/>
          <w:lang w:val="fr-FR" w:eastAsia="fr-FR"/>
        </w:rPr>
        <w:t>Responsable des publications et notations ESG</w:t>
      </w:r>
      <w:r w:rsidR="00FF3975" w:rsidRPr="00FF3975">
        <w:rPr>
          <w:rFonts w:asciiTheme="majorHAnsi" w:hAnsiTheme="majorHAnsi" w:cstheme="majorHAnsi"/>
          <w:sz w:val="22"/>
          <w:szCs w:val="22"/>
          <w:lang w:val="fr-FR" w:eastAsia="fr-FR"/>
        </w:rPr>
        <w:t xml:space="preserve"> </w:t>
      </w:r>
      <w:r w:rsidRPr="00FF3975">
        <w:rPr>
          <w:rFonts w:asciiTheme="majorHAnsi" w:hAnsiTheme="majorHAnsi" w:cstheme="majorHAnsi"/>
          <w:sz w:val="22"/>
          <w:szCs w:val="22"/>
          <w:lang w:val="fr-FR"/>
        </w:rPr>
        <w:t>chez Henkel. «</w:t>
      </w:r>
      <w:r w:rsidR="00FF3975">
        <w:rPr>
          <w:rFonts w:asciiTheme="majorHAnsi" w:hAnsiTheme="majorHAnsi" w:cstheme="majorHAnsi"/>
          <w:sz w:val="22"/>
          <w:szCs w:val="22"/>
          <w:lang w:val="fr-FR"/>
        </w:rPr>
        <w:t xml:space="preserve"> </w:t>
      </w:r>
      <w:r w:rsidRPr="00FF3975">
        <w:rPr>
          <w:rFonts w:asciiTheme="majorHAnsi" w:hAnsiTheme="majorHAnsi" w:cstheme="majorHAnsi"/>
          <w:sz w:val="22"/>
          <w:szCs w:val="22"/>
          <w:lang w:val="fr-FR"/>
        </w:rPr>
        <w:t xml:space="preserve">Les résultats actuels montrent </w:t>
      </w:r>
      <w:r w:rsidRPr="00FF3975">
        <w:rPr>
          <w:rFonts w:asciiTheme="majorHAnsi" w:hAnsiTheme="majorHAnsi" w:cstheme="majorHAnsi"/>
          <w:sz w:val="22"/>
          <w:szCs w:val="22"/>
          <w:lang w:val="fr-FR"/>
        </w:rPr>
        <w:lastRenderedPageBreak/>
        <w:t>nos points forts, mais aussi les domaines dans lesquels nous souhaitons poursuivre nos efforts</w:t>
      </w:r>
      <w:proofErr w:type="gramStart"/>
      <w:r w:rsidRPr="00FF3975">
        <w:rPr>
          <w:rFonts w:asciiTheme="majorHAnsi" w:hAnsiTheme="majorHAnsi" w:cstheme="majorHAnsi"/>
          <w:sz w:val="22"/>
          <w:szCs w:val="22"/>
          <w:lang w:val="fr-FR"/>
        </w:rPr>
        <w:t>.»</w:t>
      </w:r>
      <w:proofErr w:type="gramEnd"/>
    </w:p>
    <w:p w14:paraId="7B4DBB45" w14:textId="77777777" w:rsidR="00317E66" w:rsidRPr="00317E66" w:rsidRDefault="00317E66" w:rsidP="00E75096">
      <w:pPr>
        <w:rPr>
          <w:rFonts w:cs="Segoe UI"/>
          <w:szCs w:val="22"/>
          <w:lang w:val="fr-FR"/>
        </w:rPr>
      </w:pPr>
    </w:p>
    <w:p w14:paraId="2291AFA6" w14:textId="0268254C" w:rsidR="00FD5F47" w:rsidRDefault="00317E66" w:rsidP="00D06825">
      <w:pPr>
        <w:rPr>
          <w:rFonts w:cs="Segoe UI"/>
          <w:szCs w:val="22"/>
          <w:lang w:val="fr-FR"/>
        </w:rPr>
      </w:pPr>
      <w:r w:rsidRPr="00317E66">
        <w:rPr>
          <w:rFonts w:cs="Segoe UI"/>
          <w:szCs w:val="22"/>
          <w:lang w:val="fr-FR"/>
        </w:rPr>
        <w:t xml:space="preserve">Des informations complémentaires sur la stratégie </w:t>
      </w:r>
      <w:r w:rsidR="00F86CC2">
        <w:rPr>
          <w:rFonts w:cs="Segoe UI"/>
          <w:szCs w:val="22"/>
          <w:lang w:val="fr-FR"/>
        </w:rPr>
        <w:t xml:space="preserve">de </w:t>
      </w:r>
      <w:r w:rsidRPr="00317E66">
        <w:rPr>
          <w:rFonts w:cs="Segoe UI"/>
          <w:szCs w:val="22"/>
          <w:lang w:val="fr-FR"/>
        </w:rPr>
        <w:t>développement durable de Henkel sont disponibles</w:t>
      </w:r>
      <w:r>
        <w:rPr>
          <w:rFonts w:cs="Segoe UI"/>
          <w:szCs w:val="22"/>
          <w:lang w:val="fr-FR"/>
        </w:rPr>
        <w:t xml:space="preserve"> </w:t>
      </w:r>
      <w:hyperlink r:id="rId12" w:history="1">
        <w:r w:rsidRPr="00317E66">
          <w:rPr>
            <w:rStyle w:val="Lienhypertexte"/>
            <w:rFonts w:cs="Segoe UI"/>
            <w:sz w:val="22"/>
            <w:szCs w:val="22"/>
            <w:lang w:val="fr-FR"/>
          </w:rPr>
          <w:t>ici</w:t>
        </w:r>
      </w:hyperlink>
      <w:r>
        <w:rPr>
          <w:rFonts w:cs="Segoe UI"/>
          <w:szCs w:val="22"/>
          <w:lang w:val="fr-FR"/>
        </w:rPr>
        <w:t>.</w:t>
      </w:r>
    </w:p>
    <w:p w14:paraId="02564DC4" w14:textId="77777777" w:rsidR="002C6609" w:rsidRDefault="002C6609" w:rsidP="00D06825">
      <w:pPr>
        <w:rPr>
          <w:rFonts w:cs="Segoe UI"/>
          <w:szCs w:val="22"/>
          <w:lang w:val="fr-FR"/>
        </w:rPr>
      </w:pPr>
    </w:p>
    <w:p w14:paraId="34D9E4DD" w14:textId="25696573" w:rsidR="002C6609" w:rsidRPr="00FF3975" w:rsidRDefault="00FF3975" w:rsidP="00D06825">
      <w:pPr>
        <w:rPr>
          <w:rFonts w:cs="Segoe UI"/>
          <w:b/>
          <w:bCs/>
          <w:color w:val="000000" w:themeColor="text1"/>
          <w:szCs w:val="22"/>
          <w:u w:val="single"/>
          <w:lang w:val="fr-FR"/>
        </w:rPr>
      </w:pPr>
      <w:hyperlink r:id="rId13" w:history="1">
        <w:r w:rsidR="002C6609" w:rsidRPr="00FF3975">
          <w:rPr>
            <w:rStyle w:val="Lienhypertexte"/>
            <w:rFonts w:cs="Segoe UI"/>
            <w:b/>
            <w:bCs/>
            <w:color w:val="000000" w:themeColor="text1"/>
            <w:sz w:val="22"/>
            <w:szCs w:val="22"/>
            <w:lang w:val="fr-FR"/>
          </w:rPr>
          <w:t>Ce communiqué est une traduction du communiqué de presse original en anglais.</w:t>
        </w:r>
      </w:hyperlink>
    </w:p>
    <w:p w14:paraId="4CFE911D" w14:textId="77777777" w:rsidR="00317E66" w:rsidRPr="00317E66" w:rsidRDefault="00317E66" w:rsidP="00D06825">
      <w:pPr>
        <w:rPr>
          <w:rFonts w:cs="Segoe UI"/>
          <w:szCs w:val="22"/>
          <w:lang w:val="fr-FR"/>
        </w:rPr>
      </w:pPr>
    </w:p>
    <w:p w14:paraId="65F70EAD" w14:textId="77777777" w:rsidR="000F0CAC" w:rsidRPr="000F0CAC" w:rsidRDefault="000F0CAC" w:rsidP="000F0CAC">
      <w:pPr>
        <w:pStyle w:val="NormalWeb"/>
        <w:rPr>
          <w:rFonts w:ascii="Segoe UI" w:hAnsi="Segoe UI" w:cs="Segoe UI"/>
          <w:b/>
          <w:bCs/>
          <w:color w:val="000000"/>
          <w:sz w:val="18"/>
          <w:szCs w:val="18"/>
          <w:lang w:val="fr-FR"/>
        </w:rPr>
      </w:pPr>
      <w:r w:rsidRPr="000F0CAC">
        <w:rPr>
          <w:rFonts w:ascii="Segoe UI" w:hAnsi="Segoe UI" w:cs="Segoe UI"/>
          <w:b/>
          <w:bCs/>
          <w:color w:val="000000"/>
          <w:sz w:val="18"/>
          <w:szCs w:val="18"/>
          <w:lang w:val="fr-FR"/>
        </w:rPr>
        <w:t xml:space="preserve">À propos de Henkel </w:t>
      </w:r>
    </w:p>
    <w:p w14:paraId="51FAE4DA" w14:textId="77777777" w:rsidR="000F0CAC" w:rsidRPr="000F0CAC" w:rsidRDefault="000F0CAC" w:rsidP="000F0CAC">
      <w:pPr>
        <w:pStyle w:val="NormalWeb"/>
        <w:rPr>
          <w:rFonts w:ascii="Segoe UI" w:hAnsi="Segoe UI" w:cs="Segoe UI"/>
          <w:color w:val="000000"/>
          <w:sz w:val="18"/>
          <w:szCs w:val="18"/>
          <w:lang w:val="fr-FR"/>
        </w:rPr>
      </w:pPr>
      <w:r w:rsidRPr="000F0CAC">
        <w:rPr>
          <w:rFonts w:ascii="Segoe UI" w:hAnsi="Segoe UI" w:cs="Segoe UI"/>
          <w:color w:val="000000"/>
          <w:sz w:val="18"/>
          <w:szCs w:val="18"/>
          <w:lang w:val="fr-FR"/>
        </w:rPr>
        <w:t xml:space="preserve">Grâce à ses marques, ses innovations et ses technologies, Henkel détient des positions mondiales fortes auprès des industriels comme des consommateurs. L’activité </w:t>
      </w:r>
      <w:proofErr w:type="spellStart"/>
      <w:r w:rsidRPr="000F0CAC">
        <w:rPr>
          <w:rFonts w:ascii="Segoe UI" w:hAnsi="Segoe UI" w:cs="Segoe UI"/>
          <w:color w:val="000000"/>
          <w:sz w:val="18"/>
          <w:szCs w:val="18"/>
          <w:lang w:val="fr-FR"/>
        </w:rPr>
        <w:t>Adhesive</w:t>
      </w:r>
      <w:proofErr w:type="spellEnd"/>
      <w:r w:rsidRPr="000F0CAC">
        <w:rPr>
          <w:rFonts w:ascii="Segoe UI" w:hAnsi="Segoe UI" w:cs="Segoe UI"/>
          <w:color w:val="000000"/>
          <w:sz w:val="18"/>
          <w:szCs w:val="18"/>
          <w:lang w:val="fr-FR"/>
        </w:rPr>
        <w:t xml:space="preserve"> Technologies est leader mondial des adhésifs, des produits d'étanchéité et des revêtements fonctionnels. Avec son activité Consumer Brands, Henkel détient des positions de leader sur de nombreux marchés et catégories dans le monde, en particulier pour les soins des cheveux et pour les lessives et produits d’entretien. Les trois premières marques internationales du Groupe sont </w:t>
      </w:r>
      <w:proofErr w:type="spellStart"/>
      <w:r w:rsidRPr="000F0CAC">
        <w:rPr>
          <w:rFonts w:ascii="Segoe UI" w:hAnsi="Segoe UI" w:cs="Segoe UI"/>
          <w:color w:val="000000"/>
          <w:sz w:val="18"/>
          <w:szCs w:val="18"/>
          <w:lang w:val="fr-FR"/>
        </w:rPr>
        <w:t>Loctite</w:t>
      </w:r>
      <w:proofErr w:type="spellEnd"/>
      <w:r w:rsidRPr="000F0CAC">
        <w:rPr>
          <w:rFonts w:ascii="Segoe UI" w:hAnsi="Segoe UI" w:cs="Segoe UI"/>
          <w:color w:val="000000"/>
          <w:sz w:val="18"/>
          <w:szCs w:val="18"/>
          <w:lang w:val="fr-FR"/>
        </w:rPr>
        <w:t xml:space="preserve">, Persil (Le Chat en France) et Schwarzkopf. En 2024, Henkel a réalisé un chiffre d’affaires de plus de 21,6 milliards d’EUR et un bénéfice d’exploitation ajusté d’environ 3,1 milliards d’euros. Les actions préférentielles Henkel sont listées à l’indice boursier allemand DAX. Le développement durable fait partie intégrante de l’histoire de Henkel et le Groupe a dans ce domaine une stratégie claire avec des objectifs concrets. Fondé en 1876, Henkel s’appuie aujourd’hui sur une équipe empreinte de diversité, de près de 47 000 personnes à travers le monde – unies par une culture forte, des valeurs d’entreprise et une raison d’être partagées : « </w:t>
      </w:r>
      <w:proofErr w:type="spellStart"/>
      <w:r w:rsidRPr="000F0CAC">
        <w:rPr>
          <w:rFonts w:ascii="Segoe UI" w:hAnsi="Segoe UI" w:cs="Segoe UI"/>
          <w:color w:val="000000"/>
          <w:sz w:val="18"/>
          <w:szCs w:val="18"/>
          <w:lang w:val="fr-FR"/>
        </w:rPr>
        <w:t>Pioneers</w:t>
      </w:r>
      <w:proofErr w:type="spellEnd"/>
      <w:r w:rsidRPr="000F0CAC">
        <w:rPr>
          <w:rFonts w:ascii="Segoe UI" w:hAnsi="Segoe UI" w:cs="Segoe UI"/>
          <w:color w:val="000000"/>
          <w:sz w:val="18"/>
          <w:szCs w:val="18"/>
          <w:lang w:val="fr-FR"/>
        </w:rPr>
        <w:t xml:space="preserve"> at </w:t>
      </w:r>
      <w:proofErr w:type="spellStart"/>
      <w:r w:rsidRPr="000F0CAC">
        <w:rPr>
          <w:rFonts w:ascii="Segoe UI" w:hAnsi="Segoe UI" w:cs="Segoe UI"/>
          <w:color w:val="000000"/>
          <w:sz w:val="18"/>
          <w:szCs w:val="18"/>
          <w:lang w:val="fr-FR"/>
        </w:rPr>
        <w:t>heart</w:t>
      </w:r>
      <w:proofErr w:type="spellEnd"/>
      <w:r w:rsidRPr="000F0CAC">
        <w:rPr>
          <w:rFonts w:ascii="Segoe UI" w:hAnsi="Segoe UI" w:cs="Segoe UI"/>
          <w:color w:val="000000"/>
          <w:sz w:val="18"/>
          <w:szCs w:val="18"/>
          <w:lang w:val="fr-FR"/>
        </w:rPr>
        <w:t xml:space="preserve"> for the good of </w:t>
      </w:r>
      <w:proofErr w:type="spellStart"/>
      <w:r w:rsidRPr="000F0CAC">
        <w:rPr>
          <w:rFonts w:ascii="Segoe UI" w:hAnsi="Segoe UI" w:cs="Segoe UI"/>
          <w:color w:val="000000"/>
          <w:sz w:val="18"/>
          <w:szCs w:val="18"/>
          <w:lang w:val="fr-FR"/>
        </w:rPr>
        <w:t>generations</w:t>
      </w:r>
      <w:proofErr w:type="spellEnd"/>
      <w:r w:rsidRPr="000F0CAC">
        <w:rPr>
          <w:rFonts w:ascii="Segoe UI" w:hAnsi="Segoe UI" w:cs="Segoe UI"/>
          <w:color w:val="000000"/>
          <w:sz w:val="18"/>
          <w:szCs w:val="18"/>
          <w:lang w:val="fr-FR"/>
        </w:rPr>
        <w:t xml:space="preserve"> ». </w:t>
      </w:r>
    </w:p>
    <w:p w14:paraId="28F92778" w14:textId="77777777" w:rsidR="00425652" w:rsidRDefault="00425652" w:rsidP="00BF6E82">
      <w:pPr>
        <w:rPr>
          <w:rStyle w:val="AboutandContactHeadline"/>
          <w:lang w:val="fr-FR"/>
        </w:rPr>
      </w:pPr>
    </w:p>
    <w:p w14:paraId="3ADD841F" w14:textId="77777777" w:rsidR="00BD2F64" w:rsidRPr="00BD2F64" w:rsidRDefault="00BD2F64" w:rsidP="00BD2F64">
      <w:pPr>
        <w:pStyle w:val="NormalWeb"/>
        <w:rPr>
          <w:rFonts w:ascii="Segoe UI" w:hAnsi="Segoe UI" w:cs="Segoe UI"/>
          <w:sz w:val="18"/>
          <w:szCs w:val="18"/>
          <w:lang w:val="fr-FR"/>
        </w:rPr>
      </w:pPr>
      <w:r w:rsidRPr="00BD2F64">
        <w:rPr>
          <w:rFonts w:ascii="Segoe UI" w:hAnsi="Segoe UI" w:cs="Segoe UI"/>
          <w:color w:val="000000"/>
          <w:sz w:val="18"/>
          <w:szCs w:val="18"/>
          <w:lang w:val="fr-FR"/>
        </w:rPr>
        <w:t xml:space="preserve">Pour en savoir plus, rendez-vous sur </w:t>
      </w:r>
      <w:hyperlink r:id="rId14" w:history="1">
        <w:r w:rsidRPr="00BD2F64">
          <w:rPr>
            <w:rStyle w:val="Lienhypertexte"/>
            <w:rFonts w:cs="Segoe UI"/>
            <w:lang w:val="fr-FR"/>
          </w:rPr>
          <w:t>www.henkel.fr</w:t>
        </w:r>
      </w:hyperlink>
    </w:p>
    <w:p w14:paraId="7ABBE311" w14:textId="77777777" w:rsidR="00425652" w:rsidRPr="000F0CAC" w:rsidRDefault="00425652" w:rsidP="00BF6E82">
      <w:pPr>
        <w:rPr>
          <w:rStyle w:val="AboutandContactHeadline"/>
          <w:lang w:val="fr-FR"/>
        </w:rPr>
      </w:pPr>
    </w:p>
    <w:p w14:paraId="61FA739B" w14:textId="29936AC3" w:rsidR="00BF6E82" w:rsidRPr="000F0CAC" w:rsidRDefault="00425652" w:rsidP="00BF6E82">
      <w:pPr>
        <w:rPr>
          <w:rStyle w:val="AboutandContactBody"/>
          <w:lang w:val="fr-FR"/>
        </w:rPr>
      </w:pPr>
      <w:r w:rsidRPr="00425652">
        <w:rPr>
          <w:rStyle w:val="AboutandContactBody"/>
          <w:noProof/>
          <w:sz w:val="22"/>
        </w:rPr>
        <w:drawing>
          <wp:inline distT="0" distB="0" distL="0" distR="0" wp14:anchorId="21D31540" wp14:editId="550B323E">
            <wp:extent cx="5759450" cy="1078230"/>
            <wp:effectExtent l="0" t="0" r="0" b="7620"/>
            <wp:docPr id="106792908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1078230"/>
                    </a:xfrm>
                    <a:prstGeom prst="rect">
                      <a:avLst/>
                    </a:prstGeom>
                    <a:noFill/>
                    <a:ln>
                      <a:noFill/>
                    </a:ln>
                  </pic:spPr>
                </pic:pic>
              </a:graphicData>
            </a:graphic>
          </wp:inline>
        </w:drawing>
      </w:r>
    </w:p>
    <w:p w14:paraId="1CAE75D3" w14:textId="62132AC3" w:rsidR="00112A28" w:rsidRDefault="00BF6E82" w:rsidP="001577E9">
      <w:pPr>
        <w:rPr>
          <w:rStyle w:val="AboutandContactBody"/>
        </w:rPr>
      </w:pPr>
      <w:r w:rsidRPr="00493327">
        <w:rPr>
          <w:rStyle w:val="AboutandContactBody"/>
        </w:rPr>
        <w:t xml:space="preserve">Henkel AG &amp; Co. </w:t>
      </w:r>
      <w:r w:rsidR="00B14C02" w:rsidRPr="00493327">
        <w:rPr>
          <w:rStyle w:val="AboutandContactBody"/>
        </w:rPr>
        <w:t>K</w:t>
      </w:r>
      <w:r w:rsidR="005B1F0C">
        <w:rPr>
          <w:rStyle w:val="AboutandContactBody"/>
        </w:rPr>
        <w:t>GaA</w:t>
      </w:r>
    </w:p>
    <w:p w14:paraId="0FA6CF6C" w14:textId="77777777" w:rsidR="00E806CE" w:rsidRPr="00493327" w:rsidRDefault="00E806CE" w:rsidP="001577E9">
      <w:pPr>
        <w:rPr>
          <w:rStyle w:val="AboutandContactBody"/>
        </w:rPr>
      </w:pPr>
    </w:p>
    <w:sectPr w:rsidR="00E806CE" w:rsidRPr="00493327" w:rsidSect="00DC2465">
      <w:headerReference w:type="even" r:id="rId16"/>
      <w:footerReference w:type="default" r:id="rId17"/>
      <w:headerReference w:type="first" r:id="rId18"/>
      <w:footerReference w:type="first" r:id="rId19"/>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2398" w14:textId="77777777" w:rsidR="00703DC9" w:rsidRDefault="00703DC9">
      <w:r>
        <w:separator/>
      </w:r>
    </w:p>
  </w:endnote>
  <w:endnote w:type="continuationSeparator" w:id="0">
    <w:p w14:paraId="75681174" w14:textId="77777777" w:rsidR="00703DC9" w:rsidRDefault="00703DC9">
      <w:r>
        <w:continuationSeparator/>
      </w:r>
    </w:p>
  </w:endnote>
  <w:endnote w:type="continuationNotice" w:id="1">
    <w:p w14:paraId="26180100" w14:textId="77777777" w:rsidR="00703DC9" w:rsidRDefault="00703D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2DC5A480" w:rsidR="00CF6F33" w:rsidRPr="00112A28" w:rsidRDefault="00112A28" w:rsidP="00112A28">
    <w:pPr>
      <w:pStyle w:val="Pieddepage"/>
      <w:tabs>
        <w:tab w:val="clear" w:pos="7083"/>
        <w:tab w:val="clear" w:pos="8640"/>
        <w:tab w:val="right" w:pos="9071"/>
      </w:tabs>
      <w:jc w:val="both"/>
    </w:pPr>
    <w:r w:rsidRPr="00BF6E82">
      <w:t>Henkel AG &amp; Co. KGaA</w:t>
    </w:r>
    <w:r>
      <w:tab/>
    </w:r>
    <w:r w:rsidRPr="00BF6E82">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4C7B26FA" w:rsidR="00CF6F33" w:rsidRPr="00992A11" w:rsidRDefault="00B422EC" w:rsidP="00992A11">
    <w:pPr>
      <w:pStyle w:val="Pieddepage"/>
    </w:pPr>
    <w:r w:rsidRPr="00992A11">
      <w:t>Page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5EEC8" w14:textId="77777777" w:rsidR="00703DC9" w:rsidRDefault="00703DC9">
      <w:r>
        <w:separator/>
      </w:r>
    </w:p>
  </w:footnote>
  <w:footnote w:type="continuationSeparator" w:id="0">
    <w:p w14:paraId="5E529730" w14:textId="77777777" w:rsidR="00703DC9" w:rsidRDefault="00703DC9">
      <w:r>
        <w:continuationSeparator/>
      </w:r>
    </w:p>
  </w:footnote>
  <w:footnote w:type="continuationNotice" w:id="1">
    <w:p w14:paraId="1C5DA314" w14:textId="77777777" w:rsidR="00703DC9" w:rsidRDefault="00703D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En-tt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77777777" w:rsidR="00CF6F33" w:rsidRPr="00EB46D9" w:rsidRDefault="0059722C" w:rsidP="00EB46D9">
    <w:pPr>
      <w:pStyle w:val="En-tte"/>
    </w:pPr>
    <w:r w:rsidRPr="00EB46D9">
      <w:rPr>
        <w:noProof/>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0B6EE440" id="Gruppieren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BF6E82" w:rsidRPr="00EB46D9">
      <w:t>Press</w:t>
    </w:r>
    <w:r w:rsidR="00B422EC" w:rsidRPr="00EB46D9">
      <w:t xml:space="preserv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5"/>
  </w:num>
  <w:num w:numId="4" w16cid:durableId="1658344630">
    <w:abstractNumId w:val="3"/>
  </w:num>
  <w:num w:numId="5" w16cid:durableId="2132553883">
    <w:abstractNumId w:val="2"/>
  </w:num>
  <w:num w:numId="6" w16cid:durableId="545726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3B53"/>
    <w:rsid w:val="00005267"/>
    <w:rsid w:val="00006346"/>
    <w:rsid w:val="00012DD9"/>
    <w:rsid w:val="00021C67"/>
    <w:rsid w:val="00030557"/>
    <w:rsid w:val="00030F51"/>
    <w:rsid w:val="00035A84"/>
    <w:rsid w:val="00040CC9"/>
    <w:rsid w:val="00051E86"/>
    <w:rsid w:val="00051EE4"/>
    <w:rsid w:val="00052CBE"/>
    <w:rsid w:val="000575F9"/>
    <w:rsid w:val="000618FC"/>
    <w:rsid w:val="0006344D"/>
    <w:rsid w:val="00067071"/>
    <w:rsid w:val="000722E8"/>
    <w:rsid w:val="000804DF"/>
    <w:rsid w:val="00080D10"/>
    <w:rsid w:val="00081485"/>
    <w:rsid w:val="0008357F"/>
    <w:rsid w:val="000A0D45"/>
    <w:rsid w:val="000B695A"/>
    <w:rsid w:val="000C210A"/>
    <w:rsid w:val="000C3BF1"/>
    <w:rsid w:val="000C56DD"/>
    <w:rsid w:val="000D1672"/>
    <w:rsid w:val="000E2F62"/>
    <w:rsid w:val="000E38ED"/>
    <w:rsid w:val="000E4AA7"/>
    <w:rsid w:val="000E7F24"/>
    <w:rsid w:val="000F03BE"/>
    <w:rsid w:val="000F0CAC"/>
    <w:rsid w:val="000F1757"/>
    <w:rsid w:val="000F225B"/>
    <w:rsid w:val="000F7FAF"/>
    <w:rsid w:val="00101B7B"/>
    <w:rsid w:val="00105975"/>
    <w:rsid w:val="00111F4D"/>
    <w:rsid w:val="00112A28"/>
    <w:rsid w:val="00112FD4"/>
    <w:rsid w:val="00115230"/>
    <w:rsid w:val="00115B5F"/>
    <w:rsid w:val="001162B4"/>
    <w:rsid w:val="00122CBC"/>
    <w:rsid w:val="00126D4A"/>
    <w:rsid w:val="00130EF8"/>
    <w:rsid w:val="00132DA9"/>
    <w:rsid w:val="0013305B"/>
    <w:rsid w:val="00133B99"/>
    <w:rsid w:val="001443BD"/>
    <w:rsid w:val="001577E9"/>
    <w:rsid w:val="00160C37"/>
    <w:rsid w:val="0016138C"/>
    <w:rsid w:val="001731CE"/>
    <w:rsid w:val="001933E7"/>
    <w:rsid w:val="001A43EC"/>
    <w:rsid w:val="001B7C20"/>
    <w:rsid w:val="001C0B32"/>
    <w:rsid w:val="001C4BE1"/>
    <w:rsid w:val="001D7ADF"/>
    <w:rsid w:val="001E0F71"/>
    <w:rsid w:val="001E4FB1"/>
    <w:rsid w:val="001E6D05"/>
    <w:rsid w:val="001E7C28"/>
    <w:rsid w:val="001F1BDF"/>
    <w:rsid w:val="001F7110"/>
    <w:rsid w:val="001F7E96"/>
    <w:rsid w:val="00202284"/>
    <w:rsid w:val="00212488"/>
    <w:rsid w:val="00220628"/>
    <w:rsid w:val="002304D2"/>
    <w:rsid w:val="00234ABD"/>
    <w:rsid w:val="00236E2A"/>
    <w:rsid w:val="00237F62"/>
    <w:rsid w:val="00240040"/>
    <w:rsid w:val="0024586A"/>
    <w:rsid w:val="00256F0C"/>
    <w:rsid w:val="00262C05"/>
    <w:rsid w:val="00281D14"/>
    <w:rsid w:val="00282C13"/>
    <w:rsid w:val="002A0DF7"/>
    <w:rsid w:val="002A2975"/>
    <w:rsid w:val="002A60E0"/>
    <w:rsid w:val="002B22F3"/>
    <w:rsid w:val="002B6F30"/>
    <w:rsid w:val="002C1344"/>
    <w:rsid w:val="002C252E"/>
    <w:rsid w:val="002C6609"/>
    <w:rsid w:val="002C6773"/>
    <w:rsid w:val="002D2A3D"/>
    <w:rsid w:val="002D6376"/>
    <w:rsid w:val="002E0B17"/>
    <w:rsid w:val="002E4FFB"/>
    <w:rsid w:val="002E7DED"/>
    <w:rsid w:val="002F7DE4"/>
    <w:rsid w:val="002F7E11"/>
    <w:rsid w:val="00304087"/>
    <w:rsid w:val="00310465"/>
    <w:rsid w:val="00310ACD"/>
    <w:rsid w:val="0031379F"/>
    <w:rsid w:val="00317E66"/>
    <w:rsid w:val="00320A26"/>
    <w:rsid w:val="00321344"/>
    <w:rsid w:val="0033451C"/>
    <w:rsid w:val="00336854"/>
    <w:rsid w:val="0034015C"/>
    <w:rsid w:val="00344076"/>
    <w:rsid w:val="003442F4"/>
    <w:rsid w:val="00353705"/>
    <w:rsid w:val="003562E8"/>
    <w:rsid w:val="0036357D"/>
    <w:rsid w:val="003649BC"/>
    <w:rsid w:val="00365E44"/>
    <w:rsid w:val="00367AA1"/>
    <w:rsid w:val="00372E36"/>
    <w:rsid w:val="00376EE9"/>
    <w:rsid w:val="00377CBB"/>
    <w:rsid w:val="00385185"/>
    <w:rsid w:val="003877B6"/>
    <w:rsid w:val="00393887"/>
    <w:rsid w:val="00394C6B"/>
    <w:rsid w:val="003A4E62"/>
    <w:rsid w:val="003B1069"/>
    <w:rsid w:val="003B390A"/>
    <w:rsid w:val="003B6DA0"/>
    <w:rsid w:val="003C15DE"/>
    <w:rsid w:val="003C4EB2"/>
    <w:rsid w:val="003D7E0D"/>
    <w:rsid w:val="003F1AF3"/>
    <w:rsid w:val="003F4D8D"/>
    <w:rsid w:val="003F66FD"/>
    <w:rsid w:val="00425652"/>
    <w:rsid w:val="004313E7"/>
    <w:rsid w:val="0044763B"/>
    <w:rsid w:val="00451F34"/>
    <w:rsid w:val="004629B3"/>
    <w:rsid w:val="0046376E"/>
    <w:rsid w:val="0046690F"/>
    <w:rsid w:val="00472FEC"/>
    <w:rsid w:val="0047323D"/>
    <w:rsid w:val="00490A03"/>
    <w:rsid w:val="00493327"/>
    <w:rsid w:val="00494DBE"/>
    <w:rsid w:val="00495CE6"/>
    <w:rsid w:val="004A323C"/>
    <w:rsid w:val="004B0627"/>
    <w:rsid w:val="004B35ED"/>
    <w:rsid w:val="004B54E8"/>
    <w:rsid w:val="004C4FEB"/>
    <w:rsid w:val="004C6B79"/>
    <w:rsid w:val="004D059B"/>
    <w:rsid w:val="004D4CB6"/>
    <w:rsid w:val="004E0870"/>
    <w:rsid w:val="004E3341"/>
    <w:rsid w:val="004F10C1"/>
    <w:rsid w:val="00502E62"/>
    <w:rsid w:val="0050416A"/>
    <w:rsid w:val="00504452"/>
    <w:rsid w:val="00505AB3"/>
    <w:rsid w:val="00506B8A"/>
    <w:rsid w:val="0052212B"/>
    <w:rsid w:val="00531B98"/>
    <w:rsid w:val="00534B46"/>
    <w:rsid w:val="00540358"/>
    <w:rsid w:val="00540D47"/>
    <w:rsid w:val="00550864"/>
    <w:rsid w:val="0055571E"/>
    <w:rsid w:val="00556F67"/>
    <w:rsid w:val="005833F0"/>
    <w:rsid w:val="00586CAF"/>
    <w:rsid w:val="005873E9"/>
    <w:rsid w:val="00591180"/>
    <w:rsid w:val="0059722C"/>
    <w:rsid w:val="00597D07"/>
    <w:rsid w:val="005A3846"/>
    <w:rsid w:val="005B19AB"/>
    <w:rsid w:val="005B1F0C"/>
    <w:rsid w:val="005B6A58"/>
    <w:rsid w:val="005B7078"/>
    <w:rsid w:val="005C160D"/>
    <w:rsid w:val="005C7112"/>
    <w:rsid w:val="005D0561"/>
    <w:rsid w:val="005D0AD9"/>
    <w:rsid w:val="005D22F6"/>
    <w:rsid w:val="005E0C30"/>
    <w:rsid w:val="005E69D9"/>
    <w:rsid w:val="005F27F4"/>
    <w:rsid w:val="005F3239"/>
    <w:rsid w:val="005F6567"/>
    <w:rsid w:val="00607256"/>
    <w:rsid w:val="006144B1"/>
    <w:rsid w:val="006335F1"/>
    <w:rsid w:val="006345B6"/>
    <w:rsid w:val="00635712"/>
    <w:rsid w:val="006374E0"/>
    <w:rsid w:val="00643D8A"/>
    <w:rsid w:val="006513EB"/>
    <w:rsid w:val="00652229"/>
    <w:rsid w:val="00652793"/>
    <w:rsid w:val="00652D7A"/>
    <w:rsid w:val="006626CA"/>
    <w:rsid w:val="00663487"/>
    <w:rsid w:val="00672382"/>
    <w:rsid w:val="00675505"/>
    <w:rsid w:val="00682643"/>
    <w:rsid w:val="00682EB9"/>
    <w:rsid w:val="0068441A"/>
    <w:rsid w:val="00690B19"/>
    <w:rsid w:val="006A0A3C"/>
    <w:rsid w:val="006A3EEB"/>
    <w:rsid w:val="006A79F0"/>
    <w:rsid w:val="006B47EE"/>
    <w:rsid w:val="006B499F"/>
    <w:rsid w:val="006D4996"/>
    <w:rsid w:val="006D54AB"/>
    <w:rsid w:val="006E1F85"/>
    <w:rsid w:val="006E3006"/>
    <w:rsid w:val="006E5032"/>
    <w:rsid w:val="006E5BDA"/>
    <w:rsid w:val="006F0FC7"/>
    <w:rsid w:val="006F39A9"/>
    <w:rsid w:val="006F670F"/>
    <w:rsid w:val="00703272"/>
    <w:rsid w:val="00703DC9"/>
    <w:rsid w:val="0070733C"/>
    <w:rsid w:val="007105BC"/>
    <w:rsid w:val="00710C5D"/>
    <w:rsid w:val="0071348C"/>
    <w:rsid w:val="00717273"/>
    <w:rsid w:val="00720FD4"/>
    <w:rsid w:val="00724AF2"/>
    <w:rsid w:val="0073096C"/>
    <w:rsid w:val="00734034"/>
    <w:rsid w:val="00742398"/>
    <w:rsid w:val="007447E3"/>
    <w:rsid w:val="00745581"/>
    <w:rsid w:val="007507B5"/>
    <w:rsid w:val="0075091D"/>
    <w:rsid w:val="00753A24"/>
    <w:rsid w:val="00772188"/>
    <w:rsid w:val="007813D0"/>
    <w:rsid w:val="00785993"/>
    <w:rsid w:val="007866E2"/>
    <w:rsid w:val="00786BA3"/>
    <w:rsid w:val="0079202F"/>
    <w:rsid w:val="00795AF2"/>
    <w:rsid w:val="007A2AAD"/>
    <w:rsid w:val="007A4432"/>
    <w:rsid w:val="007A784E"/>
    <w:rsid w:val="007B053D"/>
    <w:rsid w:val="007B499C"/>
    <w:rsid w:val="007B4D4B"/>
    <w:rsid w:val="007D2A02"/>
    <w:rsid w:val="007E6EA1"/>
    <w:rsid w:val="007F0F63"/>
    <w:rsid w:val="007F2B1E"/>
    <w:rsid w:val="007F62B4"/>
    <w:rsid w:val="00801517"/>
    <w:rsid w:val="00817AE8"/>
    <w:rsid w:val="00817DE8"/>
    <w:rsid w:val="00820CAE"/>
    <w:rsid w:val="008229F5"/>
    <w:rsid w:val="0082699A"/>
    <w:rsid w:val="00833CEB"/>
    <w:rsid w:val="008372D2"/>
    <w:rsid w:val="008377BC"/>
    <w:rsid w:val="00844C17"/>
    <w:rsid w:val="0084724A"/>
    <w:rsid w:val="00847726"/>
    <w:rsid w:val="00852511"/>
    <w:rsid w:val="00856F3C"/>
    <w:rsid w:val="008614F1"/>
    <w:rsid w:val="008639B3"/>
    <w:rsid w:val="00863C1A"/>
    <w:rsid w:val="0087142D"/>
    <w:rsid w:val="00873956"/>
    <w:rsid w:val="00880E72"/>
    <w:rsid w:val="008825EE"/>
    <w:rsid w:val="0088596E"/>
    <w:rsid w:val="00892E46"/>
    <w:rsid w:val="0089796A"/>
    <w:rsid w:val="008A2375"/>
    <w:rsid w:val="008A5364"/>
    <w:rsid w:val="008C6D75"/>
    <w:rsid w:val="008C7970"/>
    <w:rsid w:val="008D76C5"/>
    <w:rsid w:val="008E0AFA"/>
    <w:rsid w:val="008E52A1"/>
    <w:rsid w:val="008E75D3"/>
    <w:rsid w:val="008F125E"/>
    <w:rsid w:val="008F4D2F"/>
    <w:rsid w:val="0090620F"/>
    <w:rsid w:val="00906292"/>
    <w:rsid w:val="009076AF"/>
    <w:rsid w:val="00917162"/>
    <w:rsid w:val="00921200"/>
    <w:rsid w:val="009251CC"/>
    <w:rsid w:val="0092714E"/>
    <w:rsid w:val="00942002"/>
    <w:rsid w:val="00947885"/>
    <w:rsid w:val="00952168"/>
    <w:rsid w:val="009527FE"/>
    <w:rsid w:val="009739A0"/>
    <w:rsid w:val="00974F84"/>
    <w:rsid w:val="009767C7"/>
    <w:rsid w:val="009827BF"/>
    <w:rsid w:val="0098579A"/>
    <w:rsid w:val="0099195A"/>
    <w:rsid w:val="00992A11"/>
    <w:rsid w:val="00994681"/>
    <w:rsid w:val="0099486A"/>
    <w:rsid w:val="009A0E26"/>
    <w:rsid w:val="009A16EC"/>
    <w:rsid w:val="009B29B7"/>
    <w:rsid w:val="009B3B37"/>
    <w:rsid w:val="009B7D1F"/>
    <w:rsid w:val="009C088E"/>
    <w:rsid w:val="009C4D35"/>
    <w:rsid w:val="009D1522"/>
    <w:rsid w:val="009D7252"/>
    <w:rsid w:val="009E5EB4"/>
    <w:rsid w:val="009F5432"/>
    <w:rsid w:val="00A044D6"/>
    <w:rsid w:val="00A04ADB"/>
    <w:rsid w:val="00A11E0F"/>
    <w:rsid w:val="00A23264"/>
    <w:rsid w:val="00A26CB6"/>
    <w:rsid w:val="00A32F82"/>
    <w:rsid w:val="00A32F8B"/>
    <w:rsid w:val="00A3756F"/>
    <w:rsid w:val="00A42D6F"/>
    <w:rsid w:val="00A458A5"/>
    <w:rsid w:val="00A45A62"/>
    <w:rsid w:val="00A54AC5"/>
    <w:rsid w:val="00A55DC3"/>
    <w:rsid w:val="00A56D41"/>
    <w:rsid w:val="00A61353"/>
    <w:rsid w:val="00A66DB1"/>
    <w:rsid w:val="00A67A92"/>
    <w:rsid w:val="00A74557"/>
    <w:rsid w:val="00A87870"/>
    <w:rsid w:val="00A91A70"/>
    <w:rsid w:val="00AA1B85"/>
    <w:rsid w:val="00AB1CB6"/>
    <w:rsid w:val="00AB1D9A"/>
    <w:rsid w:val="00AD44FE"/>
    <w:rsid w:val="00AE49F1"/>
    <w:rsid w:val="00B05CCA"/>
    <w:rsid w:val="00B14271"/>
    <w:rsid w:val="00B14C02"/>
    <w:rsid w:val="00B16270"/>
    <w:rsid w:val="00B20FA7"/>
    <w:rsid w:val="00B2685D"/>
    <w:rsid w:val="00B30351"/>
    <w:rsid w:val="00B33C2A"/>
    <w:rsid w:val="00B372E3"/>
    <w:rsid w:val="00B41DF5"/>
    <w:rsid w:val="00B422EC"/>
    <w:rsid w:val="00B726D4"/>
    <w:rsid w:val="00B77695"/>
    <w:rsid w:val="00B8214F"/>
    <w:rsid w:val="00B86A4F"/>
    <w:rsid w:val="00B9125C"/>
    <w:rsid w:val="00B93035"/>
    <w:rsid w:val="00B9337E"/>
    <w:rsid w:val="00B958E8"/>
    <w:rsid w:val="00B97E4A"/>
    <w:rsid w:val="00BA09B2"/>
    <w:rsid w:val="00BA5B46"/>
    <w:rsid w:val="00BB5D0B"/>
    <w:rsid w:val="00BC0995"/>
    <w:rsid w:val="00BD2F64"/>
    <w:rsid w:val="00BD6041"/>
    <w:rsid w:val="00BE793A"/>
    <w:rsid w:val="00BF2B82"/>
    <w:rsid w:val="00BF432A"/>
    <w:rsid w:val="00BF6E82"/>
    <w:rsid w:val="00C060C7"/>
    <w:rsid w:val="00C24C17"/>
    <w:rsid w:val="00C258B8"/>
    <w:rsid w:val="00C3758F"/>
    <w:rsid w:val="00C40B88"/>
    <w:rsid w:val="00C42C93"/>
    <w:rsid w:val="00C43854"/>
    <w:rsid w:val="00C464E6"/>
    <w:rsid w:val="00C47D87"/>
    <w:rsid w:val="00C5376E"/>
    <w:rsid w:val="00C567CD"/>
    <w:rsid w:val="00C66D05"/>
    <w:rsid w:val="00C808A6"/>
    <w:rsid w:val="00C94F0F"/>
    <w:rsid w:val="00C97091"/>
    <w:rsid w:val="00C97260"/>
    <w:rsid w:val="00CA2001"/>
    <w:rsid w:val="00CA44C2"/>
    <w:rsid w:val="00CA5317"/>
    <w:rsid w:val="00CB5B6C"/>
    <w:rsid w:val="00CC052E"/>
    <w:rsid w:val="00CD16BE"/>
    <w:rsid w:val="00CD4616"/>
    <w:rsid w:val="00CD47AC"/>
    <w:rsid w:val="00CD56AF"/>
    <w:rsid w:val="00CE33D5"/>
    <w:rsid w:val="00CE7AEF"/>
    <w:rsid w:val="00CF1D7E"/>
    <w:rsid w:val="00CF5D37"/>
    <w:rsid w:val="00CF6F33"/>
    <w:rsid w:val="00D02248"/>
    <w:rsid w:val="00D063B8"/>
    <w:rsid w:val="00D06825"/>
    <w:rsid w:val="00D17E3B"/>
    <w:rsid w:val="00D23C09"/>
    <w:rsid w:val="00D23CED"/>
    <w:rsid w:val="00D24BD2"/>
    <w:rsid w:val="00D2573D"/>
    <w:rsid w:val="00D260A2"/>
    <w:rsid w:val="00D30CC6"/>
    <w:rsid w:val="00D3260C"/>
    <w:rsid w:val="00D35790"/>
    <w:rsid w:val="00D5653B"/>
    <w:rsid w:val="00D62EF1"/>
    <w:rsid w:val="00D6309D"/>
    <w:rsid w:val="00D644CA"/>
    <w:rsid w:val="00D66FC2"/>
    <w:rsid w:val="00D76C7E"/>
    <w:rsid w:val="00D771DE"/>
    <w:rsid w:val="00D7776D"/>
    <w:rsid w:val="00D9293F"/>
    <w:rsid w:val="00D93598"/>
    <w:rsid w:val="00D936AF"/>
    <w:rsid w:val="00D96D4C"/>
    <w:rsid w:val="00DA1E18"/>
    <w:rsid w:val="00DA2009"/>
    <w:rsid w:val="00DA47B4"/>
    <w:rsid w:val="00DB05B1"/>
    <w:rsid w:val="00DB5951"/>
    <w:rsid w:val="00DB5A79"/>
    <w:rsid w:val="00DC2465"/>
    <w:rsid w:val="00DD512E"/>
    <w:rsid w:val="00DE1177"/>
    <w:rsid w:val="00DE2CEA"/>
    <w:rsid w:val="00DE6A3C"/>
    <w:rsid w:val="00DE74F4"/>
    <w:rsid w:val="00DE7F97"/>
    <w:rsid w:val="00DF1010"/>
    <w:rsid w:val="00DF5AEA"/>
    <w:rsid w:val="00DF63F6"/>
    <w:rsid w:val="00DF7BE8"/>
    <w:rsid w:val="00E13747"/>
    <w:rsid w:val="00E25AEA"/>
    <w:rsid w:val="00E279A9"/>
    <w:rsid w:val="00E30DEF"/>
    <w:rsid w:val="00E30ED2"/>
    <w:rsid w:val="00E31276"/>
    <w:rsid w:val="00E37F70"/>
    <w:rsid w:val="00E4369F"/>
    <w:rsid w:val="00E446C1"/>
    <w:rsid w:val="00E75096"/>
    <w:rsid w:val="00E758B9"/>
    <w:rsid w:val="00E806CE"/>
    <w:rsid w:val="00E85569"/>
    <w:rsid w:val="00E856AF"/>
    <w:rsid w:val="00E86B83"/>
    <w:rsid w:val="00E87C64"/>
    <w:rsid w:val="00E93A01"/>
    <w:rsid w:val="00E93FF8"/>
    <w:rsid w:val="00E962F0"/>
    <w:rsid w:val="00E96EAF"/>
    <w:rsid w:val="00EA1752"/>
    <w:rsid w:val="00EA5A89"/>
    <w:rsid w:val="00EA5BDB"/>
    <w:rsid w:val="00EB46D9"/>
    <w:rsid w:val="00EC142D"/>
    <w:rsid w:val="00EC1E16"/>
    <w:rsid w:val="00ED0024"/>
    <w:rsid w:val="00ED0F85"/>
    <w:rsid w:val="00ED2B5C"/>
    <w:rsid w:val="00ED3269"/>
    <w:rsid w:val="00EE1A8C"/>
    <w:rsid w:val="00EE4643"/>
    <w:rsid w:val="00EF1330"/>
    <w:rsid w:val="00EF15FF"/>
    <w:rsid w:val="00EF7111"/>
    <w:rsid w:val="00EF7D1A"/>
    <w:rsid w:val="00F0448F"/>
    <w:rsid w:val="00F0716C"/>
    <w:rsid w:val="00F236F6"/>
    <w:rsid w:val="00F270E9"/>
    <w:rsid w:val="00F275C0"/>
    <w:rsid w:val="00F346B6"/>
    <w:rsid w:val="00F36145"/>
    <w:rsid w:val="00F37BDD"/>
    <w:rsid w:val="00F41503"/>
    <w:rsid w:val="00F466C8"/>
    <w:rsid w:val="00F469A9"/>
    <w:rsid w:val="00F50B46"/>
    <w:rsid w:val="00F50D1F"/>
    <w:rsid w:val="00F6203E"/>
    <w:rsid w:val="00F635FC"/>
    <w:rsid w:val="00F63D03"/>
    <w:rsid w:val="00F65E2F"/>
    <w:rsid w:val="00F67DF1"/>
    <w:rsid w:val="00F815D3"/>
    <w:rsid w:val="00F8309B"/>
    <w:rsid w:val="00F833C9"/>
    <w:rsid w:val="00F86CC2"/>
    <w:rsid w:val="00F90064"/>
    <w:rsid w:val="00F96AFD"/>
    <w:rsid w:val="00FA1398"/>
    <w:rsid w:val="00FA2E19"/>
    <w:rsid w:val="00FA697F"/>
    <w:rsid w:val="00FB075B"/>
    <w:rsid w:val="00FB1B6E"/>
    <w:rsid w:val="00FB5521"/>
    <w:rsid w:val="00FB610D"/>
    <w:rsid w:val="00FC4477"/>
    <w:rsid w:val="00FC46FB"/>
    <w:rsid w:val="00FD0734"/>
    <w:rsid w:val="00FD0A38"/>
    <w:rsid w:val="00FD2BD3"/>
    <w:rsid w:val="00FD4CCA"/>
    <w:rsid w:val="00FD5F47"/>
    <w:rsid w:val="00FE2A9E"/>
    <w:rsid w:val="00FF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Titre1">
    <w:name w:val="heading 1"/>
    <w:basedOn w:val="Normal"/>
    <w:next w:val="Normal"/>
    <w:link w:val="Titre1Car"/>
    <w:uiPriority w:val="99"/>
    <w:qFormat/>
    <w:rsid w:val="00097261"/>
    <w:pPr>
      <w:keepNext/>
      <w:spacing w:line="420" w:lineRule="atLeast"/>
      <w:outlineLvl w:val="0"/>
    </w:pPr>
    <w:rPr>
      <w:rFonts w:cs="Arial"/>
      <w:b/>
      <w:bCs/>
      <w:kern w:val="32"/>
      <w:sz w:val="36"/>
      <w:szCs w:val="32"/>
    </w:rPr>
  </w:style>
  <w:style w:type="paragraph" w:styleId="Titre2">
    <w:name w:val="heading 2"/>
    <w:basedOn w:val="Normal"/>
    <w:next w:val="Normal"/>
    <w:qFormat/>
    <w:rsid w:val="003F46B0"/>
    <w:pPr>
      <w:keepNext/>
      <w:outlineLvl w:val="1"/>
    </w:pPr>
    <w:rPr>
      <w:rFonts w:cs="Arial"/>
      <w:bCs/>
      <w:iCs/>
      <w:color w:val="E1000F"/>
      <w:szCs w:val="28"/>
    </w:rPr>
  </w:style>
  <w:style w:type="paragraph" w:styleId="Titre3">
    <w:name w:val="heading 3"/>
    <w:basedOn w:val="Titre2"/>
    <w:next w:val="Normal"/>
    <w:qFormat/>
    <w:rsid w:val="006F1596"/>
    <w:pPr>
      <w:outlineLvl w:val="2"/>
    </w:pPr>
    <w:rPr>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eddepage">
    <w:name w:val="footer"/>
    <w:basedOn w:val="Normal"/>
    <w:link w:val="PieddepageC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Grilledutableau">
    <w:name w:val="Table Grid"/>
    <w:basedOn w:val="Tableau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Titre1Car">
    <w:name w:val="Titre 1 Car"/>
    <w:link w:val="Titre1"/>
    <w:uiPriority w:val="99"/>
    <w:locked/>
    <w:rsid w:val="00B422EC"/>
    <w:rPr>
      <w:rFonts w:ascii="Arial" w:hAnsi="Arial" w:cs="Arial"/>
      <w:b/>
      <w:bCs/>
      <w:kern w:val="32"/>
      <w:sz w:val="36"/>
      <w:szCs w:val="32"/>
      <w:lang w:val="de-DE"/>
    </w:rPr>
  </w:style>
  <w:style w:type="character" w:styleId="Lienhypertexte">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Textedebulles">
    <w:name w:val="Balloon Text"/>
    <w:basedOn w:val="Normal"/>
    <w:link w:val="TextedebullesCar"/>
    <w:rsid w:val="00336854"/>
    <w:pPr>
      <w:spacing w:line="240" w:lineRule="auto"/>
    </w:pPr>
    <w:rPr>
      <w:sz w:val="18"/>
      <w:szCs w:val="18"/>
    </w:rPr>
  </w:style>
  <w:style w:type="character" w:customStyle="1" w:styleId="TextedebullesCar">
    <w:name w:val="Texte de bulles Car"/>
    <w:link w:val="Textedebulles"/>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ieddepageCar">
    <w:name w:val="Pied de page Car"/>
    <w:link w:val="Pieddepage"/>
    <w:uiPriority w:val="99"/>
    <w:rsid w:val="00992A11"/>
    <w:rPr>
      <w:rFonts w:ascii="Segoe UI" w:hAnsi="Segoe UI"/>
      <w:bCs/>
      <w:noProof/>
      <w:sz w:val="12"/>
      <w:szCs w:val="24"/>
      <w:lang w:val="de-DE"/>
    </w:rPr>
  </w:style>
  <w:style w:type="character" w:styleId="Mentionnonrsolue">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Policepardfau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Policepardfaut"/>
    <w:rsid w:val="00336854"/>
    <w:rPr>
      <w:rFonts w:ascii="Segoe UI" w:hAnsi="Segoe UI"/>
      <w:sz w:val="18"/>
    </w:rPr>
  </w:style>
  <w:style w:type="character" w:customStyle="1" w:styleId="AboutandContactHeadline">
    <w:name w:val="About and Contact Headline"/>
    <w:basedOn w:val="Policepardfaut"/>
    <w:rsid w:val="00336854"/>
    <w:rPr>
      <w:rFonts w:ascii="Segoe UI" w:hAnsi="Segoe UI"/>
      <w:b/>
      <w:bCs/>
      <w:sz w:val="18"/>
    </w:rPr>
  </w:style>
  <w:style w:type="paragraph" w:styleId="NormalWeb">
    <w:name w:val="Normal (Web)"/>
    <w:basedOn w:val="Normal"/>
    <w:uiPriority w:val="99"/>
    <w:rsid w:val="00E75096"/>
    <w:rPr>
      <w:rFonts w:ascii="Times New Roman" w:hAnsi="Times New Roman"/>
      <w:sz w:val="24"/>
    </w:rPr>
  </w:style>
  <w:style w:type="paragraph" w:styleId="Rvision">
    <w:name w:val="Revision"/>
    <w:hidden/>
    <w:uiPriority w:val="62"/>
    <w:unhideWhenUsed/>
    <w:rsid w:val="002B22F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nkel.com/press-and-media/press-releases-and-kits/2026-02-18-henkel-makes-progress-in-cdp-and-ecovadis-2123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enkel.com/sustainabili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nkel.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78722955-0099-4b9a-b617-9176846b96c9">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72f792e8-4dad-42c1-ad63-44982727bf4d"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AAF7F0CE6BC60945BC6D1A4503FFC53D" ma:contentTypeVersion="21" ma:contentTypeDescription="Create a new document." ma:contentTypeScope="" ma:versionID="2da5c3dcfbe346363feb69447567659e">
  <xsd:schema xmlns:xsd="http://www.w3.org/2001/XMLSchema" xmlns:xs="http://www.w3.org/2001/XMLSchema" xmlns:p="http://schemas.microsoft.com/office/2006/metadata/properties" xmlns:ns2="78722955-0099-4b9a-b617-9176846b96c9" xmlns:ns3="53dbc4da-535f-4a2d-b294-df54c848007d" xmlns:ns4="ef406d6b-70e0-427c-b08d-4edfc77771aa" targetNamespace="http://schemas.microsoft.com/office/2006/metadata/properties" ma:root="true" ma:fieldsID="030c41a4d0fb13427c0011b833ea2430" ns2:_="" ns3:_="" ns4:_="">
    <xsd:import namespace="78722955-0099-4b9a-b617-9176846b96c9"/>
    <xsd:import namespace="53dbc4da-535f-4a2d-b294-df54c848007d"/>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22955-0099-4b9a-b617-9176846b9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bc4da-535f-4a2d-b294-df54c84800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fc8301a-dbfb-4f8d-821c-74d4b736256b}" ma:internalName="TaxCatchAll" ma:showField="CatchAllData" ma:web="53dbc4da-535f-4a2d-b294-df54c8480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3.xml><?xml version="1.0" encoding="utf-8"?>
<ds:datastoreItem xmlns:ds="http://schemas.openxmlformats.org/officeDocument/2006/customXml" ds:itemID="{F3245D12-BDB4-413F-ABB3-2AF0CF323A38}">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ef406d6b-70e0-427c-b08d-4edfc77771aa"/>
    <ds:schemaRef ds:uri="53dbc4da-535f-4a2d-b294-df54c848007d"/>
    <ds:schemaRef ds:uri="78722955-0099-4b9a-b617-9176846b96c9"/>
  </ds:schemaRefs>
</ds:datastoreItem>
</file>

<file path=customXml/itemProps4.xml><?xml version="1.0" encoding="utf-8"?>
<ds:datastoreItem xmlns:ds="http://schemas.openxmlformats.org/officeDocument/2006/customXml" ds:itemID="{8AFADF2D-A04D-4949-88D0-7CAB3229F47A}">
  <ds:schemaRefs>
    <ds:schemaRef ds:uri="Microsoft.SharePoint.Taxonomy.ContentTypeSync"/>
  </ds:schemaRefs>
</ds:datastoreItem>
</file>

<file path=customXml/itemProps5.xml><?xml version="1.0" encoding="utf-8"?>
<ds:datastoreItem xmlns:ds="http://schemas.openxmlformats.org/officeDocument/2006/customXml" ds:itemID="{5097C5BC-7D04-4F7F-BB87-3F3F89DB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22955-0099-4b9a-b617-9176846b96c9"/>
    <ds:schemaRef ds:uri="53dbc4da-535f-4a2d-b294-df54c848007d"/>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2</Pages>
  <Words>551</Words>
  <Characters>3140</Characters>
  <Application>Microsoft Office Word</Application>
  <DocSecurity>6</DocSecurity>
  <Lines>58</Lines>
  <Paragraphs>17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Pressemitteilung</vt:lpstr>
      <vt:lpstr>Pressemitteilung</vt:lpstr>
      <vt:lpstr>Pressemitteilung</vt:lpstr>
    </vt:vector>
  </TitlesOfParts>
  <Company>Henkel AG &amp; Co. KGaA</Company>
  <LinksUpToDate>false</LinksUpToDate>
  <CharactersWithSpaces>3674</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Octavie Blandin</cp:lastModifiedBy>
  <cp:revision>2</cp:revision>
  <cp:lastPrinted>2016-11-16T01:11:00Z</cp:lastPrinted>
  <dcterms:created xsi:type="dcterms:W3CDTF">2026-02-18T13:38:00Z</dcterms:created>
  <dcterms:modified xsi:type="dcterms:W3CDTF">2026-02-18T13:38:00Z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0x010100AAF7F0CE6BC60945BC6D1A4503FFC53D</vt:lpwstr>
  </property>
  <property fmtid="{D5CDD505-2E9C-101B-9397-08002B2CF9AE}" pid="3" name="MediaServiceImageTags">
    <vt:lpwstr/>
  </property>
  <property fmtid="{D5CDD505-2E9C-101B-9397-08002B2CF9AE}" pid="4" name="docLang">
    <vt:lpwstr>en</vt:lpwstr>
  </property>
</Properties>
</file>