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5EF63F5B" w:rsidR="005742B4" w:rsidRPr="00A26326" w:rsidRDefault="007C3361">
      <w:pPr>
        <w:pStyle w:val="MonthDayYear"/>
        <w:rPr>
          <w:lang w:val="cs-CZ"/>
        </w:rPr>
      </w:pPr>
      <w:r w:rsidRPr="00A26326">
        <w:rPr>
          <w:lang w:val="cs-CZ"/>
        </w:rPr>
        <w:t>4</w:t>
      </w:r>
      <w:r w:rsidR="004D74B9" w:rsidRPr="00A26326">
        <w:rPr>
          <w:lang w:val="cs-CZ"/>
        </w:rPr>
        <w:t xml:space="preserve">. </w:t>
      </w:r>
      <w:r w:rsidRPr="00A26326">
        <w:rPr>
          <w:lang w:val="cs-CZ"/>
        </w:rPr>
        <w:t>únor</w:t>
      </w:r>
      <w:r w:rsidR="007D354B" w:rsidRPr="00A26326">
        <w:rPr>
          <w:lang w:val="cs-CZ"/>
        </w:rPr>
        <w:t xml:space="preserve"> 202</w:t>
      </w:r>
      <w:r w:rsidRPr="00A26326">
        <w:rPr>
          <w:lang w:val="cs-CZ"/>
        </w:rPr>
        <w:t>6</w:t>
      </w:r>
    </w:p>
    <w:p w14:paraId="1C95C47A" w14:textId="77777777" w:rsidR="00BE389A" w:rsidRPr="00A26326" w:rsidRDefault="00BE389A" w:rsidP="0003352D">
      <w:pPr>
        <w:rPr>
          <w:lang w:val="cs-CZ"/>
        </w:rPr>
      </w:pPr>
    </w:p>
    <w:p w14:paraId="17775821" w14:textId="6BAE6641" w:rsidR="00BE389A" w:rsidRPr="00A26326" w:rsidRDefault="00BE389A" w:rsidP="0003352D">
      <w:pPr>
        <w:rPr>
          <w:lang w:val="cs-CZ"/>
        </w:rPr>
      </w:pPr>
      <w:proofErr w:type="spellStart"/>
      <w:r w:rsidRPr="00A26326">
        <w:rPr>
          <w:lang w:val="cs-CZ"/>
        </w:rPr>
        <w:t>Henkel</w:t>
      </w:r>
      <w:proofErr w:type="spellEnd"/>
      <w:r w:rsidRPr="00A26326">
        <w:rPr>
          <w:lang w:val="cs-CZ"/>
        </w:rPr>
        <w:t xml:space="preserve"> </w:t>
      </w:r>
      <w:proofErr w:type="spellStart"/>
      <w:r w:rsidRPr="00A26326">
        <w:rPr>
          <w:lang w:val="cs-CZ"/>
        </w:rPr>
        <w:t>Adhesive</w:t>
      </w:r>
      <w:proofErr w:type="spellEnd"/>
      <w:r w:rsidRPr="00A26326">
        <w:rPr>
          <w:lang w:val="cs-CZ"/>
        </w:rPr>
        <w:t xml:space="preserve"> Technologies dále rozšiřuje své podnikání v oblasti nátěrových řešení</w:t>
      </w:r>
    </w:p>
    <w:p w14:paraId="3EAC1BAC" w14:textId="77777777" w:rsidR="00BE389A" w:rsidRPr="00A26326" w:rsidRDefault="00BE389A" w:rsidP="0003352D">
      <w:pPr>
        <w:rPr>
          <w:lang w:val="cs-CZ"/>
        </w:rPr>
      </w:pPr>
    </w:p>
    <w:p w14:paraId="6BC95365" w14:textId="509AC3D4" w:rsidR="0003352D" w:rsidRPr="00A26326" w:rsidRDefault="000B146B" w:rsidP="0003352D">
      <w:pPr>
        <w:rPr>
          <w:rStyle w:val="Headline"/>
          <w:lang w:val="cs-CZ"/>
        </w:rPr>
      </w:pPr>
      <w:r w:rsidRPr="00A26326">
        <w:rPr>
          <w:rStyle w:val="Headline"/>
          <w:lang w:val="cs-CZ"/>
        </w:rPr>
        <w:t xml:space="preserve">Společnost </w:t>
      </w:r>
      <w:proofErr w:type="spellStart"/>
      <w:r w:rsidRPr="00A26326">
        <w:rPr>
          <w:rStyle w:val="Headline"/>
          <w:lang w:val="cs-CZ"/>
        </w:rPr>
        <w:t>Henkel</w:t>
      </w:r>
      <w:proofErr w:type="spellEnd"/>
      <w:r w:rsidRPr="00A26326">
        <w:rPr>
          <w:rStyle w:val="Headline"/>
          <w:lang w:val="cs-CZ"/>
        </w:rPr>
        <w:t xml:space="preserve"> převezme holandského odborníka na speciální nátěry Stahl</w:t>
      </w:r>
    </w:p>
    <w:p w14:paraId="25914181" w14:textId="77777777" w:rsidR="0003352D" w:rsidRPr="00A26326" w:rsidRDefault="0003352D" w:rsidP="0003352D">
      <w:pPr>
        <w:rPr>
          <w:lang w:val="cs-CZ"/>
        </w:rPr>
      </w:pPr>
    </w:p>
    <w:p w14:paraId="4B7915F3" w14:textId="77777777" w:rsidR="004845C6" w:rsidRPr="00A26326" w:rsidRDefault="004845C6" w:rsidP="004845C6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lang w:val="cs-CZ"/>
        </w:rPr>
      </w:pPr>
      <w:r w:rsidRPr="00A26326">
        <w:rPr>
          <w:rFonts w:ascii="Segoe UI" w:hAnsi="Segoe UI" w:cs="Segoe UI"/>
          <w:b/>
          <w:bCs/>
          <w:sz w:val="22"/>
          <w:szCs w:val="22"/>
          <w:lang w:val="cs-CZ"/>
        </w:rPr>
        <w:t>Inovativní hráč v oblasti vysoce výkonných specializovaných nátěrů pro flexibilní materiály v segmentech automobilového průmyslu, módy a životního stylu a obalových řešení</w:t>
      </w:r>
    </w:p>
    <w:p w14:paraId="7F4BEF27" w14:textId="77777777" w:rsidR="004845C6" w:rsidRPr="00A26326" w:rsidRDefault="004845C6" w:rsidP="004845C6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lang w:val="cs-CZ"/>
        </w:rPr>
      </w:pPr>
      <w:r w:rsidRPr="00A26326">
        <w:rPr>
          <w:rFonts w:ascii="Segoe UI" w:hAnsi="Segoe UI" w:cs="Segoe UI"/>
          <w:b/>
          <w:bCs/>
          <w:sz w:val="22"/>
          <w:szCs w:val="22"/>
          <w:lang w:val="cs-CZ"/>
        </w:rPr>
        <w:t xml:space="preserve">Vysoce doplňkové produktové portfolio pro různé zákaznické segmenty, z nichž mnohé již obsluhuje divize </w:t>
      </w:r>
      <w:proofErr w:type="spellStart"/>
      <w:r w:rsidRPr="00A26326">
        <w:rPr>
          <w:rFonts w:ascii="Segoe UI" w:hAnsi="Segoe UI" w:cs="Segoe UI"/>
          <w:b/>
          <w:bCs/>
          <w:sz w:val="22"/>
          <w:szCs w:val="22"/>
          <w:lang w:val="cs-CZ"/>
        </w:rPr>
        <w:t>Adhesive</w:t>
      </w:r>
      <w:proofErr w:type="spellEnd"/>
      <w:r w:rsidRPr="00A26326">
        <w:rPr>
          <w:rFonts w:ascii="Segoe UI" w:hAnsi="Segoe UI" w:cs="Segoe UI"/>
          <w:b/>
          <w:bCs/>
          <w:sz w:val="22"/>
          <w:szCs w:val="22"/>
          <w:lang w:val="cs-CZ"/>
        </w:rPr>
        <w:t xml:space="preserve"> Technologies</w:t>
      </w:r>
    </w:p>
    <w:p w14:paraId="1F22B03E" w14:textId="77777777" w:rsidR="004845C6" w:rsidRPr="00A26326" w:rsidRDefault="004845C6" w:rsidP="004845C6">
      <w:pPr>
        <w:pStyle w:val="Predvolen"/>
        <w:numPr>
          <w:ilvl w:val="0"/>
          <w:numId w:val="6"/>
        </w:numPr>
        <w:spacing w:before="0" w:line="276" w:lineRule="auto"/>
        <w:ind w:right="553"/>
        <w:jc w:val="both"/>
        <w:rPr>
          <w:rFonts w:ascii="Segoe UI" w:hAnsi="Segoe UI" w:cs="Segoe UI"/>
          <w:b/>
          <w:bCs/>
          <w:lang w:val="cs-CZ"/>
        </w:rPr>
      </w:pPr>
      <w:r w:rsidRPr="00A26326">
        <w:rPr>
          <w:rFonts w:ascii="Segoe UI" w:hAnsi="Segoe UI" w:cs="Segoe UI"/>
          <w:b/>
          <w:bCs/>
          <w:sz w:val="22"/>
          <w:szCs w:val="22"/>
          <w:lang w:val="cs-CZ"/>
        </w:rPr>
        <w:t>Silná strategická shoda založená na hodnotných výzkumně‑vývojových kapacitách a znalostním obchodním modelu s vysokou mírou přizpůsobení</w:t>
      </w:r>
    </w:p>
    <w:p w14:paraId="10D004C8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1754205C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A26326">
        <w:rPr>
          <w:rFonts w:ascii="Segoe UI" w:hAnsi="Segoe UI" w:cs="Segoe UI"/>
          <w:sz w:val="22"/>
          <w:szCs w:val="22"/>
          <w:lang w:val="cs-CZ"/>
        </w:rPr>
        <w:t xml:space="preserve">Düsseldorf – Společnost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domluvila převzetí holandské skupiny Stahl Group („Stahl</w:t>
      </w:r>
      <w:r w:rsidRPr="00A26326">
        <w:rPr>
          <w:rFonts w:ascii="Segoe UI" w:hAnsi="Segoe UI" w:cs="Segoe UI"/>
          <w:sz w:val="22"/>
          <w:szCs w:val="22"/>
          <w:rtl/>
          <w:lang w:val="cs-CZ"/>
        </w:rPr>
        <w:t>“</w:t>
      </w:r>
      <w:r w:rsidRPr="00A26326">
        <w:rPr>
          <w:rFonts w:ascii="Segoe UI" w:hAnsi="Segoe UI" w:cs="Segoe UI"/>
          <w:sz w:val="22"/>
          <w:szCs w:val="22"/>
          <w:lang w:val="cs-CZ"/>
        </w:rPr>
        <w:t xml:space="preserve">) za cenu 2,1 miliardy eur. Většinovým vlastníkem skupiny Stahl je francouzská investiční společnost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Wendel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SE. Stahl je globálním hráčem v oblasti vysoce výkonných specializovaných nátěrů pro flexibilní materiály a dodává řešení předním světovým značkám v automobilovém průmyslu, módě a životním stylu i výrobě obalů.</w:t>
      </w:r>
    </w:p>
    <w:p w14:paraId="116A29A3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30CC1F3E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A26326">
        <w:rPr>
          <w:rFonts w:ascii="Segoe UI" w:hAnsi="Segoe UI" w:cs="Segoe UI"/>
          <w:sz w:val="22"/>
          <w:szCs w:val="22"/>
          <w:lang w:val="cs-CZ"/>
        </w:rPr>
        <w:t>Portfolio společnosti zahrnuje nátěry na úpravu kůže, funkční nátěry a vysoce výkonné nátěry pro papírové obaly a grafické aplikace. Společnost zaměstnává přibližně 1 700 lidí a v roce 2025 dosáhla upravených tržeb ve výši přibližně 725 milionů eur s vyváženým regionálním zastoupením.</w:t>
      </w:r>
    </w:p>
    <w:p w14:paraId="21D75CE0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5E12BE90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A26326">
        <w:rPr>
          <w:rFonts w:ascii="Segoe UI" w:hAnsi="Segoe UI" w:cs="Segoe UI"/>
          <w:sz w:val="22"/>
          <w:szCs w:val="22"/>
          <w:lang w:val="cs-CZ"/>
        </w:rPr>
        <w:t xml:space="preserve">„Akvizicí společnosti Stahl dále posílíme obchodní divizi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Adhesive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Technologies v souladu s naší strategií smysluplného růstu. Umožní nám vstoupit do atraktivní kategorie specializovaných nátěrů s nabídkou produktů pro klíčové i nové trhy, čímž podpoříme další růst celé divize. Spolu s nedávno ohlášeným záměrem získat společnost ATP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Adhesive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Systems jde o dva významné projekty, jež společně přinášejí téměř jednu </w:t>
      </w:r>
      <w:r w:rsidRPr="00A26326">
        <w:rPr>
          <w:rFonts w:ascii="Segoe UI" w:hAnsi="Segoe UI" w:cs="Segoe UI"/>
          <w:sz w:val="22"/>
          <w:szCs w:val="22"/>
          <w:lang w:val="cs-CZ"/>
        </w:rPr>
        <w:lastRenderedPageBreak/>
        <w:t xml:space="preserve">miliardu eur v tržbách a výrazně posilují růstový potenciál našich prvotřídních lepících technologií,“ uvedl předseda představenstva společnosti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Henkel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Carsten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Knobel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>.</w:t>
      </w:r>
    </w:p>
    <w:p w14:paraId="10257534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080E0C08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  <w:r w:rsidRPr="00A26326">
        <w:rPr>
          <w:rFonts w:ascii="Segoe UI" w:hAnsi="Segoe UI" w:cs="Segoe UI"/>
          <w:sz w:val="22"/>
          <w:szCs w:val="22"/>
          <w:lang w:val="cs-CZ"/>
        </w:rPr>
        <w:t xml:space="preserve">„Stahl funguje na efektivním, znalostním a servisně orientovaném obchodním modelu s vysokou mírou přizpůsobení, což z něj dělá výborný strategický doplněk pro naše podnikání. Společnost nabízí doplňkové portfolio pro různě zákaznické segmenty, z nichž mnohé již obsluhujeme v rámci divize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Adhesive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Technologies. Zároveň disponuje hodnotnými technologickými a výzkumně‑vývojovými kapacitami, jež nám umožní přinášet zákazníkům ještě více inovací. Poněvadž většina tržeb pochází z environmentálně zodpovědných řešení na vodní bázi, Stahl zároveň posílí naše závazky v oblasti udržitelnosti,“ dodal Mark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Dorn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, výkonný viceprezident zodpovědný za divizi </w:t>
      </w:r>
      <w:proofErr w:type="spellStart"/>
      <w:r w:rsidRPr="00A26326">
        <w:rPr>
          <w:rFonts w:ascii="Segoe UI" w:hAnsi="Segoe UI" w:cs="Segoe UI"/>
          <w:sz w:val="22"/>
          <w:szCs w:val="22"/>
          <w:lang w:val="cs-CZ"/>
        </w:rPr>
        <w:t>Adhesive</w:t>
      </w:r>
      <w:proofErr w:type="spellEnd"/>
      <w:r w:rsidRPr="00A26326">
        <w:rPr>
          <w:rFonts w:ascii="Segoe UI" w:hAnsi="Segoe UI" w:cs="Segoe UI"/>
          <w:sz w:val="22"/>
          <w:szCs w:val="22"/>
          <w:lang w:val="cs-CZ"/>
        </w:rPr>
        <w:t xml:space="preserve"> Technologies.</w:t>
      </w:r>
    </w:p>
    <w:p w14:paraId="1DF054F7" w14:textId="77777777" w:rsidR="004845C6" w:rsidRPr="00A26326" w:rsidRDefault="004845C6" w:rsidP="004845C6">
      <w:pPr>
        <w:pStyle w:val="Predvolen"/>
        <w:spacing w:before="0" w:line="276" w:lineRule="auto"/>
        <w:ind w:right="553"/>
        <w:jc w:val="both"/>
        <w:rPr>
          <w:rFonts w:ascii="Segoe UI" w:eastAsia="Helvetica" w:hAnsi="Segoe UI" w:cs="Segoe UI"/>
          <w:sz w:val="22"/>
          <w:szCs w:val="22"/>
          <w:lang w:val="cs-CZ"/>
        </w:rPr>
      </w:pPr>
    </w:p>
    <w:p w14:paraId="54C7E2E7" w14:textId="365D900F" w:rsidR="00613F5D" w:rsidRPr="00A26326" w:rsidRDefault="004845C6" w:rsidP="004845C6">
      <w:pPr>
        <w:pStyle w:val="Predvolen"/>
        <w:spacing w:before="0" w:line="276" w:lineRule="auto"/>
        <w:ind w:right="553"/>
        <w:jc w:val="both"/>
        <w:rPr>
          <w:rStyle w:val="Headline"/>
          <w:rFonts w:eastAsia="Arial Unicode MS"/>
          <w:b w:val="0"/>
          <w:bCs w:val="0"/>
          <w:sz w:val="24"/>
          <w:szCs w:val="24"/>
          <w:lang w:val="cs-CZ"/>
        </w:rPr>
      </w:pPr>
      <w:r w:rsidRPr="00A26326">
        <w:rPr>
          <w:rFonts w:ascii="Segoe UI" w:hAnsi="Segoe UI" w:cs="Segoe UI"/>
          <w:sz w:val="22"/>
          <w:szCs w:val="22"/>
          <w:lang w:val="cs-CZ"/>
        </w:rPr>
        <w:t>Transakce podléhá obvyklým podmínkám včetně povinného procesu posuzování, schválení regulačními orgány a dalších standardních kroků.</w:t>
      </w:r>
    </w:p>
    <w:p w14:paraId="7178C33E" w14:textId="77777777" w:rsidR="00F75919" w:rsidRPr="00A26326" w:rsidRDefault="00F75919" w:rsidP="002F7A23">
      <w:pPr>
        <w:rPr>
          <w:rStyle w:val="Headline"/>
          <w:lang w:val="cs-CZ"/>
        </w:rPr>
      </w:pPr>
    </w:p>
    <w:p w14:paraId="7DD4D096" w14:textId="77777777" w:rsidR="00F75919" w:rsidRPr="00A26326" w:rsidRDefault="00F75919" w:rsidP="002F7A23">
      <w:pPr>
        <w:rPr>
          <w:rStyle w:val="Headline"/>
          <w:lang w:val="cs-CZ"/>
        </w:rPr>
      </w:pPr>
    </w:p>
    <w:p w14:paraId="76CCC920" w14:textId="40E72074" w:rsidR="005D6168" w:rsidRPr="00A26326" w:rsidRDefault="005D6168" w:rsidP="002F7A23">
      <w:pPr>
        <w:rPr>
          <w:b/>
          <w:bCs/>
          <w:sz w:val="18"/>
          <w:szCs w:val="18"/>
          <w:lang w:val="cs-CZ" w:bidi="bo-CN"/>
        </w:rPr>
      </w:pPr>
      <w:r w:rsidRPr="00A26326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A26326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A26326" w:rsidRDefault="005D6168" w:rsidP="002F7A23">
      <w:pPr>
        <w:rPr>
          <w:sz w:val="18"/>
          <w:szCs w:val="18"/>
          <w:lang w:val="cs-CZ" w:bidi="bo-CN"/>
        </w:rPr>
      </w:pPr>
      <w:r w:rsidRPr="00A26326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A26326">
        <w:rPr>
          <w:sz w:val="18"/>
          <w:szCs w:val="18"/>
          <w:lang w:val="cs-CZ" w:bidi="bo-CN"/>
        </w:rPr>
        <w:t>Henkel</w:t>
      </w:r>
      <w:proofErr w:type="spellEnd"/>
      <w:r w:rsidRPr="00A26326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A26326">
        <w:rPr>
          <w:sz w:val="18"/>
          <w:szCs w:val="18"/>
          <w:lang w:val="cs-CZ" w:bidi="bo-CN"/>
        </w:rPr>
        <w:t>Adhesive</w:t>
      </w:r>
      <w:proofErr w:type="spellEnd"/>
      <w:r w:rsidRPr="00A26326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A26326">
        <w:rPr>
          <w:sz w:val="18"/>
          <w:szCs w:val="18"/>
          <w:lang w:val="cs-CZ" w:bidi="bo-CN"/>
        </w:rPr>
        <w:t>, tmely</w:t>
      </w:r>
      <w:r w:rsidRPr="00A26326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A26326">
        <w:rPr>
          <w:sz w:val="18"/>
          <w:szCs w:val="18"/>
          <w:lang w:val="cs-CZ" w:bidi="bo-CN"/>
        </w:rPr>
        <w:t>Consumer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Brands</w:t>
      </w:r>
      <w:proofErr w:type="spellEnd"/>
      <w:r w:rsidRPr="00A26326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A26326">
        <w:rPr>
          <w:sz w:val="18"/>
          <w:szCs w:val="18"/>
          <w:lang w:val="cs-CZ" w:bidi="bo-CN"/>
        </w:rPr>
        <w:t>Loctite</w:t>
      </w:r>
      <w:proofErr w:type="spellEnd"/>
      <w:r w:rsidRPr="00A26326">
        <w:rPr>
          <w:sz w:val="18"/>
          <w:szCs w:val="18"/>
          <w:lang w:val="cs-CZ" w:bidi="bo-CN"/>
        </w:rPr>
        <w:t xml:space="preserve">, </w:t>
      </w:r>
      <w:proofErr w:type="spellStart"/>
      <w:r w:rsidRPr="00A26326">
        <w:rPr>
          <w:sz w:val="18"/>
          <w:szCs w:val="18"/>
          <w:lang w:val="cs-CZ" w:bidi="bo-CN"/>
        </w:rPr>
        <w:t>Persil</w:t>
      </w:r>
      <w:proofErr w:type="spellEnd"/>
      <w:r w:rsidRPr="00A26326">
        <w:rPr>
          <w:sz w:val="18"/>
          <w:szCs w:val="18"/>
          <w:lang w:val="cs-CZ" w:bidi="bo-CN"/>
        </w:rPr>
        <w:t xml:space="preserve"> a </w:t>
      </w:r>
      <w:proofErr w:type="spellStart"/>
      <w:r w:rsidRPr="00A26326">
        <w:rPr>
          <w:sz w:val="18"/>
          <w:szCs w:val="18"/>
          <w:lang w:val="cs-CZ" w:bidi="bo-CN"/>
        </w:rPr>
        <w:t>Schwarzkopf</w:t>
      </w:r>
      <w:proofErr w:type="spellEnd"/>
      <w:r w:rsidRPr="00A26326">
        <w:rPr>
          <w:sz w:val="18"/>
          <w:szCs w:val="18"/>
          <w:lang w:val="cs-CZ" w:bidi="bo-CN"/>
        </w:rPr>
        <w:t>. Ve finančním roce 202</w:t>
      </w:r>
      <w:r w:rsidR="00EA588A" w:rsidRPr="00A26326">
        <w:rPr>
          <w:sz w:val="18"/>
          <w:szCs w:val="18"/>
          <w:lang w:val="cs-CZ" w:bidi="bo-CN"/>
        </w:rPr>
        <w:t>4</w:t>
      </w:r>
      <w:r w:rsidRPr="00A26326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A26326">
        <w:rPr>
          <w:sz w:val="18"/>
          <w:szCs w:val="18"/>
          <w:lang w:val="cs-CZ" w:bidi="bo-CN"/>
        </w:rPr>
        <w:t>Henkel</w:t>
      </w:r>
      <w:proofErr w:type="spellEnd"/>
      <w:r w:rsidRPr="00A26326">
        <w:rPr>
          <w:sz w:val="18"/>
          <w:szCs w:val="18"/>
          <w:lang w:val="cs-CZ" w:bidi="bo-CN"/>
        </w:rPr>
        <w:t xml:space="preserve"> obrat ve výši přes 2</w:t>
      </w:r>
      <w:r w:rsidR="00A07BEE" w:rsidRPr="00A26326">
        <w:rPr>
          <w:sz w:val="18"/>
          <w:szCs w:val="18"/>
          <w:lang w:val="cs-CZ" w:bidi="bo-CN"/>
        </w:rPr>
        <w:t>1,</w:t>
      </w:r>
      <w:r w:rsidR="00C23AAF" w:rsidRPr="00A26326">
        <w:rPr>
          <w:sz w:val="18"/>
          <w:szCs w:val="18"/>
          <w:lang w:val="cs-CZ" w:bidi="bo-CN"/>
        </w:rPr>
        <w:t>6</w:t>
      </w:r>
      <w:r w:rsidRPr="00A26326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A26326">
        <w:rPr>
          <w:sz w:val="18"/>
          <w:szCs w:val="18"/>
          <w:lang w:val="cs-CZ" w:bidi="bo-CN"/>
        </w:rPr>
        <w:t>3</w:t>
      </w:r>
      <w:r w:rsidRPr="00A26326">
        <w:rPr>
          <w:sz w:val="18"/>
          <w:szCs w:val="18"/>
          <w:lang w:val="cs-CZ" w:bidi="bo-CN"/>
        </w:rPr>
        <w:t>,</w:t>
      </w:r>
      <w:r w:rsidR="005D14CA" w:rsidRPr="00A26326">
        <w:rPr>
          <w:sz w:val="18"/>
          <w:szCs w:val="18"/>
          <w:lang w:val="cs-CZ" w:bidi="bo-CN"/>
        </w:rPr>
        <w:t>1</w:t>
      </w:r>
      <w:r w:rsidRPr="00A26326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A26326">
        <w:rPr>
          <w:sz w:val="18"/>
          <w:szCs w:val="18"/>
          <w:lang w:val="cs-CZ" w:bidi="bo-CN"/>
        </w:rPr>
        <w:t>Henkel</w:t>
      </w:r>
      <w:proofErr w:type="spellEnd"/>
      <w:r w:rsidRPr="00A26326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A26326">
        <w:rPr>
          <w:sz w:val="18"/>
          <w:szCs w:val="18"/>
          <w:lang w:val="cs-CZ" w:bidi="bo-CN"/>
        </w:rPr>
        <w:t>Henkel</w:t>
      </w:r>
      <w:proofErr w:type="spellEnd"/>
      <w:r w:rsidRPr="00A26326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A26326">
        <w:rPr>
          <w:sz w:val="18"/>
          <w:szCs w:val="18"/>
          <w:lang w:val="cs-CZ" w:bidi="bo-CN"/>
        </w:rPr>
        <w:t>Henkel</w:t>
      </w:r>
      <w:proofErr w:type="spellEnd"/>
      <w:r w:rsidRPr="00A26326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A26326">
        <w:rPr>
          <w:sz w:val="18"/>
          <w:szCs w:val="18"/>
          <w:lang w:val="cs-CZ" w:bidi="bo-CN"/>
        </w:rPr>
        <w:t>4</w:t>
      </w:r>
      <w:r w:rsidR="007B5526" w:rsidRPr="00A26326">
        <w:rPr>
          <w:sz w:val="18"/>
          <w:szCs w:val="18"/>
          <w:lang w:val="cs-CZ" w:bidi="bo-CN"/>
        </w:rPr>
        <w:t>7</w:t>
      </w:r>
      <w:r w:rsidRPr="00A26326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A26326">
        <w:rPr>
          <w:sz w:val="18"/>
          <w:szCs w:val="18"/>
          <w:lang w:val="cs-CZ" w:bidi="bo-CN"/>
        </w:rPr>
        <w:t>Pioneers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at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heart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for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the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good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of</w:t>
      </w:r>
      <w:proofErr w:type="spellEnd"/>
      <w:r w:rsidRPr="00A26326">
        <w:rPr>
          <w:sz w:val="18"/>
          <w:szCs w:val="18"/>
          <w:lang w:val="cs-CZ" w:bidi="bo-CN"/>
        </w:rPr>
        <w:t xml:space="preserve"> </w:t>
      </w:r>
      <w:proofErr w:type="spellStart"/>
      <w:r w:rsidRPr="00A26326">
        <w:rPr>
          <w:sz w:val="18"/>
          <w:szCs w:val="18"/>
          <w:lang w:val="cs-CZ" w:bidi="bo-CN"/>
        </w:rPr>
        <w:t>generations</w:t>
      </w:r>
      <w:proofErr w:type="spellEnd"/>
      <w:r w:rsidRPr="00A26326">
        <w:rPr>
          <w:sz w:val="18"/>
          <w:szCs w:val="18"/>
          <w:lang w:val="cs-CZ" w:bidi="bo-CN"/>
        </w:rPr>
        <w:t xml:space="preserve">“. Více informací najdete na stránkách </w:t>
      </w:r>
      <w:r w:rsidR="00A070EE" w:rsidRPr="00A26326">
        <w:fldChar w:fldCharType="begin"/>
      </w:r>
      <w:r w:rsidR="00A070EE" w:rsidRPr="00A26326">
        <w:rPr>
          <w:lang w:val="pl-PL"/>
        </w:rPr>
        <w:instrText>HYPERLINK "http://www.henkel.com"</w:instrText>
      </w:r>
      <w:r w:rsidR="00A070EE" w:rsidRPr="00A26326">
        <w:fldChar w:fldCharType="separate"/>
      </w:r>
      <w:r w:rsidR="00A070EE" w:rsidRPr="00A26326">
        <w:rPr>
          <w:rStyle w:val="Hypertextovprepojenie"/>
          <w:sz w:val="18"/>
          <w:szCs w:val="18"/>
          <w:lang w:val="cs-CZ" w:bidi="bo-CN"/>
        </w:rPr>
        <w:t>www.henkel.com</w:t>
      </w:r>
      <w:r w:rsidR="00A070EE" w:rsidRPr="00A26326">
        <w:fldChar w:fldCharType="end"/>
      </w:r>
      <w:r w:rsidR="00A070EE" w:rsidRPr="00A26326">
        <w:rPr>
          <w:sz w:val="18"/>
          <w:szCs w:val="18"/>
          <w:lang w:val="cs-CZ" w:bidi="bo-CN"/>
        </w:rPr>
        <w:t>.</w:t>
      </w:r>
      <w:r w:rsidRPr="00A26326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A26326" w:rsidRDefault="005D6168" w:rsidP="002F7A23">
      <w:pPr>
        <w:rPr>
          <w:sz w:val="18"/>
          <w:szCs w:val="18"/>
          <w:lang w:val="cs-CZ"/>
        </w:rPr>
      </w:pPr>
    </w:p>
    <w:p w14:paraId="5010685E" w14:textId="77777777" w:rsidR="003B16A3" w:rsidRPr="00A26326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A26326" w:rsidRDefault="00A110E3" w:rsidP="00A110E3">
      <w:pPr>
        <w:rPr>
          <w:rStyle w:val="AboutandContactHeadline"/>
          <w:lang w:val="cs-CZ"/>
        </w:rPr>
      </w:pPr>
      <w:r w:rsidRPr="00A26326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A263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A26326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A26326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A263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A26326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A26326">
        <w:rPr>
          <w:rStyle w:val="AboutandContactHeadline"/>
          <w:b w:val="0"/>
          <w:bCs w:val="0"/>
          <w:lang w:val="cs-CZ"/>
        </w:rPr>
        <w:t xml:space="preserve"> CEE</w:t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A26326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A263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A26326">
        <w:rPr>
          <w:rStyle w:val="AboutandContactHeadline"/>
          <w:b w:val="0"/>
          <w:bCs w:val="0"/>
          <w:lang w:val="cs-CZ"/>
        </w:rPr>
        <w:t>Telef</w:t>
      </w:r>
      <w:r w:rsidR="00A070EE" w:rsidRPr="00A26326">
        <w:rPr>
          <w:rStyle w:val="AboutandContactHeadline"/>
          <w:b w:val="0"/>
          <w:bCs w:val="0"/>
          <w:lang w:val="cs-CZ"/>
        </w:rPr>
        <w:t>o</w:t>
      </w:r>
      <w:r w:rsidRPr="00A26326">
        <w:rPr>
          <w:rStyle w:val="AboutandContactHeadline"/>
          <w:b w:val="0"/>
          <w:bCs w:val="0"/>
          <w:lang w:val="cs-CZ"/>
        </w:rPr>
        <w:t>n: +421 917 160 597</w:t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  <w:r w:rsidRPr="00A26326">
        <w:rPr>
          <w:rStyle w:val="AboutandContactHeadline"/>
          <w:b w:val="0"/>
          <w:bCs w:val="0"/>
          <w:lang w:val="cs-CZ"/>
        </w:rPr>
        <w:tab/>
      </w:r>
    </w:p>
    <w:p w14:paraId="628BCDA9" w14:textId="1A7FA276" w:rsidR="00A110E3" w:rsidRPr="00A263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A26326">
        <w:rPr>
          <w:rStyle w:val="AboutandContactHeadline"/>
          <w:b w:val="0"/>
          <w:bCs w:val="0"/>
          <w:lang w:val="cs-CZ"/>
        </w:rPr>
        <w:t xml:space="preserve">E-mail: </w:t>
      </w:r>
      <w:hyperlink r:id="rId10" w:history="1">
        <w:r w:rsidRPr="00A26326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p w14:paraId="51AA2505" w14:textId="39C6A2F7" w:rsidR="005742B4" w:rsidRPr="00A26326" w:rsidRDefault="005742B4" w:rsidP="00A110E3">
      <w:pPr>
        <w:rPr>
          <w:lang w:val="cs-CZ"/>
        </w:rPr>
      </w:pPr>
    </w:p>
    <w:sectPr w:rsidR="005742B4" w:rsidRPr="00A26326">
      <w:footerReference w:type="default" r:id="rId11"/>
      <w:headerReference w:type="first" r:id="rId12"/>
      <w:footerReference w:type="first" r:id="rId13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A40E" w14:textId="77777777" w:rsidR="009B3E3B" w:rsidRDefault="009B3E3B">
      <w:pPr>
        <w:spacing w:line="240" w:lineRule="auto"/>
      </w:pPr>
      <w:r>
        <w:separator/>
      </w:r>
    </w:p>
  </w:endnote>
  <w:endnote w:type="continuationSeparator" w:id="0">
    <w:p w14:paraId="53DCC7C3" w14:textId="77777777" w:rsidR="009B3E3B" w:rsidRDefault="009B3E3B">
      <w:pPr>
        <w:spacing w:line="240" w:lineRule="auto"/>
      </w:pPr>
      <w:r>
        <w:continuationSeparator/>
      </w:r>
    </w:p>
  </w:endnote>
  <w:endnote w:type="continuationNotice" w:id="1">
    <w:p w14:paraId="09336451" w14:textId="77777777" w:rsidR="009B3E3B" w:rsidRDefault="009B3E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シック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C7C3" w14:textId="77777777" w:rsidR="009B3E3B" w:rsidRDefault="009B3E3B">
      <w:pPr>
        <w:spacing w:line="240" w:lineRule="auto"/>
      </w:pPr>
      <w:r>
        <w:separator/>
      </w:r>
    </w:p>
  </w:footnote>
  <w:footnote w:type="continuationSeparator" w:id="0">
    <w:p w14:paraId="01D8A044" w14:textId="77777777" w:rsidR="009B3E3B" w:rsidRDefault="009B3E3B">
      <w:pPr>
        <w:spacing w:line="240" w:lineRule="auto"/>
      </w:pPr>
      <w:r>
        <w:continuationSeparator/>
      </w:r>
    </w:p>
  </w:footnote>
  <w:footnote w:type="continuationNotice" w:id="1">
    <w:p w14:paraId="1BD94EB6" w14:textId="77777777" w:rsidR="009B3E3B" w:rsidRDefault="009B3E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F4165"/>
    <w:multiLevelType w:val="hybridMultilevel"/>
    <w:tmpl w:val="41526FBA"/>
    <w:lvl w:ilvl="0" w:tplc="041B000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144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180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252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324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360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suff w:val="nothing"/>
      <w:lvlText w:val="•"/>
      <w:lvlJc w:val="left"/>
      <w:pPr>
        <w:tabs>
          <w:tab w:val="left" w:pos="720"/>
        </w:tabs>
        <w:ind w:left="3960" w:hanging="360"/>
      </w:pPr>
      <w:rPr>
        <w:rFonts w:ascii="ヒラギノ角ゴシック W3" w:eastAsia="ヒラギノ角ゴシック W3" w:hAnsi="ヒラギノ角ゴシック W3" w:cs="ヒラギノ角ゴシック W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9210E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5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4"/>
  </w:num>
  <w:num w:numId="5" w16cid:durableId="1575124407">
    <w:abstractNumId w:val="3"/>
  </w:num>
  <w:num w:numId="6" w16cid:durableId="59376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B146B"/>
    <w:rsid w:val="000C27F2"/>
    <w:rsid w:val="000C2EDF"/>
    <w:rsid w:val="000C68C2"/>
    <w:rsid w:val="000C708A"/>
    <w:rsid w:val="000F69D1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75CDF"/>
    <w:rsid w:val="00284F28"/>
    <w:rsid w:val="00292775"/>
    <w:rsid w:val="002971C7"/>
    <w:rsid w:val="002B374E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77E42"/>
    <w:rsid w:val="00380FD9"/>
    <w:rsid w:val="003B16A3"/>
    <w:rsid w:val="003B176A"/>
    <w:rsid w:val="003F0A3E"/>
    <w:rsid w:val="00401E7C"/>
    <w:rsid w:val="00407FE4"/>
    <w:rsid w:val="004234CC"/>
    <w:rsid w:val="00440C0F"/>
    <w:rsid w:val="004436A5"/>
    <w:rsid w:val="00444954"/>
    <w:rsid w:val="0044732E"/>
    <w:rsid w:val="00452BD0"/>
    <w:rsid w:val="00475F5B"/>
    <w:rsid w:val="004845C6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7AEC"/>
    <w:rsid w:val="005548CC"/>
    <w:rsid w:val="00562E09"/>
    <w:rsid w:val="005742B4"/>
    <w:rsid w:val="00576D32"/>
    <w:rsid w:val="005B6D31"/>
    <w:rsid w:val="005D14CA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C3361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4584E"/>
    <w:rsid w:val="00855268"/>
    <w:rsid w:val="008615FA"/>
    <w:rsid w:val="00894159"/>
    <w:rsid w:val="00894ACA"/>
    <w:rsid w:val="008A000B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B3E3B"/>
    <w:rsid w:val="009D6F6D"/>
    <w:rsid w:val="009D7E04"/>
    <w:rsid w:val="00A070EE"/>
    <w:rsid w:val="00A07BEE"/>
    <w:rsid w:val="00A110E3"/>
    <w:rsid w:val="00A22F73"/>
    <w:rsid w:val="00A26326"/>
    <w:rsid w:val="00A61100"/>
    <w:rsid w:val="00A823E6"/>
    <w:rsid w:val="00A8423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389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E032E7"/>
    <w:rsid w:val="00E101EA"/>
    <w:rsid w:val="00E13823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0443B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rsid w:val="004845C6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esamecom-my.sharepoint.com/personal/allitadmin_seesame_com/Documents/shares/clients/Henkel%20-%20Corporate/2026/Media%20Relations/TS%20preklady/02%20febru&#225;r/Martha%20Schwarzkopf%20SK%20CZ/preklad%20CZ/zuzana.kanuchova@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Martina Poliačková</cp:lastModifiedBy>
  <cp:revision>7</cp:revision>
  <dcterms:created xsi:type="dcterms:W3CDTF">2026-02-26T15:13:00Z</dcterms:created>
  <dcterms:modified xsi:type="dcterms:W3CDTF">2026-02-27T10:18:00Z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