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952E" w14:textId="77777777" w:rsidR="009E40E1" w:rsidRDefault="00081692" w:rsidP="009E40E1">
      <w:pPr>
        <w:pStyle w:val="MonthDayYear"/>
        <w:tabs>
          <w:tab w:val="left" w:pos="7371"/>
        </w:tabs>
        <w:jc w:val="left"/>
        <w:rPr>
          <w:lang w:val="pl-PL"/>
        </w:rPr>
      </w:pPr>
      <w:r w:rsidRPr="00921C0C">
        <w:tab/>
      </w:r>
      <w:r w:rsidR="00241C74" w:rsidRPr="009E40E1">
        <w:rPr>
          <w:lang w:val="pl-PL"/>
        </w:rPr>
        <w:t>11 marca</w:t>
      </w:r>
      <w:r w:rsidR="00E810D3" w:rsidRPr="009E40E1">
        <w:rPr>
          <w:lang w:val="pl-PL"/>
        </w:rPr>
        <w:t xml:space="preserve">, </w:t>
      </w:r>
      <w:r w:rsidR="00BF6E82" w:rsidRPr="009E40E1">
        <w:rPr>
          <w:lang w:val="pl-PL"/>
        </w:rPr>
        <w:t>20</w:t>
      </w:r>
      <w:r w:rsidR="00F635FC" w:rsidRPr="009E40E1">
        <w:rPr>
          <w:lang w:val="pl-PL"/>
        </w:rPr>
        <w:t>2</w:t>
      </w:r>
      <w:r w:rsidR="001D6F0E" w:rsidRPr="009E40E1">
        <w:rPr>
          <w:lang w:val="pl-PL"/>
        </w:rPr>
        <w:t>6</w:t>
      </w:r>
      <w:bookmarkStart w:id="0" w:name="_Hlk190695874"/>
    </w:p>
    <w:p w14:paraId="308662FE" w14:textId="62FA543D" w:rsidR="009E40E1" w:rsidRDefault="009E40E1" w:rsidP="009E40E1">
      <w:pPr>
        <w:pStyle w:val="MonthDayYear"/>
        <w:tabs>
          <w:tab w:val="left" w:pos="7371"/>
        </w:tabs>
        <w:jc w:val="left"/>
        <w:rPr>
          <w:rFonts w:asciiTheme="majorHAnsi" w:hAnsiTheme="majorHAnsi" w:cstheme="majorHAnsi"/>
          <w:lang w:val="pl-PL"/>
        </w:rPr>
      </w:pPr>
      <w:r w:rsidRPr="009E40E1">
        <w:rPr>
          <w:rFonts w:asciiTheme="majorHAnsi" w:hAnsiTheme="majorHAnsi" w:cstheme="majorHAnsi"/>
          <w:lang w:val="pl-PL"/>
        </w:rPr>
        <w:t>Henkel prezentuje wyniki roczne za 2025 rok: Dalszy wzrost dywidendy</w:t>
      </w:r>
    </w:p>
    <w:p w14:paraId="5B8C82E2" w14:textId="77777777" w:rsidR="009E40E1" w:rsidRPr="009E40E1" w:rsidRDefault="009E40E1" w:rsidP="009E40E1">
      <w:pPr>
        <w:pStyle w:val="MonthDayYear"/>
        <w:tabs>
          <w:tab w:val="left" w:pos="7371"/>
        </w:tabs>
        <w:jc w:val="left"/>
        <w:rPr>
          <w:lang w:val="pl-PL"/>
        </w:rPr>
      </w:pPr>
    </w:p>
    <w:bookmarkEnd w:id="0"/>
    <w:p w14:paraId="7A36F0E5" w14:textId="72A7A710" w:rsidR="00B5147D" w:rsidRPr="00B5147D" w:rsidRDefault="00B5147D" w:rsidP="00C208E2">
      <w:pPr>
        <w:jc w:val="left"/>
        <w:rPr>
          <w:rStyle w:val="Headline"/>
          <w:rFonts w:asciiTheme="majorHAnsi" w:hAnsiTheme="majorHAnsi" w:cstheme="majorHAnsi"/>
          <w:lang w:val="pl-PL"/>
        </w:rPr>
      </w:pPr>
      <w:r w:rsidRPr="00B5147D">
        <w:rPr>
          <w:rFonts w:asciiTheme="majorHAnsi" w:hAnsiTheme="majorHAnsi" w:cstheme="majorHAnsi"/>
          <w:b/>
          <w:bCs/>
          <w:sz w:val="32"/>
          <w:lang w:val="pl-PL"/>
        </w:rPr>
        <w:t>Henkel osiąga wzrost organiczny w 2025 roku i zwiększa rentowność dzięki innowacjom i większej efektywności</w:t>
      </w:r>
    </w:p>
    <w:p w14:paraId="5E22EDC4" w14:textId="77777777" w:rsidR="00A54C2A" w:rsidRPr="00B5147D" w:rsidRDefault="00A54C2A" w:rsidP="00C65957">
      <w:pPr>
        <w:spacing w:line="240" w:lineRule="auto"/>
        <w:jc w:val="left"/>
        <w:rPr>
          <w:sz w:val="16"/>
          <w:szCs w:val="16"/>
          <w:lang w:val="pl-PL"/>
        </w:rPr>
      </w:pPr>
    </w:p>
    <w:p w14:paraId="74933EA1" w14:textId="77777777" w:rsidR="001E33AB" w:rsidRPr="001E33AB" w:rsidRDefault="001E33AB" w:rsidP="001E33AB">
      <w:pPr>
        <w:pStyle w:val="Akapitzlist"/>
        <w:numPr>
          <w:ilvl w:val="0"/>
          <w:numId w:val="7"/>
        </w:numPr>
        <w:spacing w:after="80"/>
        <w:ind w:left="357" w:right="-108" w:hanging="357"/>
        <w:contextualSpacing w:val="0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1E33AB">
        <w:rPr>
          <w:rFonts w:asciiTheme="majorHAnsi" w:hAnsiTheme="majorHAnsi" w:cstheme="majorHAnsi"/>
          <w:b/>
          <w:szCs w:val="22"/>
          <w:lang w:val="pl-PL"/>
        </w:rPr>
        <w:t>Dobre wyniki działalności w roku obrotowym 2025:</w:t>
      </w:r>
    </w:p>
    <w:p w14:paraId="4FD6984E" w14:textId="77777777" w:rsidR="001E33AB" w:rsidRPr="009B4E73" w:rsidRDefault="001E33AB" w:rsidP="001E33AB">
      <w:pPr>
        <w:pStyle w:val="Akapitzlist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9B4E73">
        <w:rPr>
          <w:rFonts w:asciiTheme="majorHAnsi" w:hAnsiTheme="majorHAnsi" w:cstheme="majorHAnsi"/>
          <w:b/>
          <w:szCs w:val="22"/>
          <w:lang w:val="pl-PL"/>
        </w:rPr>
        <w:t>Przychody ze sprzedaży: 20,5 mld euro, wzrost organiczny na poziomie 0,9%</w:t>
      </w:r>
    </w:p>
    <w:p w14:paraId="769DBEE0" w14:textId="77777777" w:rsidR="001E33AB" w:rsidRPr="009B4E73" w:rsidRDefault="001E33AB" w:rsidP="001E33AB">
      <w:pPr>
        <w:pStyle w:val="Akapitzlist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9B4E73">
        <w:rPr>
          <w:rFonts w:asciiTheme="majorHAnsi" w:hAnsiTheme="majorHAnsi" w:cstheme="majorHAnsi"/>
          <w:b/>
          <w:szCs w:val="22"/>
          <w:lang w:val="pl-PL"/>
        </w:rPr>
        <w:t>Zysk z działalności operacyjnej (EBIT)*: 3,0 mld euro, nieznacznie poniżej poziomu z roku poprzedniego z powodu znacząco negatywnych efektów kursowych</w:t>
      </w:r>
    </w:p>
    <w:p w14:paraId="1CB08FB6" w14:textId="77777777" w:rsidR="001E33AB" w:rsidRPr="009B4E73" w:rsidRDefault="001E33AB" w:rsidP="001E33AB">
      <w:pPr>
        <w:pStyle w:val="Akapitzlist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9B4E73">
        <w:rPr>
          <w:rFonts w:asciiTheme="majorHAnsi" w:hAnsiTheme="majorHAnsi" w:cstheme="majorHAnsi"/>
          <w:b/>
          <w:szCs w:val="22"/>
          <w:lang w:val="pl-PL"/>
        </w:rPr>
        <w:t>Marża EBIT*: 14,8%, poprawa o 50 punktów bazowych</w:t>
      </w:r>
    </w:p>
    <w:p w14:paraId="3C86082B" w14:textId="77777777" w:rsidR="001E33AB" w:rsidRPr="009B4E73" w:rsidRDefault="001E33AB" w:rsidP="001E33AB">
      <w:pPr>
        <w:pStyle w:val="Akapitzlist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9B4E73">
        <w:rPr>
          <w:rFonts w:asciiTheme="majorHAnsi" w:hAnsiTheme="majorHAnsi" w:cstheme="majorHAnsi"/>
          <w:b/>
          <w:szCs w:val="22"/>
          <w:lang w:val="pl-PL"/>
        </w:rPr>
        <w:t>Zysk na akcję uprzywilejowaną (EPS)*: 5,33 euro, +4,7% przy założeniu niezmienionych kursów wymiany walut</w:t>
      </w:r>
    </w:p>
    <w:p w14:paraId="7CF4254C" w14:textId="77777777" w:rsidR="001E33AB" w:rsidRPr="009B4E73" w:rsidRDefault="001E33AB" w:rsidP="001E33AB">
      <w:pPr>
        <w:pStyle w:val="Akapitzlist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9B4E73">
        <w:rPr>
          <w:rFonts w:asciiTheme="majorHAnsi" w:hAnsiTheme="majorHAnsi" w:cstheme="majorHAnsi"/>
          <w:b/>
          <w:szCs w:val="22"/>
          <w:lang w:val="pl-PL"/>
        </w:rPr>
        <w:t>Wysokie wolne przepływy pieniężne na poziomie ok. 1,9 mld euro</w:t>
      </w:r>
    </w:p>
    <w:p w14:paraId="0571DDB9" w14:textId="77777777" w:rsidR="00A9204A" w:rsidRPr="00A9204A" w:rsidRDefault="00A9204A" w:rsidP="00A9204A">
      <w:pPr>
        <w:numPr>
          <w:ilvl w:val="0"/>
          <w:numId w:val="7"/>
        </w:numPr>
        <w:shd w:val="clear" w:color="auto" w:fill="FFFFFF"/>
        <w:spacing w:before="60" w:after="60" w:line="240" w:lineRule="auto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A9204A">
        <w:rPr>
          <w:rFonts w:asciiTheme="majorHAnsi" w:hAnsiTheme="majorHAnsi" w:cstheme="majorHAnsi"/>
          <w:b/>
          <w:szCs w:val="22"/>
          <w:lang w:val="pl-PL"/>
        </w:rPr>
        <w:t>Proponowany wzrost dywidendy o 1,5%: 2,07 euro na akcję uprzywilejowaną</w:t>
      </w:r>
    </w:p>
    <w:p w14:paraId="7C53A4BF" w14:textId="77777777" w:rsidR="00A9204A" w:rsidRPr="009B4E73" w:rsidRDefault="00A9204A" w:rsidP="00A9204A">
      <w:pPr>
        <w:numPr>
          <w:ilvl w:val="0"/>
          <w:numId w:val="7"/>
        </w:numPr>
        <w:shd w:val="clear" w:color="auto" w:fill="FFFFFF"/>
        <w:spacing w:before="60" w:after="60" w:line="240" w:lineRule="auto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9B4E73">
        <w:rPr>
          <w:rFonts w:asciiTheme="majorHAnsi" w:hAnsiTheme="majorHAnsi" w:cstheme="majorHAnsi"/>
          <w:b/>
          <w:szCs w:val="22"/>
          <w:lang w:val="pl-PL"/>
        </w:rPr>
        <w:t>Dalsze postępy w realizacji Strategii Ukierunkowanego Wzrostu:</w:t>
      </w:r>
    </w:p>
    <w:p w14:paraId="2FE4297A" w14:textId="77777777" w:rsidR="00A9204A" w:rsidRPr="009B4E73" w:rsidRDefault="00A9204A" w:rsidP="00A9204A">
      <w:pPr>
        <w:pStyle w:val="Akapitzlist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9B4E73">
        <w:rPr>
          <w:rFonts w:asciiTheme="majorHAnsi" w:hAnsiTheme="majorHAnsi" w:cstheme="majorHAnsi"/>
          <w:b/>
          <w:szCs w:val="22"/>
          <w:lang w:val="pl-PL"/>
        </w:rPr>
        <w:t>Połączenie biznesów konsumenckich zakończone przed terminem</w:t>
      </w:r>
    </w:p>
    <w:p w14:paraId="631358E0" w14:textId="76672D6B" w:rsidR="00A9204A" w:rsidRPr="009B4E73" w:rsidRDefault="00A9204A" w:rsidP="00A9204A">
      <w:pPr>
        <w:pStyle w:val="Akapitzlist"/>
        <w:numPr>
          <w:ilvl w:val="1"/>
          <w:numId w:val="7"/>
        </w:numPr>
        <w:spacing w:after="80" w:line="266" w:lineRule="auto"/>
        <w:ind w:left="709" w:right="-108" w:hanging="283"/>
        <w:contextualSpacing w:val="0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9B4E73">
        <w:rPr>
          <w:rFonts w:asciiTheme="majorHAnsi" w:hAnsiTheme="majorHAnsi" w:cstheme="majorHAnsi"/>
          <w:b/>
          <w:szCs w:val="22"/>
          <w:lang w:val="pl-PL"/>
        </w:rPr>
        <w:t>Ostatnie przejęcia w obu jednostkach biznesowych wzmacniają potencjał wzrostu</w:t>
      </w:r>
    </w:p>
    <w:p w14:paraId="37C86570" w14:textId="77777777" w:rsidR="005C048B" w:rsidRPr="005C048B" w:rsidRDefault="005C048B" w:rsidP="005C048B">
      <w:pPr>
        <w:numPr>
          <w:ilvl w:val="0"/>
          <w:numId w:val="7"/>
        </w:numPr>
        <w:shd w:val="clear" w:color="auto" w:fill="FFFFFF"/>
        <w:spacing w:before="60" w:after="60" w:line="240" w:lineRule="auto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5C048B">
        <w:rPr>
          <w:rFonts w:asciiTheme="majorHAnsi" w:hAnsiTheme="majorHAnsi" w:cstheme="majorHAnsi"/>
          <w:b/>
          <w:szCs w:val="22"/>
          <w:lang w:val="pl-PL"/>
        </w:rPr>
        <w:t>Prognoza na rok obrotowy 2026: Oczekiwany dalszy wzrost przychodów i zysków</w:t>
      </w:r>
    </w:p>
    <w:p w14:paraId="1DE85254" w14:textId="77777777" w:rsidR="005C048B" w:rsidRPr="009B4E73" w:rsidRDefault="005C048B" w:rsidP="005C048B">
      <w:pPr>
        <w:pStyle w:val="Akapitzlist"/>
        <w:numPr>
          <w:ilvl w:val="1"/>
          <w:numId w:val="7"/>
        </w:numPr>
        <w:spacing w:after="80" w:line="266" w:lineRule="auto"/>
        <w:ind w:left="567" w:right="-108" w:hanging="283"/>
        <w:contextualSpacing w:val="0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9B4E73">
        <w:rPr>
          <w:rFonts w:asciiTheme="majorHAnsi" w:hAnsiTheme="majorHAnsi" w:cstheme="majorHAnsi"/>
          <w:b/>
          <w:szCs w:val="22"/>
          <w:lang w:val="pl-PL"/>
        </w:rPr>
        <w:t>Wzrost przychodów ze sprzedaży w ujęciu organicznym: 1,0-3,0%</w:t>
      </w:r>
    </w:p>
    <w:p w14:paraId="74AB35C8" w14:textId="77777777" w:rsidR="005C048B" w:rsidRPr="005C048B" w:rsidRDefault="005C048B" w:rsidP="005C048B">
      <w:pPr>
        <w:pStyle w:val="Akapitzlist"/>
        <w:numPr>
          <w:ilvl w:val="1"/>
          <w:numId w:val="7"/>
        </w:numPr>
        <w:spacing w:after="80" w:line="266" w:lineRule="auto"/>
        <w:ind w:left="567" w:right="-108" w:hanging="283"/>
        <w:contextualSpacing w:val="0"/>
        <w:jc w:val="left"/>
        <w:rPr>
          <w:rFonts w:asciiTheme="majorHAnsi" w:hAnsiTheme="majorHAnsi" w:cstheme="majorHAnsi"/>
          <w:b/>
          <w:szCs w:val="22"/>
        </w:rPr>
      </w:pPr>
      <w:proofErr w:type="spellStart"/>
      <w:r w:rsidRPr="005C048B">
        <w:rPr>
          <w:rFonts w:asciiTheme="majorHAnsi" w:hAnsiTheme="majorHAnsi" w:cstheme="majorHAnsi"/>
          <w:b/>
          <w:szCs w:val="22"/>
        </w:rPr>
        <w:t>Marża</w:t>
      </w:r>
      <w:proofErr w:type="spellEnd"/>
      <w:r w:rsidRPr="005C048B">
        <w:rPr>
          <w:rFonts w:asciiTheme="majorHAnsi" w:hAnsiTheme="majorHAnsi" w:cstheme="majorHAnsi"/>
          <w:b/>
          <w:szCs w:val="22"/>
        </w:rPr>
        <w:t xml:space="preserve"> EBIT*: 14,5-16,0%</w:t>
      </w:r>
    </w:p>
    <w:p w14:paraId="0E973721" w14:textId="3031E22D" w:rsidR="00D93B82" w:rsidRPr="009B4E73" w:rsidRDefault="005C048B" w:rsidP="00037396">
      <w:pPr>
        <w:pStyle w:val="Akapitzlist"/>
        <w:numPr>
          <w:ilvl w:val="1"/>
          <w:numId w:val="7"/>
        </w:numPr>
        <w:spacing w:after="80" w:line="266" w:lineRule="auto"/>
        <w:ind w:left="567" w:right="-108" w:hanging="283"/>
        <w:contextualSpacing w:val="0"/>
        <w:jc w:val="left"/>
        <w:rPr>
          <w:rFonts w:asciiTheme="majorHAnsi" w:hAnsiTheme="majorHAnsi" w:cstheme="majorHAnsi"/>
          <w:b/>
          <w:szCs w:val="22"/>
          <w:lang w:val="pl-PL"/>
        </w:rPr>
      </w:pPr>
      <w:r w:rsidRPr="009B4E73">
        <w:rPr>
          <w:rFonts w:asciiTheme="majorHAnsi" w:hAnsiTheme="majorHAnsi" w:cstheme="majorHAnsi"/>
          <w:b/>
          <w:szCs w:val="22"/>
          <w:lang w:val="pl-PL"/>
        </w:rPr>
        <w:t>Zysk na akcję uprzywilejowaną (EPS)*: wzrost w przedziale od niskiego do wysokiego jednocyfrowego poziomu (przy stałych kursach wymiany)</w:t>
      </w:r>
    </w:p>
    <w:p w14:paraId="223133D6" w14:textId="77777777" w:rsidR="005C048B" w:rsidRPr="009B4E73" w:rsidRDefault="005C048B" w:rsidP="005C048B">
      <w:pPr>
        <w:pStyle w:val="Akapitzlist"/>
        <w:spacing w:after="80" w:line="266" w:lineRule="auto"/>
        <w:ind w:left="567" w:right="-108"/>
        <w:contextualSpacing w:val="0"/>
        <w:jc w:val="left"/>
        <w:rPr>
          <w:rFonts w:asciiTheme="majorHAnsi" w:hAnsiTheme="majorHAnsi" w:cstheme="majorHAnsi"/>
          <w:b/>
          <w:szCs w:val="22"/>
          <w:lang w:val="pl-PL"/>
        </w:rPr>
      </w:pPr>
    </w:p>
    <w:p w14:paraId="7F0EF05E" w14:textId="2D85E4EA" w:rsidR="00A635F8" w:rsidRPr="009B4E73" w:rsidRDefault="00635616" w:rsidP="00456F1E">
      <w:pPr>
        <w:rPr>
          <w:rFonts w:cs="Segoe UI"/>
          <w:b/>
          <w:bCs/>
          <w:szCs w:val="22"/>
          <w:lang w:val="pl-PL"/>
        </w:rPr>
      </w:pPr>
      <w:proofErr w:type="spellStart"/>
      <w:r w:rsidRPr="006D35F7">
        <w:rPr>
          <w:rFonts w:cs="Segoe UI"/>
          <w:b/>
          <w:bCs/>
          <w:szCs w:val="22"/>
          <w:lang w:val="pl-PL"/>
        </w:rPr>
        <w:t>Düsseldorf</w:t>
      </w:r>
      <w:proofErr w:type="spellEnd"/>
      <w:r w:rsidR="007F0F63" w:rsidRPr="006D35F7">
        <w:rPr>
          <w:rFonts w:cs="Segoe UI"/>
          <w:b/>
          <w:bCs/>
          <w:szCs w:val="22"/>
          <w:lang w:val="pl-PL"/>
        </w:rPr>
        <w:t xml:space="preserve"> – </w:t>
      </w:r>
      <w:r w:rsidR="002115AE" w:rsidRPr="002115AE">
        <w:rPr>
          <w:rFonts w:cs="Segoe UI"/>
          <w:b/>
          <w:bCs/>
          <w:szCs w:val="22"/>
          <w:lang w:val="pl-PL"/>
        </w:rPr>
        <w:t>W trudnym roku obrotowym 2025, charakteryzującym się umiarkowanym globalnym wzrostem gospodarczym w złożonym otoczeniu geopolitycznym, Henkel osiągnął ogólnie dobre wyniki. Przychody Grupy w roku obrotowym 2025 wyniosły około 20,5 mld euro, a skorygowana marża EBIT wzrosła o 50 punktów bazowych do 14,8%. Skorygowany zysk na akcję uprzywilejowaną przy stałych kursach wymiany wzrósł o 4,7%.</w:t>
      </w:r>
    </w:p>
    <w:p w14:paraId="7024A7D5" w14:textId="77777777" w:rsidR="009B4E73" w:rsidRDefault="009B4E73" w:rsidP="00B671E3">
      <w:pPr>
        <w:rPr>
          <w:rFonts w:cs="Segoe UI"/>
          <w:b/>
          <w:bCs/>
          <w:szCs w:val="22"/>
          <w:lang w:val="pl-PL"/>
        </w:rPr>
      </w:pPr>
      <w:bookmarkStart w:id="1" w:name="_Hlk190074952"/>
    </w:p>
    <w:p w14:paraId="5C6BCB63" w14:textId="49479C93" w:rsidR="005323F3" w:rsidRDefault="008019D4" w:rsidP="00B671E3">
      <w:pPr>
        <w:rPr>
          <w:rFonts w:cs="Segoe UI"/>
          <w:b/>
          <w:bCs/>
          <w:szCs w:val="22"/>
          <w:lang w:val="pl-PL"/>
        </w:rPr>
      </w:pPr>
      <w:r w:rsidRPr="008019D4">
        <w:rPr>
          <w:rFonts w:cs="Segoe UI"/>
          <w:b/>
          <w:bCs/>
          <w:szCs w:val="22"/>
          <w:lang w:val="pl-PL"/>
        </w:rPr>
        <w:lastRenderedPageBreak/>
        <w:t>“</w:t>
      </w:r>
      <w:r w:rsidR="005323F3" w:rsidRPr="005323F3">
        <w:rPr>
          <w:rFonts w:cs="Segoe UI"/>
          <w:b/>
          <w:bCs/>
          <w:szCs w:val="22"/>
          <w:lang w:val="pl-PL"/>
        </w:rPr>
        <w:t xml:space="preserve">Nasze otoczenie biznesowe było i nadal jest naznaczone poważnymi wyzwaniami, w tym konfliktami zbrojnymi, napięciami geopolitycznymi w wielu częściach świata oraz dalekosiężnymi konfliktami handlowymi i celnymi. Wynikająca z tego niepewność osłabiła nastroje konsumenckie i popyt przemysłowy. Wraz z wojną na Bliskim Wschodzie, która rozpoczęła się pod koniec lutego, niepewność ponownie znacznie wzrosła – powiedział </w:t>
      </w:r>
      <w:proofErr w:type="spellStart"/>
      <w:r w:rsidR="005323F3" w:rsidRPr="005323F3">
        <w:rPr>
          <w:rFonts w:cs="Segoe UI"/>
          <w:b/>
          <w:bCs/>
          <w:szCs w:val="22"/>
          <w:lang w:val="pl-PL"/>
        </w:rPr>
        <w:t>Carsten</w:t>
      </w:r>
      <w:proofErr w:type="spellEnd"/>
      <w:r w:rsidR="005323F3" w:rsidRPr="005323F3">
        <w:rPr>
          <w:rFonts w:cs="Segoe UI"/>
          <w:b/>
          <w:bCs/>
          <w:szCs w:val="22"/>
          <w:lang w:val="pl-PL"/>
        </w:rPr>
        <w:t xml:space="preserve"> </w:t>
      </w:r>
      <w:proofErr w:type="spellStart"/>
      <w:r w:rsidR="005323F3" w:rsidRPr="005323F3">
        <w:rPr>
          <w:rFonts w:cs="Segoe UI"/>
          <w:b/>
          <w:bCs/>
          <w:szCs w:val="22"/>
          <w:lang w:val="pl-PL"/>
        </w:rPr>
        <w:t>Knobel</w:t>
      </w:r>
      <w:proofErr w:type="spellEnd"/>
      <w:r w:rsidR="005323F3" w:rsidRPr="005323F3">
        <w:rPr>
          <w:rFonts w:cs="Segoe UI"/>
          <w:b/>
          <w:bCs/>
          <w:szCs w:val="22"/>
          <w:lang w:val="pl-PL"/>
        </w:rPr>
        <w:t>, prezes zarządu Henkel. – Pomimo utrzymujących się trudnych warunków gospodarczych, z powodzeniem rozwijaliśmy Henkla w 2025 roku. Osiągnęliśmy, a nawet przekroczyliśmy</w:t>
      </w:r>
      <w:r w:rsidR="00BC678C">
        <w:rPr>
          <w:rFonts w:cs="Segoe UI"/>
          <w:b/>
          <w:bCs/>
          <w:szCs w:val="22"/>
          <w:lang w:val="pl-PL"/>
        </w:rPr>
        <w:t>,</w:t>
      </w:r>
      <w:r w:rsidR="005323F3" w:rsidRPr="005323F3">
        <w:rPr>
          <w:rFonts w:cs="Segoe UI"/>
          <w:b/>
          <w:bCs/>
          <w:szCs w:val="22"/>
          <w:lang w:val="pl-PL"/>
        </w:rPr>
        <w:t xml:space="preserve"> kluczowe cele i kontynuowaliśmy transformację naszej firmy. Zwiększyliśmy sprzedaż organicznie i znacząco poprawiliśmy rentowność naszej firmy. Chcemy, aby nasi akcjonariusze uczestniczyli w pomyślnym rozwoju firmy. </w:t>
      </w:r>
      <w:r w:rsidR="005323F3" w:rsidRPr="009B4E73">
        <w:rPr>
          <w:rFonts w:cs="Segoe UI"/>
          <w:b/>
          <w:bCs/>
          <w:szCs w:val="22"/>
          <w:lang w:val="pl-PL"/>
        </w:rPr>
        <w:t>Dlatego zaproponujemy wzrost dywidendy o 1,5%.</w:t>
      </w:r>
      <w:r w:rsidRPr="009B4E73">
        <w:rPr>
          <w:rFonts w:cs="Segoe UI"/>
          <w:b/>
          <w:bCs/>
          <w:szCs w:val="22"/>
          <w:lang w:val="pl-PL"/>
        </w:rPr>
        <w:t>”</w:t>
      </w:r>
    </w:p>
    <w:bookmarkEnd w:id="1"/>
    <w:p w14:paraId="59F5F4F0" w14:textId="77777777" w:rsidR="006D4D0C" w:rsidRPr="009B4E73" w:rsidRDefault="006D4D0C" w:rsidP="001274FA">
      <w:pPr>
        <w:spacing w:after="120"/>
        <w:rPr>
          <w:rFonts w:cs="Segoe UI"/>
          <w:b/>
          <w:bCs/>
          <w:szCs w:val="22"/>
          <w:lang w:val="pl-PL" w:eastAsia="de-DE"/>
        </w:rPr>
      </w:pPr>
    </w:p>
    <w:p w14:paraId="6511321F" w14:textId="601E9A6F" w:rsidR="005323F3" w:rsidRDefault="00487538" w:rsidP="001274FA">
      <w:pPr>
        <w:spacing w:after="120"/>
        <w:rPr>
          <w:rFonts w:cs="Segoe UI"/>
          <w:b/>
          <w:bCs/>
          <w:szCs w:val="22"/>
          <w:lang w:val="pl-PL" w:eastAsia="de-DE"/>
        </w:rPr>
      </w:pPr>
      <w:r w:rsidRPr="00487538">
        <w:rPr>
          <w:rFonts w:cs="Segoe UI"/>
          <w:b/>
          <w:bCs/>
          <w:szCs w:val="22"/>
          <w:lang w:val="pl-PL" w:eastAsia="de-DE"/>
        </w:rPr>
        <w:t>“</w:t>
      </w:r>
      <w:r w:rsidR="005323F3" w:rsidRPr="005323F3">
        <w:rPr>
          <w:rFonts w:cs="Segoe UI"/>
          <w:b/>
          <w:bCs/>
          <w:szCs w:val="22"/>
          <w:lang w:val="pl-PL" w:eastAsia="de-DE"/>
        </w:rPr>
        <w:t xml:space="preserve">Zwiększyliśmy organicznie sprzedaż i poprawiliśmy rentowność w obu jednostkach biznesowych, </w:t>
      </w:r>
      <w:proofErr w:type="spellStart"/>
      <w:r w:rsidR="005323F3" w:rsidRPr="005323F3">
        <w:rPr>
          <w:rFonts w:cs="Segoe UI"/>
          <w:b/>
          <w:bCs/>
          <w:szCs w:val="22"/>
          <w:lang w:val="pl-PL" w:eastAsia="de-DE"/>
        </w:rPr>
        <w:t>Adhesive</w:t>
      </w:r>
      <w:proofErr w:type="spellEnd"/>
      <w:r w:rsidR="005323F3" w:rsidRPr="005323F3">
        <w:rPr>
          <w:rFonts w:cs="Segoe UI"/>
          <w:b/>
          <w:bCs/>
          <w:szCs w:val="22"/>
          <w:lang w:val="pl-PL" w:eastAsia="de-DE"/>
        </w:rPr>
        <w:t xml:space="preserve"> Technologies i Consumer </w:t>
      </w:r>
      <w:proofErr w:type="spellStart"/>
      <w:r w:rsidR="005323F3" w:rsidRPr="005323F3">
        <w:rPr>
          <w:rFonts w:cs="Segoe UI"/>
          <w:b/>
          <w:bCs/>
          <w:szCs w:val="22"/>
          <w:lang w:val="pl-PL" w:eastAsia="de-DE"/>
        </w:rPr>
        <w:t>Brands</w:t>
      </w:r>
      <w:proofErr w:type="spellEnd"/>
      <w:r w:rsidR="005323F3" w:rsidRPr="005323F3">
        <w:rPr>
          <w:rFonts w:cs="Segoe UI"/>
          <w:b/>
          <w:bCs/>
          <w:szCs w:val="22"/>
          <w:lang w:val="pl-PL" w:eastAsia="de-DE"/>
        </w:rPr>
        <w:t xml:space="preserve">, głównie dzięki dalszym innowacjom, kontynuowanym działaniom oszczędnościowym i poprawie efektywności, a także silniejszemu wzrostowi w obszarach o wysokiej marży. Wzrost marży w jednostce biznesowej Consumer </w:t>
      </w:r>
      <w:proofErr w:type="spellStart"/>
      <w:r w:rsidR="005323F3" w:rsidRPr="005323F3">
        <w:rPr>
          <w:rFonts w:cs="Segoe UI"/>
          <w:b/>
          <w:bCs/>
          <w:szCs w:val="22"/>
          <w:lang w:val="pl-PL" w:eastAsia="de-DE"/>
        </w:rPr>
        <w:t>Brands</w:t>
      </w:r>
      <w:proofErr w:type="spellEnd"/>
      <w:r w:rsidR="005323F3" w:rsidRPr="005323F3">
        <w:rPr>
          <w:rFonts w:cs="Segoe UI"/>
          <w:b/>
          <w:bCs/>
          <w:szCs w:val="22"/>
          <w:lang w:val="pl-PL" w:eastAsia="de-DE"/>
        </w:rPr>
        <w:t xml:space="preserve"> był napędzany przez zakończony proces integracji, stałe oszczędności i dalszą waloryzację – czyli ukierunkowaną poprawę portfolio produktów. Jednocześnie kontynuowaliśmy inwestycje w przyszłość obu działów: we wzmacnianie naszych marek, w innowacje, zrównoważony rozwój i cyfryzację. Ponadto w ciągu ostatnich trzech miesięcy uzgodniliśmy przejęcia w obu jednostkach biznesowych o łącznej wartości sprzedaży około 1,2 mld euro, aby wzmocnić nasze biznesy i rozszerzyć ich potencjał wzrostu. Wyniki za 2025 rok wyraźnie pokazują, że jesteśmy na właściwej drodze z naszą strategią zrównoważonego, ukierunkowanego wzrostu, skutecznie p</w:t>
      </w:r>
      <w:r w:rsidR="00E75E22">
        <w:rPr>
          <w:rFonts w:cs="Segoe UI"/>
          <w:b/>
          <w:bCs/>
          <w:szCs w:val="22"/>
          <w:lang w:val="pl-PL" w:eastAsia="de-DE"/>
        </w:rPr>
        <w:t>rzygotowując</w:t>
      </w:r>
      <w:r w:rsidR="005323F3" w:rsidRPr="005323F3">
        <w:rPr>
          <w:rFonts w:cs="Segoe UI"/>
          <w:b/>
          <w:bCs/>
          <w:szCs w:val="22"/>
          <w:lang w:val="pl-PL" w:eastAsia="de-DE"/>
        </w:rPr>
        <w:t xml:space="preserve"> firmę na przyszłość. Znajduje to również odzwierciedlenie w naszej prognozie na rok obrotowy 2026, w której spodziewamy się dalszego wzrostu sprzedaży i zysków, mimo że początek roku prawdopodobnie będzie nieco słabszy. Chciałbym podziękować wszystkim pracownikom za ich wybitne osiągnięcia. Dzięki ich pracy zespołowej i nadzwyczajnemu zaangażowaniu po raz kolejny z sukcesem przeprowadziliśmy naszą firmę przez wymagający okres – podsumował </w:t>
      </w:r>
      <w:proofErr w:type="spellStart"/>
      <w:r w:rsidR="005323F3" w:rsidRPr="005323F3">
        <w:rPr>
          <w:rFonts w:cs="Segoe UI"/>
          <w:b/>
          <w:bCs/>
          <w:szCs w:val="22"/>
          <w:lang w:val="pl-PL" w:eastAsia="de-DE"/>
        </w:rPr>
        <w:t>Carsten</w:t>
      </w:r>
      <w:proofErr w:type="spellEnd"/>
      <w:r w:rsidR="005323F3" w:rsidRPr="005323F3">
        <w:rPr>
          <w:rFonts w:cs="Segoe UI"/>
          <w:b/>
          <w:bCs/>
          <w:szCs w:val="22"/>
          <w:lang w:val="pl-PL" w:eastAsia="de-DE"/>
        </w:rPr>
        <w:t xml:space="preserve"> </w:t>
      </w:r>
      <w:proofErr w:type="spellStart"/>
      <w:r w:rsidR="005323F3" w:rsidRPr="005323F3">
        <w:rPr>
          <w:rFonts w:cs="Segoe UI"/>
          <w:b/>
          <w:bCs/>
          <w:szCs w:val="22"/>
          <w:lang w:val="pl-PL" w:eastAsia="de-DE"/>
        </w:rPr>
        <w:t>Knobel</w:t>
      </w:r>
      <w:proofErr w:type="spellEnd"/>
      <w:r w:rsidR="005323F3" w:rsidRPr="005323F3">
        <w:rPr>
          <w:rFonts w:cs="Segoe UI"/>
          <w:b/>
          <w:bCs/>
          <w:szCs w:val="22"/>
          <w:lang w:val="pl-PL" w:eastAsia="de-DE"/>
        </w:rPr>
        <w:t>.</w:t>
      </w:r>
      <w:r>
        <w:rPr>
          <w:rFonts w:cs="Segoe UI"/>
          <w:b/>
          <w:bCs/>
          <w:szCs w:val="22"/>
          <w:lang w:val="pl-PL" w:eastAsia="de-DE"/>
        </w:rPr>
        <w:t>”</w:t>
      </w:r>
    </w:p>
    <w:p w14:paraId="771C4C08" w14:textId="77777777" w:rsidR="00E75E22" w:rsidRDefault="00E75E22" w:rsidP="000A08DA">
      <w:pPr>
        <w:spacing w:after="120"/>
        <w:rPr>
          <w:rFonts w:cs="Segoe UI"/>
          <w:b/>
          <w:bCs/>
          <w:szCs w:val="22"/>
          <w:lang w:val="pl-PL" w:eastAsia="de-DE"/>
        </w:rPr>
      </w:pPr>
    </w:p>
    <w:p w14:paraId="662B008A" w14:textId="7AA3C07C" w:rsidR="006274E4" w:rsidRPr="000A08DA" w:rsidRDefault="006274E4" w:rsidP="000A08DA">
      <w:pPr>
        <w:spacing w:after="120"/>
        <w:rPr>
          <w:rFonts w:cs="Segoe UI"/>
          <w:b/>
          <w:bCs/>
          <w:szCs w:val="22"/>
          <w:lang w:val="pl-PL" w:eastAsia="de-DE"/>
        </w:rPr>
      </w:pPr>
      <w:r w:rsidRPr="006274E4">
        <w:rPr>
          <w:rFonts w:cs="Segoe UI"/>
          <w:b/>
          <w:bCs/>
          <w:szCs w:val="22"/>
          <w:lang w:val="pl-PL" w:eastAsia="de-DE"/>
        </w:rPr>
        <w:t>Wyniki sprzedaży i zyski Grupy w roku obrotowym 2025</w:t>
      </w:r>
    </w:p>
    <w:p w14:paraId="74F99411" w14:textId="31641580" w:rsidR="006019EB" w:rsidRPr="000F40A3" w:rsidRDefault="006274E4" w:rsidP="00D51576">
      <w:pPr>
        <w:rPr>
          <w:rFonts w:cs="Segoe UI"/>
          <w:szCs w:val="22"/>
          <w:lang w:val="pl-PL"/>
        </w:rPr>
      </w:pPr>
      <w:r w:rsidRPr="006274E4">
        <w:rPr>
          <w:rFonts w:cs="Segoe UI"/>
          <w:b/>
          <w:bCs/>
          <w:szCs w:val="22"/>
          <w:lang w:val="pl-PL"/>
        </w:rPr>
        <w:t>Przychody ze sprzedaży</w:t>
      </w:r>
      <w:r w:rsidRPr="006274E4">
        <w:rPr>
          <w:rFonts w:cs="Segoe UI"/>
          <w:szCs w:val="22"/>
          <w:lang w:val="pl-PL"/>
        </w:rPr>
        <w:t xml:space="preserve"> Grupy Henkel w roku obrotowym 2025 wyniosły 20 495 mln euro, co oznacza spadek o -5,1% w ujęciu nominalnym w porównaniu z rokiem poprzednim. Różnice kursowe miały negatywny wpływ na sprzedaż w wysokości -4,2%. Po ich uwzględnieniu spadek sprzedaży wyniósł -0,8%. Transakcje przejęć i zbycia aktywów również miały negatywny wpływ na sprzedaż, wynoszący -1,7%, głównie z powodu sprzedaży działalności </w:t>
      </w:r>
      <w:proofErr w:type="spellStart"/>
      <w:r w:rsidRPr="006274E4">
        <w:rPr>
          <w:rFonts w:cs="Segoe UI"/>
          <w:szCs w:val="22"/>
          <w:lang w:val="pl-PL"/>
        </w:rPr>
        <w:t>Retailer</w:t>
      </w:r>
      <w:proofErr w:type="spellEnd"/>
      <w:r w:rsidRPr="006274E4">
        <w:rPr>
          <w:rFonts w:cs="Segoe UI"/>
          <w:szCs w:val="22"/>
          <w:lang w:val="pl-PL"/>
        </w:rPr>
        <w:t xml:space="preserve"> </w:t>
      </w:r>
      <w:proofErr w:type="spellStart"/>
      <w:r w:rsidRPr="006274E4">
        <w:rPr>
          <w:rFonts w:cs="Segoe UI"/>
          <w:szCs w:val="22"/>
          <w:lang w:val="pl-PL"/>
        </w:rPr>
        <w:t>Brands</w:t>
      </w:r>
      <w:proofErr w:type="spellEnd"/>
      <w:r w:rsidRPr="006274E4">
        <w:rPr>
          <w:rFonts w:cs="Segoe UI"/>
          <w:szCs w:val="22"/>
          <w:lang w:val="pl-PL"/>
        </w:rPr>
        <w:t xml:space="preserve"> w </w:t>
      </w:r>
      <w:r w:rsidRPr="006274E4">
        <w:rPr>
          <w:rFonts w:cs="Segoe UI"/>
          <w:szCs w:val="22"/>
          <w:lang w:val="pl-PL"/>
        </w:rPr>
        <w:lastRenderedPageBreak/>
        <w:t xml:space="preserve">Ameryce Północnej w dziale Consumer </w:t>
      </w:r>
      <w:proofErr w:type="spellStart"/>
      <w:r w:rsidRPr="006274E4">
        <w:rPr>
          <w:rFonts w:cs="Segoe UI"/>
          <w:szCs w:val="22"/>
          <w:lang w:val="pl-PL"/>
        </w:rPr>
        <w:t>Brands</w:t>
      </w:r>
      <w:proofErr w:type="spellEnd"/>
      <w:r w:rsidRPr="006274E4">
        <w:rPr>
          <w:rFonts w:cs="Segoe UI"/>
          <w:szCs w:val="22"/>
          <w:lang w:val="pl-PL"/>
        </w:rPr>
        <w:t>. </w:t>
      </w:r>
      <w:r w:rsidRPr="006274E4">
        <w:rPr>
          <w:rFonts w:cs="Segoe UI"/>
          <w:b/>
          <w:bCs/>
          <w:szCs w:val="22"/>
          <w:lang w:val="pl-PL"/>
        </w:rPr>
        <w:t>Wzrost sprzedaży w ujęciu organicznym</w:t>
      </w:r>
      <w:r w:rsidRPr="006274E4">
        <w:rPr>
          <w:rFonts w:cs="Segoe UI"/>
          <w:szCs w:val="22"/>
          <w:lang w:val="pl-PL"/>
        </w:rPr>
        <w:t>, tj. po korekcie o różnice kursowe oraz transakcje przejęć i zbycia aktywów, był dodatni i wyniósł </w:t>
      </w:r>
      <w:r w:rsidRPr="006274E4">
        <w:rPr>
          <w:rFonts w:cs="Segoe UI"/>
          <w:b/>
          <w:bCs/>
          <w:szCs w:val="22"/>
          <w:lang w:val="pl-PL"/>
        </w:rPr>
        <w:t>0,9%</w:t>
      </w:r>
      <w:r w:rsidRPr="006274E4">
        <w:rPr>
          <w:rFonts w:cs="Segoe UI"/>
          <w:szCs w:val="22"/>
          <w:lang w:val="pl-PL"/>
        </w:rPr>
        <w:t>. Wzrost ten był napędzany głównie przez ceny, podczas gdy wolumen pozostał na niezmienionym poziomie w ujęciu rocznym.</w:t>
      </w:r>
      <w:r w:rsidR="000F40A3">
        <w:rPr>
          <w:rFonts w:cs="Segoe UI"/>
          <w:szCs w:val="22"/>
          <w:lang w:val="pl-PL"/>
        </w:rPr>
        <w:t xml:space="preserve"> </w:t>
      </w:r>
      <w:r w:rsidR="000F40A3" w:rsidRPr="000F40A3">
        <w:rPr>
          <w:rFonts w:cs="Segoe UI"/>
          <w:szCs w:val="22"/>
          <w:lang w:val="pl-PL"/>
        </w:rPr>
        <w:t>Sektor biznesowy </w:t>
      </w:r>
      <w:proofErr w:type="spellStart"/>
      <w:r w:rsidR="000F40A3" w:rsidRPr="000F40A3">
        <w:rPr>
          <w:rFonts w:cs="Segoe UI"/>
          <w:b/>
          <w:bCs/>
          <w:szCs w:val="22"/>
          <w:lang w:val="pl-PL"/>
        </w:rPr>
        <w:t>Adhesive</w:t>
      </w:r>
      <w:proofErr w:type="spellEnd"/>
      <w:r w:rsidR="000F40A3" w:rsidRPr="000F40A3">
        <w:rPr>
          <w:rFonts w:cs="Segoe UI"/>
          <w:b/>
          <w:bCs/>
          <w:szCs w:val="22"/>
          <w:lang w:val="pl-PL"/>
        </w:rPr>
        <w:t xml:space="preserve"> Technologies</w:t>
      </w:r>
      <w:r w:rsidR="000F40A3" w:rsidRPr="000F40A3">
        <w:rPr>
          <w:rFonts w:cs="Segoe UI"/>
          <w:szCs w:val="22"/>
          <w:lang w:val="pl-PL"/>
        </w:rPr>
        <w:t xml:space="preserve"> osiągnął dobry organiczny wzrost sprzedaży na poziomie 1,5%, napędzany w szczególności przez obszar biznesowy </w:t>
      </w:r>
      <w:proofErr w:type="spellStart"/>
      <w:r w:rsidR="000F40A3" w:rsidRPr="000F40A3">
        <w:rPr>
          <w:rFonts w:cs="Segoe UI"/>
          <w:szCs w:val="22"/>
          <w:lang w:val="pl-PL"/>
        </w:rPr>
        <w:t>Mobility</w:t>
      </w:r>
      <w:proofErr w:type="spellEnd"/>
      <w:r w:rsidR="000F40A3" w:rsidRPr="000F40A3">
        <w:rPr>
          <w:rFonts w:cs="Segoe UI"/>
          <w:szCs w:val="22"/>
          <w:lang w:val="pl-PL"/>
        </w:rPr>
        <w:t xml:space="preserve"> &amp; Electronics</w:t>
      </w:r>
      <w:r w:rsidR="006C6259">
        <w:rPr>
          <w:rFonts w:cs="Segoe UI"/>
          <w:szCs w:val="22"/>
          <w:lang w:val="pl-PL"/>
        </w:rPr>
        <w:t xml:space="preserve"> </w:t>
      </w:r>
      <w:r w:rsidR="006C6259" w:rsidRPr="006C6259">
        <w:rPr>
          <w:rFonts w:cs="Segoe UI"/>
          <w:szCs w:val="22"/>
          <w:lang w:val="pl-PL"/>
        </w:rPr>
        <w:t>(produkty dla branży mobilności i branży elektronicznej)</w:t>
      </w:r>
      <w:r w:rsidR="000F40A3" w:rsidRPr="000F40A3">
        <w:rPr>
          <w:rFonts w:cs="Segoe UI"/>
          <w:szCs w:val="22"/>
          <w:lang w:val="pl-PL"/>
        </w:rPr>
        <w:t>. Sektor </w:t>
      </w:r>
      <w:r w:rsidR="000F40A3" w:rsidRPr="000F40A3">
        <w:rPr>
          <w:rFonts w:cs="Segoe UI"/>
          <w:b/>
          <w:bCs/>
          <w:szCs w:val="22"/>
          <w:lang w:val="pl-PL"/>
        </w:rPr>
        <w:t xml:space="preserve">Consumer </w:t>
      </w:r>
      <w:proofErr w:type="spellStart"/>
      <w:r w:rsidR="000F40A3" w:rsidRPr="000F40A3">
        <w:rPr>
          <w:rFonts w:cs="Segoe UI"/>
          <w:b/>
          <w:bCs/>
          <w:szCs w:val="22"/>
          <w:lang w:val="pl-PL"/>
        </w:rPr>
        <w:t>Brands</w:t>
      </w:r>
      <w:proofErr w:type="spellEnd"/>
      <w:r w:rsidR="000F40A3" w:rsidRPr="000F40A3">
        <w:rPr>
          <w:rFonts w:cs="Segoe UI"/>
          <w:szCs w:val="22"/>
          <w:lang w:val="pl-PL"/>
        </w:rPr>
        <w:t xml:space="preserve"> odnotował dodatni organiczny wzrost sprzedaży na poziomie 0,3%, napędzany zwłaszcza przez obszar biznesowy </w:t>
      </w:r>
      <w:proofErr w:type="spellStart"/>
      <w:r w:rsidR="000F40A3" w:rsidRPr="000F40A3">
        <w:rPr>
          <w:rFonts w:cs="Segoe UI"/>
          <w:szCs w:val="22"/>
          <w:lang w:val="pl-PL"/>
        </w:rPr>
        <w:t>Hair</w:t>
      </w:r>
      <w:proofErr w:type="spellEnd"/>
      <w:r w:rsidR="006C6259">
        <w:rPr>
          <w:rFonts w:cs="Segoe UI"/>
          <w:szCs w:val="22"/>
          <w:lang w:val="pl-PL"/>
        </w:rPr>
        <w:t xml:space="preserve"> </w:t>
      </w:r>
      <w:r w:rsidR="006C6259" w:rsidRPr="006C6259">
        <w:rPr>
          <w:rFonts w:cs="Segoe UI"/>
          <w:szCs w:val="22"/>
          <w:lang w:val="pl-PL"/>
        </w:rPr>
        <w:t>(produkty do pielęgnacji włosów)</w:t>
      </w:r>
      <w:r w:rsidR="000F40A3" w:rsidRPr="000F40A3">
        <w:rPr>
          <w:rFonts w:cs="Segoe UI"/>
          <w:szCs w:val="22"/>
          <w:lang w:val="pl-PL"/>
        </w:rPr>
        <w:t>.</w:t>
      </w:r>
    </w:p>
    <w:p w14:paraId="2DEB6780" w14:textId="77777777" w:rsidR="006274E4" w:rsidRDefault="006274E4" w:rsidP="00D51576">
      <w:pPr>
        <w:rPr>
          <w:rFonts w:cs="Segoe UI"/>
          <w:szCs w:val="22"/>
          <w:lang w:val="pl-PL"/>
        </w:rPr>
      </w:pPr>
    </w:p>
    <w:p w14:paraId="683AABEA" w14:textId="10BE834D" w:rsidR="000F40A3" w:rsidRPr="000F40A3" w:rsidRDefault="000F40A3" w:rsidP="00CE32F0">
      <w:pPr>
        <w:rPr>
          <w:rFonts w:cs="Segoe UI"/>
          <w:szCs w:val="22"/>
          <w:lang w:val="pl-PL"/>
        </w:rPr>
      </w:pPr>
      <w:r w:rsidRPr="000F40A3">
        <w:rPr>
          <w:rFonts w:cs="Segoe UI"/>
          <w:b/>
          <w:bCs/>
          <w:szCs w:val="22"/>
          <w:lang w:val="pl-PL"/>
        </w:rPr>
        <w:t>Skorygowany zysk operacyjny (skorygowany EBIT)</w:t>
      </w:r>
      <w:r w:rsidRPr="000F40A3">
        <w:rPr>
          <w:rFonts w:cs="Segoe UI"/>
          <w:szCs w:val="22"/>
          <w:lang w:val="pl-PL"/>
        </w:rPr>
        <w:t> wyniósł 3 026 mln euro i był niższy od poziomu z roku poprzedniego, głównie z powodu znaczących negatywnych efektów kursowych (2024: 3 089 mln euro).</w:t>
      </w:r>
    </w:p>
    <w:p w14:paraId="57EC4476" w14:textId="77777777" w:rsidR="00CE32F0" w:rsidRPr="000F40A3" w:rsidRDefault="00CE32F0" w:rsidP="00CE32F0">
      <w:pPr>
        <w:rPr>
          <w:rFonts w:cs="Segoe UI"/>
          <w:szCs w:val="22"/>
          <w:lang w:val="pl-PL"/>
        </w:rPr>
      </w:pPr>
    </w:p>
    <w:p w14:paraId="10908572" w14:textId="66BBDA9C" w:rsidR="00FE2737" w:rsidRPr="00FE2737" w:rsidRDefault="00FE2737" w:rsidP="00CE32F0">
      <w:pPr>
        <w:rPr>
          <w:rFonts w:cs="Segoe UI"/>
          <w:szCs w:val="22"/>
          <w:lang w:val="pl-PL"/>
        </w:rPr>
      </w:pPr>
      <w:r w:rsidRPr="00FE2737">
        <w:rPr>
          <w:rFonts w:cs="Segoe UI"/>
          <w:szCs w:val="22"/>
          <w:lang w:val="pl-PL"/>
        </w:rPr>
        <w:t>Natomiast </w:t>
      </w:r>
      <w:r w:rsidRPr="00FE2737">
        <w:rPr>
          <w:rFonts w:cs="Segoe UI"/>
          <w:b/>
          <w:bCs/>
          <w:szCs w:val="22"/>
          <w:lang w:val="pl-PL"/>
        </w:rPr>
        <w:t>skorygowana rentowność sprzedaży (skorygowana marża EBIT)</w:t>
      </w:r>
      <w:r w:rsidRPr="00FE2737">
        <w:rPr>
          <w:rFonts w:cs="Segoe UI"/>
          <w:szCs w:val="22"/>
          <w:lang w:val="pl-PL"/>
        </w:rPr>
        <w:t> w analizowanym roku była wyższa rok do roku i wyniosła </w:t>
      </w:r>
      <w:r w:rsidRPr="00BE78A8">
        <w:rPr>
          <w:rFonts w:cs="Segoe UI"/>
          <w:szCs w:val="22"/>
          <w:lang w:val="pl-PL"/>
        </w:rPr>
        <w:t>14,8%</w:t>
      </w:r>
      <w:r w:rsidRPr="00FE2737">
        <w:rPr>
          <w:rFonts w:cs="Segoe UI"/>
          <w:szCs w:val="22"/>
          <w:lang w:val="pl-PL"/>
        </w:rPr>
        <w:t> (2024: 14,3%).</w:t>
      </w:r>
    </w:p>
    <w:p w14:paraId="05DF36A0" w14:textId="77777777" w:rsidR="00CE32F0" w:rsidRPr="00FE2737" w:rsidRDefault="00CE32F0" w:rsidP="00D51576">
      <w:pPr>
        <w:rPr>
          <w:rFonts w:cs="Segoe UI"/>
          <w:szCs w:val="22"/>
          <w:lang w:val="pl-PL"/>
        </w:rPr>
      </w:pPr>
    </w:p>
    <w:p w14:paraId="4938F14A" w14:textId="071D005C" w:rsidR="00FE2737" w:rsidRPr="00FE2737" w:rsidRDefault="00FE2737" w:rsidP="00846017">
      <w:pPr>
        <w:rPr>
          <w:rFonts w:cs="Segoe UI"/>
          <w:szCs w:val="22"/>
          <w:lang w:val="pl-PL"/>
        </w:rPr>
      </w:pPr>
      <w:bookmarkStart w:id="2" w:name="_Hlk190081485"/>
      <w:r w:rsidRPr="00FE2737">
        <w:rPr>
          <w:rFonts w:cs="Segoe UI"/>
          <w:b/>
          <w:bCs/>
          <w:szCs w:val="22"/>
          <w:lang w:val="pl-PL"/>
        </w:rPr>
        <w:t>Skorygowany zysk na akcję uprzywilejowaną</w:t>
      </w:r>
      <w:r w:rsidRPr="00FE2737">
        <w:rPr>
          <w:rFonts w:cs="Segoe UI"/>
          <w:szCs w:val="22"/>
          <w:lang w:val="pl-PL"/>
        </w:rPr>
        <w:t> nieznacznie spadł o -0,6% do </w:t>
      </w:r>
      <w:r w:rsidRPr="00BE78A8">
        <w:rPr>
          <w:rFonts w:cs="Segoe UI"/>
          <w:szCs w:val="22"/>
          <w:lang w:val="pl-PL"/>
        </w:rPr>
        <w:t>5,33 euro</w:t>
      </w:r>
      <w:r w:rsidRPr="00FE2737">
        <w:rPr>
          <w:rFonts w:cs="Segoe UI"/>
          <w:szCs w:val="22"/>
          <w:lang w:val="pl-PL"/>
        </w:rPr>
        <w:t> (2024: 5,36 euro). Przy stałych kursach wymiany, skorygowany zysk na akcję uprzywilejowaną wzrósł o 4,7%.</w:t>
      </w:r>
    </w:p>
    <w:p w14:paraId="5166EAC4" w14:textId="77777777" w:rsidR="003663FD" w:rsidRPr="00FE2737" w:rsidRDefault="003663FD" w:rsidP="00846017">
      <w:pPr>
        <w:rPr>
          <w:rFonts w:cs="Segoe UI"/>
          <w:szCs w:val="22"/>
          <w:lang w:val="pl-PL"/>
        </w:rPr>
      </w:pPr>
    </w:p>
    <w:bookmarkEnd w:id="2"/>
    <w:p w14:paraId="53D920F1" w14:textId="19BFEFA1" w:rsidR="00DD4A1A" w:rsidRPr="00DD4A1A" w:rsidRDefault="00DD4A1A" w:rsidP="00841353">
      <w:pPr>
        <w:rPr>
          <w:rFonts w:cs="Segoe UI"/>
          <w:szCs w:val="22"/>
          <w:lang w:val="pl-PL"/>
        </w:rPr>
      </w:pPr>
      <w:r w:rsidRPr="00DD4A1A">
        <w:rPr>
          <w:rFonts w:cs="Segoe UI"/>
          <w:b/>
          <w:bCs/>
          <w:szCs w:val="22"/>
          <w:lang w:val="pl-PL"/>
        </w:rPr>
        <w:t>Kapitał obrotowy netto</w:t>
      </w:r>
      <w:r w:rsidRPr="00DD4A1A">
        <w:rPr>
          <w:rFonts w:cs="Segoe UI"/>
          <w:szCs w:val="22"/>
          <w:lang w:val="pl-PL"/>
        </w:rPr>
        <w:t> jako procent sprzedaży wyniósł 3,8%, co stanowi wzrost w porównaniu z rokiem poprzednim (2024: 3,0%).</w:t>
      </w:r>
    </w:p>
    <w:p w14:paraId="22824E39" w14:textId="77777777" w:rsidR="00841353" w:rsidRPr="00DD4A1A" w:rsidRDefault="00841353" w:rsidP="00841353">
      <w:pPr>
        <w:rPr>
          <w:rFonts w:cs="Segoe UI"/>
          <w:szCs w:val="22"/>
          <w:lang w:val="pl-PL"/>
        </w:rPr>
      </w:pPr>
    </w:p>
    <w:p w14:paraId="2C8A306D" w14:textId="51188E79" w:rsidR="00DD4A1A" w:rsidRPr="00DD4A1A" w:rsidRDefault="00DD4A1A" w:rsidP="00841353">
      <w:pPr>
        <w:rPr>
          <w:rFonts w:cs="Segoe UI"/>
          <w:szCs w:val="22"/>
          <w:lang w:val="pl-PL"/>
        </w:rPr>
      </w:pPr>
      <w:bookmarkStart w:id="3" w:name="_Hlk190081658"/>
      <w:r w:rsidRPr="00DD4A1A">
        <w:rPr>
          <w:rFonts w:cs="Segoe UI"/>
          <w:b/>
          <w:bCs/>
          <w:szCs w:val="22"/>
          <w:lang w:val="pl-PL"/>
        </w:rPr>
        <w:t>Wolne przepływy pieniężne</w:t>
      </w:r>
      <w:r w:rsidRPr="00DD4A1A">
        <w:rPr>
          <w:rFonts w:cs="Segoe UI"/>
          <w:szCs w:val="22"/>
          <w:lang w:val="pl-PL"/>
        </w:rPr>
        <w:t>, na poziomie 1 850 mln euro, były niższe niż w roku poprzednim (2024: 2 362 mln euro). Rozwój ten wynikał ze zmian w kapitale obrotowym netto i efektów przeliczeniowych z tytułu kursów walut.</w:t>
      </w:r>
    </w:p>
    <w:p w14:paraId="4F8FDF20" w14:textId="77777777" w:rsidR="00740F23" w:rsidRPr="00DD4A1A" w:rsidRDefault="00740F23" w:rsidP="007863BF">
      <w:pPr>
        <w:rPr>
          <w:rFonts w:cs="Segoe UI"/>
          <w:szCs w:val="22"/>
          <w:lang w:val="pl-PL"/>
        </w:rPr>
      </w:pPr>
    </w:p>
    <w:p w14:paraId="3B3F6ABB" w14:textId="56FF4C90" w:rsidR="002D731B" w:rsidRDefault="00DD4A1A" w:rsidP="004C0686">
      <w:pPr>
        <w:rPr>
          <w:rFonts w:cs="Segoe UI"/>
          <w:szCs w:val="22"/>
          <w:lang w:val="pl-PL"/>
        </w:rPr>
      </w:pPr>
      <w:r w:rsidRPr="00DD4A1A">
        <w:rPr>
          <w:rFonts w:cs="Segoe UI"/>
          <w:szCs w:val="22"/>
          <w:lang w:val="pl-PL"/>
        </w:rPr>
        <w:t>Pomimo wypłat gotówkowych na dywidendę i program skupu akcji, </w:t>
      </w:r>
      <w:r w:rsidRPr="00DD4A1A">
        <w:rPr>
          <w:rFonts w:cs="Segoe UI"/>
          <w:b/>
          <w:bCs/>
          <w:szCs w:val="22"/>
          <w:lang w:val="pl-PL"/>
        </w:rPr>
        <w:t>pozycja finansowa netto</w:t>
      </w:r>
      <w:r w:rsidRPr="00DD4A1A">
        <w:rPr>
          <w:rFonts w:cs="Segoe UI"/>
          <w:szCs w:val="22"/>
          <w:lang w:val="pl-PL"/>
        </w:rPr>
        <w:t> wyniosła 109 mln euro, a więc powyżej wartości z poprzedniego roku (31 grudnia 2024: -93 mln euro).</w:t>
      </w:r>
      <w:bookmarkEnd w:id="3"/>
    </w:p>
    <w:p w14:paraId="5C9D2A62" w14:textId="77777777" w:rsidR="00B453E4" w:rsidRPr="00B453E4" w:rsidRDefault="00B453E4" w:rsidP="004C0686">
      <w:pPr>
        <w:rPr>
          <w:rFonts w:cs="Segoe UI"/>
          <w:szCs w:val="22"/>
          <w:lang w:val="pl-PL"/>
        </w:rPr>
      </w:pPr>
    </w:p>
    <w:p w14:paraId="76A5550A" w14:textId="67C5AFBD" w:rsidR="002D731B" w:rsidRPr="002D731B" w:rsidRDefault="002D731B" w:rsidP="004C0686">
      <w:pPr>
        <w:rPr>
          <w:rFonts w:cs="Segoe UI"/>
          <w:lang w:val="pl-PL"/>
        </w:rPr>
      </w:pPr>
      <w:r w:rsidRPr="002D731B">
        <w:rPr>
          <w:rFonts w:cs="Segoe UI"/>
          <w:lang w:val="pl-PL"/>
        </w:rPr>
        <w:t>Zarząd, Rada Nadzorcza oraz Komitet Akcjonariuszy przedstawią Walnemu Zgromadzeniu Akcjonariuszy 27 kwietnia 2026 r. propozycję zwiększenia </w:t>
      </w:r>
      <w:r w:rsidRPr="002D731B">
        <w:rPr>
          <w:rFonts w:cs="Segoe UI"/>
          <w:b/>
          <w:bCs/>
          <w:lang w:val="pl-PL"/>
        </w:rPr>
        <w:t>dywidendy</w:t>
      </w:r>
      <w:r w:rsidRPr="002D731B">
        <w:rPr>
          <w:rFonts w:cs="Segoe UI"/>
          <w:lang w:val="pl-PL"/>
        </w:rPr>
        <w:t> o 1,5% w porównaniu z rokiem poprzednim, do kwoty </w:t>
      </w:r>
      <w:r w:rsidRPr="00AB668B">
        <w:rPr>
          <w:rFonts w:cs="Segoe UI"/>
          <w:lang w:val="pl-PL"/>
        </w:rPr>
        <w:t xml:space="preserve">2,07 euro na akcję uprzywilejowaną i 2,05 euro na akcję zwykłą. </w:t>
      </w:r>
      <w:r w:rsidRPr="002D731B">
        <w:rPr>
          <w:rFonts w:cs="Segoe UI"/>
          <w:lang w:val="pl-PL"/>
        </w:rPr>
        <w:t>Wzrost dywidendy jest możliwy dzięki dobrym wynikom finansowym w minionym roku obrotowym i silnej bazie finansowej Grupy Henkel. Wskaźnik wypłaty pozostaje niezmieniony na poziomie 37,9% i mieści się w docelowym przedziale 30-40%.</w:t>
      </w:r>
    </w:p>
    <w:p w14:paraId="595467A4" w14:textId="5377F74F" w:rsidR="002D731B" w:rsidRDefault="00781BCD" w:rsidP="002D731B">
      <w:pPr>
        <w:spacing w:line="240" w:lineRule="auto"/>
        <w:jc w:val="left"/>
        <w:rPr>
          <w:rFonts w:cs="Segoe UI"/>
          <w:b/>
          <w:bCs/>
          <w:szCs w:val="22"/>
          <w:lang w:val="pl-PL" w:eastAsia="de-DE"/>
        </w:rPr>
      </w:pPr>
      <w:r w:rsidRPr="00781BCD">
        <w:rPr>
          <w:rFonts w:cs="Segoe UI"/>
          <w:b/>
          <w:bCs/>
          <w:szCs w:val="22"/>
          <w:lang w:val="pl-PL" w:eastAsia="de-DE"/>
        </w:rPr>
        <w:lastRenderedPageBreak/>
        <w:t>Wyniki sektorów biznesowych w roku obrotowym 2025</w:t>
      </w:r>
    </w:p>
    <w:p w14:paraId="5275D587" w14:textId="77777777" w:rsidR="006C6259" w:rsidRDefault="006C6259" w:rsidP="002D731B">
      <w:pPr>
        <w:spacing w:line="240" w:lineRule="auto"/>
        <w:jc w:val="left"/>
        <w:rPr>
          <w:rFonts w:cs="Segoe UI"/>
          <w:b/>
          <w:bCs/>
          <w:szCs w:val="22"/>
          <w:lang w:val="pl-PL" w:eastAsia="de-DE"/>
        </w:rPr>
      </w:pPr>
    </w:p>
    <w:p w14:paraId="56856CB4" w14:textId="47C45C44" w:rsidR="00781BCD" w:rsidRPr="00781BCD" w:rsidRDefault="00781BCD" w:rsidP="00B312F1">
      <w:pPr>
        <w:rPr>
          <w:rFonts w:cs="Segoe UI"/>
          <w:szCs w:val="22"/>
          <w:lang w:val="pl-PL"/>
        </w:rPr>
      </w:pPr>
      <w:r w:rsidRPr="00781BCD">
        <w:rPr>
          <w:rFonts w:cs="Segoe UI"/>
          <w:b/>
          <w:bCs/>
          <w:szCs w:val="22"/>
          <w:lang w:val="pl-PL"/>
        </w:rPr>
        <w:t>Przychody ze sprzedaży</w:t>
      </w:r>
      <w:r w:rsidRPr="00781BCD">
        <w:rPr>
          <w:rFonts w:cs="Segoe UI"/>
          <w:szCs w:val="22"/>
          <w:lang w:val="pl-PL"/>
        </w:rPr>
        <w:t> w sektorze </w:t>
      </w:r>
      <w:proofErr w:type="spellStart"/>
      <w:r w:rsidRPr="00781BCD">
        <w:rPr>
          <w:rFonts w:cs="Segoe UI"/>
          <w:b/>
          <w:bCs/>
          <w:szCs w:val="22"/>
          <w:lang w:val="pl-PL"/>
        </w:rPr>
        <w:t>Adhesive</w:t>
      </w:r>
      <w:proofErr w:type="spellEnd"/>
      <w:r w:rsidRPr="00781BCD">
        <w:rPr>
          <w:rFonts w:cs="Segoe UI"/>
          <w:b/>
          <w:bCs/>
          <w:szCs w:val="22"/>
          <w:lang w:val="pl-PL"/>
        </w:rPr>
        <w:t xml:space="preserve"> Technologies</w:t>
      </w:r>
      <w:r w:rsidRPr="00781BCD">
        <w:rPr>
          <w:rFonts w:cs="Segoe UI"/>
          <w:szCs w:val="22"/>
          <w:lang w:val="pl-PL"/>
        </w:rPr>
        <w:t> w analizowanym roku wyniosły 10 667 mln euro, co oznacza spadek o -2,8% rok do roku w ujęciu nominalnym. Różnice kursowe obniżyły sprzedaż o -4,1%. Transakcje przejęć i zbycia aktywów miały wpływ na poziomie -0,1%. </w:t>
      </w:r>
      <w:r w:rsidRPr="00781BCD">
        <w:rPr>
          <w:rFonts w:cs="Segoe UI"/>
          <w:b/>
          <w:bCs/>
          <w:szCs w:val="22"/>
          <w:lang w:val="pl-PL"/>
        </w:rPr>
        <w:t>W ujęciu organicznym</w:t>
      </w:r>
      <w:r w:rsidRPr="00781BCD">
        <w:rPr>
          <w:rFonts w:cs="Segoe UI"/>
          <w:szCs w:val="22"/>
          <w:lang w:val="pl-PL"/>
        </w:rPr>
        <w:t> sprzedaż wzrosła o </w:t>
      </w:r>
      <w:r w:rsidRPr="00B453E4">
        <w:rPr>
          <w:rFonts w:cs="Segoe UI"/>
          <w:szCs w:val="22"/>
          <w:lang w:val="pl-PL"/>
        </w:rPr>
        <w:t>1,5%.</w:t>
      </w:r>
      <w:r w:rsidRPr="00781BCD">
        <w:rPr>
          <w:rFonts w:cs="Segoe UI"/>
          <w:szCs w:val="22"/>
          <w:lang w:val="pl-PL"/>
        </w:rPr>
        <w:t xml:space="preserve"> Wzrost ten był szczególnie napędzany pozytywnym rozwojem wolumenów w drugiej połowie roku w porównaniu z rokiem poprzednim, co wynikało z nieznacznie poprawionego popytu na niektórych kluczowych rynkach końcowych. Ceny również rozwijały się pozytywnie w porównaniu z rokiem poprzednim. </w:t>
      </w:r>
      <w:r w:rsidRPr="00781BCD">
        <w:rPr>
          <w:rFonts w:cs="Segoe UI"/>
          <w:b/>
          <w:bCs/>
          <w:szCs w:val="22"/>
          <w:lang w:val="pl-PL"/>
        </w:rPr>
        <w:t>Skorygowany zysk operacyjny</w:t>
      </w:r>
      <w:r w:rsidRPr="00781BCD">
        <w:rPr>
          <w:rFonts w:cs="Segoe UI"/>
          <w:szCs w:val="22"/>
          <w:lang w:val="pl-PL"/>
        </w:rPr>
        <w:t> był nieznacznie niższy rok do roku i wyniósł 1 779 mln euro. Marża brutto pozostała niezmieniona w stosunku do roku poprzedniego na wysokim poziomie. </w:t>
      </w:r>
      <w:r w:rsidRPr="00781BCD">
        <w:rPr>
          <w:rFonts w:cs="Segoe UI"/>
          <w:b/>
          <w:bCs/>
          <w:szCs w:val="22"/>
          <w:lang w:val="pl-PL"/>
        </w:rPr>
        <w:t>Skorygowana rentowność sprzedaży</w:t>
      </w:r>
      <w:r w:rsidRPr="00781BCD">
        <w:rPr>
          <w:rFonts w:cs="Segoe UI"/>
          <w:szCs w:val="22"/>
          <w:lang w:val="pl-PL"/>
        </w:rPr>
        <w:t> wzrosła nieznacznie rok do roku i osiągnęła </w:t>
      </w:r>
      <w:r w:rsidRPr="00B453E4">
        <w:rPr>
          <w:rFonts w:cs="Segoe UI"/>
          <w:szCs w:val="22"/>
          <w:lang w:val="pl-PL"/>
        </w:rPr>
        <w:t>16,7%.</w:t>
      </w:r>
    </w:p>
    <w:p w14:paraId="282DCCAB" w14:textId="77777777" w:rsidR="004C0686" w:rsidRPr="00781BCD" w:rsidRDefault="004C0686" w:rsidP="00024483">
      <w:pPr>
        <w:rPr>
          <w:rFonts w:cs="Segoe UI"/>
          <w:szCs w:val="22"/>
          <w:lang w:val="pl-PL"/>
        </w:rPr>
      </w:pPr>
    </w:p>
    <w:p w14:paraId="6C0C5E75" w14:textId="69FC5D85" w:rsidR="00242C71" w:rsidRDefault="00781BCD" w:rsidP="003F4E93">
      <w:pPr>
        <w:rPr>
          <w:rFonts w:cs="Segoe UI"/>
          <w:szCs w:val="22"/>
          <w:lang w:val="pl-PL"/>
        </w:rPr>
      </w:pPr>
      <w:r w:rsidRPr="00781BCD">
        <w:rPr>
          <w:rFonts w:cs="Segoe UI"/>
          <w:b/>
          <w:bCs/>
          <w:szCs w:val="22"/>
          <w:lang w:val="pl-PL"/>
        </w:rPr>
        <w:t>Przychody ze sprzedaży</w:t>
      </w:r>
      <w:r w:rsidRPr="00781BCD">
        <w:rPr>
          <w:rFonts w:cs="Segoe UI"/>
          <w:szCs w:val="22"/>
          <w:lang w:val="pl-PL"/>
        </w:rPr>
        <w:t> w sektorze </w:t>
      </w:r>
      <w:r w:rsidRPr="00781BCD">
        <w:rPr>
          <w:rFonts w:cs="Segoe UI"/>
          <w:b/>
          <w:bCs/>
          <w:szCs w:val="22"/>
          <w:lang w:val="pl-PL"/>
        </w:rPr>
        <w:t xml:space="preserve">Consumer </w:t>
      </w:r>
      <w:proofErr w:type="spellStart"/>
      <w:r w:rsidRPr="00781BCD">
        <w:rPr>
          <w:rFonts w:cs="Segoe UI"/>
          <w:b/>
          <w:bCs/>
          <w:szCs w:val="22"/>
          <w:lang w:val="pl-PL"/>
        </w:rPr>
        <w:t>Brands</w:t>
      </w:r>
      <w:proofErr w:type="spellEnd"/>
      <w:r w:rsidRPr="00781BCD">
        <w:rPr>
          <w:rFonts w:cs="Segoe UI"/>
          <w:szCs w:val="22"/>
          <w:lang w:val="pl-PL"/>
        </w:rPr>
        <w:t xml:space="preserve"> w analizowanym roku wyniosły 9 677 mln euro, co oznacza spadek o -7,5% w ujęciu nominalnym w porównaniu z rokiem poprzednim. Różnice kursowe obniżyły sprzedaż o -4,4%. Transakcje przejęć i zbycia aktywów również miały negatywny wpływ na sprzedaż o -3,4%, głównie z powodu zbycia działalności </w:t>
      </w:r>
      <w:proofErr w:type="spellStart"/>
      <w:r w:rsidRPr="00781BCD">
        <w:rPr>
          <w:rFonts w:cs="Segoe UI"/>
          <w:szCs w:val="22"/>
          <w:lang w:val="pl-PL"/>
        </w:rPr>
        <w:t>Retailer</w:t>
      </w:r>
      <w:proofErr w:type="spellEnd"/>
      <w:r w:rsidRPr="00781BCD">
        <w:rPr>
          <w:rFonts w:cs="Segoe UI"/>
          <w:szCs w:val="22"/>
          <w:lang w:val="pl-PL"/>
        </w:rPr>
        <w:t xml:space="preserve"> </w:t>
      </w:r>
      <w:proofErr w:type="spellStart"/>
      <w:r w:rsidRPr="00781BCD">
        <w:rPr>
          <w:rFonts w:cs="Segoe UI"/>
          <w:szCs w:val="22"/>
          <w:lang w:val="pl-PL"/>
        </w:rPr>
        <w:t>Brands</w:t>
      </w:r>
      <w:proofErr w:type="spellEnd"/>
      <w:r w:rsidRPr="00781BCD">
        <w:rPr>
          <w:rFonts w:cs="Segoe UI"/>
          <w:szCs w:val="22"/>
          <w:lang w:val="pl-PL"/>
        </w:rPr>
        <w:t xml:space="preserve"> w Ameryce Północnej w kwietniu 2025 roku. </w:t>
      </w:r>
      <w:r w:rsidRPr="00781BCD">
        <w:rPr>
          <w:rFonts w:cs="Segoe UI"/>
          <w:b/>
          <w:bCs/>
          <w:szCs w:val="22"/>
          <w:lang w:val="pl-PL"/>
        </w:rPr>
        <w:t>W ujęciu organicznym</w:t>
      </w:r>
      <w:r w:rsidRPr="00781BCD">
        <w:rPr>
          <w:rFonts w:cs="Segoe UI"/>
          <w:szCs w:val="22"/>
          <w:lang w:val="pl-PL"/>
        </w:rPr>
        <w:t> sprzedaż wzrosła o </w:t>
      </w:r>
      <w:r w:rsidRPr="00622C2F">
        <w:rPr>
          <w:rFonts w:cs="Segoe UI"/>
          <w:szCs w:val="22"/>
          <w:lang w:val="pl-PL"/>
        </w:rPr>
        <w:t>0,3%.</w:t>
      </w:r>
      <w:r w:rsidRPr="00781BCD">
        <w:rPr>
          <w:rFonts w:cs="Segoe UI"/>
          <w:szCs w:val="22"/>
          <w:lang w:val="pl-PL"/>
        </w:rPr>
        <w:t xml:space="preserve"> Ten wzrost sprzedaży był napędzany dobrym rozwojem cen, podczas gdy wolumeny nieznacznie spadły. Przy 1 400 mln euro, </w:t>
      </w:r>
      <w:r w:rsidRPr="00781BCD">
        <w:rPr>
          <w:rFonts w:cs="Segoe UI"/>
          <w:b/>
          <w:bCs/>
          <w:szCs w:val="22"/>
          <w:lang w:val="pl-PL"/>
        </w:rPr>
        <w:t>skorygowany zysk operacyjny</w:t>
      </w:r>
      <w:r w:rsidRPr="00781BCD">
        <w:rPr>
          <w:rFonts w:cs="Segoe UI"/>
          <w:szCs w:val="22"/>
          <w:lang w:val="pl-PL"/>
        </w:rPr>
        <w:t> był niemal na poziomie z roku poprzedniego. Natomiast marża brutto znacznie się poprawiła. </w:t>
      </w:r>
      <w:r w:rsidRPr="00781BCD">
        <w:rPr>
          <w:rFonts w:cs="Segoe UI"/>
          <w:b/>
          <w:bCs/>
          <w:szCs w:val="22"/>
          <w:lang w:val="pl-PL"/>
        </w:rPr>
        <w:t>Skorygowana rentowność sprzedaży</w:t>
      </w:r>
      <w:r w:rsidRPr="00781BCD">
        <w:rPr>
          <w:rFonts w:cs="Segoe UI"/>
          <w:szCs w:val="22"/>
          <w:lang w:val="pl-PL"/>
        </w:rPr>
        <w:t> osiągnęła </w:t>
      </w:r>
      <w:r w:rsidRPr="00622C2F">
        <w:rPr>
          <w:rFonts w:cs="Segoe UI"/>
          <w:szCs w:val="22"/>
          <w:lang w:val="pl-PL"/>
        </w:rPr>
        <w:t>14,5%,</w:t>
      </w:r>
      <w:r w:rsidRPr="00781BCD">
        <w:rPr>
          <w:rFonts w:cs="Segoe UI"/>
          <w:szCs w:val="22"/>
          <w:lang w:val="pl-PL"/>
        </w:rPr>
        <w:t xml:space="preserve"> co stanowi znaczący wzrost rok do roku.</w:t>
      </w:r>
    </w:p>
    <w:p w14:paraId="41BB17B3" w14:textId="77777777" w:rsidR="00C12622" w:rsidRPr="00781BCD" w:rsidRDefault="00C12622" w:rsidP="003F4E93">
      <w:pPr>
        <w:rPr>
          <w:rFonts w:cs="Segoe UI"/>
          <w:szCs w:val="22"/>
          <w:lang w:val="pl-PL"/>
        </w:rPr>
      </w:pPr>
    </w:p>
    <w:p w14:paraId="5F94A71E" w14:textId="77777777" w:rsidR="006C6259" w:rsidRDefault="00060ACE" w:rsidP="006C6259">
      <w:pPr>
        <w:spacing w:after="120"/>
        <w:rPr>
          <w:rFonts w:cs="Segoe UI"/>
          <w:b/>
          <w:bCs/>
          <w:szCs w:val="22"/>
          <w:lang w:val="pl-PL" w:eastAsia="de-DE"/>
        </w:rPr>
      </w:pPr>
      <w:r w:rsidRPr="009B4E73">
        <w:rPr>
          <w:rFonts w:cs="Segoe UI"/>
          <w:b/>
          <w:bCs/>
          <w:szCs w:val="22"/>
          <w:lang w:val="pl-PL" w:eastAsia="de-DE"/>
        </w:rPr>
        <w:t>Prognoza na 2026 rok</w:t>
      </w:r>
    </w:p>
    <w:p w14:paraId="4060980C" w14:textId="46BD19D4" w:rsidR="00060ACE" w:rsidRPr="006C6259" w:rsidRDefault="00060ACE" w:rsidP="006C6259">
      <w:pPr>
        <w:spacing w:after="120"/>
        <w:rPr>
          <w:rFonts w:cs="Segoe UI"/>
          <w:b/>
          <w:bCs/>
          <w:szCs w:val="22"/>
          <w:lang w:val="pl-PL" w:eastAsia="de-DE"/>
        </w:rPr>
      </w:pPr>
      <w:r w:rsidRPr="00060ACE">
        <w:rPr>
          <w:rFonts w:cs="Segoe UI"/>
          <w:szCs w:val="22"/>
          <w:lang w:val="pl-PL"/>
        </w:rPr>
        <w:t>Po umiarkowanej dynamice wzrostu w minionym roku obrotowym, oczekuje się, że globalna produkcja gospodarcza będzie nadal rosła w umiarkowanym tempie w 2026 roku. Przewiduje się, że globalny rozwój gospodarczy pozostanie pod wpływem utrzymujących się niepewności geopolitycznych i ogólnie podwyższonego poziomu cen. W tym kontekście przewiduje się jedynie umiarkowany wzrost popytu przemysłowego i popytu konsumenckiego w obszarach działalności istotnych dla dóbr konsumpcyjnych Henkla.</w:t>
      </w:r>
    </w:p>
    <w:p w14:paraId="54B5E5D7" w14:textId="77777777" w:rsidR="00060ACE" w:rsidRDefault="00060ACE" w:rsidP="00060ACE">
      <w:pPr>
        <w:rPr>
          <w:rFonts w:cs="Segoe UI"/>
          <w:szCs w:val="22"/>
          <w:lang w:val="pl-PL"/>
        </w:rPr>
      </w:pPr>
      <w:r w:rsidRPr="00060ACE">
        <w:rPr>
          <w:rFonts w:cs="Segoe UI"/>
          <w:szCs w:val="22"/>
          <w:lang w:val="pl-PL"/>
        </w:rPr>
        <w:t>Oczekuje się, że przeliczenie sprzedaży w walutach obcych będzie miało negatywny wpływ w niskim jednocyfrowym przedziale procentowym. Przewiduje się, że ceny materiałów bezpośrednich wzrosną w niskim jednocyfrowym przedziale procentowym w porównaniu ze średnią roczną z 2025 roku.</w:t>
      </w:r>
    </w:p>
    <w:p w14:paraId="28E63570" w14:textId="77777777" w:rsidR="00622C2F" w:rsidRPr="00060ACE" w:rsidRDefault="00622C2F" w:rsidP="00060ACE">
      <w:pPr>
        <w:rPr>
          <w:rFonts w:cs="Segoe UI"/>
          <w:szCs w:val="22"/>
          <w:lang w:val="pl-PL"/>
        </w:rPr>
      </w:pPr>
    </w:p>
    <w:p w14:paraId="613F4F02" w14:textId="77777777" w:rsidR="00060ACE" w:rsidRPr="00060ACE" w:rsidRDefault="00060ACE" w:rsidP="00060ACE">
      <w:pPr>
        <w:rPr>
          <w:rFonts w:cs="Segoe UI"/>
          <w:szCs w:val="22"/>
          <w:lang w:val="pl-PL"/>
        </w:rPr>
      </w:pPr>
      <w:r w:rsidRPr="00060ACE">
        <w:rPr>
          <w:rFonts w:cs="Segoe UI"/>
          <w:szCs w:val="22"/>
          <w:lang w:val="pl-PL"/>
        </w:rPr>
        <w:lastRenderedPageBreak/>
        <w:t>Biorąc pod uwagę te założenia, Henkel spodziewa się osiągnąć w roku obrotowym 2026 </w:t>
      </w:r>
      <w:r w:rsidRPr="00060ACE">
        <w:rPr>
          <w:rFonts w:cs="Segoe UI"/>
          <w:b/>
          <w:bCs/>
          <w:szCs w:val="22"/>
          <w:lang w:val="pl-PL"/>
        </w:rPr>
        <w:t>wzrost sprzedaży w ujęciu organicznym</w:t>
      </w:r>
      <w:r w:rsidRPr="00060ACE">
        <w:rPr>
          <w:rFonts w:cs="Segoe UI"/>
          <w:szCs w:val="22"/>
          <w:lang w:val="pl-PL"/>
        </w:rPr>
        <w:t xml:space="preserve"> w przedziale od 1,0% do 3,0%. Dla sektora </w:t>
      </w:r>
      <w:proofErr w:type="spellStart"/>
      <w:r w:rsidRPr="00060ACE">
        <w:rPr>
          <w:rFonts w:cs="Segoe UI"/>
          <w:szCs w:val="22"/>
          <w:lang w:val="pl-PL"/>
        </w:rPr>
        <w:t>Adhesive</w:t>
      </w:r>
      <w:proofErr w:type="spellEnd"/>
      <w:r w:rsidRPr="00060ACE">
        <w:rPr>
          <w:rFonts w:cs="Segoe UI"/>
          <w:szCs w:val="22"/>
          <w:lang w:val="pl-PL"/>
        </w:rPr>
        <w:t xml:space="preserve"> Technologies oczekiwany jest wzrost organiczny między 1,0% a 3,0%, a dla Consumer </w:t>
      </w:r>
      <w:proofErr w:type="spellStart"/>
      <w:r w:rsidRPr="00060ACE">
        <w:rPr>
          <w:rFonts w:cs="Segoe UI"/>
          <w:szCs w:val="22"/>
          <w:lang w:val="pl-PL"/>
        </w:rPr>
        <w:t>Brands</w:t>
      </w:r>
      <w:proofErr w:type="spellEnd"/>
      <w:r w:rsidRPr="00060ACE">
        <w:rPr>
          <w:rFonts w:cs="Segoe UI"/>
          <w:szCs w:val="22"/>
          <w:lang w:val="pl-PL"/>
        </w:rPr>
        <w:t xml:space="preserve"> między 0,5% a 2,5%. </w:t>
      </w:r>
      <w:r w:rsidRPr="00060ACE">
        <w:rPr>
          <w:rFonts w:cs="Segoe UI"/>
          <w:b/>
          <w:bCs/>
          <w:szCs w:val="22"/>
          <w:lang w:val="pl-PL"/>
        </w:rPr>
        <w:t>Skorygowana rentowność sprzedaży (skorygowana marża EBIT)</w:t>
      </w:r>
      <w:r w:rsidRPr="00060ACE">
        <w:rPr>
          <w:rFonts w:cs="Segoe UI"/>
          <w:szCs w:val="22"/>
          <w:lang w:val="pl-PL"/>
        </w:rPr>
        <w:t xml:space="preserve"> ma osiągnąć poziom 14,5-16,0%. Dla sektora </w:t>
      </w:r>
      <w:proofErr w:type="spellStart"/>
      <w:r w:rsidRPr="00060ACE">
        <w:rPr>
          <w:rFonts w:cs="Segoe UI"/>
          <w:szCs w:val="22"/>
          <w:lang w:val="pl-PL"/>
        </w:rPr>
        <w:t>Adhesive</w:t>
      </w:r>
      <w:proofErr w:type="spellEnd"/>
      <w:r w:rsidRPr="00060ACE">
        <w:rPr>
          <w:rFonts w:cs="Segoe UI"/>
          <w:szCs w:val="22"/>
          <w:lang w:val="pl-PL"/>
        </w:rPr>
        <w:t xml:space="preserve"> Technologies oczekiwana skorygowana rentowność sprzedaży wynosi 16,5-18,0%, a dla Consumer </w:t>
      </w:r>
      <w:proofErr w:type="spellStart"/>
      <w:r w:rsidRPr="00060ACE">
        <w:rPr>
          <w:rFonts w:cs="Segoe UI"/>
          <w:szCs w:val="22"/>
          <w:lang w:val="pl-PL"/>
        </w:rPr>
        <w:t>Brands</w:t>
      </w:r>
      <w:proofErr w:type="spellEnd"/>
      <w:r w:rsidRPr="00060ACE">
        <w:rPr>
          <w:rFonts w:cs="Segoe UI"/>
          <w:szCs w:val="22"/>
          <w:lang w:val="pl-PL"/>
        </w:rPr>
        <w:t xml:space="preserve"> 14,0-15,5%. W przypadku </w:t>
      </w:r>
      <w:r w:rsidRPr="00060ACE">
        <w:rPr>
          <w:rFonts w:cs="Segoe UI"/>
          <w:b/>
          <w:bCs/>
          <w:szCs w:val="22"/>
          <w:lang w:val="pl-PL"/>
        </w:rPr>
        <w:t>skorygowanego zysku na akcję uprzywilejowaną (EPS)</w:t>
      </w:r>
      <w:r w:rsidRPr="00060ACE">
        <w:rPr>
          <w:rFonts w:cs="Segoe UI"/>
          <w:szCs w:val="22"/>
          <w:lang w:val="pl-PL"/>
        </w:rPr>
        <w:t> przy stałych kursach wymiany oczekiwany jest wzrost w przedziale od niskiego do wysokiego jednocyfrowego poziomu.</w:t>
      </w:r>
    </w:p>
    <w:p w14:paraId="24F51DA8" w14:textId="77777777" w:rsidR="00060ACE" w:rsidRPr="00060ACE" w:rsidRDefault="00060ACE" w:rsidP="00521B13">
      <w:pPr>
        <w:rPr>
          <w:rFonts w:cs="Segoe UI"/>
          <w:szCs w:val="22"/>
          <w:lang w:val="pl-PL"/>
        </w:rPr>
      </w:pPr>
    </w:p>
    <w:p w14:paraId="65CB0F11" w14:textId="77777777" w:rsidR="006C6259" w:rsidRDefault="00C145A7" w:rsidP="006C6259">
      <w:pPr>
        <w:rPr>
          <w:rFonts w:cs="Segoe UI"/>
          <w:b/>
          <w:bCs/>
          <w:szCs w:val="22"/>
          <w:lang w:val="pl-PL" w:eastAsia="de-DE"/>
        </w:rPr>
      </w:pPr>
      <w:r w:rsidRPr="00622C2F">
        <w:rPr>
          <w:rFonts w:cs="Segoe UI"/>
          <w:b/>
          <w:bCs/>
          <w:szCs w:val="22"/>
          <w:lang w:val="pl-PL" w:eastAsia="de-DE"/>
        </w:rPr>
        <w:t>Znaczący postęp w procesie transformacji</w:t>
      </w:r>
    </w:p>
    <w:p w14:paraId="43D0A7CF" w14:textId="4CA11D9D" w:rsidR="00C145A7" w:rsidRPr="006C6259" w:rsidRDefault="00C145A7" w:rsidP="006C6259">
      <w:pPr>
        <w:rPr>
          <w:rFonts w:cs="Segoe UI"/>
          <w:b/>
          <w:bCs/>
          <w:szCs w:val="22"/>
          <w:lang w:val="pl-PL" w:eastAsia="de-DE"/>
        </w:rPr>
      </w:pPr>
      <w:r w:rsidRPr="00C145A7">
        <w:rPr>
          <w:rFonts w:cs="Segoe UI"/>
          <w:szCs w:val="22"/>
          <w:lang w:val="pl-PL"/>
        </w:rPr>
        <w:t xml:space="preserve">W ostatnich latach </w:t>
      </w:r>
      <w:r w:rsidR="006C6259">
        <w:rPr>
          <w:rFonts w:cs="Segoe UI"/>
          <w:szCs w:val="22"/>
          <w:lang w:val="pl-PL"/>
        </w:rPr>
        <w:t xml:space="preserve">firma Henkel przeszłą gruntowną </w:t>
      </w:r>
      <w:proofErr w:type="spellStart"/>
      <w:r w:rsidR="006C6259">
        <w:rPr>
          <w:rFonts w:cs="Segoe UI"/>
          <w:szCs w:val="22"/>
          <w:lang w:val="pl-PL"/>
        </w:rPr>
        <w:t>trasnformację</w:t>
      </w:r>
      <w:proofErr w:type="spellEnd"/>
      <w:r w:rsidR="006C6259">
        <w:rPr>
          <w:rFonts w:cs="Segoe UI"/>
          <w:szCs w:val="22"/>
          <w:lang w:val="pl-PL"/>
        </w:rPr>
        <w:t xml:space="preserve"> </w:t>
      </w:r>
      <w:r w:rsidRPr="00C145A7">
        <w:rPr>
          <w:rFonts w:cs="Segoe UI"/>
          <w:szCs w:val="22"/>
          <w:lang w:val="pl-PL"/>
        </w:rPr>
        <w:t>w wielu obszarach i konsekwentnie realizował</w:t>
      </w:r>
      <w:r w:rsidR="006C6259">
        <w:rPr>
          <w:rFonts w:cs="Segoe UI"/>
          <w:szCs w:val="22"/>
          <w:lang w:val="pl-PL"/>
        </w:rPr>
        <w:t>a</w:t>
      </w:r>
      <w:r w:rsidRPr="00C145A7">
        <w:rPr>
          <w:rFonts w:cs="Segoe UI"/>
          <w:szCs w:val="22"/>
          <w:lang w:val="pl-PL"/>
        </w:rPr>
        <w:t xml:space="preserve"> swoją strategiczną agendę ukierunkowanego wzrostu. Kluczowym czynnikiem długoterminowego sukcesu jest gotowość do ciągłej ewolucji i aktywnego kształtowania zmian.</w:t>
      </w:r>
    </w:p>
    <w:p w14:paraId="45F7F611" w14:textId="6AC974FB" w:rsidR="00B05ECC" w:rsidRPr="00C145A7" w:rsidRDefault="00B05ECC" w:rsidP="00B05ECC">
      <w:pPr>
        <w:rPr>
          <w:rFonts w:cs="Segoe UI"/>
          <w:szCs w:val="22"/>
          <w:lang w:val="pl-PL"/>
        </w:rPr>
      </w:pPr>
    </w:p>
    <w:p w14:paraId="2392A845" w14:textId="1ECF6F7A" w:rsidR="00C145A7" w:rsidRPr="00622C2F" w:rsidRDefault="00C145A7" w:rsidP="006E1A70">
      <w:pPr>
        <w:spacing w:after="120"/>
        <w:jc w:val="left"/>
        <w:rPr>
          <w:rFonts w:cs="Segoe UI"/>
          <w:b/>
          <w:bCs/>
          <w:szCs w:val="22"/>
          <w:lang w:val="pl-PL" w:eastAsia="de-DE"/>
        </w:rPr>
      </w:pPr>
      <w:r w:rsidRPr="00622C2F">
        <w:rPr>
          <w:rFonts w:cs="Segoe UI"/>
          <w:b/>
          <w:bCs/>
          <w:szCs w:val="22"/>
          <w:lang w:val="pl-PL" w:eastAsia="de-DE"/>
        </w:rPr>
        <w:t xml:space="preserve">Consumer </w:t>
      </w:r>
      <w:proofErr w:type="spellStart"/>
      <w:r w:rsidRPr="00622C2F">
        <w:rPr>
          <w:rFonts w:cs="Segoe UI"/>
          <w:b/>
          <w:bCs/>
          <w:szCs w:val="22"/>
          <w:lang w:val="pl-PL" w:eastAsia="de-DE"/>
        </w:rPr>
        <w:t>Brands</w:t>
      </w:r>
      <w:proofErr w:type="spellEnd"/>
      <w:r w:rsidRPr="00622C2F">
        <w:rPr>
          <w:rFonts w:cs="Segoe UI"/>
          <w:b/>
          <w:bCs/>
          <w:szCs w:val="22"/>
          <w:lang w:val="pl-PL" w:eastAsia="de-DE"/>
        </w:rPr>
        <w:t>: Połączenie zakończone sukcesem</w:t>
      </w:r>
    </w:p>
    <w:p w14:paraId="06D31356" w14:textId="77777777" w:rsidR="009E53C7" w:rsidRDefault="0059557F" w:rsidP="0024732C">
      <w:pPr>
        <w:rPr>
          <w:rFonts w:cs="Segoe UI"/>
          <w:szCs w:val="22"/>
          <w:lang w:val="pl-PL"/>
        </w:rPr>
      </w:pPr>
      <w:bookmarkStart w:id="4" w:name="_Hlk190100871"/>
      <w:r w:rsidRPr="0059557F">
        <w:rPr>
          <w:rFonts w:cs="Segoe UI"/>
          <w:szCs w:val="22"/>
          <w:lang w:val="pl-PL"/>
        </w:rPr>
        <w:t xml:space="preserve">Połączenie biznesów dóbr konsumpcyjnych w jednostkę biznesową </w:t>
      </w:r>
      <w:r w:rsidRPr="00622C2F">
        <w:rPr>
          <w:rFonts w:cs="Segoe UI"/>
          <w:b/>
          <w:bCs/>
          <w:szCs w:val="22"/>
          <w:lang w:val="pl-PL"/>
        </w:rPr>
        <w:t xml:space="preserve">Consumer </w:t>
      </w:r>
      <w:proofErr w:type="spellStart"/>
      <w:r w:rsidRPr="00622C2F">
        <w:rPr>
          <w:rFonts w:cs="Segoe UI"/>
          <w:b/>
          <w:bCs/>
          <w:szCs w:val="22"/>
          <w:lang w:val="pl-PL"/>
        </w:rPr>
        <w:t>Brands</w:t>
      </w:r>
      <w:proofErr w:type="spellEnd"/>
      <w:r w:rsidRPr="0059557F">
        <w:rPr>
          <w:rFonts w:cs="Segoe UI"/>
          <w:szCs w:val="22"/>
          <w:lang w:val="pl-PL"/>
        </w:rPr>
        <w:t xml:space="preserve">, ogłoszone na początku 2022 roku, zostało zakończone pod koniec roku obrotowego 2025. </w:t>
      </w:r>
      <w:r w:rsidR="009E53C7">
        <w:rPr>
          <w:rFonts w:cs="Segoe UI"/>
          <w:szCs w:val="22"/>
          <w:lang w:val="pl-PL"/>
        </w:rPr>
        <w:t>Łącznie</w:t>
      </w:r>
      <w:r w:rsidRPr="0059557F">
        <w:rPr>
          <w:rFonts w:cs="Segoe UI"/>
          <w:szCs w:val="22"/>
          <w:lang w:val="pl-PL"/>
        </w:rPr>
        <w:t xml:space="preserve">, pierwotnie zakładane roczne oszczędności w wysokości 525 mln euro zostały przekroczone do końca roku obrotowego 2025. </w:t>
      </w:r>
      <w:r w:rsidR="009E53C7" w:rsidRPr="009E53C7">
        <w:rPr>
          <w:rFonts w:cs="Segoe UI"/>
          <w:szCs w:val="22"/>
          <w:lang w:val="pl-PL"/>
        </w:rPr>
        <w:t xml:space="preserve">Tym samym integracja </w:t>
      </w:r>
      <w:r w:rsidR="009E53C7" w:rsidRPr="0059557F">
        <w:rPr>
          <w:rFonts w:cs="Segoe UI"/>
          <w:szCs w:val="22"/>
          <w:lang w:val="pl-PL"/>
        </w:rPr>
        <w:t xml:space="preserve">jednostki biznesowej Consumer </w:t>
      </w:r>
      <w:proofErr w:type="spellStart"/>
      <w:r w:rsidR="009E53C7" w:rsidRPr="0059557F">
        <w:rPr>
          <w:rFonts w:cs="Segoe UI"/>
          <w:szCs w:val="22"/>
          <w:lang w:val="pl-PL"/>
        </w:rPr>
        <w:t>Brands</w:t>
      </w:r>
      <w:proofErr w:type="spellEnd"/>
      <w:r w:rsidR="009E53C7" w:rsidRPr="0059557F">
        <w:rPr>
          <w:rFonts w:cs="Segoe UI"/>
          <w:szCs w:val="22"/>
          <w:lang w:val="pl-PL"/>
        </w:rPr>
        <w:t xml:space="preserve"> – </w:t>
      </w:r>
      <w:r w:rsidR="009E53C7" w:rsidRPr="009E53C7">
        <w:rPr>
          <w:rFonts w:cs="Segoe UI"/>
          <w:szCs w:val="22"/>
          <w:lang w:val="pl-PL"/>
        </w:rPr>
        <w:t>została pomyślnie zakończona – rok wcześniej niż pierwotnie planowano.</w:t>
      </w:r>
    </w:p>
    <w:p w14:paraId="1D92AC5B" w14:textId="77777777" w:rsidR="009E53C7" w:rsidRDefault="009E53C7" w:rsidP="0024732C">
      <w:pPr>
        <w:rPr>
          <w:rFonts w:cs="Segoe UI"/>
          <w:szCs w:val="22"/>
          <w:lang w:val="pl-PL"/>
        </w:rPr>
      </w:pPr>
    </w:p>
    <w:p w14:paraId="491D8837" w14:textId="6A997E64" w:rsidR="0059557F" w:rsidRPr="0059557F" w:rsidRDefault="0059557F" w:rsidP="0024732C">
      <w:pPr>
        <w:rPr>
          <w:rFonts w:cs="Segoe UI"/>
          <w:szCs w:val="22"/>
          <w:lang w:val="pl-PL"/>
        </w:rPr>
      </w:pPr>
      <w:r w:rsidRPr="0059557F">
        <w:rPr>
          <w:rFonts w:cs="Segoe UI"/>
          <w:szCs w:val="22"/>
          <w:lang w:val="pl-PL"/>
        </w:rPr>
        <w:t xml:space="preserve">Jednocześnie jednostka biznesowa Consumer </w:t>
      </w:r>
      <w:proofErr w:type="spellStart"/>
      <w:r w:rsidRPr="0059557F">
        <w:rPr>
          <w:rFonts w:cs="Segoe UI"/>
          <w:szCs w:val="22"/>
          <w:lang w:val="pl-PL"/>
        </w:rPr>
        <w:t>Brands</w:t>
      </w:r>
      <w:proofErr w:type="spellEnd"/>
      <w:r w:rsidRPr="0059557F">
        <w:rPr>
          <w:rFonts w:cs="Segoe UI"/>
          <w:szCs w:val="22"/>
          <w:lang w:val="pl-PL"/>
        </w:rPr>
        <w:t xml:space="preserve"> konsekwentnie koncentrowała się na silnych markach i działalności o wysokich marżach brutto oraz wiodących pozycjach na rynkach i w kategoriach. Ta koncentracja na markach o wysokim wzroście i wysokiej marży przynosi efekty: dziesięć najważniejszych marek w ramach Consumer </w:t>
      </w:r>
      <w:proofErr w:type="spellStart"/>
      <w:r w:rsidRPr="0059557F">
        <w:rPr>
          <w:rFonts w:cs="Segoe UI"/>
          <w:szCs w:val="22"/>
          <w:lang w:val="pl-PL"/>
        </w:rPr>
        <w:t>Brands</w:t>
      </w:r>
      <w:proofErr w:type="spellEnd"/>
      <w:r w:rsidRPr="0059557F">
        <w:rPr>
          <w:rFonts w:cs="Segoe UI"/>
          <w:szCs w:val="22"/>
          <w:lang w:val="pl-PL"/>
        </w:rPr>
        <w:t>, które stanowiły prawie 60% przychodów w 2025 roku, odnotowało bardzo silny wzrost organiczny, wraz z pozytywnym wzrostem wolumenu.</w:t>
      </w:r>
    </w:p>
    <w:bookmarkEnd w:id="4"/>
    <w:p w14:paraId="504A94F3" w14:textId="77777777" w:rsidR="00B73F8B" w:rsidRPr="009B4E73" w:rsidRDefault="00B73F8B" w:rsidP="00FE683A">
      <w:pPr>
        <w:rPr>
          <w:rFonts w:cs="Segoe UI"/>
          <w:szCs w:val="22"/>
          <w:lang w:val="pl-PL"/>
        </w:rPr>
      </w:pPr>
    </w:p>
    <w:p w14:paraId="5534124A" w14:textId="083DE0A5" w:rsidR="00B73F8B" w:rsidRPr="00B73F8B" w:rsidRDefault="00B73F8B" w:rsidP="00FE683A">
      <w:pPr>
        <w:rPr>
          <w:rFonts w:cs="Segoe UI"/>
          <w:szCs w:val="22"/>
          <w:lang w:val="pl-PL"/>
        </w:rPr>
      </w:pPr>
      <w:r w:rsidRPr="00B73F8B">
        <w:rPr>
          <w:rFonts w:cs="Segoe UI"/>
          <w:szCs w:val="22"/>
          <w:lang w:val="pl-PL"/>
        </w:rPr>
        <w:t>Znaczenie konsolidacji biznesów konsumenckich staje się szczególnie widoczne, gdy spojrzymy na wyniki z ostatnich trzech lat – czyli od momentu utworzenia nowej jednostki biznesowej. W roku obrotowym 2022 połączona skorygowana rentowność sprzedaży powiązanych biznesów wyniosła 8,3%. Do końca roku obrotowego 2025 wzrosła do 14,5%. Oznacza to poprawę o 6,2 punktu procentowego w ciągu trzech lat – okresu, w którym znacznie wzrosły również inwestycje w marki i zdolności innowacyjne w tej jednostce biznesowej.</w:t>
      </w:r>
    </w:p>
    <w:p w14:paraId="5321A51A" w14:textId="4AA495EE" w:rsidR="00875A71" w:rsidRPr="00B73F8B" w:rsidRDefault="00875A71">
      <w:pPr>
        <w:spacing w:line="240" w:lineRule="auto"/>
        <w:jc w:val="left"/>
        <w:rPr>
          <w:rFonts w:cs="Segoe UI"/>
          <w:b/>
          <w:bCs/>
          <w:szCs w:val="22"/>
          <w:lang w:val="pl-PL" w:eastAsia="de-DE"/>
        </w:rPr>
      </w:pPr>
    </w:p>
    <w:p w14:paraId="31BB4205" w14:textId="77777777" w:rsidR="009E53C7" w:rsidRDefault="009E53C7" w:rsidP="00622C2F">
      <w:pPr>
        <w:spacing w:after="120"/>
        <w:rPr>
          <w:rFonts w:cs="Segoe UI"/>
          <w:b/>
          <w:bCs/>
          <w:szCs w:val="22"/>
          <w:lang w:val="pl-PL" w:eastAsia="de-DE"/>
        </w:rPr>
      </w:pPr>
    </w:p>
    <w:p w14:paraId="0DE62B61" w14:textId="1EEAD35C" w:rsidR="00622C2F" w:rsidRDefault="0094316E" w:rsidP="00622C2F">
      <w:pPr>
        <w:spacing w:after="120"/>
        <w:rPr>
          <w:rFonts w:cs="Segoe UI"/>
          <w:b/>
          <w:bCs/>
          <w:szCs w:val="22"/>
          <w:lang w:val="pl-PL" w:eastAsia="de-DE"/>
        </w:rPr>
      </w:pPr>
      <w:r w:rsidRPr="00622C2F">
        <w:rPr>
          <w:rFonts w:cs="Segoe UI"/>
          <w:b/>
          <w:bCs/>
          <w:szCs w:val="22"/>
          <w:lang w:val="pl-PL" w:eastAsia="de-DE"/>
        </w:rPr>
        <w:lastRenderedPageBreak/>
        <w:t>Konsekwentna realizacja agendy strategicznej</w:t>
      </w:r>
    </w:p>
    <w:p w14:paraId="16990FB3" w14:textId="7D2CD7BB" w:rsidR="0094316E" w:rsidRPr="009B4E73" w:rsidRDefault="0094316E" w:rsidP="00622C2F">
      <w:pPr>
        <w:spacing w:after="120"/>
        <w:rPr>
          <w:rFonts w:cs="Segoe UI"/>
          <w:b/>
          <w:bCs/>
          <w:szCs w:val="22"/>
          <w:lang w:val="pl-PL" w:eastAsia="de-DE"/>
        </w:rPr>
      </w:pPr>
      <w:r w:rsidRPr="0094316E">
        <w:rPr>
          <w:rFonts w:cs="Segoe UI"/>
          <w:bCs/>
          <w:szCs w:val="22"/>
          <w:lang w:val="pl-PL"/>
        </w:rPr>
        <w:t xml:space="preserve">W trudnym otoczeniu makroekonomicznym i geopolitycznym Henkel konsekwentnie realizował swoją agendę strategiczną w minionym roku obrotowym i </w:t>
      </w:r>
      <w:r w:rsidR="009E53C7">
        <w:rPr>
          <w:rFonts w:cs="Segoe UI"/>
          <w:bCs/>
          <w:szCs w:val="22"/>
          <w:lang w:val="pl-PL"/>
        </w:rPr>
        <w:t>osiągnął istotny</w:t>
      </w:r>
      <w:r w:rsidRPr="0094316E">
        <w:rPr>
          <w:rFonts w:cs="Segoe UI"/>
          <w:bCs/>
          <w:szCs w:val="22"/>
          <w:lang w:val="pl-PL"/>
        </w:rPr>
        <w:t xml:space="preserve"> postęp we wszystkich obszarach. Firma dalej rozwijała swoje portfolio biznesowe i marek, wzmacniała przewagę konkurencyjną w obszarach innowacji, zrównoważonego rozwoju i cyfryzacji, optymalizowała procesy biznesowe i wzmacniała kulturę korporacyjną.</w:t>
      </w:r>
    </w:p>
    <w:p w14:paraId="67B84A04" w14:textId="329E4603" w:rsidR="009E53C7" w:rsidRPr="009E53C7" w:rsidRDefault="0044080D" w:rsidP="00DD5FF5">
      <w:pPr>
        <w:autoSpaceDE w:val="0"/>
        <w:autoSpaceDN w:val="0"/>
        <w:adjustRightInd w:val="0"/>
        <w:rPr>
          <w:rFonts w:cs="Segoe UI"/>
          <w:bCs/>
          <w:szCs w:val="22"/>
          <w:lang w:val="pl-PL"/>
        </w:rPr>
      </w:pPr>
      <w:r w:rsidRPr="0044080D">
        <w:rPr>
          <w:rFonts w:cs="Segoe UI"/>
          <w:bCs/>
          <w:szCs w:val="22"/>
          <w:lang w:val="pl-PL"/>
        </w:rPr>
        <w:t xml:space="preserve">W ramach </w:t>
      </w:r>
      <w:r w:rsidRPr="00622C2F">
        <w:rPr>
          <w:rFonts w:cs="Segoe UI"/>
          <w:b/>
          <w:szCs w:val="22"/>
          <w:lang w:val="pl-PL"/>
        </w:rPr>
        <w:t>aktywnego zarządzania portfolio</w:t>
      </w:r>
      <w:r w:rsidRPr="0044080D">
        <w:rPr>
          <w:rFonts w:cs="Segoe UI"/>
          <w:bCs/>
          <w:szCs w:val="22"/>
          <w:lang w:val="pl-PL"/>
        </w:rPr>
        <w:t>, Henkel kontynuował rozwój swojego portfolio poprzez</w:t>
      </w:r>
      <w:r w:rsidR="009E53C7">
        <w:rPr>
          <w:rFonts w:cs="Segoe UI"/>
          <w:bCs/>
          <w:szCs w:val="22"/>
          <w:lang w:val="pl-PL"/>
        </w:rPr>
        <w:t xml:space="preserve"> </w:t>
      </w:r>
      <w:r w:rsidR="009E53C7" w:rsidRPr="009E53C7">
        <w:rPr>
          <w:rFonts w:cs="Segoe UI"/>
          <w:bCs/>
          <w:szCs w:val="22"/>
          <w:lang w:val="pl-PL"/>
        </w:rPr>
        <w:t>decyzje o zakończeniu działalności lub zbyciu aktywów, a także realizując przejęcia.</w:t>
      </w:r>
    </w:p>
    <w:p w14:paraId="28A15BFD" w14:textId="77777777" w:rsidR="009E53C7" w:rsidRDefault="009E53C7" w:rsidP="00DD5FF5">
      <w:pPr>
        <w:autoSpaceDE w:val="0"/>
        <w:autoSpaceDN w:val="0"/>
        <w:adjustRightInd w:val="0"/>
        <w:rPr>
          <w:rFonts w:cs="Segoe UI"/>
          <w:bCs/>
          <w:szCs w:val="22"/>
          <w:lang w:val="pl-PL"/>
        </w:rPr>
      </w:pPr>
      <w:r w:rsidRPr="009E53C7">
        <w:rPr>
          <w:rFonts w:cs="Segoe UI"/>
          <w:bCs/>
          <w:szCs w:val="22"/>
          <w:lang w:val="pl-PL"/>
        </w:rPr>
        <w:t xml:space="preserve">Dzięki sprzedaży działalności </w:t>
      </w:r>
      <w:proofErr w:type="spellStart"/>
      <w:r w:rsidRPr="009E53C7">
        <w:rPr>
          <w:rFonts w:cs="Segoe UI"/>
          <w:bCs/>
          <w:szCs w:val="22"/>
          <w:lang w:val="pl-PL"/>
        </w:rPr>
        <w:t>Retailer</w:t>
      </w:r>
      <w:proofErr w:type="spellEnd"/>
      <w:r w:rsidRPr="009E53C7">
        <w:rPr>
          <w:rFonts w:cs="Segoe UI"/>
          <w:bCs/>
          <w:szCs w:val="22"/>
          <w:lang w:val="pl-PL"/>
        </w:rPr>
        <w:t xml:space="preserve"> </w:t>
      </w:r>
      <w:proofErr w:type="spellStart"/>
      <w:r w:rsidRPr="009E53C7">
        <w:rPr>
          <w:rFonts w:cs="Segoe UI"/>
          <w:bCs/>
          <w:szCs w:val="22"/>
          <w:lang w:val="pl-PL"/>
        </w:rPr>
        <w:t>Brands</w:t>
      </w:r>
      <w:proofErr w:type="spellEnd"/>
      <w:r w:rsidRPr="009E53C7">
        <w:rPr>
          <w:rFonts w:cs="Segoe UI"/>
          <w:bCs/>
          <w:szCs w:val="22"/>
          <w:lang w:val="pl-PL"/>
        </w:rPr>
        <w:t xml:space="preserve"> w Ameryce Północnej, która została pomyślnie zakończona wiosną 2025 roku</w:t>
      </w:r>
      <w:r w:rsidR="0044080D" w:rsidRPr="0044080D">
        <w:rPr>
          <w:rFonts w:cs="Segoe UI"/>
          <w:bCs/>
          <w:szCs w:val="22"/>
          <w:lang w:val="pl-PL"/>
        </w:rPr>
        <w:t>, Henkel sfinalizował działania portfelowe ogłoszone na początku połączenia swoich wcześniej oddzielnych biznesów konsumenckich. Od początku 2022 roku Henkel sprzedał lub zaprzestał działalności marek i aktywów o łącznej sprzedaży nieco ponad 1 mld euro.</w:t>
      </w:r>
    </w:p>
    <w:p w14:paraId="5A3CEDAF" w14:textId="48F98CF5" w:rsidR="009E53C7" w:rsidRDefault="009E53C7" w:rsidP="00DD5FF5">
      <w:pPr>
        <w:autoSpaceDE w:val="0"/>
        <w:autoSpaceDN w:val="0"/>
        <w:adjustRightInd w:val="0"/>
        <w:rPr>
          <w:rFonts w:cs="Segoe UI"/>
          <w:bCs/>
          <w:szCs w:val="22"/>
          <w:lang w:val="pl-PL"/>
        </w:rPr>
      </w:pPr>
      <w:r>
        <w:rPr>
          <w:rFonts w:cs="Segoe UI"/>
          <w:bCs/>
          <w:szCs w:val="22"/>
          <w:lang w:val="pl-PL"/>
        </w:rPr>
        <w:br/>
      </w:r>
      <w:r w:rsidR="003B7A73" w:rsidRPr="003B7A73">
        <w:rPr>
          <w:rFonts w:cs="Segoe UI"/>
          <w:bCs/>
          <w:szCs w:val="22"/>
          <w:lang w:val="pl-PL"/>
        </w:rPr>
        <w:t xml:space="preserve">Rozszerzanie portfolio poprzez </w:t>
      </w:r>
      <w:r w:rsidR="003B7A73" w:rsidRPr="00622C2F">
        <w:rPr>
          <w:rFonts w:cs="Segoe UI"/>
          <w:b/>
          <w:szCs w:val="22"/>
          <w:lang w:val="pl-PL"/>
        </w:rPr>
        <w:t>ukierunkowane przejęcia</w:t>
      </w:r>
      <w:r w:rsidR="003B7A73" w:rsidRPr="003B7A73">
        <w:rPr>
          <w:rFonts w:cs="Segoe UI"/>
          <w:bCs/>
          <w:szCs w:val="22"/>
          <w:lang w:val="pl-PL"/>
        </w:rPr>
        <w:t xml:space="preserve"> jest również integralną częścią agendy wzrostu Henkla. W 2025 roku Henkel podpisał umowę przejęcia ATP </w:t>
      </w:r>
      <w:proofErr w:type="spellStart"/>
      <w:r w:rsidR="003B7A73" w:rsidRPr="003B7A73">
        <w:rPr>
          <w:rFonts w:cs="Segoe UI"/>
          <w:bCs/>
          <w:szCs w:val="22"/>
          <w:lang w:val="pl-PL"/>
        </w:rPr>
        <w:t>Adhesive</w:t>
      </w:r>
      <w:proofErr w:type="spellEnd"/>
      <w:r w:rsidR="003B7A73" w:rsidRPr="003B7A73">
        <w:rPr>
          <w:rFonts w:cs="Segoe UI"/>
          <w:bCs/>
          <w:szCs w:val="22"/>
          <w:lang w:val="pl-PL"/>
        </w:rPr>
        <w:t xml:space="preserve"> Systems AG. Szwajcarska firma jest wiodącym dostawcą wysokowydajnych, wodnych taśm specjalistycznych dla szerokiej gamy rynków końcowych, w tym motoryzacyjnego, elektronicznego, medycznego, budowlanego i graficznego. ATP ma silną pozycję w Ameryce Północnej i Europie, a w roku obrotowym 2025 wygenerowała sprzedaż w wysokości około 270 mln euro.</w:t>
      </w:r>
    </w:p>
    <w:p w14:paraId="42FE1B41" w14:textId="02FBE613" w:rsidR="00CE4A22" w:rsidRPr="00CE4A22" w:rsidRDefault="009E53C7" w:rsidP="00DD5FF5">
      <w:pPr>
        <w:autoSpaceDE w:val="0"/>
        <w:autoSpaceDN w:val="0"/>
        <w:adjustRightInd w:val="0"/>
        <w:rPr>
          <w:rFonts w:cs="Segoe UI"/>
          <w:bCs/>
          <w:szCs w:val="22"/>
          <w:lang w:val="pl-PL"/>
        </w:rPr>
      </w:pPr>
      <w:r>
        <w:rPr>
          <w:rFonts w:cs="Segoe UI"/>
          <w:bCs/>
          <w:szCs w:val="22"/>
          <w:lang w:val="pl-PL"/>
        </w:rPr>
        <w:br/>
      </w:r>
      <w:r w:rsidR="00CE4A22" w:rsidRPr="00CE4A22">
        <w:rPr>
          <w:rFonts w:cs="Segoe UI"/>
          <w:bCs/>
          <w:szCs w:val="22"/>
          <w:lang w:val="pl-PL"/>
        </w:rPr>
        <w:t xml:space="preserve">W lutym 2026 roku Henkel zgodził się na przejęcie holenderskiej grupy </w:t>
      </w:r>
      <w:proofErr w:type="spellStart"/>
      <w:r w:rsidR="00CE4A22" w:rsidRPr="00CE4A22">
        <w:rPr>
          <w:rFonts w:cs="Segoe UI"/>
          <w:bCs/>
          <w:szCs w:val="22"/>
          <w:lang w:val="pl-PL"/>
        </w:rPr>
        <w:t>Stahl</w:t>
      </w:r>
      <w:proofErr w:type="spellEnd"/>
      <w:r w:rsidR="00CE4A22" w:rsidRPr="00CE4A22">
        <w:rPr>
          <w:rFonts w:cs="Segoe UI"/>
          <w:bCs/>
          <w:szCs w:val="22"/>
          <w:lang w:val="pl-PL"/>
        </w:rPr>
        <w:t xml:space="preserve">. Firma jest globalnym graczem w dziedzinie wysokowydajnych powłok specjalistycznych do materiałów elastycznych, obsługującym wiodące firmy na całym świecie na rynkach motoryzacyjnym, modowym i </w:t>
      </w:r>
      <w:proofErr w:type="spellStart"/>
      <w:r w:rsidR="00CE4A22" w:rsidRPr="00CE4A22">
        <w:rPr>
          <w:rFonts w:cs="Segoe UI"/>
          <w:bCs/>
          <w:szCs w:val="22"/>
          <w:lang w:val="pl-PL"/>
        </w:rPr>
        <w:t>lifestylowym</w:t>
      </w:r>
      <w:proofErr w:type="spellEnd"/>
      <w:r w:rsidR="00CE4A22" w:rsidRPr="00CE4A22">
        <w:rPr>
          <w:rFonts w:cs="Segoe UI"/>
          <w:bCs/>
          <w:szCs w:val="22"/>
          <w:lang w:val="pl-PL"/>
        </w:rPr>
        <w:t xml:space="preserve"> oraz opakowaniowym. W roku obrotowym 2025 </w:t>
      </w:r>
      <w:proofErr w:type="spellStart"/>
      <w:r w:rsidR="00CE4A22" w:rsidRPr="00CE4A22">
        <w:rPr>
          <w:rFonts w:cs="Segoe UI"/>
          <w:bCs/>
          <w:szCs w:val="22"/>
          <w:lang w:val="pl-PL"/>
        </w:rPr>
        <w:t>Stahl</w:t>
      </w:r>
      <w:proofErr w:type="spellEnd"/>
      <w:r w:rsidR="00CE4A22" w:rsidRPr="00CE4A22">
        <w:rPr>
          <w:rFonts w:cs="Segoe UI"/>
          <w:bCs/>
          <w:szCs w:val="22"/>
          <w:lang w:val="pl-PL"/>
        </w:rPr>
        <w:t xml:space="preserve"> wygenerował sprzedaż w wysokości około 725 mln euro ze zrównoważonym regionalnym zasięgiem.</w:t>
      </w:r>
    </w:p>
    <w:p w14:paraId="050AB70D" w14:textId="77777777" w:rsidR="00CE4A22" w:rsidRPr="009B4E73" w:rsidRDefault="00CE4A22" w:rsidP="00EA5996">
      <w:pPr>
        <w:autoSpaceDE w:val="0"/>
        <w:autoSpaceDN w:val="0"/>
        <w:adjustRightInd w:val="0"/>
        <w:rPr>
          <w:rFonts w:cs="Segoe UI"/>
          <w:bCs/>
          <w:szCs w:val="22"/>
          <w:lang w:val="pl-PL"/>
        </w:rPr>
      </w:pPr>
    </w:p>
    <w:p w14:paraId="03A6722B" w14:textId="74C8492C" w:rsidR="00CE4A22" w:rsidRPr="006669D2" w:rsidRDefault="006669D2" w:rsidP="00EA5996">
      <w:pPr>
        <w:autoSpaceDE w:val="0"/>
        <w:autoSpaceDN w:val="0"/>
        <w:adjustRightInd w:val="0"/>
        <w:rPr>
          <w:rFonts w:cs="Segoe UI"/>
          <w:bCs/>
          <w:szCs w:val="22"/>
          <w:lang w:val="pl-PL"/>
        </w:rPr>
      </w:pPr>
      <w:r w:rsidRPr="006669D2">
        <w:rPr>
          <w:rFonts w:cs="Segoe UI"/>
          <w:bCs/>
          <w:szCs w:val="22"/>
          <w:lang w:val="pl-PL"/>
        </w:rPr>
        <w:t xml:space="preserve">Ponadto na początku marca Henkel podpisał umowę przejęcia „Not </w:t>
      </w:r>
      <w:proofErr w:type="spellStart"/>
      <w:r w:rsidRPr="006669D2">
        <w:rPr>
          <w:rFonts w:cs="Segoe UI"/>
          <w:bCs/>
          <w:szCs w:val="22"/>
          <w:lang w:val="pl-PL"/>
        </w:rPr>
        <w:t>Your</w:t>
      </w:r>
      <w:proofErr w:type="spellEnd"/>
      <w:r w:rsidRPr="006669D2">
        <w:rPr>
          <w:rFonts w:cs="Segoe UI"/>
          <w:bCs/>
          <w:szCs w:val="22"/>
          <w:lang w:val="pl-PL"/>
        </w:rPr>
        <w:t xml:space="preserve"> </w:t>
      </w:r>
      <w:proofErr w:type="spellStart"/>
      <w:r w:rsidRPr="006669D2">
        <w:rPr>
          <w:rFonts w:cs="Segoe UI"/>
          <w:bCs/>
          <w:szCs w:val="22"/>
          <w:lang w:val="pl-PL"/>
        </w:rPr>
        <w:t>Mother’s</w:t>
      </w:r>
      <w:proofErr w:type="spellEnd"/>
      <w:r w:rsidRPr="006669D2">
        <w:rPr>
          <w:rFonts w:cs="Segoe UI"/>
          <w:bCs/>
          <w:szCs w:val="22"/>
          <w:lang w:val="pl-PL"/>
        </w:rPr>
        <w:t xml:space="preserve">”, jednej z wiodących marek kosmetyków do pielęgnacji i stylizacji włosów w Ameryce Północnej. To wzmacnia pozycję Henkla w biznesie pielęgnacji włosów, jednej z kluczowych kategorii w jednostce biznesowej Consumer </w:t>
      </w:r>
      <w:proofErr w:type="spellStart"/>
      <w:r w:rsidRPr="006669D2">
        <w:rPr>
          <w:rFonts w:cs="Segoe UI"/>
          <w:bCs/>
          <w:szCs w:val="22"/>
          <w:lang w:val="pl-PL"/>
        </w:rPr>
        <w:t>Brands</w:t>
      </w:r>
      <w:proofErr w:type="spellEnd"/>
      <w:r w:rsidRPr="006669D2">
        <w:rPr>
          <w:rFonts w:cs="Segoe UI"/>
          <w:bCs/>
          <w:szCs w:val="22"/>
          <w:lang w:val="pl-PL"/>
        </w:rPr>
        <w:t xml:space="preserve">. „Not </w:t>
      </w:r>
      <w:proofErr w:type="spellStart"/>
      <w:r w:rsidRPr="006669D2">
        <w:rPr>
          <w:rFonts w:cs="Segoe UI"/>
          <w:bCs/>
          <w:szCs w:val="22"/>
          <w:lang w:val="pl-PL"/>
        </w:rPr>
        <w:t>Your</w:t>
      </w:r>
      <w:proofErr w:type="spellEnd"/>
      <w:r w:rsidRPr="006669D2">
        <w:rPr>
          <w:rFonts w:cs="Segoe UI"/>
          <w:bCs/>
          <w:szCs w:val="22"/>
          <w:lang w:val="pl-PL"/>
        </w:rPr>
        <w:t xml:space="preserve"> </w:t>
      </w:r>
      <w:proofErr w:type="spellStart"/>
      <w:r w:rsidRPr="006669D2">
        <w:rPr>
          <w:rFonts w:cs="Segoe UI"/>
          <w:bCs/>
          <w:szCs w:val="22"/>
          <w:lang w:val="pl-PL"/>
        </w:rPr>
        <w:t>Mother’s</w:t>
      </w:r>
      <w:proofErr w:type="spellEnd"/>
      <w:r w:rsidRPr="006669D2">
        <w:rPr>
          <w:rFonts w:cs="Segoe UI"/>
          <w:bCs/>
          <w:szCs w:val="22"/>
          <w:lang w:val="pl-PL"/>
        </w:rPr>
        <w:t>” to odnosząca sukcesy, szybko rosnąca marka z szeroką gamą szamponów, odżywek, kuracji i produktów do stylizacji. W roku obrotowym 2025 marka wygenerowała sprzedaż w wysokości około 190 mln euro z dwucyfrowym wzrostem i wysoką rentownością.</w:t>
      </w:r>
    </w:p>
    <w:p w14:paraId="27EDE2AB" w14:textId="77777777" w:rsidR="00312CAE" w:rsidRPr="009B4E73" w:rsidRDefault="00312CAE" w:rsidP="00841179">
      <w:pPr>
        <w:pStyle w:val="Topline"/>
        <w:spacing w:before="0" w:after="0"/>
        <w:rPr>
          <w:lang w:val="pl-PL"/>
        </w:rPr>
      </w:pPr>
    </w:p>
    <w:p w14:paraId="44048A16" w14:textId="6E3508C9" w:rsidR="00312CAE" w:rsidRPr="00312CAE" w:rsidRDefault="00312CAE" w:rsidP="00841179">
      <w:pPr>
        <w:pStyle w:val="Topline"/>
        <w:spacing w:before="0" w:after="0"/>
        <w:rPr>
          <w:lang w:val="pl-PL"/>
        </w:rPr>
      </w:pPr>
      <w:r w:rsidRPr="00312CAE">
        <w:rPr>
          <w:lang w:val="pl-PL"/>
        </w:rPr>
        <w:t xml:space="preserve">Ostatnie transakcje, które wciąż podlegają zwyczajowym warunkom zamknięcia i zatwierdzeniom antymonopolowym, reprezentują </w:t>
      </w:r>
      <w:r w:rsidRPr="003A3523">
        <w:rPr>
          <w:b/>
          <w:bCs/>
          <w:lang w:val="pl-PL"/>
        </w:rPr>
        <w:t xml:space="preserve">łączny dodatkowy wolumen sprzedaży </w:t>
      </w:r>
      <w:r w:rsidRPr="003A3523">
        <w:rPr>
          <w:b/>
          <w:bCs/>
          <w:lang w:val="pl-PL"/>
        </w:rPr>
        <w:lastRenderedPageBreak/>
        <w:t>około 1,2 mld euro</w:t>
      </w:r>
      <w:r w:rsidRPr="00312CAE">
        <w:rPr>
          <w:lang w:val="pl-PL"/>
        </w:rPr>
        <w:t xml:space="preserve"> i </w:t>
      </w:r>
      <w:r w:rsidRPr="003A3523">
        <w:rPr>
          <w:b/>
          <w:bCs/>
          <w:lang w:val="pl-PL"/>
        </w:rPr>
        <w:t>zwiększają potencjał wzrostu</w:t>
      </w:r>
      <w:r w:rsidRPr="00312CAE">
        <w:rPr>
          <w:lang w:val="pl-PL"/>
        </w:rPr>
        <w:t xml:space="preserve"> wiodącego na świecie biznesu </w:t>
      </w:r>
      <w:proofErr w:type="spellStart"/>
      <w:r w:rsidRPr="00312CAE">
        <w:rPr>
          <w:lang w:val="pl-PL"/>
        </w:rPr>
        <w:t>Adhesive</w:t>
      </w:r>
      <w:proofErr w:type="spellEnd"/>
      <w:r w:rsidRPr="00312CAE">
        <w:rPr>
          <w:lang w:val="pl-PL"/>
        </w:rPr>
        <w:t xml:space="preserve"> Technologies oraz jednostki biznesowej Consumer </w:t>
      </w:r>
      <w:proofErr w:type="spellStart"/>
      <w:r w:rsidRPr="00312CAE">
        <w:rPr>
          <w:lang w:val="pl-PL"/>
        </w:rPr>
        <w:t>Brands</w:t>
      </w:r>
      <w:proofErr w:type="spellEnd"/>
      <w:r w:rsidRPr="00312CAE">
        <w:rPr>
          <w:lang w:val="pl-PL"/>
        </w:rPr>
        <w:t>.</w:t>
      </w:r>
    </w:p>
    <w:p w14:paraId="260E2127" w14:textId="77777777" w:rsidR="00FB043A" w:rsidRPr="009B4E73" w:rsidRDefault="00FB043A" w:rsidP="00484218">
      <w:pPr>
        <w:rPr>
          <w:rFonts w:cs="Segoe UI"/>
          <w:bCs/>
          <w:szCs w:val="22"/>
          <w:lang w:val="pl-PL"/>
        </w:rPr>
      </w:pPr>
      <w:bookmarkStart w:id="5" w:name="_Hlk190180076"/>
    </w:p>
    <w:p w14:paraId="257C541E" w14:textId="03D84A11" w:rsidR="00FB043A" w:rsidRPr="00FB043A" w:rsidRDefault="00FB043A" w:rsidP="00484218">
      <w:pPr>
        <w:rPr>
          <w:rFonts w:cs="Segoe UI"/>
          <w:bCs/>
          <w:szCs w:val="22"/>
          <w:lang w:val="pl-PL"/>
        </w:rPr>
      </w:pPr>
      <w:r w:rsidRPr="00FB043A">
        <w:rPr>
          <w:rFonts w:cs="Segoe UI"/>
          <w:bCs/>
          <w:szCs w:val="22"/>
          <w:lang w:val="pl-PL"/>
        </w:rPr>
        <w:t xml:space="preserve">W 2025 roku Henkel wprowadził na rynek liczne </w:t>
      </w:r>
      <w:r w:rsidRPr="003A3523">
        <w:rPr>
          <w:rFonts w:cs="Segoe UI"/>
          <w:b/>
          <w:szCs w:val="22"/>
          <w:lang w:val="pl-PL"/>
        </w:rPr>
        <w:t>innowacje</w:t>
      </w:r>
      <w:r w:rsidRPr="00FB043A">
        <w:rPr>
          <w:rFonts w:cs="Segoe UI"/>
          <w:bCs/>
          <w:szCs w:val="22"/>
          <w:lang w:val="pl-PL"/>
        </w:rPr>
        <w:t xml:space="preserve">, odpowiadając na ważne trendy i tworząc wartość dla klientów i konsumentów. Na rynku dóbr konsumpcyjnych innowacja jest kluczowym czynnikiem sukcesu dla zróżnicowania. Jednym z przykładów jest nowa koloryzacja włosów </w:t>
      </w:r>
      <w:proofErr w:type="spellStart"/>
      <w:r w:rsidRPr="00FB043A">
        <w:rPr>
          <w:rFonts w:cs="Segoe UI"/>
          <w:bCs/>
          <w:szCs w:val="22"/>
          <w:lang w:val="pl-PL"/>
        </w:rPr>
        <w:t>Creme</w:t>
      </w:r>
      <w:proofErr w:type="spellEnd"/>
      <w:r w:rsidRPr="00FB043A">
        <w:rPr>
          <w:rFonts w:cs="Segoe UI"/>
          <w:bCs/>
          <w:szCs w:val="22"/>
          <w:lang w:val="pl-PL"/>
        </w:rPr>
        <w:t xml:space="preserve"> </w:t>
      </w:r>
      <w:proofErr w:type="spellStart"/>
      <w:r w:rsidRPr="00FB043A">
        <w:rPr>
          <w:rFonts w:cs="Segoe UI"/>
          <w:bCs/>
          <w:szCs w:val="22"/>
          <w:lang w:val="pl-PL"/>
        </w:rPr>
        <w:t>Supreme</w:t>
      </w:r>
      <w:proofErr w:type="spellEnd"/>
      <w:r w:rsidRPr="00FB043A">
        <w:rPr>
          <w:rFonts w:cs="Segoe UI"/>
          <w:bCs/>
          <w:szCs w:val="22"/>
          <w:lang w:val="pl-PL"/>
        </w:rPr>
        <w:t xml:space="preserve"> od Schwarzkopf. Zainspirowany profesjonalnymi zastosowaniami w salonach, Henkel opracował </w:t>
      </w:r>
      <w:proofErr w:type="spellStart"/>
      <w:r w:rsidRPr="00FB043A">
        <w:rPr>
          <w:rFonts w:cs="Segoe UI"/>
          <w:bCs/>
          <w:szCs w:val="22"/>
          <w:lang w:val="pl-PL"/>
        </w:rPr>
        <w:t>Creme</w:t>
      </w:r>
      <w:proofErr w:type="spellEnd"/>
      <w:r w:rsidRPr="00FB043A">
        <w:rPr>
          <w:rFonts w:cs="Segoe UI"/>
          <w:bCs/>
          <w:szCs w:val="22"/>
          <w:lang w:val="pl-PL"/>
        </w:rPr>
        <w:t xml:space="preserve"> </w:t>
      </w:r>
      <w:proofErr w:type="spellStart"/>
      <w:r w:rsidRPr="00FB043A">
        <w:rPr>
          <w:rFonts w:cs="Segoe UI"/>
          <w:bCs/>
          <w:szCs w:val="22"/>
          <w:lang w:val="pl-PL"/>
        </w:rPr>
        <w:t>Supreme</w:t>
      </w:r>
      <w:proofErr w:type="spellEnd"/>
      <w:r w:rsidRPr="00FB043A">
        <w:rPr>
          <w:rFonts w:cs="Segoe UI"/>
          <w:bCs/>
          <w:szCs w:val="22"/>
          <w:lang w:val="pl-PL"/>
        </w:rPr>
        <w:t xml:space="preserve">, nową technologię, która wzmacnia i odżywia strukturę włosów poprzez </w:t>
      </w:r>
      <w:proofErr w:type="spellStart"/>
      <w:r w:rsidRPr="00FB043A">
        <w:rPr>
          <w:rFonts w:cs="Segoe UI"/>
          <w:bCs/>
          <w:szCs w:val="22"/>
          <w:lang w:val="pl-PL"/>
        </w:rPr>
        <w:t>mikrowiązania</w:t>
      </w:r>
      <w:proofErr w:type="spellEnd"/>
      <w:r w:rsidRPr="00FB043A">
        <w:rPr>
          <w:rFonts w:cs="Segoe UI"/>
          <w:bCs/>
          <w:szCs w:val="22"/>
          <w:lang w:val="pl-PL"/>
        </w:rPr>
        <w:t xml:space="preserve">. Te </w:t>
      </w:r>
      <w:proofErr w:type="spellStart"/>
      <w:r w:rsidRPr="00FB043A">
        <w:rPr>
          <w:rFonts w:cs="Segoe UI"/>
          <w:bCs/>
          <w:szCs w:val="22"/>
          <w:lang w:val="pl-PL"/>
        </w:rPr>
        <w:t>mikrowiązania</w:t>
      </w:r>
      <w:proofErr w:type="spellEnd"/>
      <w:r w:rsidRPr="00FB043A">
        <w:rPr>
          <w:rFonts w:cs="Segoe UI"/>
          <w:bCs/>
          <w:szCs w:val="22"/>
          <w:lang w:val="pl-PL"/>
        </w:rPr>
        <w:t xml:space="preserve"> skuteczniej utrzymują włókna włosów razem i tworzą specjalną warstwę ochronną wokół włosa. Skutkuje to znacznie mniejszą łamliwością włosów, co jest jednym z głównych zmartwień konsumentów przy farbowaniu włosów. Koncepcja „House of </w:t>
      </w:r>
      <w:proofErr w:type="spellStart"/>
      <w:r w:rsidRPr="00FB043A">
        <w:rPr>
          <w:rFonts w:cs="Segoe UI"/>
          <w:bCs/>
          <w:szCs w:val="22"/>
          <w:lang w:val="pl-PL"/>
        </w:rPr>
        <w:t>Hair</w:t>
      </w:r>
      <w:proofErr w:type="spellEnd"/>
      <w:r w:rsidRPr="00FB043A">
        <w:rPr>
          <w:rFonts w:cs="Segoe UI"/>
          <w:bCs/>
          <w:szCs w:val="22"/>
          <w:lang w:val="pl-PL"/>
        </w:rPr>
        <w:t xml:space="preserve">” również odgrywa ważną rolę w opracowywaniu innowacji w kategorii </w:t>
      </w:r>
      <w:proofErr w:type="spellStart"/>
      <w:r w:rsidRPr="00FB043A">
        <w:rPr>
          <w:rFonts w:cs="Segoe UI"/>
          <w:bCs/>
          <w:szCs w:val="22"/>
          <w:lang w:val="pl-PL"/>
        </w:rPr>
        <w:t>Hair</w:t>
      </w:r>
      <w:proofErr w:type="spellEnd"/>
      <w:r w:rsidRPr="00FB043A">
        <w:rPr>
          <w:rFonts w:cs="Segoe UI"/>
          <w:bCs/>
          <w:szCs w:val="22"/>
          <w:lang w:val="pl-PL"/>
        </w:rPr>
        <w:t>. Od marca 2025 roku Henkel skonsolidował główne obszary swojego biznesu kosmetyków do włosów w Hamburgu w jednym miejscu w Niemczech: badania i rozwój, salony testowe, marketing i Akademię Włosów. Tutaj ponad 300 ekspertów pracuje ramię w ramię, aby opracowywać innowacyjne produkty. Oprócz Hamburga istnieją cztery inne lokalizacje w Los Angeles, Tokio, Szanghaju i Guadalajarze. Każda lokalizacja odgrywa ważną rolę w zorientowanym na klienta rozwoju produktów do kosmetyki włosów, które specjalnie odpowiadają na zróżnicowane regionalnie potrzeby klientów.</w:t>
      </w:r>
    </w:p>
    <w:p w14:paraId="7CAC3152" w14:textId="77777777" w:rsidR="00FB043A" w:rsidRPr="009B4E73" w:rsidRDefault="00FB043A" w:rsidP="00545516">
      <w:pPr>
        <w:rPr>
          <w:rFonts w:cs="Segoe UI"/>
          <w:bCs/>
          <w:szCs w:val="22"/>
          <w:lang w:val="pl-PL"/>
        </w:rPr>
      </w:pPr>
    </w:p>
    <w:p w14:paraId="25141F33" w14:textId="080419B8" w:rsidR="00FB043A" w:rsidRPr="00FB043A" w:rsidRDefault="00FB043A" w:rsidP="00545516">
      <w:pPr>
        <w:rPr>
          <w:rFonts w:cs="Segoe UI"/>
          <w:bCs/>
          <w:szCs w:val="22"/>
          <w:lang w:val="pl-PL"/>
        </w:rPr>
      </w:pPr>
      <w:r w:rsidRPr="00FB043A">
        <w:rPr>
          <w:rFonts w:cs="Segoe UI"/>
          <w:bCs/>
          <w:szCs w:val="22"/>
          <w:lang w:val="pl-PL"/>
        </w:rPr>
        <w:t xml:space="preserve">Innowacja jest również centralnym czynnikiem sukcesu dla jednostki biznesowej </w:t>
      </w:r>
      <w:proofErr w:type="spellStart"/>
      <w:r w:rsidRPr="00FB043A">
        <w:rPr>
          <w:rFonts w:cs="Segoe UI"/>
          <w:bCs/>
          <w:szCs w:val="22"/>
          <w:lang w:val="pl-PL"/>
        </w:rPr>
        <w:t>Adhesive</w:t>
      </w:r>
      <w:proofErr w:type="spellEnd"/>
      <w:r w:rsidRPr="00FB043A">
        <w:rPr>
          <w:rFonts w:cs="Segoe UI"/>
          <w:bCs/>
          <w:szCs w:val="22"/>
          <w:lang w:val="pl-PL"/>
        </w:rPr>
        <w:t xml:space="preserve"> Technologies. Dlatego Henkel kontynuuje konsekwentne inwestycje, aby z powodzeniem pozycjonować się w konkurencyjnym otoczeniu. Kluczowym celem jest rozbudowa sieci najnowocześniejszych centrów badawczo-innowacyjnych. Takie „Centra Inspiracji” działają od jakiegoś czasu w </w:t>
      </w:r>
      <w:proofErr w:type="spellStart"/>
      <w:r w:rsidRPr="00FB043A">
        <w:rPr>
          <w:rFonts w:cs="Segoe UI"/>
          <w:bCs/>
          <w:szCs w:val="22"/>
          <w:lang w:val="pl-PL"/>
        </w:rPr>
        <w:t>Düsseldorfie</w:t>
      </w:r>
      <w:proofErr w:type="spellEnd"/>
      <w:r w:rsidRPr="00FB043A">
        <w:rPr>
          <w:rFonts w:cs="Segoe UI"/>
          <w:bCs/>
          <w:szCs w:val="22"/>
          <w:lang w:val="pl-PL"/>
        </w:rPr>
        <w:t xml:space="preserve">, </w:t>
      </w:r>
      <w:proofErr w:type="spellStart"/>
      <w:r w:rsidRPr="00FB043A">
        <w:rPr>
          <w:rFonts w:cs="Segoe UI"/>
          <w:bCs/>
          <w:szCs w:val="22"/>
          <w:lang w:val="pl-PL"/>
        </w:rPr>
        <w:t>Mumbaju</w:t>
      </w:r>
      <w:proofErr w:type="spellEnd"/>
      <w:r w:rsidRPr="00FB043A">
        <w:rPr>
          <w:rFonts w:cs="Segoe UI"/>
          <w:bCs/>
          <w:szCs w:val="22"/>
          <w:lang w:val="pl-PL"/>
        </w:rPr>
        <w:t xml:space="preserve"> w Indiach i New Jersey w USA. W 2025 roku Henkel otworzył kolejne Centrum Inspiracji w Szanghaju dla regionu Azji i Pacyfiku, z inwestycją 60 milionów euro. W tym centrum pracuje ponad 500 badaczy i programistów wraz z klientami z wielu różnych branż.</w:t>
      </w:r>
    </w:p>
    <w:p w14:paraId="7C538789" w14:textId="77777777" w:rsidR="00D07715" w:rsidRPr="009B4E73" w:rsidRDefault="00D07715" w:rsidP="00E810D3">
      <w:pPr>
        <w:rPr>
          <w:rFonts w:cs="Segoe UI"/>
          <w:bCs/>
          <w:szCs w:val="22"/>
          <w:lang w:val="pl-PL"/>
        </w:rPr>
      </w:pPr>
      <w:bookmarkStart w:id="6" w:name="_Hlk190180237"/>
      <w:bookmarkEnd w:id="5"/>
    </w:p>
    <w:p w14:paraId="0DBD43BA" w14:textId="3C876C21" w:rsidR="00D07715" w:rsidRPr="00D07715" w:rsidRDefault="00D07715" w:rsidP="00E810D3">
      <w:pPr>
        <w:rPr>
          <w:rFonts w:cs="Segoe UI"/>
          <w:bCs/>
          <w:szCs w:val="22"/>
          <w:lang w:val="pl-PL"/>
        </w:rPr>
      </w:pPr>
      <w:r w:rsidRPr="00D07715">
        <w:rPr>
          <w:rFonts w:cs="Segoe UI"/>
          <w:bCs/>
          <w:szCs w:val="22"/>
          <w:lang w:val="pl-PL"/>
        </w:rPr>
        <w:t xml:space="preserve">Jednym z priorytetów </w:t>
      </w:r>
      <w:r w:rsidRPr="003A3523">
        <w:rPr>
          <w:rFonts w:cs="Segoe UI"/>
          <w:b/>
          <w:szCs w:val="22"/>
          <w:lang w:val="pl-PL"/>
        </w:rPr>
        <w:t>zrównoważonego rozwoju</w:t>
      </w:r>
      <w:r w:rsidRPr="00D07715">
        <w:rPr>
          <w:rFonts w:cs="Segoe UI"/>
          <w:bCs/>
          <w:szCs w:val="22"/>
          <w:lang w:val="pl-PL"/>
        </w:rPr>
        <w:t xml:space="preserve"> Henkla pozostaje redukcja emisji w całym łańcuchu wartości. Do 2045 roku firma zamierza zredukować swoje bezwzględne emisje gazów cieplarnianych w zakresach 1, 2 i 3 o 90 procent (w porównaniu z rokiem bazowym 2021) i tym samym osiągnąć zerową emisję netto. We wszystkich trzech kategoriach zakresów Henkel poczynił postępy w ubiegłym roku i zredukował już swoje emisje o 29 procent od roku bazowego 2021. Henkel osiągnął również poprawę w obszarze zrównoważonych łańcuchów dostaw. Udział składników na bazie palmy, które są pozyskiwane w sposób odpowiedzialny i certyfikowany, osiągnął obecnie 98 procent. Firma poprawiła również swoje wyniki w międzynarodowo uznanych ratingach zrównoważonego rozwoju. Między innymi, Henkel po raz </w:t>
      </w:r>
      <w:r w:rsidRPr="00D07715">
        <w:rPr>
          <w:rFonts w:cs="Segoe UI"/>
          <w:bCs/>
          <w:szCs w:val="22"/>
          <w:lang w:val="pl-PL"/>
        </w:rPr>
        <w:lastRenderedPageBreak/>
        <w:t xml:space="preserve">pierwszy otrzymał ocenę A w kategorii Klimat w ocenie CDP za 2025 rok. Henkel poprawił również swoje wyniki w najnowszej ocenie </w:t>
      </w:r>
      <w:proofErr w:type="spellStart"/>
      <w:r w:rsidRPr="00D07715">
        <w:rPr>
          <w:rFonts w:cs="Segoe UI"/>
          <w:bCs/>
          <w:szCs w:val="22"/>
          <w:lang w:val="pl-PL"/>
        </w:rPr>
        <w:t>EcoVadis</w:t>
      </w:r>
      <w:proofErr w:type="spellEnd"/>
      <w:r w:rsidRPr="00D07715">
        <w:rPr>
          <w:rFonts w:cs="Segoe UI"/>
          <w:bCs/>
          <w:szCs w:val="22"/>
          <w:lang w:val="pl-PL"/>
        </w:rPr>
        <w:t xml:space="preserve"> i ponownie otrzymał Złoto.</w:t>
      </w:r>
    </w:p>
    <w:p w14:paraId="1DE89065" w14:textId="77777777" w:rsidR="00D07715" w:rsidRPr="009B4E73" w:rsidRDefault="00D07715" w:rsidP="00062741">
      <w:pPr>
        <w:rPr>
          <w:rFonts w:cs="Segoe UI"/>
          <w:szCs w:val="22"/>
          <w:lang w:val="pl-PL" w:eastAsia="de-DE"/>
        </w:rPr>
      </w:pPr>
      <w:bookmarkStart w:id="7" w:name="_Hlk190182641"/>
      <w:bookmarkEnd w:id="6"/>
    </w:p>
    <w:p w14:paraId="339AF445" w14:textId="7A70B339" w:rsidR="00D07715" w:rsidRPr="00D07715" w:rsidRDefault="00D07715" w:rsidP="00062741">
      <w:pPr>
        <w:rPr>
          <w:rFonts w:cs="Segoe UI"/>
          <w:szCs w:val="22"/>
          <w:lang w:val="pl-PL" w:eastAsia="de-DE"/>
        </w:rPr>
      </w:pPr>
      <w:r w:rsidRPr="00D07715">
        <w:rPr>
          <w:rFonts w:cs="Segoe UI"/>
          <w:szCs w:val="22"/>
          <w:lang w:val="pl-PL" w:eastAsia="de-DE"/>
        </w:rPr>
        <w:t xml:space="preserve">Henkel poczynił również dalsze postępy w </w:t>
      </w:r>
      <w:r w:rsidRPr="003A3523">
        <w:rPr>
          <w:rFonts w:cs="Segoe UI"/>
          <w:b/>
          <w:bCs/>
          <w:szCs w:val="22"/>
          <w:lang w:val="pl-PL" w:eastAsia="de-DE"/>
        </w:rPr>
        <w:t>cyfryzacji</w:t>
      </w:r>
      <w:r w:rsidRPr="00D07715">
        <w:rPr>
          <w:rFonts w:cs="Segoe UI"/>
          <w:szCs w:val="22"/>
          <w:lang w:val="pl-PL" w:eastAsia="de-DE"/>
        </w:rPr>
        <w:t xml:space="preserve">. W 2025 roku dominującym tematem był gwałtowny postęp w dziedzinie sztucznej inteligencji (AI). Sztuczna inteligencja będzie miała znaczący wpływ na przyszłe funkcjonowanie firmy. Henkel wdraża technologie AI w wielu praktycznych zastosowaniach zarówno w swoich biznesach przemysłowych, jak i konsumenckich. W 2025 roku Henkel wprowadził na rynek swoją pierwszą generatywną, wspieraną przez AI reklamę telewizyjną w Niemczech, przenosząc tym samym ikoniczną Białą Damę </w:t>
      </w:r>
      <w:proofErr w:type="spellStart"/>
      <w:r w:rsidRPr="00D07715">
        <w:rPr>
          <w:rFonts w:cs="Segoe UI"/>
          <w:szCs w:val="22"/>
          <w:lang w:val="pl-PL" w:eastAsia="de-DE"/>
        </w:rPr>
        <w:t>Persila</w:t>
      </w:r>
      <w:proofErr w:type="spellEnd"/>
      <w:r w:rsidRPr="00D07715">
        <w:rPr>
          <w:rFonts w:cs="Segoe UI"/>
          <w:szCs w:val="22"/>
          <w:lang w:val="pl-PL" w:eastAsia="de-DE"/>
        </w:rPr>
        <w:t xml:space="preserve"> w nową erę. AI jest również wykorzystywana w automatyzacji procesów w laboratoriach rozwoju klejów. W produkcji baterii Henkel wykorzystuje symulację wspieraną przez AI i innowacyjne rozwiązania do rozklejania, aby pomóc swoim klientom skrócić czas i koszty rozwoju oraz zoptymalizować wydajność.</w:t>
      </w:r>
    </w:p>
    <w:p w14:paraId="71B9F5B6" w14:textId="77777777" w:rsidR="00317977" w:rsidRPr="009B4E73" w:rsidRDefault="00317977" w:rsidP="005F750F">
      <w:pPr>
        <w:rPr>
          <w:rFonts w:cs="Segoe UI"/>
          <w:szCs w:val="22"/>
          <w:lang w:val="pl-PL" w:eastAsia="de-DE"/>
        </w:rPr>
      </w:pPr>
      <w:bookmarkStart w:id="8" w:name="_Hlk191457890"/>
      <w:bookmarkStart w:id="9" w:name="_Hlk222133417"/>
      <w:bookmarkStart w:id="10" w:name="_Hlk190182811"/>
      <w:bookmarkEnd w:id="7"/>
    </w:p>
    <w:p w14:paraId="6BD54FE6" w14:textId="691A9427" w:rsidR="00317977" w:rsidRPr="00317977" w:rsidRDefault="00317977" w:rsidP="005F750F">
      <w:pPr>
        <w:rPr>
          <w:rFonts w:cs="Segoe UI"/>
          <w:szCs w:val="22"/>
          <w:lang w:val="pl-PL" w:eastAsia="de-DE"/>
        </w:rPr>
      </w:pPr>
      <w:r w:rsidRPr="00317977">
        <w:rPr>
          <w:rFonts w:cs="Segoe UI"/>
          <w:szCs w:val="22"/>
          <w:lang w:val="pl-PL" w:eastAsia="de-DE"/>
        </w:rPr>
        <w:t xml:space="preserve">W ramach swojej długoterminowej strategii wzrostu, Henkel nieustannie dostosowuje swoje jednostki biznesowe do wymagań dynamicznych rynków i zmieniających się oczekiwań klientów, aby osiągnąć długoterminowy sukces dzięki </w:t>
      </w:r>
      <w:r w:rsidRPr="00DC1179">
        <w:rPr>
          <w:rFonts w:cs="Segoe UI"/>
          <w:b/>
          <w:bCs/>
          <w:szCs w:val="22"/>
          <w:lang w:val="pl-PL" w:eastAsia="de-DE"/>
        </w:rPr>
        <w:t>modelom operacyjnym gotowym na przyszłość</w:t>
      </w:r>
      <w:r w:rsidRPr="00317977">
        <w:rPr>
          <w:rFonts w:cs="Segoe UI"/>
          <w:szCs w:val="22"/>
          <w:lang w:val="pl-PL" w:eastAsia="de-DE"/>
        </w:rPr>
        <w:t xml:space="preserve">. W marcu 2025 roku Henkel ogłosił, że oceni możliwość utworzenia oddzielnych podmiotów prawnych w Niemczech i wybranych krajach dla swoich dwóch jednostek biznesowych, </w:t>
      </w:r>
      <w:proofErr w:type="spellStart"/>
      <w:r w:rsidRPr="00317977">
        <w:rPr>
          <w:rFonts w:cs="Segoe UI"/>
          <w:szCs w:val="22"/>
          <w:lang w:val="pl-PL" w:eastAsia="de-DE"/>
        </w:rPr>
        <w:t>Adhesive</w:t>
      </w:r>
      <w:proofErr w:type="spellEnd"/>
      <w:r w:rsidRPr="00317977">
        <w:rPr>
          <w:rFonts w:cs="Segoe UI"/>
          <w:szCs w:val="22"/>
          <w:lang w:val="pl-PL" w:eastAsia="de-DE"/>
        </w:rPr>
        <w:t xml:space="preserve"> Technologies (HAT) i Consumer </w:t>
      </w:r>
      <w:proofErr w:type="spellStart"/>
      <w:r w:rsidRPr="00317977">
        <w:rPr>
          <w:rFonts w:cs="Segoe UI"/>
          <w:szCs w:val="22"/>
          <w:lang w:val="pl-PL" w:eastAsia="de-DE"/>
        </w:rPr>
        <w:t>Brands</w:t>
      </w:r>
      <w:proofErr w:type="spellEnd"/>
      <w:r w:rsidRPr="00317977">
        <w:rPr>
          <w:rFonts w:cs="Segoe UI"/>
          <w:szCs w:val="22"/>
          <w:lang w:val="pl-PL" w:eastAsia="de-DE"/>
        </w:rPr>
        <w:t xml:space="preserve"> (HCB). Krok ten jest również związany z przygotowaniami do migracji na SAP S/4HANA. Zarząd dogłębnie omówił i uzgodnił propozycję z odpowiednimi organami nadzorczymi. </w:t>
      </w:r>
      <w:r w:rsidR="009E53C7">
        <w:rPr>
          <w:rFonts w:cs="Segoe UI"/>
          <w:szCs w:val="22"/>
          <w:lang w:val="pl-PL" w:eastAsia="de-DE"/>
        </w:rPr>
        <w:t>Zgodnie z planem</w:t>
      </w:r>
      <w:r w:rsidRPr="00317977">
        <w:rPr>
          <w:rFonts w:cs="Segoe UI"/>
          <w:szCs w:val="22"/>
          <w:lang w:val="pl-PL" w:eastAsia="de-DE"/>
        </w:rPr>
        <w:t xml:space="preserve"> pierwszym krokiem będzie utworzenie oddzielnych podmiotów prawnych dla dwóch istniejących jednostek biznesowych w Niemczech. Tym posunięciem Henkel dąży do zwiększenia zwinności swoich procesów i struktur oraz do lepszego wspierania przyszłych potrzeb swoich biznesów i agendy wzrostu Grupy Henkel. Strategiczne i operacyjne zarządzanie Grupą i jej jednostkami biznesowymi pozostanie niezmienione. Propozycja zostanie przedłożona Walnemu Zgromadzeniu Akcjonariuszy w 2026 roku do uchwalenia przez akcjonariuszy.</w:t>
      </w:r>
    </w:p>
    <w:bookmarkEnd w:id="8"/>
    <w:bookmarkEnd w:id="9"/>
    <w:bookmarkEnd w:id="10"/>
    <w:p w14:paraId="41BCFE6D" w14:textId="77777777" w:rsidR="00317977" w:rsidRPr="009B4E73" w:rsidRDefault="00317977" w:rsidP="00607621">
      <w:pPr>
        <w:rPr>
          <w:rFonts w:cs="Segoe UI"/>
          <w:szCs w:val="22"/>
          <w:lang w:val="pl-PL" w:eastAsia="de-DE"/>
        </w:rPr>
      </w:pPr>
    </w:p>
    <w:p w14:paraId="7113D5ED" w14:textId="0D7A8ECC" w:rsidR="00317977" w:rsidRPr="00317977" w:rsidRDefault="00317977" w:rsidP="00607621">
      <w:pPr>
        <w:rPr>
          <w:rFonts w:cs="Segoe UI"/>
          <w:szCs w:val="22"/>
          <w:lang w:val="pl-PL" w:eastAsia="de-DE"/>
        </w:rPr>
      </w:pPr>
      <w:r w:rsidRPr="00317977">
        <w:rPr>
          <w:rFonts w:cs="Segoe UI"/>
          <w:szCs w:val="22"/>
          <w:lang w:val="pl-PL" w:eastAsia="de-DE"/>
        </w:rPr>
        <w:t xml:space="preserve">W Henklu silna </w:t>
      </w:r>
      <w:r w:rsidRPr="00DC1179">
        <w:rPr>
          <w:rFonts w:cs="Segoe UI"/>
          <w:b/>
          <w:bCs/>
          <w:szCs w:val="22"/>
          <w:lang w:val="pl-PL" w:eastAsia="de-DE"/>
        </w:rPr>
        <w:t>kultura korporacyjna</w:t>
      </w:r>
      <w:r w:rsidRPr="00317977">
        <w:rPr>
          <w:rFonts w:cs="Segoe UI"/>
          <w:szCs w:val="22"/>
          <w:lang w:val="pl-PL" w:eastAsia="de-DE"/>
        </w:rPr>
        <w:t xml:space="preserve"> stanowi podstawę agendy ukierunkowanego wzrostu. </w:t>
      </w:r>
      <w:r w:rsidR="003C784E" w:rsidRPr="003C784E">
        <w:rPr>
          <w:rFonts w:cs="Segoe UI"/>
          <w:szCs w:val="22"/>
          <w:lang w:val="pl-PL" w:eastAsia="de-DE"/>
        </w:rPr>
        <w:t>Charakteryzuje się ona współpracą opartą na zaufaniu pomiędzy jednostkami biznesowymi, krajami i zespołami, a także dającą pracownikom możliwość podejmowania odpowiedzialności i aktywnego kształtowania wyników. Taka kultura musi być stale rozwijana.</w:t>
      </w:r>
      <w:r w:rsidR="003C784E">
        <w:rPr>
          <w:rFonts w:cs="Segoe UI"/>
          <w:szCs w:val="22"/>
          <w:lang w:val="pl-PL" w:eastAsia="de-DE"/>
        </w:rPr>
        <w:t xml:space="preserve"> </w:t>
      </w:r>
      <w:r w:rsidRPr="00317977">
        <w:rPr>
          <w:rFonts w:cs="Segoe UI"/>
          <w:szCs w:val="22"/>
          <w:lang w:val="pl-PL" w:eastAsia="de-DE"/>
        </w:rPr>
        <w:t xml:space="preserve">Aby uzyskać wgląd w to, jak pracownicy to postrzegają, Henkel od kilku lat przeprowadza tzw. </w:t>
      </w:r>
      <w:proofErr w:type="spellStart"/>
      <w:r w:rsidR="003C784E">
        <w:rPr>
          <w:rFonts w:cs="Segoe UI"/>
          <w:szCs w:val="22"/>
          <w:lang w:val="pl-PL" w:eastAsia="de-DE"/>
        </w:rPr>
        <w:t>Pulse</w:t>
      </w:r>
      <w:proofErr w:type="spellEnd"/>
      <w:r w:rsidR="003C784E">
        <w:rPr>
          <w:rFonts w:cs="Segoe UI"/>
          <w:szCs w:val="22"/>
          <w:lang w:val="pl-PL" w:eastAsia="de-DE"/>
        </w:rPr>
        <w:t xml:space="preserve"> </w:t>
      </w:r>
      <w:proofErr w:type="spellStart"/>
      <w:r w:rsidR="003C784E">
        <w:rPr>
          <w:rFonts w:cs="Segoe UI"/>
          <w:szCs w:val="22"/>
          <w:lang w:val="pl-PL" w:eastAsia="de-DE"/>
        </w:rPr>
        <w:t>Check</w:t>
      </w:r>
      <w:proofErr w:type="spellEnd"/>
      <w:r w:rsidRPr="00317977">
        <w:rPr>
          <w:rFonts w:cs="Segoe UI"/>
          <w:szCs w:val="22"/>
          <w:lang w:val="pl-PL" w:eastAsia="de-DE"/>
        </w:rPr>
        <w:t xml:space="preserve"> – raz w miesiącu z 5 000 losowo wybranych pracowników. Te anonimowe ankiety dostarczają cennych informacji na tematy takie jak współpraca, odpowiedzialność, innowacyjność, różnorodność i zgodność z długoterminową strategią Henkla. Wyniki z 2025 roku pokazują, że Henkel poczynił </w:t>
      </w:r>
      <w:r w:rsidRPr="00317977">
        <w:rPr>
          <w:rFonts w:cs="Segoe UI"/>
          <w:szCs w:val="22"/>
          <w:lang w:val="pl-PL" w:eastAsia="de-DE"/>
        </w:rPr>
        <w:lastRenderedPageBreak/>
        <w:t>znaczne postępy w tych obszarach. Potwierdza to, że różnorodne inicjatywy i środki wdrożone w ostatnich latach przynoszą efekty, a kultura korporacyjna jest stale wzmacniana.</w:t>
      </w:r>
    </w:p>
    <w:p w14:paraId="1A3BACE2" w14:textId="77777777" w:rsidR="00607621" w:rsidRPr="00317977" w:rsidRDefault="00607621" w:rsidP="00607621">
      <w:pPr>
        <w:rPr>
          <w:rFonts w:cs="Segoe UI"/>
          <w:szCs w:val="22"/>
          <w:lang w:val="pl-PL" w:eastAsia="de-DE"/>
        </w:rPr>
      </w:pPr>
    </w:p>
    <w:p w14:paraId="016AD084" w14:textId="0CDF7B99" w:rsidR="00935611" w:rsidRPr="00597FBA" w:rsidRDefault="00935611" w:rsidP="00597FBA">
      <w:pPr>
        <w:spacing w:after="120"/>
        <w:rPr>
          <w:rFonts w:cs="Segoe UI"/>
          <w:b/>
          <w:bCs/>
          <w:szCs w:val="22"/>
          <w:lang w:val="pl-PL" w:eastAsia="de-DE"/>
        </w:rPr>
      </w:pPr>
      <w:r w:rsidRPr="00597FBA">
        <w:rPr>
          <w:rFonts w:cs="Segoe UI"/>
          <w:b/>
          <w:bCs/>
          <w:szCs w:val="22"/>
          <w:lang w:val="pl-PL" w:eastAsia="de-DE"/>
        </w:rPr>
        <w:t xml:space="preserve">Henkel świętuje 150 lat </w:t>
      </w:r>
      <w:r w:rsidR="00597FBA">
        <w:rPr>
          <w:rFonts w:cs="Segoe UI"/>
          <w:b/>
          <w:bCs/>
          <w:szCs w:val="22"/>
          <w:lang w:val="pl-PL" w:eastAsia="de-DE"/>
        </w:rPr>
        <w:t xml:space="preserve">historii swoich sukcesów </w:t>
      </w:r>
      <w:bookmarkStart w:id="11" w:name="_Hlk190182989"/>
    </w:p>
    <w:p w14:paraId="76666ED9" w14:textId="783DF913" w:rsidR="00935611" w:rsidRDefault="00597FBA" w:rsidP="00935611">
      <w:pPr>
        <w:rPr>
          <w:rFonts w:cs="Segoe UI"/>
          <w:szCs w:val="22"/>
          <w:lang w:val="pl-PL"/>
        </w:rPr>
      </w:pPr>
      <w:r>
        <w:rPr>
          <w:rFonts w:cs="Segoe UI"/>
          <w:szCs w:val="22"/>
          <w:lang w:val="pl-PL"/>
        </w:rPr>
        <w:t>„</w:t>
      </w:r>
      <w:r w:rsidR="00935611" w:rsidRPr="00935611">
        <w:rPr>
          <w:rFonts w:cs="Segoe UI"/>
          <w:szCs w:val="22"/>
          <w:lang w:val="pl-PL"/>
        </w:rPr>
        <w:t xml:space="preserve">2025 był udanym rokiem, w którym po raz kolejny sprostaliśmy poważnym wyzwaniom, jednocześnie czyniąc znaczne postępy. W dużej mierze osiągnęliśmy nasze cele finansowe. Konsekwentnie wdrażaliśmy naszą agendę ukierunkowanego wzrostu we wszystkich wymiarach strategicznych i z powodzeniem zakończyliśmy integrację naszych biznesów dóbr konsumpcyjnych. Jesteśmy na właściwej drodze, a transformacja naszej firmy przynosi wymierne rezultaty – podsumował </w:t>
      </w:r>
      <w:proofErr w:type="spellStart"/>
      <w:r w:rsidR="00935611" w:rsidRPr="00935611">
        <w:rPr>
          <w:rFonts w:cs="Segoe UI"/>
          <w:szCs w:val="22"/>
          <w:lang w:val="pl-PL"/>
        </w:rPr>
        <w:t>Carsten</w:t>
      </w:r>
      <w:proofErr w:type="spellEnd"/>
      <w:r w:rsidR="00935611" w:rsidRPr="00935611">
        <w:rPr>
          <w:rFonts w:cs="Segoe UI"/>
          <w:szCs w:val="22"/>
          <w:lang w:val="pl-PL"/>
        </w:rPr>
        <w:t xml:space="preserve"> </w:t>
      </w:r>
      <w:proofErr w:type="spellStart"/>
      <w:r w:rsidR="00935611" w:rsidRPr="00935611">
        <w:rPr>
          <w:rFonts w:cs="Segoe UI"/>
          <w:szCs w:val="22"/>
          <w:lang w:val="pl-PL"/>
        </w:rPr>
        <w:t>Knobel</w:t>
      </w:r>
      <w:proofErr w:type="spellEnd"/>
      <w:r w:rsidR="00935611" w:rsidRPr="00935611">
        <w:rPr>
          <w:rFonts w:cs="Segoe UI"/>
          <w:szCs w:val="22"/>
          <w:lang w:val="pl-PL"/>
        </w:rPr>
        <w:t>.</w:t>
      </w:r>
      <w:r>
        <w:rPr>
          <w:rFonts w:cs="Segoe UI"/>
          <w:szCs w:val="22"/>
          <w:lang w:val="pl-PL"/>
        </w:rPr>
        <w:t>”</w:t>
      </w:r>
    </w:p>
    <w:p w14:paraId="73596036" w14:textId="77777777" w:rsidR="00597FBA" w:rsidRPr="00935611" w:rsidRDefault="00597FBA" w:rsidP="00935611">
      <w:pPr>
        <w:rPr>
          <w:rFonts w:cs="Segoe UI"/>
          <w:szCs w:val="22"/>
          <w:lang w:val="pl-PL"/>
        </w:rPr>
      </w:pPr>
    </w:p>
    <w:p w14:paraId="52B76F45" w14:textId="4D9CE7E8" w:rsidR="00935611" w:rsidRPr="003C784E" w:rsidRDefault="00597FBA" w:rsidP="00935611">
      <w:pPr>
        <w:rPr>
          <w:rFonts w:cs="Segoe UI"/>
          <w:szCs w:val="22"/>
        </w:rPr>
      </w:pPr>
      <w:r>
        <w:rPr>
          <w:rFonts w:cs="Segoe UI"/>
          <w:szCs w:val="22"/>
          <w:lang w:val="pl-PL"/>
        </w:rPr>
        <w:t>„</w:t>
      </w:r>
      <w:r w:rsidR="00935611" w:rsidRPr="00935611">
        <w:rPr>
          <w:rFonts w:cs="Segoe UI"/>
          <w:szCs w:val="22"/>
          <w:lang w:val="pl-PL"/>
        </w:rPr>
        <w:t xml:space="preserve">Teraz patrzymy w przyszłość na ekscytujący rok 2026, w którym świętujemy </w:t>
      </w:r>
      <w:r w:rsidR="003C784E">
        <w:rPr>
          <w:rFonts w:cs="Segoe UI"/>
          <w:szCs w:val="22"/>
          <w:lang w:val="pl-PL"/>
        </w:rPr>
        <w:t>150-lecie istnienia naszej firmy</w:t>
      </w:r>
      <w:r w:rsidR="00935611" w:rsidRPr="00935611">
        <w:rPr>
          <w:rFonts w:cs="Segoe UI"/>
          <w:szCs w:val="22"/>
          <w:lang w:val="pl-PL"/>
        </w:rPr>
        <w:t xml:space="preserve">. Jesteśmy oczywiście dumni z naszego dziedzictwa – </w:t>
      </w:r>
      <w:r w:rsidR="003C784E" w:rsidRPr="003C784E">
        <w:rPr>
          <w:rFonts w:cs="Segoe UI"/>
          <w:szCs w:val="22"/>
          <w:lang w:val="pl-PL"/>
        </w:rPr>
        <w:t>ale dla nas nie jest to powód, by stać w miejscu</w:t>
      </w:r>
      <w:r w:rsidR="00935611" w:rsidRPr="00935611">
        <w:rPr>
          <w:rFonts w:cs="Segoe UI"/>
          <w:szCs w:val="22"/>
          <w:lang w:val="pl-PL"/>
        </w:rPr>
        <w:t xml:space="preserve">. Jest to raczej źródło motywacji na </w:t>
      </w:r>
      <w:r w:rsidR="003C784E">
        <w:rPr>
          <w:rFonts w:cs="Segoe UI"/>
          <w:szCs w:val="22"/>
          <w:lang w:val="pl-PL"/>
        </w:rPr>
        <w:t>kolejne lata</w:t>
      </w:r>
      <w:r w:rsidR="00935611" w:rsidRPr="00935611">
        <w:rPr>
          <w:rFonts w:cs="Segoe UI"/>
          <w:szCs w:val="22"/>
          <w:lang w:val="pl-PL"/>
        </w:rPr>
        <w:t xml:space="preserve">. Jesteśmy gotowi na przyszłość. Wtedy, jak i teraz, będziemy czerpać z naszego pionierskiego ducha, aby rozwijać </w:t>
      </w:r>
      <w:r w:rsidR="003C784E">
        <w:rPr>
          <w:rFonts w:cs="Segoe UI"/>
          <w:szCs w:val="22"/>
          <w:lang w:val="pl-PL"/>
        </w:rPr>
        <w:t xml:space="preserve">innowacyjne </w:t>
      </w:r>
      <w:r w:rsidR="00935611" w:rsidRPr="00935611">
        <w:rPr>
          <w:rFonts w:cs="Segoe UI"/>
          <w:szCs w:val="22"/>
          <w:lang w:val="pl-PL"/>
        </w:rPr>
        <w:t xml:space="preserve">produkty i rozwiązania dla przyszłych pokoleń. </w:t>
      </w:r>
      <w:r w:rsidR="00935611" w:rsidRPr="003C784E">
        <w:rPr>
          <w:rFonts w:cs="Segoe UI"/>
          <w:szCs w:val="22"/>
        </w:rPr>
        <w:t xml:space="preserve">Jest to </w:t>
      </w:r>
      <w:proofErr w:type="spellStart"/>
      <w:r w:rsidR="00935611" w:rsidRPr="003C784E">
        <w:rPr>
          <w:rFonts w:cs="Segoe UI"/>
          <w:szCs w:val="22"/>
        </w:rPr>
        <w:t>całkowicie</w:t>
      </w:r>
      <w:proofErr w:type="spellEnd"/>
      <w:r w:rsidR="00935611" w:rsidRPr="003C784E">
        <w:rPr>
          <w:rFonts w:cs="Segoe UI"/>
          <w:szCs w:val="22"/>
        </w:rPr>
        <w:t xml:space="preserve"> </w:t>
      </w:r>
      <w:proofErr w:type="spellStart"/>
      <w:r w:rsidR="00935611" w:rsidRPr="003C784E">
        <w:rPr>
          <w:rFonts w:cs="Segoe UI"/>
          <w:szCs w:val="22"/>
        </w:rPr>
        <w:t>zgodne</w:t>
      </w:r>
      <w:proofErr w:type="spellEnd"/>
      <w:r w:rsidR="00935611" w:rsidRPr="003C784E">
        <w:rPr>
          <w:rFonts w:cs="Segoe UI"/>
          <w:szCs w:val="22"/>
        </w:rPr>
        <w:t xml:space="preserve"> z </w:t>
      </w:r>
      <w:proofErr w:type="spellStart"/>
      <w:r w:rsidR="00935611" w:rsidRPr="003C784E">
        <w:rPr>
          <w:rFonts w:cs="Segoe UI"/>
          <w:szCs w:val="22"/>
        </w:rPr>
        <w:t>nasz</w:t>
      </w:r>
      <w:r w:rsidR="003C784E">
        <w:rPr>
          <w:rFonts w:cs="Segoe UI"/>
          <w:szCs w:val="22"/>
        </w:rPr>
        <w:t>ą</w:t>
      </w:r>
      <w:proofErr w:type="spellEnd"/>
      <w:r w:rsidR="003C784E">
        <w:rPr>
          <w:rFonts w:cs="Segoe UI"/>
          <w:szCs w:val="22"/>
        </w:rPr>
        <w:t xml:space="preserve"> </w:t>
      </w:r>
      <w:proofErr w:type="spellStart"/>
      <w:r w:rsidR="003C784E">
        <w:rPr>
          <w:rFonts w:cs="Segoe UI"/>
          <w:szCs w:val="22"/>
        </w:rPr>
        <w:t>misją</w:t>
      </w:r>
      <w:proofErr w:type="spellEnd"/>
      <w:r w:rsidR="003C784E">
        <w:rPr>
          <w:rFonts w:cs="Segoe UI"/>
          <w:szCs w:val="22"/>
        </w:rPr>
        <w:t>:</w:t>
      </w:r>
      <w:r w:rsidR="00935611" w:rsidRPr="003C784E">
        <w:rPr>
          <w:rFonts w:cs="Segoe UI"/>
          <w:szCs w:val="22"/>
        </w:rPr>
        <w:t xml:space="preserve"> Pioneers at heart for the good of generations – </w:t>
      </w:r>
      <w:proofErr w:type="spellStart"/>
      <w:r w:rsidR="00935611" w:rsidRPr="003C784E">
        <w:rPr>
          <w:rFonts w:cs="Segoe UI"/>
          <w:szCs w:val="22"/>
        </w:rPr>
        <w:t>kontynuuje</w:t>
      </w:r>
      <w:proofErr w:type="spellEnd"/>
      <w:r w:rsidR="00935611" w:rsidRPr="003C784E">
        <w:rPr>
          <w:rFonts w:cs="Segoe UI"/>
          <w:szCs w:val="22"/>
        </w:rPr>
        <w:t xml:space="preserve"> Carsten Knobel.</w:t>
      </w:r>
      <w:r w:rsidRPr="003C784E">
        <w:rPr>
          <w:rFonts w:cs="Segoe UI"/>
          <w:szCs w:val="22"/>
        </w:rPr>
        <w:t>”</w:t>
      </w:r>
    </w:p>
    <w:bookmarkEnd w:id="11"/>
    <w:p w14:paraId="33E22388" w14:textId="77777777" w:rsidR="00B312F1" w:rsidRPr="00D72F14" w:rsidRDefault="00B312F1">
      <w:pPr>
        <w:spacing w:line="240" w:lineRule="auto"/>
        <w:jc w:val="left"/>
        <w:rPr>
          <w:rFonts w:eastAsia="PMingLiU"/>
          <w:b/>
          <w:bCs/>
          <w:sz w:val="18"/>
          <w:lang w:val="pl-PL"/>
        </w:rPr>
      </w:pPr>
    </w:p>
    <w:p w14:paraId="32D90A78" w14:textId="77777777" w:rsidR="00062741" w:rsidRPr="00D72F14" w:rsidRDefault="00062741">
      <w:pPr>
        <w:spacing w:line="240" w:lineRule="auto"/>
        <w:jc w:val="left"/>
        <w:rPr>
          <w:rFonts w:eastAsia="PMingLiU"/>
          <w:b/>
          <w:bCs/>
          <w:sz w:val="18"/>
          <w:lang w:val="pl-PL"/>
        </w:rPr>
      </w:pPr>
    </w:p>
    <w:p w14:paraId="680187D5" w14:textId="19ED6BAF" w:rsidR="00292C23" w:rsidRDefault="00D72F14" w:rsidP="00292C23">
      <w:pPr>
        <w:rPr>
          <w:b/>
          <w:bCs/>
          <w:sz w:val="18"/>
          <w:szCs w:val="18"/>
          <w:lang w:val="pl-PL"/>
        </w:rPr>
      </w:pPr>
      <w:r w:rsidRPr="00D72F14">
        <w:rPr>
          <w:b/>
          <w:bCs/>
          <w:sz w:val="18"/>
          <w:szCs w:val="18"/>
          <w:lang w:val="pl-PL"/>
        </w:rPr>
        <w:t>O f</w:t>
      </w:r>
      <w:r>
        <w:rPr>
          <w:b/>
          <w:bCs/>
          <w:sz w:val="18"/>
          <w:szCs w:val="18"/>
          <w:lang w:val="pl-PL"/>
        </w:rPr>
        <w:t xml:space="preserve">irmie Henkel </w:t>
      </w:r>
    </w:p>
    <w:p w14:paraId="05D1E447" w14:textId="09551313" w:rsidR="004535E9" w:rsidRPr="00F66D8C" w:rsidRDefault="004535E9" w:rsidP="004535E9">
      <w:pPr>
        <w:rPr>
          <w:sz w:val="18"/>
          <w:lang w:val="pl-PL"/>
        </w:rPr>
      </w:pPr>
      <w:r w:rsidRPr="00F66D8C">
        <w:rPr>
          <w:sz w:val="18"/>
          <w:lang w:val="pl-PL"/>
        </w:rPr>
        <w:t>Dzięki swoim markom, innowacjom i technologiom firma Henkel zajmuje czo</w:t>
      </w:r>
      <w:r w:rsidRPr="00F66D8C">
        <w:rPr>
          <w:rFonts w:hint="eastAsia"/>
          <w:sz w:val="18"/>
          <w:lang w:val="pl-PL"/>
        </w:rPr>
        <w:t>ł</w:t>
      </w:r>
      <w:r w:rsidRPr="00F66D8C">
        <w:rPr>
          <w:sz w:val="18"/>
          <w:lang w:val="pl-PL"/>
        </w:rPr>
        <w:t>owe pozycje rynkowe na ca</w:t>
      </w:r>
      <w:r w:rsidRPr="00F66D8C">
        <w:rPr>
          <w:rFonts w:hint="eastAsia"/>
          <w:sz w:val="18"/>
          <w:lang w:val="pl-PL"/>
        </w:rPr>
        <w:t>ł</w:t>
      </w:r>
      <w:r w:rsidRPr="00F66D8C">
        <w:rPr>
          <w:sz w:val="18"/>
          <w:lang w:val="pl-PL"/>
        </w:rPr>
        <w:t>ym świecie w sektorze przemysłowym, jak i dóbr konsum</w:t>
      </w:r>
      <w:r w:rsidR="00B24F9C">
        <w:rPr>
          <w:sz w:val="18"/>
          <w:lang w:val="pl-PL"/>
        </w:rPr>
        <w:t>enckich</w:t>
      </w:r>
      <w:r w:rsidRPr="00F66D8C">
        <w:rPr>
          <w:sz w:val="18"/>
          <w:lang w:val="pl-PL"/>
        </w:rPr>
        <w:t>.</w:t>
      </w:r>
      <w:r w:rsidR="00F66D8C">
        <w:rPr>
          <w:sz w:val="18"/>
          <w:lang w:val="pl-PL"/>
        </w:rPr>
        <w:t xml:space="preserve"> </w:t>
      </w:r>
      <w:r w:rsidRPr="00F66D8C">
        <w:rPr>
          <w:sz w:val="18"/>
          <w:lang w:val="pl-PL"/>
        </w:rPr>
        <w:t xml:space="preserve">Jednostka biznesowa </w:t>
      </w:r>
      <w:proofErr w:type="spellStart"/>
      <w:r w:rsidRPr="00F66D8C">
        <w:rPr>
          <w:sz w:val="18"/>
          <w:lang w:val="pl-PL"/>
        </w:rPr>
        <w:t>Adhesive</w:t>
      </w:r>
      <w:proofErr w:type="spellEnd"/>
      <w:r w:rsidRPr="00F66D8C">
        <w:rPr>
          <w:sz w:val="18"/>
          <w:lang w:val="pl-PL"/>
        </w:rPr>
        <w:t xml:space="preserve"> Technologies to światowy lider na rynku klejów, uszczelniaczy i powłok. Dzięki działowi Consumer </w:t>
      </w:r>
      <w:proofErr w:type="spellStart"/>
      <w:r w:rsidRPr="00F66D8C">
        <w:rPr>
          <w:sz w:val="18"/>
          <w:lang w:val="pl-PL"/>
        </w:rPr>
        <w:t>Brands</w:t>
      </w:r>
      <w:proofErr w:type="spellEnd"/>
      <w:r w:rsidRPr="00F66D8C">
        <w:rPr>
          <w:sz w:val="18"/>
          <w:lang w:val="pl-PL"/>
        </w:rPr>
        <w:t xml:space="preserve"> firma zajmuje wiodącą pozycje, w szczególności w obszarze środków piorących i czystości oraz produktów do pielęgnacji włosów, na wielu rynkach i w licznych kategoriach na całym świecie.</w:t>
      </w:r>
      <w:r w:rsidR="00F66D8C">
        <w:rPr>
          <w:sz w:val="18"/>
          <w:lang w:val="pl-PL"/>
        </w:rPr>
        <w:t xml:space="preserve"> </w:t>
      </w:r>
      <w:r w:rsidRPr="00F66D8C">
        <w:rPr>
          <w:sz w:val="18"/>
          <w:lang w:val="pl-PL"/>
        </w:rPr>
        <w:t xml:space="preserve">Trzema flagowymi markami firmy są </w:t>
      </w:r>
      <w:proofErr w:type="spellStart"/>
      <w:r w:rsidRPr="00F66D8C">
        <w:rPr>
          <w:sz w:val="18"/>
          <w:lang w:val="pl-PL"/>
        </w:rPr>
        <w:t>Loctite</w:t>
      </w:r>
      <w:proofErr w:type="spellEnd"/>
      <w:r w:rsidRPr="00F66D8C">
        <w:rPr>
          <w:sz w:val="18"/>
          <w:lang w:val="pl-PL"/>
        </w:rPr>
        <w:t>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</w:t>
      </w:r>
      <w:proofErr w:type="spellStart"/>
      <w:r w:rsidRPr="00F66D8C">
        <w:rPr>
          <w:sz w:val="18"/>
          <w:lang w:val="pl-PL"/>
        </w:rPr>
        <w:t>Pioneers</w:t>
      </w:r>
      <w:proofErr w:type="spellEnd"/>
      <w:r w:rsidRPr="00F66D8C">
        <w:rPr>
          <w:sz w:val="18"/>
          <w:lang w:val="pl-PL"/>
        </w:rPr>
        <w:t xml:space="preserve"> </w:t>
      </w:r>
      <w:proofErr w:type="spellStart"/>
      <w:r w:rsidRPr="00F66D8C">
        <w:rPr>
          <w:sz w:val="18"/>
          <w:lang w:val="pl-PL"/>
        </w:rPr>
        <w:t>at</w:t>
      </w:r>
      <w:proofErr w:type="spellEnd"/>
      <w:r w:rsidRPr="00F66D8C">
        <w:rPr>
          <w:sz w:val="18"/>
          <w:lang w:val="pl-PL"/>
        </w:rPr>
        <w:t xml:space="preserve"> </w:t>
      </w:r>
      <w:proofErr w:type="spellStart"/>
      <w:r w:rsidRPr="00F66D8C">
        <w:rPr>
          <w:sz w:val="18"/>
          <w:lang w:val="pl-PL"/>
        </w:rPr>
        <w:t>heart</w:t>
      </w:r>
      <w:proofErr w:type="spellEnd"/>
      <w:r w:rsidRPr="00F66D8C">
        <w:rPr>
          <w:sz w:val="18"/>
          <w:lang w:val="pl-PL"/>
        </w:rPr>
        <w:t xml:space="preserve"> for the </w:t>
      </w:r>
      <w:proofErr w:type="spellStart"/>
      <w:r w:rsidRPr="00F66D8C">
        <w:rPr>
          <w:sz w:val="18"/>
          <w:lang w:val="pl-PL"/>
        </w:rPr>
        <w:t>good</w:t>
      </w:r>
      <w:proofErr w:type="spellEnd"/>
      <w:r w:rsidRPr="00F66D8C">
        <w:rPr>
          <w:sz w:val="18"/>
          <w:lang w:val="pl-PL"/>
        </w:rPr>
        <w:t xml:space="preserve"> of </w:t>
      </w:r>
      <w:proofErr w:type="spellStart"/>
      <w:r w:rsidRPr="00F66D8C">
        <w:rPr>
          <w:sz w:val="18"/>
          <w:lang w:val="pl-PL"/>
        </w:rPr>
        <w:t>generations</w:t>
      </w:r>
      <w:proofErr w:type="spellEnd"/>
      <w:r w:rsidRPr="00F66D8C">
        <w:rPr>
          <w:sz w:val="18"/>
          <w:lang w:val="pl-PL"/>
        </w:rPr>
        <w:t xml:space="preserve">”. </w:t>
      </w:r>
      <w:r w:rsidR="00F66D8C" w:rsidRPr="00F66D8C">
        <w:rPr>
          <w:sz w:val="18"/>
          <w:lang w:val="pl-PL"/>
        </w:rPr>
        <w:t xml:space="preserve">Więcej informacji na stronie </w:t>
      </w:r>
      <w:hyperlink r:id="rId12" w:history="1">
        <w:r w:rsidR="00F66D8C" w:rsidRPr="00F66D8C">
          <w:rPr>
            <w:rStyle w:val="Hipercze"/>
            <w:szCs w:val="24"/>
            <w:lang w:val="pl-PL"/>
          </w:rPr>
          <w:t>www.henkel.com</w:t>
        </w:r>
      </w:hyperlink>
      <w:r w:rsidR="00F66D8C" w:rsidRPr="00F66D8C">
        <w:rPr>
          <w:sz w:val="18"/>
          <w:lang w:val="pl-PL"/>
        </w:rPr>
        <w:t xml:space="preserve"> </w:t>
      </w:r>
      <w:r w:rsidR="00F66D8C">
        <w:rPr>
          <w:sz w:val="18"/>
          <w:lang w:val="pl-PL"/>
        </w:rPr>
        <w:t>i</w:t>
      </w:r>
      <w:r w:rsidR="00F66D8C" w:rsidRPr="00F66D8C">
        <w:rPr>
          <w:sz w:val="18"/>
          <w:lang w:val="pl-PL"/>
        </w:rPr>
        <w:t xml:space="preserve"> </w:t>
      </w:r>
      <w:hyperlink r:id="rId13" w:history="1">
        <w:r w:rsidR="00F66D8C" w:rsidRPr="00637BDD">
          <w:rPr>
            <w:rStyle w:val="Hipercze"/>
            <w:szCs w:val="24"/>
            <w:lang w:val="pl-PL"/>
          </w:rPr>
          <w:t>www.henkel.pl</w:t>
        </w:r>
      </w:hyperlink>
      <w:r w:rsidR="00F66D8C">
        <w:rPr>
          <w:sz w:val="18"/>
          <w:lang w:val="pl-PL"/>
        </w:rPr>
        <w:t xml:space="preserve">. </w:t>
      </w:r>
    </w:p>
    <w:p w14:paraId="37D45FE1" w14:textId="77777777" w:rsidR="00D72F14" w:rsidRPr="00D72F14" w:rsidRDefault="00D72F14" w:rsidP="00292C23">
      <w:pPr>
        <w:rPr>
          <w:rFonts w:cs="Segoe UI"/>
          <w:b/>
          <w:bCs/>
          <w:szCs w:val="22"/>
          <w:lang w:val="pl-PL"/>
        </w:rPr>
      </w:pPr>
    </w:p>
    <w:p w14:paraId="3E8DCBC1" w14:textId="5D573D83" w:rsidR="00292C23" w:rsidRPr="00292C23" w:rsidRDefault="00F66D8C" w:rsidP="00292C23">
      <w:pPr>
        <w:spacing w:line="240" w:lineRule="auto"/>
        <w:jc w:val="left"/>
        <w:rPr>
          <w:rFonts w:asciiTheme="majorHAnsi" w:hAnsiTheme="majorHAnsi" w:cs="Calibri Light"/>
          <w:b/>
          <w:sz w:val="18"/>
          <w:szCs w:val="18"/>
        </w:rPr>
      </w:pPr>
      <w:r>
        <w:rPr>
          <w:rFonts w:asciiTheme="majorHAnsi" w:hAnsiTheme="majorHAnsi" w:cs="Calibri Light"/>
          <w:b/>
          <w:sz w:val="18"/>
          <w:szCs w:val="18"/>
        </w:rPr>
        <w:t>Kontakt</w:t>
      </w:r>
    </w:p>
    <w:p w14:paraId="60CE870C" w14:textId="77777777" w:rsidR="00292C23" w:rsidRPr="00292C23" w:rsidRDefault="00292C23" w:rsidP="00292C23">
      <w:pPr>
        <w:tabs>
          <w:tab w:val="left" w:pos="1080"/>
          <w:tab w:val="left" w:pos="4500"/>
        </w:tabs>
        <w:spacing w:line="264" w:lineRule="auto"/>
        <w:rPr>
          <w:rFonts w:asciiTheme="majorHAnsi" w:hAnsiTheme="majorHAnsi" w:cs="Calibri Light"/>
          <w:b/>
          <w:sz w:val="16"/>
          <w:szCs w:val="16"/>
        </w:rPr>
      </w:pPr>
    </w:p>
    <w:p w14:paraId="6E1FD2B0" w14:textId="77777777" w:rsidR="00292C23" w:rsidRPr="00292C23" w:rsidRDefault="00292C23" w:rsidP="00292C23">
      <w:pPr>
        <w:tabs>
          <w:tab w:val="left" w:pos="1080"/>
          <w:tab w:val="left" w:pos="4500"/>
        </w:tabs>
        <w:spacing w:line="264" w:lineRule="auto"/>
        <w:rPr>
          <w:rFonts w:asciiTheme="majorHAnsi" w:hAnsiTheme="majorHAnsi" w:cs="Calibri Light"/>
          <w:b/>
          <w:sz w:val="18"/>
          <w:szCs w:val="18"/>
        </w:rPr>
      </w:pPr>
      <w:r w:rsidRPr="00292C23">
        <w:rPr>
          <w:rFonts w:asciiTheme="majorHAnsi" w:hAnsiTheme="majorHAnsi" w:cs="Calibri Light"/>
          <w:b/>
          <w:sz w:val="18"/>
          <w:szCs w:val="18"/>
        </w:rPr>
        <w:t>Investors &amp; Analysts</w:t>
      </w:r>
      <w:r w:rsidRPr="00292C23">
        <w:rPr>
          <w:rFonts w:asciiTheme="majorHAnsi" w:hAnsiTheme="majorHAnsi" w:cs="Calibri Light"/>
          <w:sz w:val="18"/>
          <w:szCs w:val="18"/>
        </w:rPr>
        <w:tab/>
      </w:r>
      <w:r w:rsidRPr="00292C23">
        <w:rPr>
          <w:rFonts w:asciiTheme="majorHAnsi" w:hAnsiTheme="majorHAnsi" w:cs="Calibri Light"/>
          <w:b/>
          <w:sz w:val="18"/>
          <w:szCs w:val="18"/>
        </w:rPr>
        <w:t>Press &amp; Media</w:t>
      </w:r>
    </w:p>
    <w:p w14:paraId="55E2A964" w14:textId="77777777" w:rsidR="00292C23" w:rsidRPr="00292C23" w:rsidRDefault="00292C23" w:rsidP="00292C23">
      <w:pPr>
        <w:tabs>
          <w:tab w:val="left" w:pos="1080"/>
          <w:tab w:val="left" w:pos="4500"/>
        </w:tabs>
        <w:spacing w:line="264" w:lineRule="auto"/>
        <w:rPr>
          <w:rFonts w:asciiTheme="majorHAnsi" w:hAnsiTheme="majorHAnsi" w:cs="Calibri Light"/>
          <w:b/>
          <w:sz w:val="16"/>
          <w:szCs w:val="16"/>
        </w:rPr>
      </w:pPr>
    </w:p>
    <w:p w14:paraId="73893A1E" w14:textId="77777777" w:rsidR="00292C23" w:rsidRPr="00292C23" w:rsidRDefault="00292C23" w:rsidP="00292C23">
      <w:pPr>
        <w:tabs>
          <w:tab w:val="left" w:pos="1080"/>
          <w:tab w:val="left" w:pos="4500"/>
        </w:tabs>
        <w:spacing w:line="264" w:lineRule="auto"/>
        <w:rPr>
          <w:rFonts w:asciiTheme="majorHAnsi" w:hAnsiTheme="majorHAnsi" w:cs="Calibri Light"/>
          <w:b/>
          <w:sz w:val="18"/>
          <w:szCs w:val="18"/>
        </w:rPr>
      </w:pPr>
      <w:r w:rsidRPr="00292C23">
        <w:rPr>
          <w:rFonts w:asciiTheme="majorHAnsi" w:hAnsiTheme="majorHAnsi" w:cs="Calibri Light"/>
          <w:b/>
          <w:sz w:val="18"/>
          <w:szCs w:val="18"/>
        </w:rPr>
        <w:t>Leslie Iltgen</w:t>
      </w:r>
      <w:r w:rsidRPr="00292C23">
        <w:rPr>
          <w:rFonts w:asciiTheme="majorHAnsi" w:hAnsiTheme="majorHAnsi" w:cs="Calibri Light"/>
          <w:b/>
          <w:sz w:val="18"/>
          <w:szCs w:val="18"/>
        </w:rPr>
        <w:tab/>
      </w:r>
      <w:r w:rsidRPr="00292C23">
        <w:rPr>
          <w:rFonts w:asciiTheme="majorHAnsi" w:hAnsiTheme="majorHAnsi" w:cs="Calibri Light"/>
          <w:sz w:val="18"/>
          <w:szCs w:val="18"/>
        </w:rPr>
        <w:tab/>
      </w:r>
      <w:r w:rsidRPr="00292C23">
        <w:rPr>
          <w:rFonts w:asciiTheme="majorHAnsi" w:hAnsiTheme="majorHAnsi" w:cs="Calibri Light"/>
          <w:b/>
          <w:sz w:val="18"/>
          <w:szCs w:val="18"/>
        </w:rPr>
        <w:t xml:space="preserve">Lars </w:t>
      </w:r>
      <w:proofErr w:type="spellStart"/>
      <w:r w:rsidRPr="00292C23">
        <w:rPr>
          <w:rFonts w:asciiTheme="majorHAnsi" w:hAnsiTheme="majorHAnsi" w:cs="Calibri Light"/>
          <w:b/>
          <w:sz w:val="18"/>
          <w:szCs w:val="18"/>
        </w:rPr>
        <w:t>Witteck</w:t>
      </w:r>
      <w:proofErr w:type="spellEnd"/>
    </w:p>
    <w:p w14:paraId="7287741A" w14:textId="77777777" w:rsidR="00292C23" w:rsidRPr="00292C23" w:rsidRDefault="00292C23" w:rsidP="00292C23">
      <w:pPr>
        <w:tabs>
          <w:tab w:val="left" w:pos="709"/>
          <w:tab w:val="left" w:pos="4500"/>
          <w:tab w:val="left" w:pos="5245"/>
        </w:tabs>
        <w:spacing w:line="264" w:lineRule="auto"/>
        <w:rPr>
          <w:rFonts w:asciiTheme="majorHAnsi" w:hAnsiTheme="majorHAnsi" w:cs="Calibri Light"/>
          <w:sz w:val="18"/>
          <w:szCs w:val="18"/>
        </w:rPr>
      </w:pPr>
      <w:r w:rsidRPr="00292C23">
        <w:rPr>
          <w:rFonts w:asciiTheme="majorHAnsi" w:hAnsiTheme="majorHAnsi" w:cs="Calibri Light"/>
          <w:sz w:val="18"/>
          <w:szCs w:val="18"/>
        </w:rPr>
        <w:t>Phone:</w:t>
      </w:r>
      <w:r w:rsidRPr="00292C23">
        <w:rPr>
          <w:rFonts w:asciiTheme="majorHAnsi" w:hAnsiTheme="majorHAnsi" w:cs="Calibri Light"/>
          <w:sz w:val="18"/>
          <w:szCs w:val="18"/>
        </w:rPr>
        <w:tab/>
        <w:t>+49 211 797 - 1631</w:t>
      </w:r>
      <w:r w:rsidRPr="00292C23">
        <w:rPr>
          <w:rFonts w:asciiTheme="majorHAnsi" w:hAnsiTheme="majorHAnsi" w:cs="Calibri Light"/>
          <w:sz w:val="18"/>
          <w:szCs w:val="18"/>
        </w:rPr>
        <w:tab/>
        <w:t>Phone:</w:t>
      </w:r>
      <w:r w:rsidRPr="00292C23">
        <w:rPr>
          <w:rFonts w:asciiTheme="majorHAnsi" w:hAnsiTheme="majorHAnsi" w:cs="Calibri Light"/>
          <w:sz w:val="18"/>
          <w:szCs w:val="18"/>
        </w:rPr>
        <w:tab/>
        <w:t>+49 211 797 - 2606</w:t>
      </w:r>
    </w:p>
    <w:p w14:paraId="517DF62A" w14:textId="77777777" w:rsidR="00292C23" w:rsidRPr="00292C23" w:rsidRDefault="00292C23" w:rsidP="00292C23">
      <w:pPr>
        <w:tabs>
          <w:tab w:val="left" w:pos="709"/>
          <w:tab w:val="left" w:pos="4500"/>
          <w:tab w:val="left" w:pos="5245"/>
        </w:tabs>
        <w:spacing w:line="264" w:lineRule="auto"/>
        <w:rPr>
          <w:rFonts w:asciiTheme="majorHAnsi" w:hAnsiTheme="majorHAnsi" w:cs="Calibri Light"/>
          <w:sz w:val="18"/>
          <w:szCs w:val="18"/>
        </w:rPr>
      </w:pPr>
      <w:r w:rsidRPr="00292C23">
        <w:rPr>
          <w:rFonts w:asciiTheme="majorHAnsi" w:hAnsiTheme="majorHAnsi" w:cs="Calibri Light"/>
          <w:sz w:val="18"/>
          <w:szCs w:val="18"/>
        </w:rPr>
        <w:t xml:space="preserve">Email: </w:t>
      </w:r>
      <w:r w:rsidRPr="00292C23">
        <w:rPr>
          <w:rFonts w:asciiTheme="majorHAnsi" w:hAnsiTheme="majorHAnsi" w:cs="Calibri Light"/>
          <w:sz w:val="18"/>
          <w:szCs w:val="18"/>
        </w:rPr>
        <w:tab/>
      </w:r>
      <w:hyperlink r:id="rId14" w:history="1">
        <w:r w:rsidRPr="00292C23">
          <w:rPr>
            <w:rFonts w:asciiTheme="majorHAnsi" w:hAnsiTheme="majorHAnsi" w:cs="Calibri Light"/>
            <w:color w:val="0000FF"/>
            <w:sz w:val="18"/>
            <w:szCs w:val="18"/>
            <w:u w:val="single"/>
          </w:rPr>
          <w:t>leslie.iltgen@henkel.com</w:t>
        </w:r>
      </w:hyperlink>
      <w:r w:rsidRPr="00292C23">
        <w:rPr>
          <w:rFonts w:asciiTheme="majorHAnsi" w:hAnsiTheme="majorHAnsi" w:cs="Calibri Light"/>
          <w:sz w:val="18"/>
          <w:szCs w:val="18"/>
        </w:rPr>
        <w:tab/>
        <w:t>Email:</w:t>
      </w:r>
      <w:r w:rsidRPr="00292C23">
        <w:rPr>
          <w:rFonts w:asciiTheme="majorHAnsi" w:hAnsiTheme="majorHAnsi" w:cs="Calibri Light"/>
          <w:sz w:val="18"/>
          <w:szCs w:val="18"/>
        </w:rPr>
        <w:tab/>
      </w:r>
      <w:hyperlink r:id="rId15" w:history="1">
        <w:r w:rsidRPr="00292C23">
          <w:rPr>
            <w:rFonts w:asciiTheme="majorHAnsi" w:hAnsiTheme="majorHAnsi" w:cs="Calibri Light"/>
            <w:color w:val="0000FF"/>
            <w:sz w:val="18"/>
            <w:szCs w:val="18"/>
            <w:u w:val="single"/>
          </w:rPr>
          <w:t>lars.witteck@henkel.com</w:t>
        </w:r>
      </w:hyperlink>
    </w:p>
    <w:p w14:paraId="685998AD" w14:textId="77777777" w:rsidR="00292C23" w:rsidRPr="00292C23" w:rsidRDefault="00292C23" w:rsidP="00292C23">
      <w:pPr>
        <w:tabs>
          <w:tab w:val="left" w:pos="1080"/>
          <w:tab w:val="left" w:pos="4500"/>
        </w:tabs>
        <w:spacing w:line="264" w:lineRule="auto"/>
        <w:rPr>
          <w:rFonts w:asciiTheme="majorHAnsi" w:hAnsiTheme="majorHAnsi" w:cs="Calibri Light"/>
          <w:sz w:val="16"/>
          <w:szCs w:val="16"/>
        </w:rPr>
      </w:pPr>
    </w:p>
    <w:p w14:paraId="50430282" w14:textId="77777777" w:rsidR="00292C23" w:rsidRPr="00292C23" w:rsidRDefault="00292C23" w:rsidP="00292C23">
      <w:pPr>
        <w:tabs>
          <w:tab w:val="left" w:pos="1080"/>
          <w:tab w:val="left" w:pos="4500"/>
        </w:tabs>
        <w:spacing w:line="264" w:lineRule="auto"/>
        <w:rPr>
          <w:rFonts w:asciiTheme="majorHAnsi" w:hAnsiTheme="majorHAnsi" w:cs="Calibri Light"/>
          <w:sz w:val="18"/>
          <w:szCs w:val="18"/>
        </w:rPr>
      </w:pPr>
      <w:r w:rsidRPr="00292C23">
        <w:rPr>
          <w:rFonts w:asciiTheme="majorHAnsi" w:hAnsiTheme="majorHAnsi" w:cs="Calibri Light"/>
          <w:b/>
          <w:sz w:val="18"/>
          <w:szCs w:val="18"/>
        </w:rPr>
        <w:t>Dr. Dennis Starke</w:t>
      </w:r>
      <w:r w:rsidRPr="00292C23">
        <w:rPr>
          <w:rFonts w:asciiTheme="majorHAnsi" w:hAnsiTheme="majorHAnsi" w:cs="Calibri Light"/>
          <w:b/>
          <w:sz w:val="18"/>
          <w:szCs w:val="18"/>
        </w:rPr>
        <w:tab/>
        <w:t xml:space="preserve">Wulf </w:t>
      </w:r>
      <w:proofErr w:type="spellStart"/>
      <w:r w:rsidRPr="00292C23">
        <w:rPr>
          <w:rFonts w:asciiTheme="majorHAnsi" w:hAnsiTheme="majorHAnsi" w:cs="Calibri Light"/>
          <w:b/>
          <w:sz w:val="18"/>
          <w:szCs w:val="18"/>
        </w:rPr>
        <w:t>Klüppelholz</w:t>
      </w:r>
      <w:proofErr w:type="spellEnd"/>
    </w:p>
    <w:p w14:paraId="35C41104" w14:textId="77777777" w:rsidR="00292C23" w:rsidRPr="00292C23" w:rsidRDefault="00292C23" w:rsidP="00292C23">
      <w:pPr>
        <w:tabs>
          <w:tab w:val="left" w:pos="709"/>
          <w:tab w:val="left" w:pos="4500"/>
          <w:tab w:val="left" w:pos="5245"/>
        </w:tabs>
        <w:spacing w:line="264" w:lineRule="auto"/>
        <w:rPr>
          <w:rFonts w:asciiTheme="majorHAnsi" w:hAnsiTheme="majorHAnsi" w:cs="Calibri Light"/>
          <w:sz w:val="18"/>
          <w:szCs w:val="18"/>
        </w:rPr>
      </w:pPr>
      <w:r w:rsidRPr="00292C23">
        <w:rPr>
          <w:rFonts w:asciiTheme="majorHAnsi" w:hAnsiTheme="majorHAnsi" w:cs="Calibri Light"/>
          <w:sz w:val="18"/>
          <w:szCs w:val="18"/>
        </w:rPr>
        <w:t>Phone:</w:t>
      </w:r>
      <w:r w:rsidRPr="00292C23">
        <w:rPr>
          <w:rFonts w:asciiTheme="majorHAnsi" w:hAnsiTheme="majorHAnsi" w:cs="Calibri Light"/>
          <w:sz w:val="18"/>
          <w:szCs w:val="18"/>
        </w:rPr>
        <w:tab/>
        <w:t>+49 211 797 - 5601</w:t>
      </w:r>
      <w:r w:rsidRPr="00292C23">
        <w:rPr>
          <w:rFonts w:asciiTheme="majorHAnsi" w:hAnsiTheme="majorHAnsi" w:cs="Calibri Light"/>
          <w:sz w:val="18"/>
          <w:szCs w:val="18"/>
        </w:rPr>
        <w:tab/>
        <w:t>Phone:</w:t>
      </w:r>
      <w:r w:rsidRPr="00292C23">
        <w:rPr>
          <w:rFonts w:asciiTheme="majorHAnsi" w:hAnsiTheme="majorHAnsi" w:cs="Calibri Light"/>
          <w:sz w:val="18"/>
          <w:szCs w:val="18"/>
        </w:rPr>
        <w:tab/>
        <w:t>+49 211 797 - 1875</w:t>
      </w:r>
    </w:p>
    <w:p w14:paraId="3DCD8D7C" w14:textId="77777777" w:rsidR="00292C23" w:rsidRPr="00292C23" w:rsidRDefault="00292C23" w:rsidP="00292C23">
      <w:pPr>
        <w:tabs>
          <w:tab w:val="left" w:pos="709"/>
          <w:tab w:val="left" w:pos="4500"/>
          <w:tab w:val="left" w:pos="5245"/>
        </w:tabs>
        <w:spacing w:line="264" w:lineRule="auto"/>
        <w:rPr>
          <w:rFonts w:asciiTheme="majorHAnsi" w:hAnsiTheme="majorHAnsi" w:cs="Calibri Light"/>
          <w:sz w:val="18"/>
          <w:szCs w:val="18"/>
        </w:rPr>
      </w:pPr>
      <w:r w:rsidRPr="00292C23">
        <w:rPr>
          <w:rFonts w:asciiTheme="majorHAnsi" w:hAnsiTheme="majorHAnsi" w:cs="Calibri Light"/>
          <w:sz w:val="18"/>
          <w:szCs w:val="18"/>
        </w:rPr>
        <w:t xml:space="preserve">Email: </w:t>
      </w:r>
      <w:r w:rsidRPr="00292C23">
        <w:rPr>
          <w:rFonts w:asciiTheme="majorHAnsi" w:hAnsiTheme="majorHAnsi" w:cs="Calibri Light"/>
          <w:sz w:val="18"/>
          <w:szCs w:val="18"/>
        </w:rPr>
        <w:tab/>
      </w:r>
      <w:hyperlink r:id="rId16" w:history="1">
        <w:r w:rsidRPr="00292C23">
          <w:rPr>
            <w:rFonts w:asciiTheme="majorHAnsi" w:hAnsiTheme="majorHAnsi" w:cs="Calibri Light"/>
            <w:color w:val="0000FF"/>
            <w:sz w:val="18"/>
            <w:szCs w:val="18"/>
            <w:u w:val="single"/>
          </w:rPr>
          <w:t>dennis.starke@henkel.com</w:t>
        </w:r>
      </w:hyperlink>
      <w:r w:rsidRPr="00292C23">
        <w:rPr>
          <w:rFonts w:asciiTheme="majorHAnsi" w:hAnsiTheme="majorHAnsi" w:cs="Calibri Light"/>
          <w:sz w:val="18"/>
          <w:szCs w:val="18"/>
        </w:rPr>
        <w:tab/>
        <w:t>Email:</w:t>
      </w:r>
      <w:r w:rsidRPr="00292C23">
        <w:rPr>
          <w:rFonts w:asciiTheme="majorHAnsi" w:hAnsiTheme="majorHAnsi" w:cs="Calibri Light"/>
          <w:sz w:val="18"/>
          <w:szCs w:val="18"/>
        </w:rPr>
        <w:tab/>
      </w:r>
      <w:hyperlink r:id="rId17" w:history="1">
        <w:r w:rsidRPr="00292C23">
          <w:rPr>
            <w:rFonts w:asciiTheme="majorHAnsi" w:hAnsiTheme="majorHAnsi" w:cs="Calibri Light"/>
            <w:color w:val="0000FF"/>
            <w:sz w:val="18"/>
            <w:szCs w:val="18"/>
            <w:u w:val="single"/>
          </w:rPr>
          <w:t>wulf.klueppelholz@henkel.com</w:t>
        </w:r>
      </w:hyperlink>
    </w:p>
    <w:p w14:paraId="11B9AF62" w14:textId="77777777" w:rsidR="00292C23" w:rsidRPr="00292C23" w:rsidRDefault="00292C23" w:rsidP="00292C23">
      <w:pPr>
        <w:tabs>
          <w:tab w:val="left" w:pos="1080"/>
          <w:tab w:val="left" w:pos="4500"/>
        </w:tabs>
        <w:spacing w:line="264" w:lineRule="auto"/>
        <w:rPr>
          <w:rFonts w:asciiTheme="majorHAnsi" w:hAnsiTheme="majorHAnsi" w:cs="Calibri Light"/>
          <w:sz w:val="16"/>
          <w:szCs w:val="16"/>
        </w:rPr>
      </w:pPr>
    </w:p>
    <w:p w14:paraId="1B89F435" w14:textId="63F1A584" w:rsidR="00292C23" w:rsidRPr="00292C23" w:rsidRDefault="00292C23" w:rsidP="00292C23">
      <w:pPr>
        <w:tabs>
          <w:tab w:val="left" w:pos="709"/>
          <w:tab w:val="left" w:pos="4500"/>
          <w:tab w:val="left" w:pos="5245"/>
        </w:tabs>
        <w:spacing w:line="264" w:lineRule="auto"/>
        <w:rPr>
          <w:rFonts w:asciiTheme="majorHAnsi" w:eastAsia="PMingLiU" w:hAnsiTheme="majorHAnsi" w:cs="Calibri Light"/>
          <w:b/>
          <w:bCs/>
          <w:sz w:val="18"/>
          <w:szCs w:val="18"/>
        </w:rPr>
      </w:pPr>
      <w:r w:rsidRPr="00292C23">
        <w:rPr>
          <w:rFonts w:asciiTheme="majorHAnsi" w:eastAsia="PMingLiU" w:hAnsiTheme="majorHAnsi" w:cs="Calibri Light"/>
          <w:b/>
          <w:bCs/>
          <w:sz w:val="18"/>
          <w:szCs w:val="18"/>
        </w:rPr>
        <w:t xml:space="preserve">Dr. Sascha </w:t>
      </w:r>
      <w:proofErr w:type="spellStart"/>
      <w:r w:rsidRPr="00292C23">
        <w:rPr>
          <w:rFonts w:asciiTheme="majorHAnsi" w:eastAsia="PMingLiU" w:hAnsiTheme="majorHAnsi" w:cs="Calibri Light"/>
          <w:b/>
          <w:bCs/>
          <w:sz w:val="18"/>
          <w:szCs w:val="18"/>
        </w:rPr>
        <w:t>Kieback</w:t>
      </w:r>
      <w:proofErr w:type="spellEnd"/>
      <w:r w:rsidRPr="00292C23">
        <w:tab/>
      </w:r>
      <w:r>
        <w:rPr>
          <w:rFonts w:asciiTheme="majorHAnsi" w:eastAsia="PMingLiU" w:hAnsiTheme="majorHAnsi" w:cs="Calibri Light"/>
          <w:b/>
          <w:bCs/>
          <w:sz w:val="18"/>
          <w:szCs w:val="18"/>
        </w:rPr>
        <w:t>Hanna Philipps</w:t>
      </w:r>
    </w:p>
    <w:p w14:paraId="166A522C" w14:textId="196B8B93" w:rsidR="00292C23" w:rsidRPr="00292C23" w:rsidRDefault="00292C23" w:rsidP="00292C23">
      <w:pPr>
        <w:tabs>
          <w:tab w:val="left" w:pos="709"/>
          <w:tab w:val="left" w:pos="4500"/>
          <w:tab w:val="left" w:pos="5245"/>
        </w:tabs>
        <w:spacing w:line="264" w:lineRule="auto"/>
        <w:rPr>
          <w:rFonts w:asciiTheme="majorHAnsi" w:eastAsia="PMingLiU" w:hAnsiTheme="majorHAnsi" w:cs="Calibri Light"/>
          <w:sz w:val="18"/>
          <w:szCs w:val="18"/>
        </w:rPr>
      </w:pPr>
      <w:r w:rsidRPr="00292C23">
        <w:rPr>
          <w:rFonts w:asciiTheme="majorHAnsi" w:hAnsiTheme="majorHAnsi" w:cs="Calibri Light"/>
          <w:sz w:val="18"/>
        </w:rPr>
        <w:t>Phone</w:t>
      </w:r>
      <w:proofErr w:type="gramStart"/>
      <w:r w:rsidRPr="00292C23">
        <w:rPr>
          <w:rFonts w:asciiTheme="majorHAnsi" w:hAnsiTheme="majorHAnsi" w:cs="Calibri Light"/>
          <w:sz w:val="18"/>
        </w:rPr>
        <w:t xml:space="preserve">: </w:t>
      </w:r>
      <w:r w:rsidRPr="00292C23">
        <w:tab/>
      </w:r>
      <w:r w:rsidRPr="00292C23">
        <w:rPr>
          <w:rFonts w:asciiTheme="majorHAnsi" w:hAnsiTheme="majorHAnsi" w:cs="Calibri Light"/>
          <w:sz w:val="18"/>
        </w:rPr>
        <w:t>+</w:t>
      </w:r>
      <w:proofErr w:type="gramEnd"/>
      <w:r w:rsidRPr="00292C23">
        <w:rPr>
          <w:rFonts w:asciiTheme="majorHAnsi" w:hAnsiTheme="majorHAnsi" w:cs="Calibri Light"/>
          <w:sz w:val="18"/>
        </w:rPr>
        <w:t>49 211 797 - 1810</w:t>
      </w:r>
      <w:r w:rsidRPr="00292C23">
        <w:tab/>
      </w:r>
      <w:r w:rsidRPr="00292C23">
        <w:rPr>
          <w:rFonts w:asciiTheme="majorHAnsi" w:hAnsiTheme="majorHAnsi" w:cs="Calibri Light"/>
          <w:sz w:val="18"/>
        </w:rPr>
        <w:t>Phone:</w:t>
      </w:r>
      <w:r w:rsidRPr="00292C23">
        <w:tab/>
      </w:r>
      <w:r w:rsidRPr="00292C23">
        <w:rPr>
          <w:rFonts w:asciiTheme="majorHAnsi" w:hAnsiTheme="majorHAnsi" w:cs="Calibri Light"/>
          <w:sz w:val="18"/>
        </w:rPr>
        <w:t xml:space="preserve">+49 211 797 - </w:t>
      </w:r>
      <w:r>
        <w:rPr>
          <w:rFonts w:asciiTheme="majorHAnsi" w:hAnsiTheme="majorHAnsi" w:cs="Calibri Light"/>
          <w:sz w:val="18"/>
        </w:rPr>
        <w:t>3626</w:t>
      </w:r>
    </w:p>
    <w:p w14:paraId="07DF2F50" w14:textId="25AC6AD8" w:rsidR="00292C23" w:rsidRPr="00292C23" w:rsidRDefault="00292C23" w:rsidP="00292C23">
      <w:pPr>
        <w:tabs>
          <w:tab w:val="left" w:pos="709"/>
          <w:tab w:val="left" w:pos="4500"/>
          <w:tab w:val="left" w:pos="5245"/>
        </w:tabs>
        <w:spacing w:line="264" w:lineRule="auto"/>
        <w:rPr>
          <w:rFonts w:asciiTheme="majorHAnsi" w:eastAsia="PMingLiU" w:hAnsiTheme="majorHAnsi" w:cs="Calibri Light"/>
        </w:rPr>
      </w:pPr>
      <w:r w:rsidRPr="00292C23">
        <w:rPr>
          <w:rFonts w:asciiTheme="majorHAnsi" w:hAnsiTheme="majorHAnsi" w:cs="Calibri Light"/>
          <w:sz w:val="18"/>
        </w:rPr>
        <w:t xml:space="preserve">Email: </w:t>
      </w:r>
      <w:r w:rsidRPr="00292C23">
        <w:tab/>
      </w:r>
      <w:hyperlink r:id="rId18">
        <w:r w:rsidRPr="00292C23">
          <w:rPr>
            <w:rFonts w:asciiTheme="majorHAnsi" w:eastAsia="PMingLiU" w:hAnsiTheme="majorHAnsi" w:cs="Calibri Light"/>
            <w:color w:val="0000FF"/>
            <w:sz w:val="18"/>
            <w:szCs w:val="18"/>
            <w:u w:val="single"/>
          </w:rPr>
          <w:t>sascha.kieback@henkel.com</w:t>
        </w:r>
      </w:hyperlink>
      <w:r w:rsidRPr="00292C23">
        <w:tab/>
      </w:r>
      <w:r w:rsidRPr="00292C23">
        <w:rPr>
          <w:rFonts w:asciiTheme="majorHAnsi" w:hAnsiTheme="majorHAnsi" w:cs="Calibri Light"/>
          <w:sz w:val="18"/>
        </w:rPr>
        <w:t>Email:</w:t>
      </w:r>
      <w:r w:rsidRPr="00292C23">
        <w:tab/>
      </w:r>
      <w:hyperlink r:id="rId19" w:history="1">
        <w:r w:rsidR="008D764F" w:rsidRPr="00717F2A">
          <w:rPr>
            <w:rStyle w:val="Hipercze"/>
            <w:rFonts w:asciiTheme="majorHAnsi" w:eastAsia="PMingLiU" w:hAnsiTheme="majorHAnsi" w:cs="Calibri Light"/>
          </w:rPr>
          <w:t>hanna.philipps</w:t>
        </w:r>
        <w:r w:rsidR="008D764F" w:rsidRPr="00292C23">
          <w:rPr>
            <w:rStyle w:val="Hipercze"/>
            <w:rFonts w:asciiTheme="majorHAnsi" w:eastAsia="PMingLiU" w:hAnsiTheme="majorHAnsi" w:cs="Calibri Light"/>
          </w:rPr>
          <w:t>@henkel.com</w:t>
        </w:r>
      </w:hyperlink>
    </w:p>
    <w:p w14:paraId="1826D4ED" w14:textId="77777777" w:rsidR="00292C23" w:rsidRPr="00292C23" w:rsidRDefault="00292C23" w:rsidP="00292C23">
      <w:pPr>
        <w:tabs>
          <w:tab w:val="left" w:pos="709"/>
          <w:tab w:val="left" w:pos="4500"/>
          <w:tab w:val="left" w:pos="5245"/>
        </w:tabs>
        <w:spacing w:line="264" w:lineRule="auto"/>
        <w:rPr>
          <w:rFonts w:asciiTheme="majorHAnsi" w:hAnsiTheme="majorHAnsi" w:cs="Calibri Light"/>
          <w:sz w:val="16"/>
          <w:szCs w:val="16"/>
        </w:rPr>
      </w:pPr>
    </w:p>
    <w:p w14:paraId="24C338CE" w14:textId="77777777" w:rsidR="00292C23" w:rsidRPr="00292C23" w:rsidRDefault="00292C23" w:rsidP="00292C23">
      <w:pPr>
        <w:tabs>
          <w:tab w:val="left" w:pos="1080"/>
          <w:tab w:val="left" w:pos="4500"/>
        </w:tabs>
        <w:spacing w:line="264" w:lineRule="auto"/>
      </w:pPr>
      <w:hyperlink r:id="rId20" w:history="1">
        <w:r w:rsidRPr="00292C23">
          <w:rPr>
            <w:rFonts w:asciiTheme="majorHAnsi" w:hAnsiTheme="majorHAnsi" w:cs="Calibri Light"/>
            <w:color w:val="0000FF"/>
            <w:sz w:val="18"/>
            <w:szCs w:val="18"/>
            <w:u w:val="single"/>
          </w:rPr>
          <w:t>www.henkel.com/press</w:t>
        </w:r>
      </w:hyperlink>
    </w:p>
    <w:p w14:paraId="23552B25" w14:textId="719090A7" w:rsidR="00A15D78" w:rsidRPr="00292C23" w:rsidRDefault="00292C23" w:rsidP="00997239">
      <w:pPr>
        <w:tabs>
          <w:tab w:val="left" w:pos="1080"/>
          <w:tab w:val="left" w:pos="4500"/>
        </w:tabs>
        <w:spacing w:line="264" w:lineRule="auto"/>
        <w:rPr>
          <w:rStyle w:val="Hipercze"/>
        </w:rPr>
      </w:pPr>
      <w:hyperlink r:id="rId21" w:history="1">
        <w:r w:rsidRPr="00292C23">
          <w:rPr>
            <w:rFonts w:asciiTheme="majorHAnsi" w:hAnsiTheme="majorHAnsi" w:cs="Calibri Light"/>
            <w:color w:val="0000FF"/>
            <w:sz w:val="18"/>
            <w:szCs w:val="18"/>
            <w:u w:val="single"/>
          </w:rPr>
          <w:t>www.henkel.com/ir</w:t>
        </w:r>
      </w:hyperlink>
    </w:p>
    <w:sectPr w:rsidR="00A15D78" w:rsidRPr="00292C23" w:rsidSect="00C65957">
      <w:head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944" w:right="1411" w:bottom="1843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977B" w14:textId="77777777" w:rsidR="00E97448" w:rsidRDefault="00E97448">
      <w:r>
        <w:separator/>
      </w:r>
    </w:p>
  </w:endnote>
  <w:endnote w:type="continuationSeparator" w:id="0">
    <w:p w14:paraId="726E0832" w14:textId="77777777" w:rsidR="00E97448" w:rsidRDefault="00E97448">
      <w:r>
        <w:continuationSeparator/>
      </w:r>
    </w:p>
  </w:endnote>
  <w:endnote w:type="continuationNotice" w:id="1">
    <w:p w14:paraId="079E608F" w14:textId="77777777" w:rsidR="00E97448" w:rsidRDefault="00E974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374CEDE3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E810D3">
      <w:t>Page</w:t>
    </w:r>
    <w:r w:rsidR="00EF55E6"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3CE1EBA8" w:rsidR="00CF6F33" w:rsidRPr="00992A11" w:rsidRDefault="006D006A" w:rsidP="00992A11">
    <w:pPr>
      <w:pStyle w:val="Stopka"/>
    </w:pPr>
    <w:r w:rsidRPr="00E01EC6">
      <w:drawing>
        <wp:anchor distT="0" distB="0" distL="114300" distR="114300" simplePos="0" relativeHeight="251660289" behindDoc="0" locked="0" layoutInCell="1" allowOverlap="1" wp14:anchorId="134B6F6F" wp14:editId="687DE7DE">
          <wp:simplePos x="0" y="0"/>
          <wp:positionH relativeFrom="column">
            <wp:posOffset>0</wp:posOffset>
          </wp:positionH>
          <wp:positionV relativeFrom="paragraph">
            <wp:posOffset>-365833</wp:posOffset>
          </wp:positionV>
          <wp:extent cx="4967544" cy="407963"/>
          <wp:effectExtent l="0" t="0" r="5080" b="0"/>
          <wp:wrapNone/>
          <wp:docPr id="7340495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495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544" cy="407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0D3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9E84" w14:textId="77777777" w:rsidR="00E97448" w:rsidRDefault="00E97448">
      <w:r>
        <w:separator/>
      </w:r>
    </w:p>
  </w:footnote>
  <w:footnote w:type="continuationSeparator" w:id="0">
    <w:p w14:paraId="24C4959C" w14:textId="77777777" w:rsidR="00E97448" w:rsidRDefault="00E97448">
      <w:r>
        <w:continuationSeparator/>
      </w:r>
    </w:p>
  </w:footnote>
  <w:footnote w:type="continuationNotice" w:id="1">
    <w:p w14:paraId="02EF05E3" w14:textId="77777777" w:rsidR="00E97448" w:rsidRDefault="00E974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05DAD93D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653066876" name="Grafik 165306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A130D2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5E3FBB">
      <w:rPr>
        <w:noProof/>
      </w:rPr>
      <w:t>News</w:t>
    </w:r>
    <w:r w:rsidR="005E3FBB" w:rsidRPr="00EB46D9">
      <w:t xml:space="preserve"> </w:t>
    </w:r>
    <w:r w:rsidR="00B422EC" w:rsidRPr="00EB46D9"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A6C0D54"/>
    <w:multiLevelType w:val="multilevel"/>
    <w:tmpl w:val="0138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3E532F1"/>
    <w:multiLevelType w:val="multilevel"/>
    <w:tmpl w:val="107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B6FB3"/>
    <w:multiLevelType w:val="hybridMultilevel"/>
    <w:tmpl w:val="FD7E88F4"/>
    <w:lvl w:ilvl="0" w:tplc="A86EF7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A0B02"/>
    <w:multiLevelType w:val="multilevel"/>
    <w:tmpl w:val="F6A0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322993">
    <w:abstractNumId w:val="1"/>
  </w:num>
  <w:num w:numId="2" w16cid:durableId="165293174">
    <w:abstractNumId w:val="0"/>
  </w:num>
  <w:num w:numId="3" w16cid:durableId="1508134485">
    <w:abstractNumId w:val="9"/>
  </w:num>
  <w:num w:numId="4" w16cid:durableId="1234970366">
    <w:abstractNumId w:val="5"/>
  </w:num>
  <w:num w:numId="5" w16cid:durableId="1008554684">
    <w:abstractNumId w:val="2"/>
  </w:num>
  <w:num w:numId="6" w16cid:durableId="933825870">
    <w:abstractNumId w:val="7"/>
  </w:num>
  <w:num w:numId="7" w16cid:durableId="912852597">
    <w:abstractNumId w:val="4"/>
  </w:num>
  <w:num w:numId="8" w16cid:durableId="1625698526">
    <w:abstractNumId w:val="8"/>
  </w:num>
  <w:num w:numId="9" w16cid:durableId="1131284855">
    <w:abstractNumId w:val="6"/>
  </w:num>
  <w:num w:numId="10" w16cid:durableId="1327051341">
    <w:abstractNumId w:val="10"/>
  </w:num>
  <w:num w:numId="11" w16cid:durableId="895892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33451C"/>
    <w:rsid w:val="00000839"/>
    <w:rsid w:val="00002AA4"/>
    <w:rsid w:val="00005267"/>
    <w:rsid w:val="00005415"/>
    <w:rsid w:val="00006346"/>
    <w:rsid w:val="000069EB"/>
    <w:rsid w:val="00006A45"/>
    <w:rsid w:val="00007410"/>
    <w:rsid w:val="00011DDB"/>
    <w:rsid w:val="00013644"/>
    <w:rsid w:val="00014FC1"/>
    <w:rsid w:val="00016137"/>
    <w:rsid w:val="00017389"/>
    <w:rsid w:val="00020DC3"/>
    <w:rsid w:val="00021C67"/>
    <w:rsid w:val="00024147"/>
    <w:rsid w:val="00024483"/>
    <w:rsid w:val="000256A9"/>
    <w:rsid w:val="00026EEE"/>
    <w:rsid w:val="000301F0"/>
    <w:rsid w:val="00030557"/>
    <w:rsid w:val="00030701"/>
    <w:rsid w:val="00030F51"/>
    <w:rsid w:val="000343EB"/>
    <w:rsid w:val="00035A84"/>
    <w:rsid w:val="0003650E"/>
    <w:rsid w:val="00037396"/>
    <w:rsid w:val="000378F9"/>
    <w:rsid w:val="00037D04"/>
    <w:rsid w:val="00040816"/>
    <w:rsid w:val="00040CC9"/>
    <w:rsid w:val="00041F81"/>
    <w:rsid w:val="000425ED"/>
    <w:rsid w:val="00045CCB"/>
    <w:rsid w:val="000471D0"/>
    <w:rsid w:val="000510FC"/>
    <w:rsid w:val="00051555"/>
    <w:rsid w:val="000517E2"/>
    <w:rsid w:val="00051E86"/>
    <w:rsid w:val="00054AFE"/>
    <w:rsid w:val="0005544E"/>
    <w:rsid w:val="00055BB0"/>
    <w:rsid w:val="00055CE4"/>
    <w:rsid w:val="000575F9"/>
    <w:rsid w:val="00060ACE"/>
    <w:rsid w:val="000618FC"/>
    <w:rsid w:val="00062741"/>
    <w:rsid w:val="0006442E"/>
    <w:rsid w:val="00065466"/>
    <w:rsid w:val="000665F3"/>
    <w:rsid w:val="00066A9C"/>
    <w:rsid w:val="00067071"/>
    <w:rsid w:val="00067F67"/>
    <w:rsid w:val="00070652"/>
    <w:rsid w:val="00070757"/>
    <w:rsid w:val="00071284"/>
    <w:rsid w:val="0007275A"/>
    <w:rsid w:val="00073AED"/>
    <w:rsid w:val="000751A7"/>
    <w:rsid w:val="0007746E"/>
    <w:rsid w:val="00077AF9"/>
    <w:rsid w:val="00080D10"/>
    <w:rsid w:val="00081241"/>
    <w:rsid w:val="00081692"/>
    <w:rsid w:val="000818B6"/>
    <w:rsid w:val="00081EF8"/>
    <w:rsid w:val="00082417"/>
    <w:rsid w:val="0008357F"/>
    <w:rsid w:val="00083A35"/>
    <w:rsid w:val="00083A61"/>
    <w:rsid w:val="00083DAB"/>
    <w:rsid w:val="0008406B"/>
    <w:rsid w:val="00084918"/>
    <w:rsid w:val="00090DB6"/>
    <w:rsid w:val="00090E73"/>
    <w:rsid w:val="00091F11"/>
    <w:rsid w:val="00092511"/>
    <w:rsid w:val="00093255"/>
    <w:rsid w:val="00094235"/>
    <w:rsid w:val="00096AD4"/>
    <w:rsid w:val="000979FE"/>
    <w:rsid w:val="000A0598"/>
    <w:rsid w:val="000A05E0"/>
    <w:rsid w:val="000A06FB"/>
    <w:rsid w:val="000A08DA"/>
    <w:rsid w:val="000A31D3"/>
    <w:rsid w:val="000A50CF"/>
    <w:rsid w:val="000A511E"/>
    <w:rsid w:val="000A64B3"/>
    <w:rsid w:val="000A6C25"/>
    <w:rsid w:val="000B005C"/>
    <w:rsid w:val="000B10DE"/>
    <w:rsid w:val="000B2E86"/>
    <w:rsid w:val="000B576C"/>
    <w:rsid w:val="000B5D2F"/>
    <w:rsid w:val="000B5E32"/>
    <w:rsid w:val="000B6244"/>
    <w:rsid w:val="000B695A"/>
    <w:rsid w:val="000B6EF1"/>
    <w:rsid w:val="000B72A8"/>
    <w:rsid w:val="000C0715"/>
    <w:rsid w:val="000C1254"/>
    <w:rsid w:val="000C210A"/>
    <w:rsid w:val="000C27E5"/>
    <w:rsid w:val="000C30D6"/>
    <w:rsid w:val="000C47D1"/>
    <w:rsid w:val="000C50A1"/>
    <w:rsid w:val="000C56DD"/>
    <w:rsid w:val="000C63F4"/>
    <w:rsid w:val="000D11CB"/>
    <w:rsid w:val="000D14C4"/>
    <w:rsid w:val="000D1672"/>
    <w:rsid w:val="000D178A"/>
    <w:rsid w:val="000D18CE"/>
    <w:rsid w:val="000D40C6"/>
    <w:rsid w:val="000D6C67"/>
    <w:rsid w:val="000E0CAB"/>
    <w:rsid w:val="000E1B84"/>
    <w:rsid w:val="000E21E4"/>
    <w:rsid w:val="000E2F62"/>
    <w:rsid w:val="000E38ED"/>
    <w:rsid w:val="000E45C7"/>
    <w:rsid w:val="000E67D5"/>
    <w:rsid w:val="000E755E"/>
    <w:rsid w:val="000E7F24"/>
    <w:rsid w:val="000F03BE"/>
    <w:rsid w:val="000F10AC"/>
    <w:rsid w:val="000F1757"/>
    <w:rsid w:val="000F225B"/>
    <w:rsid w:val="000F333E"/>
    <w:rsid w:val="000F3949"/>
    <w:rsid w:val="000F40A3"/>
    <w:rsid w:val="000F41BC"/>
    <w:rsid w:val="000F48E9"/>
    <w:rsid w:val="000F4DAE"/>
    <w:rsid w:val="000F7ADB"/>
    <w:rsid w:val="000F7FAF"/>
    <w:rsid w:val="00100D8B"/>
    <w:rsid w:val="00102045"/>
    <w:rsid w:val="00102264"/>
    <w:rsid w:val="00103537"/>
    <w:rsid w:val="0010421C"/>
    <w:rsid w:val="0010465B"/>
    <w:rsid w:val="001050D7"/>
    <w:rsid w:val="0010570F"/>
    <w:rsid w:val="00105975"/>
    <w:rsid w:val="00110090"/>
    <w:rsid w:val="00110407"/>
    <w:rsid w:val="0011116D"/>
    <w:rsid w:val="00111386"/>
    <w:rsid w:val="001118DF"/>
    <w:rsid w:val="00111F4D"/>
    <w:rsid w:val="001125B2"/>
    <w:rsid w:val="00112A28"/>
    <w:rsid w:val="00113571"/>
    <w:rsid w:val="00114DDF"/>
    <w:rsid w:val="00114FAA"/>
    <w:rsid w:val="00115230"/>
    <w:rsid w:val="00115AE1"/>
    <w:rsid w:val="00115B5F"/>
    <w:rsid w:val="001162B4"/>
    <w:rsid w:val="00116DF3"/>
    <w:rsid w:val="00122B90"/>
    <w:rsid w:val="00122CBC"/>
    <w:rsid w:val="0012414B"/>
    <w:rsid w:val="001244F8"/>
    <w:rsid w:val="00124FA3"/>
    <w:rsid w:val="001255F8"/>
    <w:rsid w:val="00126AF1"/>
    <w:rsid w:val="00126C65"/>
    <w:rsid w:val="00126D4A"/>
    <w:rsid w:val="0012714C"/>
    <w:rsid w:val="001274FA"/>
    <w:rsid w:val="00131762"/>
    <w:rsid w:val="001318EB"/>
    <w:rsid w:val="00132DA9"/>
    <w:rsid w:val="0013305B"/>
    <w:rsid w:val="00133B99"/>
    <w:rsid w:val="0013569C"/>
    <w:rsid w:val="00135939"/>
    <w:rsid w:val="001369E3"/>
    <w:rsid w:val="001375DD"/>
    <w:rsid w:val="00142EFB"/>
    <w:rsid w:val="001438BF"/>
    <w:rsid w:val="001443BD"/>
    <w:rsid w:val="00144A87"/>
    <w:rsid w:val="00145B62"/>
    <w:rsid w:val="00146193"/>
    <w:rsid w:val="00147E09"/>
    <w:rsid w:val="00152022"/>
    <w:rsid w:val="00152026"/>
    <w:rsid w:val="00152392"/>
    <w:rsid w:val="00152A41"/>
    <w:rsid w:val="001544C3"/>
    <w:rsid w:val="00154D75"/>
    <w:rsid w:val="001577E9"/>
    <w:rsid w:val="00157A59"/>
    <w:rsid w:val="00157F37"/>
    <w:rsid w:val="0016138C"/>
    <w:rsid w:val="00162D60"/>
    <w:rsid w:val="001640D5"/>
    <w:rsid w:val="001653D7"/>
    <w:rsid w:val="001659FB"/>
    <w:rsid w:val="00171763"/>
    <w:rsid w:val="00171D3F"/>
    <w:rsid w:val="00172151"/>
    <w:rsid w:val="00172C99"/>
    <w:rsid w:val="001731CE"/>
    <w:rsid w:val="001742EE"/>
    <w:rsid w:val="00175C72"/>
    <w:rsid w:val="00177D1E"/>
    <w:rsid w:val="00180F93"/>
    <w:rsid w:val="00181B06"/>
    <w:rsid w:val="0018672E"/>
    <w:rsid w:val="001928FC"/>
    <w:rsid w:val="00193BD5"/>
    <w:rsid w:val="00194571"/>
    <w:rsid w:val="00196308"/>
    <w:rsid w:val="0019782F"/>
    <w:rsid w:val="00197E9B"/>
    <w:rsid w:val="001A1185"/>
    <w:rsid w:val="001A3D77"/>
    <w:rsid w:val="001A4A02"/>
    <w:rsid w:val="001B30F7"/>
    <w:rsid w:val="001B31F0"/>
    <w:rsid w:val="001B4862"/>
    <w:rsid w:val="001B5147"/>
    <w:rsid w:val="001B65FF"/>
    <w:rsid w:val="001B710A"/>
    <w:rsid w:val="001B771D"/>
    <w:rsid w:val="001B7C20"/>
    <w:rsid w:val="001C0B32"/>
    <w:rsid w:val="001C2D66"/>
    <w:rsid w:val="001C36F7"/>
    <w:rsid w:val="001C43A5"/>
    <w:rsid w:val="001C4BE1"/>
    <w:rsid w:val="001C5338"/>
    <w:rsid w:val="001C5847"/>
    <w:rsid w:val="001C7F21"/>
    <w:rsid w:val="001D1497"/>
    <w:rsid w:val="001D5534"/>
    <w:rsid w:val="001D63D9"/>
    <w:rsid w:val="001D6F0E"/>
    <w:rsid w:val="001D7ADF"/>
    <w:rsid w:val="001E0F71"/>
    <w:rsid w:val="001E160D"/>
    <w:rsid w:val="001E17FB"/>
    <w:rsid w:val="001E255E"/>
    <w:rsid w:val="001E2B9B"/>
    <w:rsid w:val="001E2C06"/>
    <w:rsid w:val="001E33AB"/>
    <w:rsid w:val="001E35BA"/>
    <w:rsid w:val="001E3A31"/>
    <w:rsid w:val="001E4690"/>
    <w:rsid w:val="001E49D3"/>
    <w:rsid w:val="001E4CCB"/>
    <w:rsid w:val="001E51A6"/>
    <w:rsid w:val="001E6D05"/>
    <w:rsid w:val="001E73E8"/>
    <w:rsid w:val="001E7C28"/>
    <w:rsid w:val="001F0C14"/>
    <w:rsid w:val="001F0F3B"/>
    <w:rsid w:val="001F11A1"/>
    <w:rsid w:val="001F1AB5"/>
    <w:rsid w:val="001F1BDF"/>
    <w:rsid w:val="001F1D6D"/>
    <w:rsid w:val="001F35F8"/>
    <w:rsid w:val="001F39FC"/>
    <w:rsid w:val="001F4AC3"/>
    <w:rsid w:val="001F4CAC"/>
    <w:rsid w:val="001F52E0"/>
    <w:rsid w:val="001F590C"/>
    <w:rsid w:val="001F7110"/>
    <w:rsid w:val="001F7185"/>
    <w:rsid w:val="001F773D"/>
    <w:rsid w:val="001F7E96"/>
    <w:rsid w:val="002005F5"/>
    <w:rsid w:val="0020202E"/>
    <w:rsid w:val="00202284"/>
    <w:rsid w:val="0020528D"/>
    <w:rsid w:val="0020543B"/>
    <w:rsid w:val="00205A66"/>
    <w:rsid w:val="002063CF"/>
    <w:rsid w:val="00206613"/>
    <w:rsid w:val="0020756B"/>
    <w:rsid w:val="00207E75"/>
    <w:rsid w:val="00210D86"/>
    <w:rsid w:val="0021158F"/>
    <w:rsid w:val="002115AE"/>
    <w:rsid w:val="00212488"/>
    <w:rsid w:val="002129A6"/>
    <w:rsid w:val="002151DB"/>
    <w:rsid w:val="00220628"/>
    <w:rsid w:val="00221A45"/>
    <w:rsid w:val="00221BA0"/>
    <w:rsid w:val="00224CB4"/>
    <w:rsid w:val="002260C7"/>
    <w:rsid w:val="002304D2"/>
    <w:rsid w:val="002310E3"/>
    <w:rsid w:val="00232594"/>
    <w:rsid w:val="002338C1"/>
    <w:rsid w:val="00233D04"/>
    <w:rsid w:val="00234ABD"/>
    <w:rsid w:val="00236491"/>
    <w:rsid w:val="00236C3B"/>
    <w:rsid w:val="00236E2A"/>
    <w:rsid w:val="00237F62"/>
    <w:rsid w:val="00241C74"/>
    <w:rsid w:val="00241E10"/>
    <w:rsid w:val="00242C71"/>
    <w:rsid w:val="0024586A"/>
    <w:rsid w:val="0024601F"/>
    <w:rsid w:val="002464E3"/>
    <w:rsid w:val="0024732C"/>
    <w:rsid w:val="002502E1"/>
    <w:rsid w:val="00250C98"/>
    <w:rsid w:val="00250F80"/>
    <w:rsid w:val="0025124F"/>
    <w:rsid w:val="002518A2"/>
    <w:rsid w:val="002528B3"/>
    <w:rsid w:val="00253854"/>
    <w:rsid w:val="0025551F"/>
    <w:rsid w:val="00255F8C"/>
    <w:rsid w:val="00256174"/>
    <w:rsid w:val="00256F0C"/>
    <w:rsid w:val="00257231"/>
    <w:rsid w:val="00260318"/>
    <w:rsid w:val="00261C23"/>
    <w:rsid w:val="00262C05"/>
    <w:rsid w:val="002715AF"/>
    <w:rsid w:val="002717F0"/>
    <w:rsid w:val="0027214F"/>
    <w:rsid w:val="0027301C"/>
    <w:rsid w:val="00273099"/>
    <w:rsid w:val="00281D14"/>
    <w:rsid w:val="00282C13"/>
    <w:rsid w:val="002833D8"/>
    <w:rsid w:val="002836D7"/>
    <w:rsid w:val="00284538"/>
    <w:rsid w:val="00285669"/>
    <w:rsid w:val="002858F6"/>
    <w:rsid w:val="00286BF6"/>
    <w:rsid w:val="002903B7"/>
    <w:rsid w:val="002919AD"/>
    <w:rsid w:val="00292C23"/>
    <w:rsid w:val="00295E54"/>
    <w:rsid w:val="002962D7"/>
    <w:rsid w:val="00296C33"/>
    <w:rsid w:val="002A0D7B"/>
    <w:rsid w:val="002A0DF7"/>
    <w:rsid w:val="002A268C"/>
    <w:rsid w:val="002A2975"/>
    <w:rsid w:val="002A460D"/>
    <w:rsid w:val="002A505B"/>
    <w:rsid w:val="002A5EE9"/>
    <w:rsid w:val="002A60E0"/>
    <w:rsid w:val="002A69D0"/>
    <w:rsid w:val="002A72F8"/>
    <w:rsid w:val="002B1AA8"/>
    <w:rsid w:val="002B1E87"/>
    <w:rsid w:val="002B4583"/>
    <w:rsid w:val="002B687A"/>
    <w:rsid w:val="002C1344"/>
    <w:rsid w:val="002C252E"/>
    <w:rsid w:val="002C3A2A"/>
    <w:rsid w:val="002C458A"/>
    <w:rsid w:val="002C6093"/>
    <w:rsid w:val="002C6552"/>
    <w:rsid w:val="002C6773"/>
    <w:rsid w:val="002C6F51"/>
    <w:rsid w:val="002C73EC"/>
    <w:rsid w:val="002D0FE0"/>
    <w:rsid w:val="002D269A"/>
    <w:rsid w:val="002D2A3D"/>
    <w:rsid w:val="002D3E72"/>
    <w:rsid w:val="002D3EAC"/>
    <w:rsid w:val="002D46A9"/>
    <w:rsid w:val="002D5D1D"/>
    <w:rsid w:val="002D6EFD"/>
    <w:rsid w:val="002D731B"/>
    <w:rsid w:val="002D74CF"/>
    <w:rsid w:val="002D7B8C"/>
    <w:rsid w:val="002E0A45"/>
    <w:rsid w:val="002E0B17"/>
    <w:rsid w:val="002E26B4"/>
    <w:rsid w:val="002E31C0"/>
    <w:rsid w:val="002E3A73"/>
    <w:rsid w:val="002E4FFB"/>
    <w:rsid w:val="002E63A7"/>
    <w:rsid w:val="002E650E"/>
    <w:rsid w:val="002E6E2F"/>
    <w:rsid w:val="002E7DED"/>
    <w:rsid w:val="002F0334"/>
    <w:rsid w:val="002F2A7B"/>
    <w:rsid w:val="002F4AB2"/>
    <w:rsid w:val="002F4F67"/>
    <w:rsid w:val="002F5944"/>
    <w:rsid w:val="002F7BC2"/>
    <w:rsid w:val="002F7E11"/>
    <w:rsid w:val="003002BA"/>
    <w:rsid w:val="0030037C"/>
    <w:rsid w:val="003008B9"/>
    <w:rsid w:val="00304087"/>
    <w:rsid w:val="003053DC"/>
    <w:rsid w:val="003054B0"/>
    <w:rsid w:val="003057B1"/>
    <w:rsid w:val="003062AD"/>
    <w:rsid w:val="00310ACD"/>
    <w:rsid w:val="00312C23"/>
    <w:rsid w:val="00312CAE"/>
    <w:rsid w:val="0031379F"/>
    <w:rsid w:val="00313A9C"/>
    <w:rsid w:val="0031621E"/>
    <w:rsid w:val="00316A16"/>
    <w:rsid w:val="00316B30"/>
    <w:rsid w:val="00317977"/>
    <w:rsid w:val="00320228"/>
    <w:rsid w:val="00320372"/>
    <w:rsid w:val="00320A26"/>
    <w:rsid w:val="003212F3"/>
    <w:rsid w:val="00321344"/>
    <w:rsid w:val="00321622"/>
    <w:rsid w:val="00321788"/>
    <w:rsid w:val="00323FA3"/>
    <w:rsid w:val="00325064"/>
    <w:rsid w:val="00325EC9"/>
    <w:rsid w:val="00326735"/>
    <w:rsid w:val="003279C6"/>
    <w:rsid w:val="0032B295"/>
    <w:rsid w:val="00331A3E"/>
    <w:rsid w:val="0033451C"/>
    <w:rsid w:val="00335660"/>
    <w:rsid w:val="00335FBD"/>
    <w:rsid w:val="0033649A"/>
    <w:rsid w:val="00336854"/>
    <w:rsid w:val="0033769B"/>
    <w:rsid w:val="00337A89"/>
    <w:rsid w:val="0034015C"/>
    <w:rsid w:val="00341409"/>
    <w:rsid w:val="00341CAE"/>
    <w:rsid w:val="003442F4"/>
    <w:rsid w:val="00344546"/>
    <w:rsid w:val="003455CF"/>
    <w:rsid w:val="0034716E"/>
    <w:rsid w:val="00350CB4"/>
    <w:rsid w:val="00353705"/>
    <w:rsid w:val="00355536"/>
    <w:rsid w:val="003562E8"/>
    <w:rsid w:val="00357F94"/>
    <w:rsid w:val="003614D7"/>
    <w:rsid w:val="0036357D"/>
    <w:rsid w:val="00363637"/>
    <w:rsid w:val="003649BC"/>
    <w:rsid w:val="00364F7E"/>
    <w:rsid w:val="00365BE1"/>
    <w:rsid w:val="00365E44"/>
    <w:rsid w:val="003662B1"/>
    <w:rsid w:val="003663FD"/>
    <w:rsid w:val="003667AD"/>
    <w:rsid w:val="00367AA1"/>
    <w:rsid w:val="00370A5B"/>
    <w:rsid w:val="00372497"/>
    <w:rsid w:val="00372E36"/>
    <w:rsid w:val="00373C15"/>
    <w:rsid w:val="00373D53"/>
    <w:rsid w:val="00375653"/>
    <w:rsid w:val="00375DFA"/>
    <w:rsid w:val="00375F7D"/>
    <w:rsid w:val="003767D3"/>
    <w:rsid w:val="00376EE9"/>
    <w:rsid w:val="00376FFC"/>
    <w:rsid w:val="00377CBB"/>
    <w:rsid w:val="00382CCB"/>
    <w:rsid w:val="00382DA3"/>
    <w:rsid w:val="00384F62"/>
    <w:rsid w:val="00385438"/>
    <w:rsid w:val="003858E5"/>
    <w:rsid w:val="003877B6"/>
    <w:rsid w:val="00391539"/>
    <w:rsid w:val="003921B7"/>
    <w:rsid w:val="00392D73"/>
    <w:rsid w:val="00393887"/>
    <w:rsid w:val="00393F1B"/>
    <w:rsid w:val="00394C6B"/>
    <w:rsid w:val="0039610B"/>
    <w:rsid w:val="00396442"/>
    <w:rsid w:val="00397C2B"/>
    <w:rsid w:val="003A11DF"/>
    <w:rsid w:val="003A290F"/>
    <w:rsid w:val="003A3523"/>
    <w:rsid w:val="003A4AAA"/>
    <w:rsid w:val="003A4B10"/>
    <w:rsid w:val="003A4E2E"/>
    <w:rsid w:val="003A4E62"/>
    <w:rsid w:val="003A5A6A"/>
    <w:rsid w:val="003A775E"/>
    <w:rsid w:val="003B02F2"/>
    <w:rsid w:val="003B0BD0"/>
    <w:rsid w:val="003B0CDD"/>
    <w:rsid w:val="003B1069"/>
    <w:rsid w:val="003B1F2E"/>
    <w:rsid w:val="003B38CC"/>
    <w:rsid w:val="003B390A"/>
    <w:rsid w:val="003B3D53"/>
    <w:rsid w:val="003B4E3A"/>
    <w:rsid w:val="003B60C3"/>
    <w:rsid w:val="003B6373"/>
    <w:rsid w:val="003B79E1"/>
    <w:rsid w:val="003B7A73"/>
    <w:rsid w:val="003C0E8C"/>
    <w:rsid w:val="003C15DE"/>
    <w:rsid w:val="003C2096"/>
    <w:rsid w:val="003C2889"/>
    <w:rsid w:val="003C2AB0"/>
    <w:rsid w:val="003C34C9"/>
    <w:rsid w:val="003C4EB2"/>
    <w:rsid w:val="003C5801"/>
    <w:rsid w:val="003C5E05"/>
    <w:rsid w:val="003C63D0"/>
    <w:rsid w:val="003C784E"/>
    <w:rsid w:val="003C7959"/>
    <w:rsid w:val="003D3968"/>
    <w:rsid w:val="003D42AF"/>
    <w:rsid w:val="003D4899"/>
    <w:rsid w:val="003D4AD2"/>
    <w:rsid w:val="003D5E11"/>
    <w:rsid w:val="003D73C0"/>
    <w:rsid w:val="003E031D"/>
    <w:rsid w:val="003E1833"/>
    <w:rsid w:val="003E6DA3"/>
    <w:rsid w:val="003E7305"/>
    <w:rsid w:val="003F0C1C"/>
    <w:rsid w:val="003F1AF3"/>
    <w:rsid w:val="003F25E4"/>
    <w:rsid w:val="003F4804"/>
    <w:rsid w:val="003F4AAA"/>
    <w:rsid w:val="003F4D8D"/>
    <w:rsid w:val="003F4E93"/>
    <w:rsid w:val="003F5708"/>
    <w:rsid w:val="003F66A4"/>
    <w:rsid w:val="00401508"/>
    <w:rsid w:val="00401688"/>
    <w:rsid w:val="004024D9"/>
    <w:rsid w:val="0040257E"/>
    <w:rsid w:val="0040386D"/>
    <w:rsid w:val="00404188"/>
    <w:rsid w:val="00406435"/>
    <w:rsid w:val="004066F9"/>
    <w:rsid w:val="00406CBE"/>
    <w:rsid w:val="004073DC"/>
    <w:rsid w:val="004137C0"/>
    <w:rsid w:val="004138F3"/>
    <w:rsid w:val="00420F5B"/>
    <w:rsid w:val="00421F20"/>
    <w:rsid w:val="0042238F"/>
    <w:rsid w:val="00423B63"/>
    <w:rsid w:val="00427BEA"/>
    <w:rsid w:val="00430120"/>
    <w:rsid w:val="004313E7"/>
    <w:rsid w:val="00432542"/>
    <w:rsid w:val="004339B2"/>
    <w:rsid w:val="0044080D"/>
    <w:rsid w:val="0044344E"/>
    <w:rsid w:val="00444A70"/>
    <w:rsid w:val="0044763B"/>
    <w:rsid w:val="00452696"/>
    <w:rsid w:val="00452726"/>
    <w:rsid w:val="004535E9"/>
    <w:rsid w:val="00453F32"/>
    <w:rsid w:val="00454DAA"/>
    <w:rsid w:val="00456765"/>
    <w:rsid w:val="00456A53"/>
    <w:rsid w:val="00456F1E"/>
    <w:rsid w:val="0046213C"/>
    <w:rsid w:val="00462518"/>
    <w:rsid w:val="0046266D"/>
    <w:rsid w:val="004629B3"/>
    <w:rsid w:val="0046376E"/>
    <w:rsid w:val="00463B50"/>
    <w:rsid w:val="00464251"/>
    <w:rsid w:val="00464860"/>
    <w:rsid w:val="0046587C"/>
    <w:rsid w:val="0046690F"/>
    <w:rsid w:val="00467CC0"/>
    <w:rsid w:val="00471116"/>
    <w:rsid w:val="00472FEC"/>
    <w:rsid w:val="00473A2A"/>
    <w:rsid w:val="00473B89"/>
    <w:rsid w:val="004747D0"/>
    <w:rsid w:val="00476830"/>
    <w:rsid w:val="004770F6"/>
    <w:rsid w:val="004812D2"/>
    <w:rsid w:val="00483B28"/>
    <w:rsid w:val="00484218"/>
    <w:rsid w:val="004858E1"/>
    <w:rsid w:val="00485EF2"/>
    <w:rsid w:val="004864A1"/>
    <w:rsid w:val="00487538"/>
    <w:rsid w:val="0048769E"/>
    <w:rsid w:val="00487A1F"/>
    <w:rsid w:val="00490A03"/>
    <w:rsid w:val="00490B0D"/>
    <w:rsid w:val="00490E5D"/>
    <w:rsid w:val="00492B0A"/>
    <w:rsid w:val="00492D88"/>
    <w:rsid w:val="00493327"/>
    <w:rsid w:val="0049382E"/>
    <w:rsid w:val="0049391A"/>
    <w:rsid w:val="00494DBE"/>
    <w:rsid w:val="00495CE6"/>
    <w:rsid w:val="00497D5E"/>
    <w:rsid w:val="00497EB9"/>
    <w:rsid w:val="004A144D"/>
    <w:rsid w:val="004A1D27"/>
    <w:rsid w:val="004A2176"/>
    <w:rsid w:val="004A2703"/>
    <w:rsid w:val="004A323C"/>
    <w:rsid w:val="004A4D16"/>
    <w:rsid w:val="004B0801"/>
    <w:rsid w:val="004B1117"/>
    <w:rsid w:val="004B1A6B"/>
    <w:rsid w:val="004B1FC8"/>
    <w:rsid w:val="004B339A"/>
    <w:rsid w:val="004B39DA"/>
    <w:rsid w:val="004B54E8"/>
    <w:rsid w:val="004B7595"/>
    <w:rsid w:val="004B773C"/>
    <w:rsid w:val="004C0138"/>
    <w:rsid w:val="004C0686"/>
    <w:rsid w:val="004C12E8"/>
    <w:rsid w:val="004C130C"/>
    <w:rsid w:val="004C1389"/>
    <w:rsid w:val="004C1578"/>
    <w:rsid w:val="004C174B"/>
    <w:rsid w:val="004C33BA"/>
    <w:rsid w:val="004C47EA"/>
    <w:rsid w:val="004C4FEB"/>
    <w:rsid w:val="004C6570"/>
    <w:rsid w:val="004C678C"/>
    <w:rsid w:val="004C6B79"/>
    <w:rsid w:val="004C7345"/>
    <w:rsid w:val="004D059B"/>
    <w:rsid w:val="004D09F9"/>
    <w:rsid w:val="004D0E64"/>
    <w:rsid w:val="004D144F"/>
    <w:rsid w:val="004D1DBD"/>
    <w:rsid w:val="004D304E"/>
    <w:rsid w:val="004D4543"/>
    <w:rsid w:val="004D48A8"/>
    <w:rsid w:val="004D4CB6"/>
    <w:rsid w:val="004D4DCB"/>
    <w:rsid w:val="004E0907"/>
    <w:rsid w:val="004E20CF"/>
    <w:rsid w:val="004E2324"/>
    <w:rsid w:val="004E28C9"/>
    <w:rsid w:val="004E3341"/>
    <w:rsid w:val="004E3406"/>
    <w:rsid w:val="004E5124"/>
    <w:rsid w:val="004E7BE2"/>
    <w:rsid w:val="004E7E3A"/>
    <w:rsid w:val="004F10C1"/>
    <w:rsid w:val="004F1C5E"/>
    <w:rsid w:val="004F3032"/>
    <w:rsid w:val="004F3E47"/>
    <w:rsid w:val="004F4CC8"/>
    <w:rsid w:val="004F4F5A"/>
    <w:rsid w:val="004F51FF"/>
    <w:rsid w:val="004F5AD9"/>
    <w:rsid w:val="0050159C"/>
    <w:rsid w:val="005022B7"/>
    <w:rsid w:val="00502E62"/>
    <w:rsid w:val="005044C2"/>
    <w:rsid w:val="00506B8A"/>
    <w:rsid w:val="005110D3"/>
    <w:rsid w:val="00511161"/>
    <w:rsid w:val="0051413C"/>
    <w:rsid w:val="00515F4A"/>
    <w:rsid w:val="0051693C"/>
    <w:rsid w:val="00520A65"/>
    <w:rsid w:val="005218B8"/>
    <w:rsid w:val="00521B13"/>
    <w:rsid w:val="0052212B"/>
    <w:rsid w:val="005221A8"/>
    <w:rsid w:val="005230C7"/>
    <w:rsid w:val="0052474F"/>
    <w:rsid w:val="0052625A"/>
    <w:rsid w:val="005266EA"/>
    <w:rsid w:val="00527072"/>
    <w:rsid w:val="005272FE"/>
    <w:rsid w:val="0053001D"/>
    <w:rsid w:val="005323F3"/>
    <w:rsid w:val="00533B0D"/>
    <w:rsid w:val="00534B46"/>
    <w:rsid w:val="00535018"/>
    <w:rsid w:val="005355DB"/>
    <w:rsid w:val="00535866"/>
    <w:rsid w:val="00536CBD"/>
    <w:rsid w:val="00540358"/>
    <w:rsid w:val="00540A05"/>
    <w:rsid w:val="00540D47"/>
    <w:rsid w:val="00540E25"/>
    <w:rsid w:val="005428D7"/>
    <w:rsid w:val="00542D43"/>
    <w:rsid w:val="00545516"/>
    <w:rsid w:val="005463C3"/>
    <w:rsid w:val="005465A3"/>
    <w:rsid w:val="00547C7C"/>
    <w:rsid w:val="005506D5"/>
    <w:rsid w:val="00550864"/>
    <w:rsid w:val="00551D6C"/>
    <w:rsid w:val="00553580"/>
    <w:rsid w:val="005550A8"/>
    <w:rsid w:val="0055571E"/>
    <w:rsid w:val="00556F67"/>
    <w:rsid w:val="00557849"/>
    <w:rsid w:val="00563009"/>
    <w:rsid w:val="005635B7"/>
    <w:rsid w:val="005652E8"/>
    <w:rsid w:val="0056772E"/>
    <w:rsid w:val="00567A17"/>
    <w:rsid w:val="005735E2"/>
    <w:rsid w:val="0057384B"/>
    <w:rsid w:val="0057392C"/>
    <w:rsid w:val="0057446D"/>
    <w:rsid w:val="0057667C"/>
    <w:rsid w:val="00576BDA"/>
    <w:rsid w:val="00577DB4"/>
    <w:rsid w:val="005826DA"/>
    <w:rsid w:val="00582943"/>
    <w:rsid w:val="00582D0E"/>
    <w:rsid w:val="00582E09"/>
    <w:rsid w:val="005833F0"/>
    <w:rsid w:val="005835F4"/>
    <w:rsid w:val="00585A6D"/>
    <w:rsid w:val="00586280"/>
    <w:rsid w:val="00586584"/>
    <w:rsid w:val="005865FC"/>
    <w:rsid w:val="00586913"/>
    <w:rsid w:val="005869CE"/>
    <w:rsid w:val="00586CAF"/>
    <w:rsid w:val="005873E9"/>
    <w:rsid w:val="00587A90"/>
    <w:rsid w:val="00591180"/>
    <w:rsid w:val="00592E9F"/>
    <w:rsid w:val="00595286"/>
    <w:rsid w:val="0059557F"/>
    <w:rsid w:val="0059722C"/>
    <w:rsid w:val="005977A6"/>
    <w:rsid w:val="00597D07"/>
    <w:rsid w:val="00597DD6"/>
    <w:rsid w:val="00597FBA"/>
    <w:rsid w:val="005A16E6"/>
    <w:rsid w:val="005A1746"/>
    <w:rsid w:val="005A30D7"/>
    <w:rsid w:val="005A3846"/>
    <w:rsid w:val="005A678F"/>
    <w:rsid w:val="005A7DC7"/>
    <w:rsid w:val="005A7DE8"/>
    <w:rsid w:val="005A7E97"/>
    <w:rsid w:val="005B2CD2"/>
    <w:rsid w:val="005B632A"/>
    <w:rsid w:val="005B6788"/>
    <w:rsid w:val="005B6A58"/>
    <w:rsid w:val="005C048B"/>
    <w:rsid w:val="005C4C2F"/>
    <w:rsid w:val="005C5A83"/>
    <w:rsid w:val="005C7112"/>
    <w:rsid w:val="005D0155"/>
    <w:rsid w:val="005D0561"/>
    <w:rsid w:val="005D0AD9"/>
    <w:rsid w:val="005D1A67"/>
    <w:rsid w:val="005D1F10"/>
    <w:rsid w:val="005D22F6"/>
    <w:rsid w:val="005D4647"/>
    <w:rsid w:val="005D5EDE"/>
    <w:rsid w:val="005D6774"/>
    <w:rsid w:val="005D68AA"/>
    <w:rsid w:val="005D6BD1"/>
    <w:rsid w:val="005E060E"/>
    <w:rsid w:val="005E0C30"/>
    <w:rsid w:val="005E1DCB"/>
    <w:rsid w:val="005E2A31"/>
    <w:rsid w:val="005E33E0"/>
    <w:rsid w:val="005E3FBB"/>
    <w:rsid w:val="005E66B4"/>
    <w:rsid w:val="005E69D9"/>
    <w:rsid w:val="005E6CB1"/>
    <w:rsid w:val="005E7116"/>
    <w:rsid w:val="005E7971"/>
    <w:rsid w:val="005F17D1"/>
    <w:rsid w:val="005F23BC"/>
    <w:rsid w:val="005F2643"/>
    <w:rsid w:val="005F27F4"/>
    <w:rsid w:val="005F297C"/>
    <w:rsid w:val="005F3239"/>
    <w:rsid w:val="005F39BF"/>
    <w:rsid w:val="005F566C"/>
    <w:rsid w:val="005F5D54"/>
    <w:rsid w:val="005F5F4D"/>
    <w:rsid w:val="005F6567"/>
    <w:rsid w:val="005F676D"/>
    <w:rsid w:val="005F6A21"/>
    <w:rsid w:val="005F750F"/>
    <w:rsid w:val="005F7A8A"/>
    <w:rsid w:val="00600998"/>
    <w:rsid w:val="00600ACF"/>
    <w:rsid w:val="006019EB"/>
    <w:rsid w:val="00601CC1"/>
    <w:rsid w:val="006022D0"/>
    <w:rsid w:val="00605DFE"/>
    <w:rsid w:val="00607094"/>
    <w:rsid w:val="00607256"/>
    <w:rsid w:val="00607621"/>
    <w:rsid w:val="0060790C"/>
    <w:rsid w:val="0060791E"/>
    <w:rsid w:val="00611B7B"/>
    <w:rsid w:val="00611F08"/>
    <w:rsid w:val="00611FB2"/>
    <w:rsid w:val="00613BF1"/>
    <w:rsid w:val="006144B1"/>
    <w:rsid w:val="00615A5C"/>
    <w:rsid w:val="00616C7F"/>
    <w:rsid w:val="006177FF"/>
    <w:rsid w:val="0062077F"/>
    <w:rsid w:val="00621BC7"/>
    <w:rsid w:val="00622033"/>
    <w:rsid w:val="00622C2F"/>
    <w:rsid w:val="0062460B"/>
    <w:rsid w:val="006274E4"/>
    <w:rsid w:val="00630644"/>
    <w:rsid w:val="006335F1"/>
    <w:rsid w:val="006336FD"/>
    <w:rsid w:val="00633B49"/>
    <w:rsid w:val="006345B6"/>
    <w:rsid w:val="006345CD"/>
    <w:rsid w:val="00635616"/>
    <w:rsid w:val="00635712"/>
    <w:rsid w:val="00635984"/>
    <w:rsid w:val="00635F41"/>
    <w:rsid w:val="006368FF"/>
    <w:rsid w:val="00636D95"/>
    <w:rsid w:val="006377D4"/>
    <w:rsid w:val="00640135"/>
    <w:rsid w:val="006402FF"/>
    <w:rsid w:val="0064107F"/>
    <w:rsid w:val="00643D8A"/>
    <w:rsid w:val="00645A5C"/>
    <w:rsid w:val="006460E5"/>
    <w:rsid w:val="00647A78"/>
    <w:rsid w:val="00647AB9"/>
    <w:rsid w:val="00647C4B"/>
    <w:rsid w:val="00650894"/>
    <w:rsid w:val="0065112B"/>
    <w:rsid w:val="00652091"/>
    <w:rsid w:val="00652229"/>
    <w:rsid w:val="00652793"/>
    <w:rsid w:val="006528DE"/>
    <w:rsid w:val="006541A1"/>
    <w:rsid w:val="00657789"/>
    <w:rsid w:val="00660320"/>
    <w:rsid w:val="0066187E"/>
    <w:rsid w:val="00662375"/>
    <w:rsid w:val="006626CA"/>
    <w:rsid w:val="00663487"/>
    <w:rsid w:val="006669D2"/>
    <w:rsid w:val="00672382"/>
    <w:rsid w:val="006733BB"/>
    <w:rsid w:val="0067607A"/>
    <w:rsid w:val="006763B5"/>
    <w:rsid w:val="00676E80"/>
    <w:rsid w:val="006775C2"/>
    <w:rsid w:val="00681257"/>
    <w:rsid w:val="00681C3E"/>
    <w:rsid w:val="00682191"/>
    <w:rsid w:val="006822E9"/>
    <w:rsid w:val="00682643"/>
    <w:rsid w:val="00682EB9"/>
    <w:rsid w:val="00682F1E"/>
    <w:rsid w:val="0068378C"/>
    <w:rsid w:val="006839D3"/>
    <w:rsid w:val="0068441A"/>
    <w:rsid w:val="0068699A"/>
    <w:rsid w:val="00690B19"/>
    <w:rsid w:val="006938EE"/>
    <w:rsid w:val="00694195"/>
    <w:rsid w:val="0069650C"/>
    <w:rsid w:val="006A0A3C"/>
    <w:rsid w:val="006A1ED8"/>
    <w:rsid w:val="006A3D5B"/>
    <w:rsid w:val="006A442A"/>
    <w:rsid w:val="006A59E9"/>
    <w:rsid w:val="006A5AB1"/>
    <w:rsid w:val="006A6F2B"/>
    <w:rsid w:val="006A75B8"/>
    <w:rsid w:val="006A79F0"/>
    <w:rsid w:val="006B048F"/>
    <w:rsid w:val="006B359D"/>
    <w:rsid w:val="006B47EE"/>
    <w:rsid w:val="006B499F"/>
    <w:rsid w:val="006B54C6"/>
    <w:rsid w:val="006B617F"/>
    <w:rsid w:val="006B78E0"/>
    <w:rsid w:val="006C187E"/>
    <w:rsid w:val="006C1FB8"/>
    <w:rsid w:val="006C2BB0"/>
    <w:rsid w:val="006C33BE"/>
    <w:rsid w:val="006C4B3D"/>
    <w:rsid w:val="006C53D0"/>
    <w:rsid w:val="006C5B53"/>
    <w:rsid w:val="006C6259"/>
    <w:rsid w:val="006C7E78"/>
    <w:rsid w:val="006D006A"/>
    <w:rsid w:val="006D064D"/>
    <w:rsid w:val="006D098F"/>
    <w:rsid w:val="006D127F"/>
    <w:rsid w:val="006D20E3"/>
    <w:rsid w:val="006D2218"/>
    <w:rsid w:val="006D33E1"/>
    <w:rsid w:val="006D35F7"/>
    <w:rsid w:val="006D4996"/>
    <w:rsid w:val="006D4D0C"/>
    <w:rsid w:val="006D510B"/>
    <w:rsid w:val="006D535B"/>
    <w:rsid w:val="006D54AB"/>
    <w:rsid w:val="006D58E5"/>
    <w:rsid w:val="006E1084"/>
    <w:rsid w:val="006E1097"/>
    <w:rsid w:val="006E10B2"/>
    <w:rsid w:val="006E1A70"/>
    <w:rsid w:val="006E1FA9"/>
    <w:rsid w:val="006E2D24"/>
    <w:rsid w:val="006E3006"/>
    <w:rsid w:val="006E3AFC"/>
    <w:rsid w:val="006E4458"/>
    <w:rsid w:val="006E4F02"/>
    <w:rsid w:val="006E5032"/>
    <w:rsid w:val="006E5BDA"/>
    <w:rsid w:val="006E7AC9"/>
    <w:rsid w:val="006F0FC7"/>
    <w:rsid w:val="006F39A9"/>
    <w:rsid w:val="006F3D9D"/>
    <w:rsid w:val="006F524E"/>
    <w:rsid w:val="006F5D57"/>
    <w:rsid w:val="006F643F"/>
    <w:rsid w:val="006F670F"/>
    <w:rsid w:val="006F77F3"/>
    <w:rsid w:val="0070063C"/>
    <w:rsid w:val="00700D69"/>
    <w:rsid w:val="0070243F"/>
    <w:rsid w:val="00702921"/>
    <w:rsid w:val="00703272"/>
    <w:rsid w:val="0070362C"/>
    <w:rsid w:val="00703652"/>
    <w:rsid w:val="00704020"/>
    <w:rsid w:val="00704044"/>
    <w:rsid w:val="00705B35"/>
    <w:rsid w:val="00705BBE"/>
    <w:rsid w:val="0070733C"/>
    <w:rsid w:val="007102D5"/>
    <w:rsid w:val="00710C5D"/>
    <w:rsid w:val="0071348C"/>
    <w:rsid w:val="00717273"/>
    <w:rsid w:val="00720FD4"/>
    <w:rsid w:val="00721EEF"/>
    <w:rsid w:val="00722A02"/>
    <w:rsid w:val="00723A21"/>
    <w:rsid w:val="00723B91"/>
    <w:rsid w:val="00723C6D"/>
    <w:rsid w:val="00724550"/>
    <w:rsid w:val="00724AF2"/>
    <w:rsid w:val="00724E51"/>
    <w:rsid w:val="00730624"/>
    <w:rsid w:val="0073096C"/>
    <w:rsid w:val="0073100D"/>
    <w:rsid w:val="00731368"/>
    <w:rsid w:val="00733429"/>
    <w:rsid w:val="00733A46"/>
    <w:rsid w:val="00733BB0"/>
    <w:rsid w:val="00735E2D"/>
    <w:rsid w:val="00736F2C"/>
    <w:rsid w:val="007371B2"/>
    <w:rsid w:val="00740F23"/>
    <w:rsid w:val="007419C8"/>
    <w:rsid w:val="00742398"/>
    <w:rsid w:val="007432A9"/>
    <w:rsid w:val="00745C0B"/>
    <w:rsid w:val="00746050"/>
    <w:rsid w:val="00746118"/>
    <w:rsid w:val="00746C7F"/>
    <w:rsid w:val="007507B5"/>
    <w:rsid w:val="0075091D"/>
    <w:rsid w:val="00750EC4"/>
    <w:rsid w:val="00751831"/>
    <w:rsid w:val="0075201B"/>
    <w:rsid w:val="00753A24"/>
    <w:rsid w:val="00754294"/>
    <w:rsid w:val="0075430D"/>
    <w:rsid w:val="0075779F"/>
    <w:rsid w:val="0076106F"/>
    <w:rsid w:val="0076354B"/>
    <w:rsid w:val="00764668"/>
    <w:rsid w:val="007658F3"/>
    <w:rsid w:val="00765D0E"/>
    <w:rsid w:val="00765E3B"/>
    <w:rsid w:val="00766EA2"/>
    <w:rsid w:val="00767034"/>
    <w:rsid w:val="00772188"/>
    <w:rsid w:val="0077222A"/>
    <w:rsid w:val="00773909"/>
    <w:rsid w:val="0077433B"/>
    <w:rsid w:val="00774E1E"/>
    <w:rsid w:val="0077544E"/>
    <w:rsid w:val="00776743"/>
    <w:rsid w:val="00776D7F"/>
    <w:rsid w:val="007813D0"/>
    <w:rsid w:val="00781BCD"/>
    <w:rsid w:val="007845AC"/>
    <w:rsid w:val="00785993"/>
    <w:rsid w:val="00785A0D"/>
    <w:rsid w:val="007863BF"/>
    <w:rsid w:val="007866E2"/>
    <w:rsid w:val="00786BA3"/>
    <w:rsid w:val="00790993"/>
    <w:rsid w:val="0079202F"/>
    <w:rsid w:val="0079203E"/>
    <w:rsid w:val="007934C3"/>
    <w:rsid w:val="00793FDA"/>
    <w:rsid w:val="00794903"/>
    <w:rsid w:val="00795486"/>
    <w:rsid w:val="00795AF2"/>
    <w:rsid w:val="00795E4F"/>
    <w:rsid w:val="007A0287"/>
    <w:rsid w:val="007A09FC"/>
    <w:rsid w:val="007A2AAD"/>
    <w:rsid w:val="007A3017"/>
    <w:rsid w:val="007A4432"/>
    <w:rsid w:val="007A59E9"/>
    <w:rsid w:val="007A784E"/>
    <w:rsid w:val="007A7E31"/>
    <w:rsid w:val="007B02A0"/>
    <w:rsid w:val="007B278C"/>
    <w:rsid w:val="007B2C2C"/>
    <w:rsid w:val="007B2DAD"/>
    <w:rsid w:val="007B3774"/>
    <w:rsid w:val="007B4939"/>
    <w:rsid w:val="007B499C"/>
    <w:rsid w:val="007B4D4B"/>
    <w:rsid w:val="007B58C6"/>
    <w:rsid w:val="007B76D8"/>
    <w:rsid w:val="007C0646"/>
    <w:rsid w:val="007C1ACD"/>
    <w:rsid w:val="007C1E5E"/>
    <w:rsid w:val="007C1E9D"/>
    <w:rsid w:val="007C3AE3"/>
    <w:rsid w:val="007C6C51"/>
    <w:rsid w:val="007D0000"/>
    <w:rsid w:val="007D2A02"/>
    <w:rsid w:val="007D5EA2"/>
    <w:rsid w:val="007D6144"/>
    <w:rsid w:val="007D62A4"/>
    <w:rsid w:val="007D6CE5"/>
    <w:rsid w:val="007E0917"/>
    <w:rsid w:val="007E136B"/>
    <w:rsid w:val="007E1736"/>
    <w:rsid w:val="007E25DD"/>
    <w:rsid w:val="007E2887"/>
    <w:rsid w:val="007E3318"/>
    <w:rsid w:val="007E3CB8"/>
    <w:rsid w:val="007E6EA1"/>
    <w:rsid w:val="007F0F16"/>
    <w:rsid w:val="007F0F63"/>
    <w:rsid w:val="007F2B1E"/>
    <w:rsid w:val="007F4590"/>
    <w:rsid w:val="007F62B4"/>
    <w:rsid w:val="007F7C05"/>
    <w:rsid w:val="007F7DF9"/>
    <w:rsid w:val="00800FD6"/>
    <w:rsid w:val="00801517"/>
    <w:rsid w:val="008019C0"/>
    <w:rsid w:val="008019D4"/>
    <w:rsid w:val="00804966"/>
    <w:rsid w:val="0080510A"/>
    <w:rsid w:val="0080596A"/>
    <w:rsid w:val="00805CBF"/>
    <w:rsid w:val="00807195"/>
    <w:rsid w:val="00810AC4"/>
    <w:rsid w:val="0081218E"/>
    <w:rsid w:val="0081228B"/>
    <w:rsid w:val="00813492"/>
    <w:rsid w:val="00814DE2"/>
    <w:rsid w:val="00815599"/>
    <w:rsid w:val="00815D34"/>
    <w:rsid w:val="008177EE"/>
    <w:rsid w:val="00817895"/>
    <w:rsid w:val="00817AE8"/>
    <w:rsid w:val="00817DE8"/>
    <w:rsid w:val="008229F5"/>
    <w:rsid w:val="00824293"/>
    <w:rsid w:val="008259DE"/>
    <w:rsid w:val="0082699A"/>
    <w:rsid w:val="00827F2A"/>
    <w:rsid w:val="00832633"/>
    <w:rsid w:val="0083342C"/>
    <w:rsid w:val="00833869"/>
    <w:rsid w:val="00833CEB"/>
    <w:rsid w:val="0083662B"/>
    <w:rsid w:val="008372D2"/>
    <w:rsid w:val="008377BC"/>
    <w:rsid w:val="00841179"/>
    <w:rsid w:val="00841353"/>
    <w:rsid w:val="00844C17"/>
    <w:rsid w:val="008450BB"/>
    <w:rsid w:val="00846017"/>
    <w:rsid w:val="008464F2"/>
    <w:rsid w:val="00847726"/>
    <w:rsid w:val="00851033"/>
    <w:rsid w:val="00851A55"/>
    <w:rsid w:val="00851CB1"/>
    <w:rsid w:val="00852511"/>
    <w:rsid w:val="0085252F"/>
    <w:rsid w:val="00853FD6"/>
    <w:rsid w:val="00855F22"/>
    <w:rsid w:val="00855FD0"/>
    <w:rsid w:val="0085658E"/>
    <w:rsid w:val="008568E6"/>
    <w:rsid w:val="00857408"/>
    <w:rsid w:val="008578A9"/>
    <w:rsid w:val="00860338"/>
    <w:rsid w:val="0086072A"/>
    <w:rsid w:val="0086088F"/>
    <w:rsid w:val="008614F1"/>
    <w:rsid w:val="008639B3"/>
    <w:rsid w:val="00863C1A"/>
    <w:rsid w:val="00863F9D"/>
    <w:rsid w:val="0086470F"/>
    <w:rsid w:val="00865882"/>
    <w:rsid w:val="00866CDD"/>
    <w:rsid w:val="0087082E"/>
    <w:rsid w:val="008712FE"/>
    <w:rsid w:val="0087142D"/>
    <w:rsid w:val="00872928"/>
    <w:rsid w:val="00872DA6"/>
    <w:rsid w:val="00873416"/>
    <w:rsid w:val="00873956"/>
    <w:rsid w:val="0087538C"/>
    <w:rsid w:val="00875495"/>
    <w:rsid w:val="00875A71"/>
    <w:rsid w:val="00875CB0"/>
    <w:rsid w:val="008762E7"/>
    <w:rsid w:val="008770CC"/>
    <w:rsid w:val="00877800"/>
    <w:rsid w:val="00877C32"/>
    <w:rsid w:val="00880580"/>
    <w:rsid w:val="0088094B"/>
    <w:rsid w:val="00880E72"/>
    <w:rsid w:val="0088176E"/>
    <w:rsid w:val="008825EE"/>
    <w:rsid w:val="00882DE4"/>
    <w:rsid w:val="0088313E"/>
    <w:rsid w:val="008849B2"/>
    <w:rsid w:val="0088596E"/>
    <w:rsid w:val="00885D26"/>
    <w:rsid w:val="00886C54"/>
    <w:rsid w:val="008870ED"/>
    <w:rsid w:val="008877FC"/>
    <w:rsid w:val="00892132"/>
    <w:rsid w:val="008947FF"/>
    <w:rsid w:val="0089796A"/>
    <w:rsid w:val="0089799B"/>
    <w:rsid w:val="008979FA"/>
    <w:rsid w:val="008A2375"/>
    <w:rsid w:val="008A54B6"/>
    <w:rsid w:val="008A7DEB"/>
    <w:rsid w:val="008B1B65"/>
    <w:rsid w:val="008B2185"/>
    <w:rsid w:val="008B3182"/>
    <w:rsid w:val="008B3557"/>
    <w:rsid w:val="008B39E0"/>
    <w:rsid w:val="008B4302"/>
    <w:rsid w:val="008B605A"/>
    <w:rsid w:val="008B6086"/>
    <w:rsid w:val="008B760D"/>
    <w:rsid w:val="008C093B"/>
    <w:rsid w:val="008C0E76"/>
    <w:rsid w:val="008C2665"/>
    <w:rsid w:val="008C6041"/>
    <w:rsid w:val="008C74E3"/>
    <w:rsid w:val="008D0936"/>
    <w:rsid w:val="008D403B"/>
    <w:rsid w:val="008D4707"/>
    <w:rsid w:val="008D764F"/>
    <w:rsid w:val="008D76C5"/>
    <w:rsid w:val="008E0A04"/>
    <w:rsid w:val="008E0AFA"/>
    <w:rsid w:val="008E28BD"/>
    <w:rsid w:val="008E2C6D"/>
    <w:rsid w:val="008E4F56"/>
    <w:rsid w:val="008E6661"/>
    <w:rsid w:val="008E75D3"/>
    <w:rsid w:val="008F02E9"/>
    <w:rsid w:val="008F076A"/>
    <w:rsid w:val="008F0CE4"/>
    <w:rsid w:val="008F125E"/>
    <w:rsid w:val="008F1CC5"/>
    <w:rsid w:val="008F2444"/>
    <w:rsid w:val="008F2B54"/>
    <w:rsid w:val="008F2CC5"/>
    <w:rsid w:val="008F4C1E"/>
    <w:rsid w:val="008F4D2F"/>
    <w:rsid w:val="008F510A"/>
    <w:rsid w:val="008F55A2"/>
    <w:rsid w:val="00900235"/>
    <w:rsid w:val="00900D3C"/>
    <w:rsid w:val="00906292"/>
    <w:rsid w:val="0091352F"/>
    <w:rsid w:val="00914B5B"/>
    <w:rsid w:val="009152B8"/>
    <w:rsid w:val="00917162"/>
    <w:rsid w:val="009172B9"/>
    <w:rsid w:val="009178AA"/>
    <w:rsid w:val="00920430"/>
    <w:rsid w:val="00921C0C"/>
    <w:rsid w:val="00923001"/>
    <w:rsid w:val="0092358D"/>
    <w:rsid w:val="009238BF"/>
    <w:rsid w:val="009251CC"/>
    <w:rsid w:val="0092680D"/>
    <w:rsid w:val="0092714E"/>
    <w:rsid w:val="00927661"/>
    <w:rsid w:val="00931E24"/>
    <w:rsid w:val="009324F0"/>
    <w:rsid w:val="00933130"/>
    <w:rsid w:val="0093478F"/>
    <w:rsid w:val="00935611"/>
    <w:rsid w:val="00936826"/>
    <w:rsid w:val="00940B3D"/>
    <w:rsid w:val="00942002"/>
    <w:rsid w:val="00942359"/>
    <w:rsid w:val="0094316E"/>
    <w:rsid w:val="0094623A"/>
    <w:rsid w:val="00946FC5"/>
    <w:rsid w:val="00947885"/>
    <w:rsid w:val="009504AB"/>
    <w:rsid w:val="00951212"/>
    <w:rsid w:val="00951818"/>
    <w:rsid w:val="00952168"/>
    <w:rsid w:val="009527FE"/>
    <w:rsid w:val="009529B2"/>
    <w:rsid w:val="009535A6"/>
    <w:rsid w:val="009538D0"/>
    <w:rsid w:val="0095421F"/>
    <w:rsid w:val="009555CA"/>
    <w:rsid w:val="00955D69"/>
    <w:rsid w:val="00957D2C"/>
    <w:rsid w:val="00960319"/>
    <w:rsid w:val="00960539"/>
    <w:rsid w:val="009605B1"/>
    <w:rsid w:val="00960CBC"/>
    <w:rsid w:val="00962591"/>
    <w:rsid w:val="00962AD4"/>
    <w:rsid w:val="00963A06"/>
    <w:rsid w:val="00965192"/>
    <w:rsid w:val="00967DD4"/>
    <w:rsid w:val="009700B1"/>
    <w:rsid w:val="00970ECF"/>
    <w:rsid w:val="00971261"/>
    <w:rsid w:val="00971FD4"/>
    <w:rsid w:val="009722CB"/>
    <w:rsid w:val="009739A0"/>
    <w:rsid w:val="00974EE4"/>
    <w:rsid w:val="00974F84"/>
    <w:rsid w:val="00975D5B"/>
    <w:rsid w:val="00976216"/>
    <w:rsid w:val="009767C7"/>
    <w:rsid w:val="00977D30"/>
    <w:rsid w:val="00980E69"/>
    <w:rsid w:val="0098334C"/>
    <w:rsid w:val="00984643"/>
    <w:rsid w:val="0098576C"/>
    <w:rsid w:val="0098579A"/>
    <w:rsid w:val="00991475"/>
    <w:rsid w:val="009918DD"/>
    <w:rsid w:val="0099195A"/>
    <w:rsid w:val="00991BD2"/>
    <w:rsid w:val="00992407"/>
    <w:rsid w:val="00992A11"/>
    <w:rsid w:val="00994681"/>
    <w:rsid w:val="0099486A"/>
    <w:rsid w:val="00994EFB"/>
    <w:rsid w:val="009954D8"/>
    <w:rsid w:val="00997239"/>
    <w:rsid w:val="009A0B33"/>
    <w:rsid w:val="009A0E26"/>
    <w:rsid w:val="009A16EC"/>
    <w:rsid w:val="009A22C2"/>
    <w:rsid w:val="009A743E"/>
    <w:rsid w:val="009A7CF6"/>
    <w:rsid w:val="009B10F6"/>
    <w:rsid w:val="009B1B55"/>
    <w:rsid w:val="009B29B7"/>
    <w:rsid w:val="009B3199"/>
    <w:rsid w:val="009B3B37"/>
    <w:rsid w:val="009B4E73"/>
    <w:rsid w:val="009B63F4"/>
    <w:rsid w:val="009B7D1F"/>
    <w:rsid w:val="009C088E"/>
    <w:rsid w:val="009C17DC"/>
    <w:rsid w:val="009C37AB"/>
    <w:rsid w:val="009C4C7A"/>
    <w:rsid w:val="009C4D35"/>
    <w:rsid w:val="009C5E51"/>
    <w:rsid w:val="009C6158"/>
    <w:rsid w:val="009C75A2"/>
    <w:rsid w:val="009C7B68"/>
    <w:rsid w:val="009D1522"/>
    <w:rsid w:val="009D51F0"/>
    <w:rsid w:val="009D61DC"/>
    <w:rsid w:val="009D7252"/>
    <w:rsid w:val="009D7652"/>
    <w:rsid w:val="009E1FF6"/>
    <w:rsid w:val="009E3CAF"/>
    <w:rsid w:val="009E3E5E"/>
    <w:rsid w:val="009E3F48"/>
    <w:rsid w:val="009E40E1"/>
    <w:rsid w:val="009E53A5"/>
    <w:rsid w:val="009E53C7"/>
    <w:rsid w:val="009E5EB4"/>
    <w:rsid w:val="009E7B37"/>
    <w:rsid w:val="009F4451"/>
    <w:rsid w:val="009F563C"/>
    <w:rsid w:val="009F610E"/>
    <w:rsid w:val="00A00DA9"/>
    <w:rsid w:val="00A00F7E"/>
    <w:rsid w:val="00A044D6"/>
    <w:rsid w:val="00A04ADB"/>
    <w:rsid w:val="00A04D8F"/>
    <w:rsid w:val="00A04F89"/>
    <w:rsid w:val="00A05F11"/>
    <w:rsid w:val="00A11E0F"/>
    <w:rsid w:val="00A12378"/>
    <w:rsid w:val="00A141E9"/>
    <w:rsid w:val="00A15B6B"/>
    <w:rsid w:val="00A15D78"/>
    <w:rsid w:val="00A15EBE"/>
    <w:rsid w:val="00A17F5B"/>
    <w:rsid w:val="00A216E5"/>
    <w:rsid w:val="00A25165"/>
    <w:rsid w:val="00A25F5B"/>
    <w:rsid w:val="00A26744"/>
    <w:rsid w:val="00A26CB6"/>
    <w:rsid w:val="00A2751B"/>
    <w:rsid w:val="00A30A00"/>
    <w:rsid w:val="00A316D9"/>
    <w:rsid w:val="00A32F82"/>
    <w:rsid w:val="00A32F8B"/>
    <w:rsid w:val="00A34F9F"/>
    <w:rsid w:val="00A36481"/>
    <w:rsid w:val="00A36675"/>
    <w:rsid w:val="00A3756F"/>
    <w:rsid w:val="00A42D6F"/>
    <w:rsid w:val="00A43870"/>
    <w:rsid w:val="00A4474B"/>
    <w:rsid w:val="00A45A62"/>
    <w:rsid w:val="00A462DC"/>
    <w:rsid w:val="00A4657C"/>
    <w:rsid w:val="00A51DB8"/>
    <w:rsid w:val="00A52E0B"/>
    <w:rsid w:val="00A52FA1"/>
    <w:rsid w:val="00A540B0"/>
    <w:rsid w:val="00A54AC5"/>
    <w:rsid w:val="00A54C2A"/>
    <w:rsid w:val="00A54D12"/>
    <w:rsid w:val="00A55DC3"/>
    <w:rsid w:val="00A56D41"/>
    <w:rsid w:val="00A56DEC"/>
    <w:rsid w:val="00A60529"/>
    <w:rsid w:val="00A60899"/>
    <w:rsid w:val="00A608D3"/>
    <w:rsid w:val="00A60F91"/>
    <w:rsid w:val="00A61353"/>
    <w:rsid w:val="00A61481"/>
    <w:rsid w:val="00A616F1"/>
    <w:rsid w:val="00A61A48"/>
    <w:rsid w:val="00A629D6"/>
    <w:rsid w:val="00A63035"/>
    <w:rsid w:val="00A635F8"/>
    <w:rsid w:val="00A637C9"/>
    <w:rsid w:val="00A66DB1"/>
    <w:rsid w:val="00A67A92"/>
    <w:rsid w:val="00A70DC6"/>
    <w:rsid w:val="00A7315C"/>
    <w:rsid w:val="00A7420B"/>
    <w:rsid w:val="00A74FDC"/>
    <w:rsid w:val="00A77192"/>
    <w:rsid w:val="00A8089F"/>
    <w:rsid w:val="00A81C0A"/>
    <w:rsid w:val="00A820BE"/>
    <w:rsid w:val="00A842D5"/>
    <w:rsid w:val="00A87870"/>
    <w:rsid w:val="00A903F3"/>
    <w:rsid w:val="00A90F18"/>
    <w:rsid w:val="00A90FFB"/>
    <w:rsid w:val="00A9149D"/>
    <w:rsid w:val="00A91A70"/>
    <w:rsid w:val="00A9204A"/>
    <w:rsid w:val="00A92FCD"/>
    <w:rsid w:val="00A9302F"/>
    <w:rsid w:val="00A957F6"/>
    <w:rsid w:val="00A959CF"/>
    <w:rsid w:val="00A9635E"/>
    <w:rsid w:val="00A97316"/>
    <w:rsid w:val="00A97BD8"/>
    <w:rsid w:val="00AA010B"/>
    <w:rsid w:val="00AA0D54"/>
    <w:rsid w:val="00AA1B85"/>
    <w:rsid w:val="00AA3290"/>
    <w:rsid w:val="00AA46F0"/>
    <w:rsid w:val="00AA6481"/>
    <w:rsid w:val="00AA7270"/>
    <w:rsid w:val="00AB08B8"/>
    <w:rsid w:val="00AB0C08"/>
    <w:rsid w:val="00AB12AC"/>
    <w:rsid w:val="00AB1CB6"/>
    <w:rsid w:val="00AB1D9A"/>
    <w:rsid w:val="00AB4A1F"/>
    <w:rsid w:val="00AB5C61"/>
    <w:rsid w:val="00AB668B"/>
    <w:rsid w:val="00AB7EAC"/>
    <w:rsid w:val="00AC304D"/>
    <w:rsid w:val="00AC3540"/>
    <w:rsid w:val="00AC3D15"/>
    <w:rsid w:val="00AC5055"/>
    <w:rsid w:val="00AC5315"/>
    <w:rsid w:val="00AC7D60"/>
    <w:rsid w:val="00AD0A8D"/>
    <w:rsid w:val="00AD0C22"/>
    <w:rsid w:val="00AD1AD7"/>
    <w:rsid w:val="00AD1AE2"/>
    <w:rsid w:val="00AD3290"/>
    <w:rsid w:val="00AD442C"/>
    <w:rsid w:val="00AD44FE"/>
    <w:rsid w:val="00AD5A37"/>
    <w:rsid w:val="00AD6B50"/>
    <w:rsid w:val="00AE05A4"/>
    <w:rsid w:val="00AE177E"/>
    <w:rsid w:val="00AE25FC"/>
    <w:rsid w:val="00AE400C"/>
    <w:rsid w:val="00AE49F1"/>
    <w:rsid w:val="00AE4A1C"/>
    <w:rsid w:val="00AE4B7A"/>
    <w:rsid w:val="00AE5532"/>
    <w:rsid w:val="00AE74D8"/>
    <w:rsid w:val="00AF0B6F"/>
    <w:rsid w:val="00AF0F75"/>
    <w:rsid w:val="00AF1D69"/>
    <w:rsid w:val="00AF23A8"/>
    <w:rsid w:val="00AF30D0"/>
    <w:rsid w:val="00AF41FA"/>
    <w:rsid w:val="00AF4796"/>
    <w:rsid w:val="00AF71EB"/>
    <w:rsid w:val="00B00988"/>
    <w:rsid w:val="00B01405"/>
    <w:rsid w:val="00B027BA"/>
    <w:rsid w:val="00B052E8"/>
    <w:rsid w:val="00B05CCA"/>
    <w:rsid w:val="00B05ECC"/>
    <w:rsid w:val="00B06DC3"/>
    <w:rsid w:val="00B100C9"/>
    <w:rsid w:val="00B11099"/>
    <w:rsid w:val="00B116B7"/>
    <w:rsid w:val="00B14271"/>
    <w:rsid w:val="00B16270"/>
    <w:rsid w:val="00B20182"/>
    <w:rsid w:val="00B22578"/>
    <w:rsid w:val="00B2292F"/>
    <w:rsid w:val="00B23C16"/>
    <w:rsid w:val="00B23C52"/>
    <w:rsid w:val="00B24E86"/>
    <w:rsid w:val="00B24F9C"/>
    <w:rsid w:val="00B259E1"/>
    <w:rsid w:val="00B2685D"/>
    <w:rsid w:val="00B26D1E"/>
    <w:rsid w:val="00B26EE8"/>
    <w:rsid w:val="00B30351"/>
    <w:rsid w:val="00B312F1"/>
    <w:rsid w:val="00B33837"/>
    <w:rsid w:val="00B33C2A"/>
    <w:rsid w:val="00B349F7"/>
    <w:rsid w:val="00B34A14"/>
    <w:rsid w:val="00B3506E"/>
    <w:rsid w:val="00B35967"/>
    <w:rsid w:val="00B35CBA"/>
    <w:rsid w:val="00B363D9"/>
    <w:rsid w:val="00B416D1"/>
    <w:rsid w:val="00B422EC"/>
    <w:rsid w:val="00B44875"/>
    <w:rsid w:val="00B44C07"/>
    <w:rsid w:val="00B453E4"/>
    <w:rsid w:val="00B46320"/>
    <w:rsid w:val="00B4657A"/>
    <w:rsid w:val="00B47F0A"/>
    <w:rsid w:val="00B50B6B"/>
    <w:rsid w:val="00B5147D"/>
    <w:rsid w:val="00B51D75"/>
    <w:rsid w:val="00B54329"/>
    <w:rsid w:val="00B54885"/>
    <w:rsid w:val="00B54BFF"/>
    <w:rsid w:val="00B554C9"/>
    <w:rsid w:val="00B56AD9"/>
    <w:rsid w:val="00B5714F"/>
    <w:rsid w:val="00B57158"/>
    <w:rsid w:val="00B5778D"/>
    <w:rsid w:val="00B60827"/>
    <w:rsid w:val="00B61117"/>
    <w:rsid w:val="00B614C0"/>
    <w:rsid w:val="00B61EBB"/>
    <w:rsid w:val="00B634AB"/>
    <w:rsid w:val="00B63624"/>
    <w:rsid w:val="00B671E3"/>
    <w:rsid w:val="00B7037B"/>
    <w:rsid w:val="00B719F6"/>
    <w:rsid w:val="00B726D4"/>
    <w:rsid w:val="00B72969"/>
    <w:rsid w:val="00B73A2D"/>
    <w:rsid w:val="00B73F8B"/>
    <w:rsid w:val="00B758FD"/>
    <w:rsid w:val="00B76807"/>
    <w:rsid w:val="00B769E6"/>
    <w:rsid w:val="00B77D24"/>
    <w:rsid w:val="00B8214F"/>
    <w:rsid w:val="00B82B43"/>
    <w:rsid w:val="00B82B48"/>
    <w:rsid w:val="00B84956"/>
    <w:rsid w:val="00B84F2C"/>
    <w:rsid w:val="00B85133"/>
    <w:rsid w:val="00B8643A"/>
    <w:rsid w:val="00B86A4F"/>
    <w:rsid w:val="00B91786"/>
    <w:rsid w:val="00B93035"/>
    <w:rsid w:val="00B93D17"/>
    <w:rsid w:val="00B940EB"/>
    <w:rsid w:val="00B9431C"/>
    <w:rsid w:val="00B95798"/>
    <w:rsid w:val="00B958E8"/>
    <w:rsid w:val="00B97E4A"/>
    <w:rsid w:val="00BA09B2"/>
    <w:rsid w:val="00BA0F35"/>
    <w:rsid w:val="00BA397D"/>
    <w:rsid w:val="00BA465D"/>
    <w:rsid w:val="00BA52C0"/>
    <w:rsid w:val="00BA5B46"/>
    <w:rsid w:val="00BA621C"/>
    <w:rsid w:val="00BA63D4"/>
    <w:rsid w:val="00BB2D73"/>
    <w:rsid w:val="00BB400D"/>
    <w:rsid w:val="00BB45BA"/>
    <w:rsid w:val="00BB48B2"/>
    <w:rsid w:val="00BB4A3A"/>
    <w:rsid w:val="00BB5D0B"/>
    <w:rsid w:val="00BB629C"/>
    <w:rsid w:val="00BC0995"/>
    <w:rsid w:val="00BC1761"/>
    <w:rsid w:val="00BC19ED"/>
    <w:rsid w:val="00BC513A"/>
    <w:rsid w:val="00BC678C"/>
    <w:rsid w:val="00BC6C56"/>
    <w:rsid w:val="00BC6DE2"/>
    <w:rsid w:val="00BC6E62"/>
    <w:rsid w:val="00BD013A"/>
    <w:rsid w:val="00BD2510"/>
    <w:rsid w:val="00BD3A53"/>
    <w:rsid w:val="00BD4ECD"/>
    <w:rsid w:val="00BD5A19"/>
    <w:rsid w:val="00BD6539"/>
    <w:rsid w:val="00BD656A"/>
    <w:rsid w:val="00BD6D1B"/>
    <w:rsid w:val="00BE2403"/>
    <w:rsid w:val="00BE2D0A"/>
    <w:rsid w:val="00BE47D4"/>
    <w:rsid w:val="00BE66DB"/>
    <w:rsid w:val="00BE78A8"/>
    <w:rsid w:val="00BE793A"/>
    <w:rsid w:val="00BE7A0B"/>
    <w:rsid w:val="00BF114D"/>
    <w:rsid w:val="00BF1B93"/>
    <w:rsid w:val="00BF2B82"/>
    <w:rsid w:val="00BF2CEB"/>
    <w:rsid w:val="00BF432A"/>
    <w:rsid w:val="00BF66DA"/>
    <w:rsid w:val="00BF6E82"/>
    <w:rsid w:val="00C0361D"/>
    <w:rsid w:val="00C041A4"/>
    <w:rsid w:val="00C060C7"/>
    <w:rsid w:val="00C06DCC"/>
    <w:rsid w:val="00C07F92"/>
    <w:rsid w:val="00C10EA4"/>
    <w:rsid w:val="00C11D25"/>
    <w:rsid w:val="00C12622"/>
    <w:rsid w:val="00C13217"/>
    <w:rsid w:val="00C145A7"/>
    <w:rsid w:val="00C15BEC"/>
    <w:rsid w:val="00C15DB5"/>
    <w:rsid w:val="00C208E2"/>
    <w:rsid w:val="00C21874"/>
    <w:rsid w:val="00C21897"/>
    <w:rsid w:val="00C2288E"/>
    <w:rsid w:val="00C22B54"/>
    <w:rsid w:val="00C22CEA"/>
    <w:rsid w:val="00C22F1F"/>
    <w:rsid w:val="00C24279"/>
    <w:rsid w:val="00C249E3"/>
    <w:rsid w:val="00C24C17"/>
    <w:rsid w:val="00C27C4A"/>
    <w:rsid w:val="00C31595"/>
    <w:rsid w:val="00C31B25"/>
    <w:rsid w:val="00C3309D"/>
    <w:rsid w:val="00C3411D"/>
    <w:rsid w:val="00C34357"/>
    <w:rsid w:val="00C34829"/>
    <w:rsid w:val="00C363B8"/>
    <w:rsid w:val="00C3758F"/>
    <w:rsid w:val="00C40B88"/>
    <w:rsid w:val="00C43DDD"/>
    <w:rsid w:val="00C44489"/>
    <w:rsid w:val="00C44FC2"/>
    <w:rsid w:val="00C47D87"/>
    <w:rsid w:val="00C47FCD"/>
    <w:rsid w:val="00C50FA6"/>
    <w:rsid w:val="00C53430"/>
    <w:rsid w:val="00C5376E"/>
    <w:rsid w:val="00C549AA"/>
    <w:rsid w:val="00C554C1"/>
    <w:rsid w:val="00C558F2"/>
    <w:rsid w:val="00C55AEE"/>
    <w:rsid w:val="00C5701B"/>
    <w:rsid w:val="00C6069A"/>
    <w:rsid w:val="00C61501"/>
    <w:rsid w:val="00C61BDC"/>
    <w:rsid w:val="00C64D40"/>
    <w:rsid w:val="00C65957"/>
    <w:rsid w:val="00C66218"/>
    <w:rsid w:val="00C677C9"/>
    <w:rsid w:val="00C70B76"/>
    <w:rsid w:val="00C70DBC"/>
    <w:rsid w:val="00C70FB7"/>
    <w:rsid w:val="00C71E80"/>
    <w:rsid w:val="00C75DCE"/>
    <w:rsid w:val="00C7750A"/>
    <w:rsid w:val="00C808A6"/>
    <w:rsid w:val="00C83BA4"/>
    <w:rsid w:val="00C84AC6"/>
    <w:rsid w:val="00C855DB"/>
    <w:rsid w:val="00C855F3"/>
    <w:rsid w:val="00C86270"/>
    <w:rsid w:val="00C90C20"/>
    <w:rsid w:val="00C9109C"/>
    <w:rsid w:val="00C948CF"/>
    <w:rsid w:val="00C95798"/>
    <w:rsid w:val="00C95A74"/>
    <w:rsid w:val="00C97091"/>
    <w:rsid w:val="00C97260"/>
    <w:rsid w:val="00C97391"/>
    <w:rsid w:val="00CA14A5"/>
    <w:rsid w:val="00CA14DA"/>
    <w:rsid w:val="00CA1AB8"/>
    <w:rsid w:val="00CA2001"/>
    <w:rsid w:val="00CA2B10"/>
    <w:rsid w:val="00CA3F11"/>
    <w:rsid w:val="00CA5256"/>
    <w:rsid w:val="00CA5564"/>
    <w:rsid w:val="00CB078E"/>
    <w:rsid w:val="00CB3782"/>
    <w:rsid w:val="00CB4D20"/>
    <w:rsid w:val="00CB5B6C"/>
    <w:rsid w:val="00CB60EF"/>
    <w:rsid w:val="00CB74E3"/>
    <w:rsid w:val="00CC052E"/>
    <w:rsid w:val="00CC06E5"/>
    <w:rsid w:val="00CC0B14"/>
    <w:rsid w:val="00CC5B9C"/>
    <w:rsid w:val="00CD02DF"/>
    <w:rsid w:val="00CD10A5"/>
    <w:rsid w:val="00CD16BE"/>
    <w:rsid w:val="00CD179F"/>
    <w:rsid w:val="00CD1F32"/>
    <w:rsid w:val="00CD2268"/>
    <w:rsid w:val="00CD4616"/>
    <w:rsid w:val="00CD50DC"/>
    <w:rsid w:val="00CD56AF"/>
    <w:rsid w:val="00CD5FFA"/>
    <w:rsid w:val="00CD608B"/>
    <w:rsid w:val="00CD61BB"/>
    <w:rsid w:val="00CE32F0"/>
    <w:rsid w:val="00CE33D5"/>
    <w:rsid w:val="00CE4712"/>
    <w:rsid w:val="00CE4A22"/>
    <w:rsid w:val="00CE6073"/>
    <w:rsid w:val="00CE761C"/>
    <w:rsid w:val="00CF5D37"/>
    <w:rsid w:val="00CF6353"/>
    <w:rsid w:val="00CF6F33"/>
    <w:rsid w:val="00D02248"/>
    <w:rsid w:val="00D04429"/>
    <w:rsid w:val="00D04B47"/>
    <w:rsid w:val="00D04E37"/>
    <w:rsid w:val="00D063B8"/>
    <w:rsid w:val="00D06825"/>
    <w:rsid w:val="00D0702E"/>
    <w:rsid w:val="00D07467"/>
    <w:rsid w:val="00D076E6"/>
    <w:rsid w:val="00D07715"/>
    <w:rsid w:val="00D1044F"/>
    <w:rsid w:val="00D106BD"/>
    <w:rsid w:val="00D14E64"/>
    <w:rsid w:val="00D17185"/>
    <w:rsid w:val="00D17D02"/>
    <w:rsid w:val="00D17E3B"/>
    <w:rsid w:val="00D22A9A"/>
    <w:rsid w:val="00D2306F"/>
    <w:rsid w:val="00D23C09"/>
    <w:rsid w:val="00D23CED"/>
    <w:rsid w:val="00D241D1"/>
    <w:rsid w:val="00D24BD2"/>
    <w:rsid w:val="00D24F2C"/>
    <w:rsid w:val="00D254F7"/>
    <w:rsid w:val="00D2573D"/>
    <w:rsid w:val="00D260A2"/>
    <w:rsid w:val="00D30CC6"/>
    <w:rsid w:val="00D30DA4"/>
    <w:rsid w:val="00D31722"/>
    <w:rsid w:val="00D3260C"/>
    <w:rsid w:val="00D3391A"/>
    <w:rsid w:val="00D33DB5"/>
    <w:rsid w:val="00D35790"/>
    <w:rsid w:val="00D41276"/>
    <w:rsid w:val="00D41971"/>
    <w:rsid w:val="00D442D5"/>
    <w:rsid w:val="00D45043"/>
    <w:rsid w:val="00D51576"/>
    <w:rsid w:val="00D519AF"/>
    <w:rsid w:val="00D532A9"/>
    <w:rsid w:val="00D5437A"/>
    <w:rsid w:val="00D5611E"/>
    <w:rsid w:val="00D5653B"/>
    <w:rsid w:val="00D56C30"/>
    <w:rsid w:val="00D5726D"/>
    <w:rsid w:val="00D572AC"/>
    <w:rsid w:val="00D6071F"/>
    <w:rsid w:val="00D61D6E"/>
    <w:rsid w:val="00D62580"/>
    <w:rsid w:val="00D62EF1"/>
    <w:rsid w:val="00D6309D"/>
    <w:rsid w:val="00D644CA"/>
    <w:rsid w:val="00D64961"/>
    <w:rsid w:val="00D64EA0"/>
    <w:rsid w:val="00D66FC2"/>
    <w:rsid w:val="00D7044E"/>
    <w:rsid w:val="00D704A8"/>
    <w:rsid w:val="00D72F14"/>
    <w:rsid w:val="00D76C7E"/>
    <w:rsid w:val="00D771DE"/>
    <w:rsid w:val="00D7776D"/>
    <w:rsid w:val="00D77ADC"/>
    <w:rsid w:val="00D81AEF"/>
    <w:rsid w:val="00D82A42"/>
    <w:rsid w:val="00D834F1"/>
    <w:rsid w:val="00D83609"/>
    <w:rsid w:val="00D83AA6"/>
    <w:rsid w:val="00D85C0D"/>
    <w:rsid w:val="00D866CB"/>
    <w:rsid w:val="00D86909"/>
    <w:rsid w:val="00D87A9A"/>
    <w:rsid w:val="00D87E39"/>
    <w:rsid w:val="00D90625"/>
    <w:rsid w:val="00D909F8"/>
    <w:rsid w:val="00D9152C"/>
    <w:rsid w:val="00D92179"/>
    <w:rsid w:val="00D922C6"/>
    <w:rsid w:val="00D9293F"/>
    <w:rsid w:val="00D92C6A"/>
    <w:rsid w:val="00D92DE7"/>
    <w:rsid w:val="00D93598"/>
    <w:rsid w:val="00D93B82"/>
    <w:rsid w:val="00D93FDD"/>
    <w:rsid w:val="00D94253"/>
    <w:rsid w:val="00D942F8"/>
    <w:rsid w:val="00D96FA9"/>
    <w:rsid w:val="00D97A5B"/>
    <w:rsid w:val="00D97D9B"/>
    <w:rsid w:val="00DA1E18"/>
    <w:rsid w:val="00DA2009"/>
    <w:rsid w:val="00DA3F5E"/>
    <w:rsid w:val="00DA585A"/>
    <w:rsid w:val="00DA6DF7"/>
    <w:rsid w:val="00DA7741"/>
    <w:rsid w:val="00DA7769"/>
    <w:rsid w:val="00DB01C3"/>
    <w:rsid w:val="00DB05B1"/>
    <w:rsid w:val="00DB2823"/>
    <w:rsid w:val="00DB2D74"/>
    <w:rsid w:val="00DB3786"/>
    <w:rsid w:val="00DB59E8"/>
    <w:rsid w:val="00DB5A79"/>
    <w:rsid w:val="00DB638B"/>
    <w:rsid w:val="00DC1179"/>
    <w:rsid w:val="00DC2465"/>
    <w:rsid w:val="00DC4BCA"/>
    <w:rsid w:val="00DC5E2C"/>
    <w:rsid w:val="00DC7D48"/>
    <w:rsid w:val="00DC7E9B"/>
    <w:rsid w:val="00DD0253"/>
    <w:rsid w:val="00DD145A"/>
    <w:rsid w:val="00DD4A1A"/>
    <w:rsid w:val="00DD512E"/>
    <w:rsid w:val="00DD5EC8"/>
    <w:rsid w:val="00DD5FF5"/>
    <w:rsid w:val="00DD61D4"/>
    <w:rsid w:val="00DD7BEC"/>
    <w:rsid w:val="00DE083E"/>
    <w:rsid w:val="00DE0C22"/>
    <w:rsid w:val="00DE1177"/>
    <w:rsid w:val="00DE2CEA"/>
    <w:rsid w:val="00DE3CFE"/>
    <w:rsid w:val="00DE4DB3"/>
    <w:rsid w:val="00DE4F86"/>
    <w:rsid w:val="00DE567C"/>
    <w:rsid w:val="00DE6154"/>
    <w:rsid w:val="00DE634D"/>
    <w:rsid w:val="00DE6A3C"/>
    <w:rsid w:val="00DE74F4"/>
    <w:rsid w:val="00DE7C8B"/>
    <w:rsid w:val="00DE7F97"/>
    <w:rsid w:val="00DF0AAF"/>
    <w:rsid w:val="00DF1010"/>
    <w:rsid w:val="00DF2244"/>
    <w:rsid w:val="00DF334D"/>
    <w:rsid w:val="00DF53D9"/>
    <w:rsid w:val="00DF5AEA"/>
    <w:rsid w:val="00DF5D49"/>
    <w:rsid w:val="00DF63F6"/>
    <w:rsid w:val="00DF7992"/>
    <w:rsid w:val="00DF7BD0"/>
    <w:rsid w:val="00E00C8E"/>
    <w:rsid w:val="00E0219D"/>
    <w:rsid w:val="00E0276A"/>
    <w:rsid w:val="00E0374B"/>
    <w:rsid w:val="00E0392F"/>
    <w:rsid w:val="00E0632F"/>
    <w:rsid w:val="00E06C36"/>
    <w:rsid w:val="00E071A9"/>
    <w:rsid w:val="00E07D26"/>
    <w:rsid w:val="00E10047"/>
    <w:rsid w:val="00E10B28"/>
    <w:rsid w:val="00E117FD"/>
    <w:rsid w:val="00E13747"/>
    <w:rsid w:val="00E14758"/>
    <w:rsid w:val="00E16BDE"/>
    <w:rsid w:val="00E21088"/>
    <w:rsid w:val="00E21F5D"/>
    <w:rsid w:val="00E22B1C"/>
    <w:rsid w:val="00E23C5E"/>
    <w:rsid w:val="00E23E29"/>
    <w:rsid w:val="00E24632"/>
    <w:rsid w:val="00E25155"/>
    <w:rsid w:val="00E25AEA"/>
    <w:rsid w:val="00E27C2C"/>
    <w:rsid w:val="00E30D26"/>
    <w:rsid w:val="00E30DEF"/>
    <w:rsid w:val="00E30ED2"/>
    <w:rsid w:val="00E31276"/>
    <w:rsid w:val="00E3155D"/>
    <w:rsid w:val="00E32102"/>
    <w:rsid w:val="00E34666"/>
    <w:rsid w:val="00E349A2"/>
    <w:rsid w:val="00E36A66"/>
    <w:rsid w:val="00E377D6"/>
    <w:rsid w:val="00E37F70"/>
    <w:rsid w:val="00E41377"/>
    <w:rsid w:val="00E41985"/>
    <w:rsid w:val="00E42B89"/>
    <w:rsid w:val="00E430B8"/>
    <w:rsid w:val="00E446C1"/>
    <w:rsid w:val="00E46BCD"/>
    <w:rsid w:val="00E51CCC"/>
    <w:rsid w:val="00E52079"/>
    <w:rsid w:val="00E52FC7"/>
    <w:rsid w:val="00E545D7"/>
    <w:rsid w:val="00E547FE"/>
    <w:rsid w:val="00E54960"/>
    <w:rsid w:val="00E55447"/>
    <w:rsid w:val="00E55927"/>
    <w:rsid w:val="00E5669C"/>
    <w:rsid w:val="00E570D4"/>
    <w:rsid w:val="00E60ECA"/>
    <w:rsid w:val="00E613AB"/>
    <w:rsid w:val="00E62501"/>
    <w:rsid w:val="00E637B6"/>
    <w:rsid w:val="00E6487C"/>
    <w:rsid w:val="00E654A9"/>
    <w:rsid w:val="00E658DC"/>
    <w:rsid w:val="00E663B6"/>
    <w:rsid w:val="00E66B13"/>
    <w:rsid w:val="00E66BBE"/>
    <w:rsid w:val="00E6780D"/>
    <w:rsid w:val="00E71DFE"/>
    <w:rsid w:val="00E728D3"/>
    <w:rsid w:val="00E72BDE"/>
    <w:rsid w:val="00E73083"/>
    <w:rsid w:val="00E758B9"/>
    <w:rsid w:val="00E75E22"/>
    <w:rsid w:val="00E76025"/>
    <w:rsid w:val="00E76B45"/>
    <w:rsid w:val="00E77C00"/>
    <w:rsid w:val="00E810D3"/>
    <w:rsid w:val="00E82FE5"/>
    <w:rsid w:val="00E83724"/>
    <w:rsid w:val="00E84236"/>
    <w:rsid w:val="00E84C02"/>
    <w:rsid w:val="00E85569"/>
    <w:rsid w:val="00E856AF"/>
    <w:rsid w:val="00E859D9"/>
    <w:rsid w:val="00E8607C"/>
    <w:rsid w:val="00E86B83"/>
    <w:rsid w:val="00E86D6E"/>
    <w:rsid w:val="00E878FB"/>
    <w:rsid w:val="00E87976"/>
    <w:rsid w:val="00E87C64"/>
    <w:rsid w:val="00E912E1"/>
    <w:rsid w:val="00E919C3"/>
    <w:rsid w:val="00E92278"/>
    <w:rsid w:val="00E93A01"/>
    <w:rsid w:val="00E93FF8"/>
    <w:rsid w:val="00E948D8"/>
    <w:rsid w:val="00E94EB6"/>
    <w:rsid w:val="00E94F16"/>
    <w:rsid w:val="00E950CA"/>
    <w:rsid w:val="00E95CA8"/>
    <w:rsid w:val="00E96643"/>
    <w:rsid w:val="00E96CE0"/>
    <w:rsid w:val="00E96EAF"/>
    <w:rsid w:val="00E97448"/>
    <w:rsid w:val="00EA044C"/>
    <w:rsid w:val="00EA1752"/>
    <w:rsid w:val="00EA1911"/>
    <w:rsid w:val="00EA1D90"/>
    <w:rsid w:val="00EA371E"/>
    <w:rsid w:val="00EA539B"/>
    <w:rsid w:val="00EA5996"/>
    <w:rsid w:val="00EA5A89"/>
    <w:rsid w:val="00EA5BDB"/>
    <w:rsid w:val="00EA63FA"/>
    <w:rsid w:val="00EA7720"/>
    <w:rsid w:val="00EB0A73"/>
    <w:rsid w:val="00EB0B55"/>
    <w:rsid w:val="00EB254F"/>
    <w:rsid w:val="00EB3A98"/>
    <w:rsid w:val="00EB46D9"/>
    <w:rsid w:val="00EB6EF6"/>
    <w:rsid w:val="00EC0199"/>
    <w:rsid w:val="00EC0E64"/>
    <w:rsid w:val="00EC142D"/>
    <w:rsid w:val="00EC1E16"/>
    <w:rsid w:val="00EC2DD1"/>
    <w:rsid w:val="00EC4A19"/>
    <w:rsid w:val="00EC4BA5"/>
    <w:rsid w:val="00EC52DA"/>
    <w:rsid w:val="00EC6F28"/>
    <w:rsid w:val="00EC7220"/>
    <w:rsid w:val="00ED0024"/>
    <w:rsid w:val="00ED0EA0"/>
    <w:rsid w:val="00ED0F85"/>
    <w:rsid w:val="00ED1B01"/>
    <w:rsid w:val="00ED2B5C"/>
    <w:rsid w:val="00ED3269"/>
    <w:rsid w:val="00ED3A18"/>
    <w:rsid w:val="00ED3AB7"/>
    <w:rsid w:val="00ED3C57"/>
    <w:rsid w:val="00EE1A8C"/>
    <w:rsid w:val="00EE3FED"/>
    <w:rsid w:val="00EE4643"/>
    <w:rsid w:val="00EE529F"/>
    <w:rsid w:val="00EE65B6"/>
    <w:rsid w:val="00EE7C86"/>
    <w:rsid w:val="00EF1330"/>
    <w:rsid w:val="00EF15FF"/>
    <w:rsid w:val="00EF2D80"/>
    <w:rsid w:val="00EF31D8"/>
    <w:rsid w:val="00EF55E6"/>
    <w:rsid w:val="00EF5707"/>
    <w:rsid w:val="00EF588D"/>
    <w:rsid w:val="00EF66B1"/>
    <w:rsid w:val="00EF67D3"/>
    <w:rsid w:val="00EF6F1F"/>
    <w:rsid w:val="00EF70EC"/>
    <w:rsid w:val="00EF7111"/>
    <w:rsid w:val="00EF7D1A"/>
    <w:rsid w:val="00F02350"/>
    <w:rsid w:val="00F02759"/>
    <w:rsid w:val="00F03B49"/>
    <w:rsid w:val="00F0448F"/>
    <w:rsid w:val="00F0716C"/>
    <w:rsid w:val="00F105AE"/>
    <w:rsid w:val="00F108A8"/>
    <w:rsid w:val="00F13319"/>
    <w:rsid w:val="00F14353"/>
    <w:rsid w:val="00F1628B"/>
    <w:rsid w:val="00F16990"/>
    <w:rsid w:val="00F22E81"/>
    <w:rsid w:val="00F250ED"/>
    <w:rsid w:val="00F270E9"/>
    <w:rsid w:val="00F27440"/>
    <w:rsid w:val="00F275C0"/>
    <w:rsid w:val="00F3011D"/>
    <w:rsid w:val="00F30443"/>
    <w:rsid w:val="00F3048B"/>
    <w:rsid w:val="00F317B5"/>
    <w:rsid w:val="00F33348"/>
    <w:rsid w:val="00F346B6"/>
    <w:rsid w:val="00F34AB1"/>
    <w:rsid w:val="00F36145"/>
    <w:rsid w:val="00F36227"/>
    <w:rsid w:val="00F37BDD"/>
    <w:rsid w:val="00F40716"/>
    <w:rsid w:val="00F41503"/>
    <w:rsid w:val="00F417D4"/>
    <w:rsid w:val="00F41D5C"/>
    <w:rsid w:val="00F432CF"/>
    <w:rsid w:val="00F437FD"/>
    <w:rsid w:val="00F43B69"/>
    <w:rsid w:val="00F4479A"/>
    <w:rsid w:val="00F44D82"/>
    <w:rsid w:val="00F45589"/>
    <w:rsid w:val="00F460F3"/>
    <w:rsid w:val="00F46207"/>
    <w:rsid w:val="00F466C8"/>
    <w:rsid w:val="00F46706"/>
    <w:rsid w:val="00F469A9"/>
    <w:rsid w:val="00F46B50"/>
    <w:rsid w:val="00F47C20"/>
    <w:rsid w:val="00F50B46"/>
    <w:rsid w:val="00F50D1F"/>
    <w:rsid w:val="00F51545"/>
    <w:rsid w:val="00F521DE"/>
    <w:rsid w:val="00F52654"/>
    <w:rsid w:val="00F541D4"/>
    <w:rsid w:val="00F553CE"/>
    <w:rsid w:val="00F56043"/>
    <w:rsid w:val="00F5664E"/>
    <w:rsid w:val="00F56BD8"/>
    <w:rsid w:val="00F56E86"/>
    <w:rsid w:val="00F56FA9"/>
    <w:rsid w:val="00F6171A"/>
    <w:rsid w:val="00F619BA"/>
    <w:rsid w:val="00F62306"/>
    <w:rsid w:val="00F635FC"/>
    <w:rsid w:val="00F63D03"/>
    <w:rsid w:val="00F65E2F"/>
    <w:rsid w:val="00F66D8C"/>
    <w:rsid w:val="00F67385"/>
    <w:rsid w:val="00F67DF1"/>
    <w:rsid w:val="00F7054E"/>
    <w:rsid w:val="00F7137C"/>
    <w:rsid w:val="00F72A09"/>
    <w:rsid w:val="00F74E67"/>
    <w:rsid w:val="00F76734"/>
    <w:rsid w:val="00F76814"/>
    <w:rsid w:val="00F77A5F"/>
    <w:rsid w:val="00F8309B"/>
    <w:rsid w:val="00F833C9"/>
    <w:rsid w:val="00F836C8"/>
    <w:rsid w:val="00F85198"/>
    <w:rsid w:val="00F90064"/>
    <w:rsid w:val="00F90BF7"/>
    <w:rsid w:val="00F94217"/>
    <w:rsid w:val="00F9586C"/>
    <w:rsid w:val="00F96AFD"/>
    <w:rsid w:val="00F96F4C"/>
    <w:rsid w:val="00FA07F4"/>
    <w:rsid w:val="00FA1398"/>
    <w:rsid w:val="00FA1515"/>
    <w:rsid w:val="00FA2053"/>
    <w:rsid w:val="00FA2E19"/>
    <w:rsid w:val="00FA397B"/>
    <w:rsid w:val="00FA3BE7"/>
    <w:rsid w:val="00FA4373"/>
    <w:rsid w:val="00FA4BA0"/>
    <w:rsid w:val="00FA697F"/>
    <w:rsid w:val="00FA6F4C"/>
    <w:rsid w:val="00FA7354"/>
    <w:rsid w:val="00FB0147"/>
    <w:rsid w:val="00FB043A"/>
    <w:rsid w:val="00FB0F92"/>
    <w:rsid w:val="00FB2FB3"/>
    <w:rsid w:val="00FB3846"/>
    <w:rsid w:val="00FB398A"/>
    <w:rsid w:val="00FB4BF5"/>
    <w:rsid w:val="00FB5059"/>
    <w:rsid w:val="00FB5521"/>
    <w:rsid w:val="00FB610D"/>
    <w:rsid w:val="00FB626E"/>
    <w:rsid w:val="00FB6CA8"/>
    <w:rsid w:val="00FC1E4C"/>
    <w:rsid w:val="00FC4477"/>
    <w:rsid w:val="00FC46FB"/>
    <w:rsid w:val="00FC4DD1"/>
    <w:rsid w:val="00FC7B66"/>
    <w:rsid w:val="00FD0D94"/>
    <w:rsid w:val="00FD106C"/>
    <w:rsid w:val="00FD2BD3"/>
    <w:rsid w:val="00FD2DE3"/>
    <w:rsid w:val="00FD3DEF"/>
    <w:rsid w:val="00FD4CCA"/>
    <w:rsid w:val="00FD58B1"/>
    <w:rsid w:val="00FE00EA"/>
    <w:rsid w:val="00FE04BA"/>
    <w:rsid w:val="00FE234B"/>
    <w:rsid w:val="00FE2737"/>
    <w:rsid w:val="00FE2A9E"/>
    <w:rsid w:val="00FE34B3"/>
    <w:rsid w:val="00FE46B7"/>
    <w:rsid w:val="00FE4CEC"/>
    <w:rsid w:val="00FE683A"/>
    <w:rsid w:val="00FF0420"/>
    <w:rsid w:val="00FF41B8"/>
    <w:rsid w:val="00FF47C1"/>
    <w:rsid w:val="00FF4F5A"/>
    <w:rsid w:val="00FF5237"/>
    <w:rsid w:val="00FF5629"/>
    <w:rsid w:val="00FF5B79"/>
    <w:rsid w:val="00FF689D"/>
    <w:rsid w:val="06763376"/>
    <w:rsid w:val="06D79157"/>
    <w:rsid w:val="0DD79F36"/>
    <w:rsid w:val="11E43BAB"/>
    <w:rsid w:val="121534C5"/>
    <w:rsid w:val="161E678D"/>
    <w:rsid w:val="19090967"/>
    <w:rsid w:val="1B3C24C5"/>
    <w:rsid w:val="210B7837"/>
    <w:rsid w:val="23B4E6BE"/>
    <w:rsid w:val="24F18C83"/>
    <w:rsid w:val="25653D02"/>
    <w:rsid w:val="27AA7305"/>
    <w:rsid w:val="3310C0BE"/>
    <w:rsid w:val="38EF0D05"/>
    <w:rsid w:val="39A07357"/>
    <w:rsid w:val="42088138"/>
    <w:rsid w:val="511D528A"/>
    <w:rsid w:val="588ADAF6"/>
    <w:rsid w:val="5CE173DD"/>
    <w:rsid w:val="66EB6E8A"/>
    <w:rsid w:val="69981A89"/>
    <w:rsid w:val="7629CDD5"/>
    <w:rsid w:val="772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409AA"/>
  <w15:chartTrackingRefBased/>
  <w15:docId w15:val="{D8A9B98D-733D-4FF4-9BF4-D50BB21B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Akapitzlist">
    <w:name w:val="List Paragraph"/>
    <w:basedOn w:val="Normalny"/>
    <w:uiPriority w:val="34"/>
    <w:qFormat/>
    <w:rsid w:val="00635616"/>
    <w:pPr>
      <w:ind w:left="720"/>
      <w:contextualSpacing/>
    </w:pPr>
  </w:style>
  <w:style w:type="character" w:styleId="Odwoaniedokomentarza">
    <w:name w:val="annotation reference"/>
    <w:rsid w:val="008460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6017"/>
    <w:pPr>
      <w:spacing w:line="260" w:lineRule="atLeast"/>
      <w:jc w:val="left"/>
    </w:pPr>
    <w:rPr>
      <w:rFonts w:ascii="Arial" w:hAnsi="Arial"/>
      <w:sz w:val="20"/>
      <w:szCs w:val="20"/>
      <w:lang w:val="de-DE"/>
    </w:rPr>
  </w:style>
  <w:style w:type="character" w:customStyle="1" w:styleId="TekstkomentarzaZnak">
    <w:name w:val="Tekst komentarza Znak"/>
    <w:basedOn w:val="Domylnaczcionkaakapitu"/>
    <w:link w:val="Tekstkomentarza"/>
    <w:rsid w:val="00846017"/>
    <w:rPr>
      <w:rFonts w:ascii="Arial" w:hAnsi="Arial"/>
      <w:sz w:val="20"/>
      <w:szCs w:val="2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rsid w:val="0020528D"/>
    <w:pPr>
      <w:spacing w:line="240" w:lineRule="auto"/>
      <w:jc w:val="both"/>
    </w:pPr>
    <w:rPr>
      <w:rFonts w:ascii="Segoe UI" w:hAnsi="Segoe UI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rsid w:val="0020528D"/>
    <w:rPr>
      <w:rFonts w:ascii="Arial" w:hAnsi="Arial"/>
      <w:b/>
      <w:bCs/>
      <w:sz w:val="20"/>
      <w:szCs w:val="20"/>
      <w:lang w:val="de-DE"/>
    </w:rPr>
  </w:style>
  <w:style w:type="paragraph" w:styleId="Poprawka">
    <w:name w:val="Revision"/>
    <w:hidden/>
    <w:uiPriority w:val="62"/>
    <w:unhideWhenUsed/>
    <w:rsid w:val="006E2D24"/>
    <w:rPr>
      <w:sz w:val="22"/>
    </w:rPr>
  </w:style>
  <w:style w:type="paragraph" w:customStyle="1" w:styleId="He04Funote">
    <w:name w:val="_He_04_Fußnote"/>
    <w:next w:val="Normalny"/>
    <w:qFormat/>
    <w:rsid w:val="00A90F18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  <w:lang w:val="de-DE"/>
      <w14:numForm w14:val="lining"/>
    </w:rPr>
  </w:style>
  <w:style w:type="character" w:styleId="Odwoanieprzypisudolnego">
    <w:name w:val="footnote reference"/>
    <w:basedOn w:val="Domylnaczcionkaakapitu"/>
    <w:uiPriority w:val="99"/>
    <w:unhideWhenUsed/>
    <w:rsid w:val="00A90F18"/>
    <w:rPr>
      <w:vertAlign w:val="superscript"/>
    </w:rPr>
  </w:style>
  <w:style w:type="paragraph" w:customStyle="1" w:styleId="He05Fett">
    <w:name w:val="_He_05_Fett"/>
    <w:next w:val="Normalny"/>
    <w:link w:val="He05FettZchn"/>
    <w:qFormat/>
    <w:rsid w:val="00A92FCD"/>
    <w:pPr>
      <w:spacing w:after="160" w:line="259" w:lineRule="auto"/>
    </w:pPr>
    <w:rPr>
      <w:rFonts w:eastAsiaTheme="minorHAnsi" w:cstheme="minorBidi"/>
      <w:b/>
      <w:szCs w:val="22"/>
      <w:lang w:val="de-DE"/>
    </w:rPr>
  </w:style>
  <w:style w:type="character" w:customStyle="1" w:styleId="He05FettZchn">
    <w:name w:val="_He_05_Fett Zchn"/>
    <w:basedOn w:val="Domylnaczcionkaakapitu"/>
    <w:link w:val="He05Fett"/>
    <w:rsid w:val="00A92FCD"/>
    <w:rPr>
      <w:rFonts w:eastAsiaTheme="minorHAnsi" w:cstheme="minorBidi"/>
      <w:b/>
      <w:szCs w:val="22"/>
      <w:lang w:val="de-DE"/>
    </w:rPr>
  </w:style>
  <w:style w:type="paragraph" w:customStyle="1" w:styleId="He01Flietext">
    <w:name w:val="_He_01_Fließtext"/>
    <w:qFormat/>
    <w:rsid w:val="00FE683A"/>
    <w:pPr>
      <w:tabs>
        <w:tab w:val="left" w:pos="284"/>
      </w:tabs>
      <w:spacing w:after="160" w:line="259" w:lineRule="auto"/>
      <w:jc w:val="both"/>
    </w:pPr>
    <w:rPr>
      <w:rFonts w:eastAsiaTheme="minorHAnsi" w:cstheme="minorBidi"/>
      <w:szCs w:val="22"/>
      <w:lang w:val="de-DE"/>
    </w:rPr>
  </w:style>
  <w:style w:type="character" w:styleId="Pogrubienie">
    <w:name w:val="Strong"/>
    <w:basedOn w:val="Domylnaczcionkaakapitu"/>
    <w:uiPriority w:val="22"/>
    <w:qFormat/>
    <w:rsid w:val="001E3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kel.pl" TargetMode="External"/><Relationship Id="rId18" Type="http://schemas.openxmlformats.org/officeDocument/2006/relationships/hyperlink" Target="mailto:dennis.starke@henkel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henkel.com/ir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henkel.com" TargetMode="External"/><Relationship Id="rId17" Type="http://schemas.openxmlformats.org/officeDocument/2006/relationships/hyperlink" Target="mailto:wulf.klueppelholz@henkel.com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dennis.starke@henkel.com" TargetMode="External"/><Relationship Id="rId20" Type="http://schemas.openxmlformats.org/officeDocument/2006/relationships/hyperlink" Target="http://www.henkel.com/pres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mailto:lars.witteck@henkel.com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hanna.philipps@henkel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eslie.iltgen@henkel.com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487aa4a8-6e08-4624-a126-3644f60fbb35">
      <Terms xmlns="http://schemas.microsoft.com/office/infopath/2007/PartnerControls"/>
    </lcf76f155ced4ddcb4097134ff3c332f>
    <Datum xmlns="487aa4a8-6e08-4624-a126-3644f60fbb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C925157EE074095811C87522C7BC7" ma:contentTypeVersion="21" ma:contentTypeDescription="Create a new document." ma:contentTypeScope="" ma:versionID="5c82d6a91480ea3a633158506e52c116">
  <xsd:schema xmlns:xsd="http://www.w3.org/2001/XMLSchema" xmlns:xs="http://www.w3.org/2001/XMLSchema" xmlns:p="http://schemas.microsoft.com/office/2006/metadata/properties" xmlns:ns2="487aa4a8-6e08-4624-a126-3644f60fbb35" xmlns:ns3="cec4b484-d643-4c02-a873-288aa5369532" xmlns:ns4="ef406d6b-70e0-427c-b08d-4edfc77771aa" targetNamespace="http://schemas.microsoft.com/office/2006/metadata/properties" ma:root="true" ma:fieldsID="4c2c19249a9c10464532c27e8f459ab4" ns2:_="" ns3:_="" ns4:_="">
    <xsd:import namespace="487aa4a8-6e08-4624-a126-3644f60fbb35"/>
    <xsd:import namespace="cec4b484-d643-4c02-a873-288aa5369532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aa4a8-6e08-4624-a126-3644f60fb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4b484-d643-4c02-a873-288aa5369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99daea-b67b-4b58-9130-be82b407cc11}" ma:internalName="TaxCatchAll" ma:showField="CatchAllData" ma:web="cec4b484-d643-4c02-a873-288aa5369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2f792e8-4dad-42c1-ad63-44982727bf4d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487aa4a8-6e08-4624-a126-3644f60fbb35"/>
  </ds:schemaRefs>
</ds:datastoreItem>
</file>

<file path=customXml/itemProps3.xml><?xml version="1.0" encoding="utf-8"?>
<ds:datastoreItem xmlns:ds="http://schemas.openxmlformats.org/officeDocument/2006/customXml" ds:itemID="{0FCCBF54-28EE-4544-922A-14A41FE43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aa4a8-6e08-4624-a126-3644f60fbb35"/>
    <ds:schemaRef ds:uri="cec4b484-d643-4c02-a873-288aa5369532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5F5E823-FD9A-4CF5-8C4B-A2151B3E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10</Pages>
  <Words>3526</Words>
  <Characters>20102</Characters>
  <Application>Microsoft Office Word</Application>
  <DocSecurity>4</DocSecurity>
  <Lines>167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Henkel AG &amp; Co. KGaA</Company>
  <LinksUpToDate>false</LinksUpToDate>
  <CharactersWithSpaces>23581</CharactersWithSpaces>
  <SharedDoc>false</SharedDoc>
  <HLinks>
    <vt:vector size="66" baseType="variant">
      <vt:variant>
        <vt:i4>6946937</vt:i4>
      </vt:variant>
      <vt:variant>
        <vt:i4>30</vt:i4>
      </vt:variant>
      <vt:variant>
        <vt:i4>0</vt:i4>
      </vt:variant>
      <vt:variant>
        <vt:i4>5</vt:i4>
      </vt:variant>
      <vt:variant>
        <vt:lpwstr>http://www.henkel.de/ir</vt:lpwstr>
      </vt:variant>
      <vt:variant>
        <vt:lpwstr/>
      </vt:variant>
      <vt:variant>
        <vt:i4>6619256</vt:i4>
      </vt:variant>
      <vt:variant>
        <vt:i4>27</vt:i4>
      </vt:variant>
      <vt:variant>
        <vt:i4>0</vt:i4>
      </vt:variant>
      <vt:variant>
        <vt:i4>5</vt:i4>
      </vt:variant>
      <vt:variant>
        <vt:lpwstr>http://www.henkel.de/presse</vt:lpwstr>
      </vt:variant>
      <vt:variant>
        <vt:lpwstr/>
      </vt:variant>
      <vt:variant>
        <vt:i4>2228305</vt:i4>
      </vt:variant>
      <vt:variant>
        <vt:i4>24</vt:i4>
      </vt:variant>
      <vt:variant>
        <vt:i4>0</vt:i4>
      </vt:variant>
      <vt:variant>
        <vt:i4>5</vt:i4>
      </vt:variant>
      <vt:variant>
        <vt:lpwstr>mailto:linda.gehring@henkel.com</vt:lpwstr>
      </vt:variant>
      <vt:variant>
        <vt:lpwstr/>
      </vt:variant>
      <vt:variant>
        <vt:i4>7208970</vt:i4>
      </vt:variant>
      <vt:variant>
        <vt:i4>21</vt:i4>
      </vt:variant>
      <vt:variant>
        <vt:i4>0</vt:i4>
      </vt:variant>
      <vt:variant>
        <vt:i4>5</vt:i4>
      </vt:variant>
      <vt:variant>
        <vt:lpwstr>mailto:dennis.starke@henkel.com</vt:lpwstr>
      </vt:variant>
      <vt:variant>
        <vt:lpwstr/>
      </vt:variant>
      <vt:variant>
        <vt:i4>2687054</vt:i4>
      </vt:variant>
      <vt:variant>
        <vt:i4>18</vt:i4>
      </vt:variant>
      <vt:variant>
        <vt:i4>0</vt:i4>
      </vt:variant>
      <vt:variant>
        <vt:i4>5</vt:i4>
      </vt:variant>
      <vt:variant>
        <vt:lpwstr>mailto:hanna.philipps@henkel.com</vt:lpwstr>
      </vt:variant>
      <vt:variant>
        <vt:lpwstr/>
      </vt:variant>
      <vt:variant>
        <vt:i4>1835116</vt:i4>
      </vt:variant>
      <vt:variant>
        <vt:i4>15</vt:i4>
      </vt:variant>
      <vt:variant>
        <vt:i4>0</vt:i4>
      </vt:variant>
      <vt:variant>
        <vt:i4>5</vt:i4>
      </vt:variant>
      <vt:variant>
        <vt:lpwstr>mailto:jennifer.ott@henkel.com</vt:lpwstr>
      </vt:variant>
      <vt:variant>
        <vt:lpwstr/>
      </vt:variant>
      <vt:variant>
        <vt:i4>7667735</vt:i4>
      </vt:variant>
      <vt:variant>
        <vt:i4>12</vt:i4>
      </vt:variant>
      <vt:variant>
        <vt:i4>0</vt:i4>
      </vt:variant>
      <vt:variant>
        <vt:i4>5</vt:i4>
      </vt:variant>
      <vt:variant>
        <vt:lpwstr>mailto:wulf.klueppelholz@henkel.com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mailto:manuel.boesing@henkel.com</vt:lpwstr>
      </vt:variant>
      <vt:variant>
        <vt:lpwstr/>
      </vt:variant>
      <vt:variant>
        <vt:i4>119</vt:i4>
      </vt:variant>
      <vt:variant>
        <vt:i4>6</vt:i4>
      </vt:variant>
      <vt:variant>
        <vt:i4>0</vt:i4>
      </vt:variant>
      <vt:variant>
        <vt:i4>5</vt:i4>
      </vt:variant>
      <vt:variant>
        <vt:lpwstr>mailto:lars.witteck@henkel.com</vt:lpwstr>
      </vt:variant>
      <vt:variant>
        <vt:lpwstr/>
      </vt:variant>
      <vt:variant>
        <vt:i4>786533</vt:i4>
      </vt:variant>
      <vt:variant>
        <vt:i4>3</vt:i4>
      </vt:variant>
      <vt:variant>
        <vt:i4>0</vt:i4>
      </vt:variant>
      <vt:variant>
        <vt:i4>5</vt:i4>
      </vt:variant>
      <vt:variant>
        <vt:lpwstr>mailto:lars.korinth@henkel.com</vt:lpwstr>
      </vt:variant>
      <vt:variant>
        <vt:lpwstr/>
      </vt:variant>
      <vt:variant>
        <vt:i4>196694</vt:i4>
      </vt:variant>
      <vt:variant>
        <vt:i4>0</vt:i4>
      </vt:variant>
      <vt:variant>
        <vt:i4>0</vt:i4>
      </vt:variant>
      <vt:variant>
        <vt:i4>5</vt:i4>
      </vt:variant>
      <vt:variant>
        <vt:lpwstr>http://www.henkel.de/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Daria Kuznik</cp:lastModifiedBy>
  <cp:revision>2</cp:revision>
  <cp:lastPrinted>2026-02-11T08:17:00Z</cp:lastPrinted>
  <dcterms:created xsi:type="dcterms:W3CDTF">2026-03-11T11:19:00Z</dcterms:created>
  <dcterms:modified xsi:type="dcterms:W3CDTF">2026-03-11T11:19:00Z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0x0101004E3C925157EE074095811C87522C7BC7</vt:lpwstr>
  </property>
  <property fmtid="{D5CDD505-2E9C-101B-9397-08002B2CF9AE}" pid="3" name="MediaServiceImageTags">
    <vt:lpwstr/>
  </property>
</Properties>
</file>