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E39A" w14:textId="500B0C20" w:rsidR="00B422EC" w:rsidRPr="00921C0C" w:rsidRDefault="00081692" w:rsidP="00081692">
      <w:pPr>
        <w:pStyle w:val="MonthDayYear"/>
        <w:tabs>
          <w:tab w:val="left" w:pos="7371"/>
        </w:tabs>
        <w:jc w:val="left"/>
      </w:pPr>
      <w:r>
        <w:tab/>
        <w:t>11 mars 2026</w:t>
      </w:r>
    </w:p>
    <w:p w14:paraId="166A9534" w14:textId="6F0403F8" w:rsidR="00497D5E" w:rsidRPr="009D61DC" w:rsidRDefault="009D61DC" w:rsidP="00790993">
      <w:pPr>
        <w:pStyle w:val="Topline"/>
        <w:spacing w:after="240"/>
        <w:rPr>
          <w:rFonts w:asciiTheme="majorHAnsi" w:hAnsiTheme="majorHAnsi" w:cstheme="majorHAnsi"/>
        </w:rPr>
      </w:pPr>
      <w:bookmarkStart w:id="0" w:name="_Hlk190695874"/>
      <w:r>
        <w:rPr>
          <w:rFonts w:asciiTheme="majorHAnsi" w:hAnsiTheme="majorHAnsi"/>
        </w:rPr>
        <w:t xml:space="preserve">Henkel présente les résultats annuels pour </w:t>
      </w:r>
      <w:r w:rsidR="00ED0A0A">
        <w:rPr>
          <w:rFonts w:asciiTheme="majorHAnsi" w:hAnsiTheme="majorHAnsi"/>
        </w:rPr>
        <w:t>2025 :</w:t>
      </w:r>
      <w:r>
        <w:rPr>
          <w:rFonts w:asciiTheme="majorHAnsi" w:hAnsiTheme="majorHAnsi"/>
        </w:rPr>
        <w:t xml:space="preserve"> </w:t>
      </w:r>
      <w:r w:rsidR="00ED0A0A">
        <w:rPr>
          <w:rFonts w:asciiTheme="majorHAnsi" w:hAnsiTheme="majorHAnsi"/>
        </w:rPr>
        <w:t>n</w:t>
      </w:r>
      <w:r>
        <w:rPr>
          <w:rFonts w:asciiTheme="majorHAnsi" w:hAnsiTheme="majorHAnsi"/>
        </w:rPr>
        <w:t>ouvelle augmentation du dividende</w:t>
      </w:r>
    </w:p>
    <w:bookmarkEnd w:id="0"/>
    <w:p w14:paraId="3FE075DA" w14:textId="0ED67D47" w:rsidR="00633B49" w:rsidRPr="00A81C0A" w:rsidRDefault="0012714C" w:rsidP="00C208E2">
      <w:pPr>
        <w:jc w:val="left"/>
        <w:rPr>
          <w:rStyle w:val="Headline"/>
          <w:rFonts w:asciiTheme="majorHAnsi" w:hAnsiTheme="majorHAnsi" w:cstheme="majorHAnsi"/>
        </w:rPr>
      </w:pPr>
      <w:r>
        <w:rPr>
          <w:rStyle w:val="Headline"/>
          <w:rFonts w:asciiTheme="majorHAnsi" w:hAnsiTheme="majorHAnsi"/>
        </w:rPr>
        <w:t>Henkel enregi</w:t>
      </w:r>
      <w:r w:rsidR="00901B3A">
        <w:rPr>
          <w:rStyle w:val="Headline"/>
          <w:rFonts w:asciiTheme="majorHAnsi" w:hAnsiTheme="majorHAnsi"/>
        </w:rPr>
        <w:t>stre</w:t>
      </w:r>
      <w:r>
        <w:rPr>
          <w:rStyle w:val="Headline"/>
          <w:rFonts w:asciiTheme="majorHAnsi" w:hAnsiTheme="majorHAnsi"/>
        </w:rPr>
        <w:t xml:space="preserve"> une croissance organique en 2025 et accroît sa rentabilité grâce à l’innovation et à une efficacité accrue</w:t>
      </w:r>
    </w:p>
    <w:p w14:paraId="5E22EDC4" w14:textId="77777777" w:rsidR="00A54C2A" w:rsidRPr="00A81C0A" w:rsidRDefault="00A54C2A" w:rsidP="00C65957">
      <w:pPr>
        <w:spacing w:line="240" w:lineRule="auto"/>
        <w:jc w:val="left"/>
        <w:rPr>
          <w:sz w:val="16"/>
          <w:szCs w:val="16"/>
        </w:rPr>
      </w:pPr>
    </w:p>
    <w:p w14:paraId="37685367" w14:textId="50664F8E" w:rsidR="00645A5C" w:rsidRPr="009D61DC" w:rsidRDefault="00901B3A" w:rsidP="00AF7097">
      <w:pPr>
        <w:pStyle w:val="ListParagraph"/>
        <w:numPr>
          <w:ilvl w:val="0"/>
          <w:numId w:val="7"/>
        </w:numPr>
        <w:spacing w:after="80"/>
        <w:ind w:left="357" w:right="-108" w:hanging="357"/>
        <w:contextualSpacing w:val="0"/>
        <w:jc w:val="left"/>
        <w:rPr>
          <w:rFonts w:asciiTheme="majorHAnsi" w:hAnsiTheme="majorHAnsi" w:cstheme="majorHAnsi"/>
          <w:b/>
          <w:szCs w:val="22"/>
        </w:rPr>
      </w:pPr>
      <w:bookmarkStart w:id="1" w:name="_Hlk64363173"/>
      <w:bookmarkStart w:id="2" w:name="_Hlk43712519"/>
      <w:r>
        <w:rPr>
          <w:rFonts w:asciiTheme="majorHAnsi" w:hAnsiTheme="majorHAnsi"/>
          <w:b/>
        </w:rPr>
        <w:t>B</w:t>
      </w:r>
      <w:r w:rsidR="008B6086">
        <w:rPr>
          <w:rFonts w:asciiTheme="majorHAnsi" w:hAnsiTheme="majorHAnsi"/>
          <w:b/>
        </w:rPr>
        <w:t>onnes performances commerciales pour l’exercice 2025</w:t>
      </w:r>
    </w:p>
    <w:bookmarkEnd w:id="1"/>
    <w:p w14:paraId="50631AFC" w14:textId="595EF596" w:rsidR="00635616" w:rsidRPr="009D61DC" w:rsidRDefault="009D61DC" w:rsidP="009D61DC">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Ventes : 20,5 milliards d’euros, croissance organique de 0,9 %</w:t>
      </w:r>
      <w:bookmarkEnd w:id="2"/>
    </w:p>
    <w:p w14:paraId="6851D1BA" w14:textId="7507DA59" w:rsidR="00E86D6E" w:rsidRPr="00EA7720" w:rsidRDefault="009D61DC" w:rsidP="003D2EA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Bénéfice d’exploitation (EBIT)* : 3,0 milliards d’euros, légèrement inférieur à celui de l’année précédente en raison d’effets de change négatifs</w:t>
      </w:r>
    </w:p>
    <w:p w14:paraId="74237D27" w14:textId="30793A58" w:rsidR="00256174" w:rsidRPr="00A81C0A" w:rsidRDefault="0007275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Marge EBIT* : 14,8 %, une amélioration de 50 points de base</w:t>
      </w:r>
    </w:p>
    <w:p w14:paraId="291880FC" w14:textId="63EE903E" w:rsidR="00A81C0A" w:rsidRPr="00A81C0A" w:rsidRDefault="00A81C0A" w:rsidP="00240179">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Bénéfice par action privilégiée (EPS)* : 5,33 euros, +4,7 %</w:t>
      </w:r>
      <w:r>
        <w:rPr>
          <w:rFonts w:asciiTheme="majorHAnsi" w:hAnsiTheme="majorHAnsi"/>
          <w:b/>
        </w:rPr>
        <w:br/>
        <w:t>(à taux de change constant)</w:t>
      </w:r>
    </w:p>
    <w:p w14:paraId="303431FE" w14:textId="2ED840DE" w:rsidR="000F333E" w:rsidRPr="009D61DC" w:rsidRDefault="00901B3A" w:rsidP="0092358D">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S</w:t>
      </w:r>
      <w:r w:rsidR="009D61DC">
        <w:rPr>
          <w:rFonts w:asciiTheme="majorHAnsi" w:hAnsiTheme="majorHAnsi"/>
          <w:b/>
        </w:rPr>
        <w:t>olides flux de trésorerie disponible d’environ 1,9 milliards d’euros</w:t>
      </w:r>
    </w:p>
    <w:p w14:paraId="0A57BFFB" w14:textId="4198F623" w:rsidR="00420F5B" w:rsidRPr="00A81C0A" w:rsidRDefault="00A81C0A" w:rsidP="00A81C0A">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Proposition d’une augmentation du dividende de 1,5 % pour atteindre 2,07 euros par action privilégiée</w:t>
      </w:r>
    </w:p>
    <w:p w14:paraId="718ADD21" w14:textId="1EC15802" w:rsidR="003B0BD0" w:rsidRPr="00B2292F" w:rsidRDefault="00A81C0A" w:rsidP="00B2292F">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Poursuite de la progression de la mise en œuvre du programme de croissance ciblée</w:t>
      </w:r>
    </w:p>
    <w:p w14:paraId="40E9C5F8" w14:textId="2D4ACEE0" w:rsidR="00A81C0A" w:rsidRPr="00A81C0A" w:rsidRDefault="00A81C0A" w:rsidP="00A81C0A">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bookmarkStart w:id="3" w:name="_Hlk157433806"/>
      <w:r>
        <w:rPr>
          <w:rFonts w:asciiTheme="majorHAnsi" w:hAnsiTheme="majorHAnsi"/>
          <w:b/>
        </w:rPr>
        <w:t xml:space="preserve">La fusion des activités de </w:t>
      </w:r>
      <w:r w:rsidR="00ED0A0A">
        <w:rPr>
          <w:rFonts w:asciiTheme="majorHAnsi" w:hAnsiTheme="majorHAnsi"/>
          <w:b/>
        </w:rPr>
        <w:t xml:space="preserve">grande </w:t>
      </w:r>
      <w:r>
        <w:rPr>
          <w:rFonts w:asciiTheme="majorHAnsi" w:hAnsiTheme="majorHAnsi"/>
          <w:b/>
        </w:rPr>
        <w:t>consommation s’est achevée plus tôt que prévu</w:t>
      </w:r>
    </w:p>
    <w:p w14:paraId="5D16A815" w14:textId="677C0B65" w:rsidR="009A743E" w:rsidRPr="00A81C0A" w:rsidRDefault="00A81C0A" w:rsidP="00B21044">
      <w:pPr>
        <w:pStyle w:val="ListParagraph"/>
        <w:numPr>
          <w:ilvl w:val="1"/>
          <w:numId w:val="7"/>
        </w:numPr>
        <w:spacing w:after="80" w:line="266" w:lineRule="auto"/>
        <w:ind w:left="709" w:right="-108" w:hanging="283"/>
        <w:contextualSpacing w:val="0"/>
        <w:jc w:val="left"/>
        <w:rPr>
          <w:rFonts w:asciiTheme="majorHAnsi" w:hAnsiTheme="majorHAnsi" w:cstheme="majorHAnsi"/>
          <w:b/>
          <w:szCs w:val="22"/>
        </w:rPr>
      </w:pPr>
      <w:r>
        <w:rPr>
          <w:rFonts w:asciiTheme="majorHAnsi" w:hAnsiTheme="majorHAnsi"/>
          <w:b/>
        </w:rPr>
        <w:t>Les acquisitions récentes dans les deux branches d’activité renforcent le potentiel de croissance</w:t>
      </w:r>
      <w:bookmarkEnd w:id="3"/>
    </w:p>
    <w:p w14:paraId="5724C0EE" w14:textId="44F676E1" w:rsidR="00A81C0A" w:rsidRPr="00835910" w:rsidRDefault="00A81C0A" w:rsidP="00A81C0A">
      <w:pPr>
        <w:numPr>
          <w:ilvl w:val="0"/>
          <w:numId w:val="7"/>
        </w:numPr>
        <w:spacing w:after="80"/>
        <w:ind w:left="357" w:right="-108" w:hanging="357"/>
        <w:jc w:val="left"/>
        <w:rPr>
          <w:rFonts w:asciiTheme="majorHAnsi" w:hAnsiTheme="majorHAnsi" w:cstheme="majorHAnsi"/>
          <w:b/>
          <w:szCs w:val="22"/>
        </w:rPr>
      </w:pPr>
      <w:r>
        <w:rPr>
          <w:rFonts w:asciiTheme="majorHAnsi" w:hAnsiTheme="majorHAnsi"/>
          <w:b/>
        </w:rPr>
        <w:t>P</w:t>
      </w:r>
      <w:r w:rsidR="00901B3A">
        <w:rPr>
          <w:rFonts w:asciiTheme="majorHAnsi" w:hAnsiTheme="majorHAnsi"/>
          <w:b/>
        </w:rPr>
        <w:t>erspectives</w:t>
      </w:r>
      <w:r>
        <w:rPr>
          <w:rFonts w:asciiTheme="majorHAnsi" w:hAnsiTheme="majorHAnsi"/>
          <w:b/>
        </w:rPr>
        <w:t xml:space="preserve"> pour l’exercice 2026 : Poursuite </w:t>
      </w:r>
      <w:r w:rsidR="00901B3A">
        <w:rPr>
          <w:rFonts w:asciiTheme="majorHAnsi" w:hAnsiTheme="majorHAnsi"/>
          <w:b/>
        </w:rPr>
        <w:t xml:space="preserve">prévue </w:t>
      </w:r>
      <w:r>
        <w:rPr>
          <w:rFonts w:asciiTheme="majorHAnsi" w:hAnsiTheme="majorHAnsi"/>
          <w:b/>
        </w:rPr>
        <w:t xml:space="preserve">de la croissance du chiffre d’affaires et du résultat </w:t>
      </w:r>
    </w:p>
    <w:p w14:paraId="380A4B0B" w14:textId="3E3B7593" w:rsidR="00A81C0A" w:rsidRPr="00CF56F5"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 xml:space="preserve">Croissance organique des ventes : 1,0 </w:t>
      </w:r>
      <w:r w:rsidRPr="0093743B">
        <w:rPr>
          <w:rFonts w:asciiTheme="majorHAnsi" w:hAnsiTheme="majorHAnsi"/>
          <w:b/>
        </w:rPr>
        <w:t>à +</w:t>
      </w:r>
      <w:r w:rsidR="00901B3A" w:rsidRPr="0093743B">
        <w:rPr>
          <w:rFonts w:asciiTheme="majorHAnsi" w:hAnsiTheme="majorHAnsi"/>
          <w:b/>
        </w:rPr>
        <w:t>3</w:t>
      </w:r>
      <w:r w:rsidRPr="0093743B">
        <w:rPr>
          <w:rFonts w:asciiTheme="majorHAnsi" w:hAnsiTheme="majorHAnsi"/>
          <w:b/>
        </w:rPr>
        <w:t>,0 %</w:t>
      </w:r>
    </w:p>
    <w:p w14:paraId="7DEDC400" w14:textId="3C44DD61" w:rsidR="00A81C0A" w:rsidRPr="00C82433"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Marge EBIT* : 14,5 à 16,0 %</w:t>
      </w:r>
    </w:p>
    <w:p w14:paraId="2585407E" w14:textId="77777777" w:rsidR="00A81C0A" w:rsidRPr="00CF56F5" w:rsidRDefault="00A81C0A" w:rsidP="00A81C0A">
      <w:pPr>
        <w:pStyle w:val="ListParagraph"/>
        <w:numPr>
          <w:ilvl w:val="1"/>
          <w:numId w:val="7"/>
        </w:numPr>
        <w:spacing w:after="80" w:line="266" w:lineRule="auto"/>
        <w:ind w:left="567" w:right="-108" w:hanging="283"/>
        <w:contextualSpacing w:val="0"/>
        <w:jc w:val="left"/>
        <w:rPr>
          <w:rFonts w:asciiTheme="majorHAnsi" w:hAnsiTheme="majorHAnsi" w:cstheme="majorHAnsi"/>
          <w:b/>
          <w:szCs w:val="22"/>
        </w:rPr>
      </w:pPr>
      <w:r>
        <w:rPr>
          <w:rFonts w:asciiTheme="majorHAnsi" w:hAnsiTheme="majorHAnsi"/>
          <w:b/>
        </w:rPr>
        <w:t xml:space="preserve">Bénéfice par action privilégiée (EPS)* : Augmentation </w:t>
      </w:r>
      <w:bookmarkStart w:id="4" w:name="_Hlk191544887"/>
      <w:r>
        <w:rPr>
          <w:rFonts w:asciiTheme="majorHAnsi" w:hAnsiTheme="majorHAnsi"/>
          <w:b/>
        </w:rPr>
        <w:t>dans la fourchette basse à haute des pourcentages à un chiffre (à taux de change constants)</w:t>
      </w:r>
      <w:bookmarkEnd w:id="4"/>
    </w:p>
    <w:p w14:paraId="0E973721" w14:textId="5017C99D" w:rsidR="00D93B82" w:rsidRPr="00921C0C" w:rsidRDefault="00393531" w:rsidP="00037396">
      <w:pPr>
        <w:rPr>
          <w:rFonts w:cs="Segoe UI"/>
          <w:b/>
          <w:bCs/>
          <w:szCs w:val="22"/>
        </w:rPr>
      </w:pPr>
      <w:r>
        <w:rPr>
          <w:b/>
          <w:noProof/>
          <w:sz w:val="24"/>
        </w:rPr>
        <mc:AlternateContent>
          <mc:Choice Requires="wps">
            <w:drawing>
              <wp:anchor distT="45720" distB="45720" distL="114300" distR="114300" simplePos="0" relativeHeight="251660288" behindDoc="0" locked="0" layoutInCell="1" allowOverlap="1" wp14:anchorId="3117CDF1" wp14:editId="08DE0F0C">
                <wp:simplePos x="0" y="0"/>
                <wp:positionH relativeFrom="margin">
                  <wp:posOffset>-173355</wp:posOffset>
                </wp:positionH>
                <wp:positionV relativeFrom="paragraph">
                  <wp:posOffset>1113790</wp:posOffset>
                </wp:positionV>
                <wp:extent cx="5413973" cy="232834"/>
                <wp:effectExtent l="0" t="0" r="0" b="0"/>
                <wp:wrapNone/>
                <wp:docPr id="214901967" name="Textfeld 2149019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973" cy="2328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3A01C7" w14:textId="77777777" w:rsidR="00E810D3" w:rsidRPr="00CF56F5" w:rsidRDefault="00E810D3" w:rsidP="00E810D3">
                            <w:pPr>
                              <w:pStyle w:val="He04Funote"/>
                              <w:rPr>
                                <w:sz w:val="12"/>
                                <w:szCs w:val="12"/>
                              </w:rPr>
                            </w:pPr>
                            <w:r>
                              <w:rPr>
                                <w:sz w:val="12"/>
                              </w:rPr>
                              <w:t>* Ajusté pour tenir compte des dépenses et des revenus ponctuels, ainsi que des frais de restructuration.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17CDF1" id="_x0000_t202" coordsize="21600,21600" o:spt="202" path="m,l,21600r21600,l21600,xe">
                <v:stroke joinstyle="miter"/>
                <v:path gradientshapeok="t" o:connecttype="rect"/>
              </v:shapetype>
              <v:shape id="Textfeld 214901967" o:spid="_x0000_s1026" type="#_x0000_t202" style="position:absolute;left:0;text-align:left;margin-left:-13.65pt;margin-top:87.7pt;width:426.3pt;height:18.3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" stroked="f">
                <v:textbox>
                  <w:txbxContent>
                    <w:p w14:paraId="1E3A01C7" w14:textId="77777777" w:rsidR="00E810D3" w:rsidRPr="00CF56F5" w:rsidRDefault="00E810D3" w:rsidP="00E810D3">
                      <w:pPr>
                        <w:pStyle w:val="He04Funote"/>
                        <w:rPr>
                          <w:sz w:val="12"/>
                          <w:szCs w:val="12"/>
                        </w:rPr>
                      </w:pPr>
                      <w:r>
                        <w:rPr>
                          <w:sz w:val="12"/>
                        </w:rPr>
                        <w:t>* Ajusté pour tenir compte des dépenses et des revenus ponctuels, ainsi que des frais de restructuration.</w:t>
                      </w:r>
                    </w:p>
                  </w:txbxContent>
                </v:textbox>
                <w10:wrap anchorx="margin"/>
              </v:shape>
            </w:pict>
          </mc:Fallback>
        </mc:AlternateContent>
      </w:r>
    </w:p>
    <w:p w14:paraId="0015CB3F" w14:textId="60F2724C" w:rsidR="00232594" w:rsidRPr="00921C0C" w:rsidRDefault="00E810D3" w:rsidP="00456F1E">
      <w:pPr>
        <w:rPr>
          <w:rFonts w:cs="Segoe UI"/>
          <w:b/>
          <w:bCs/>
          <w:szCs w:val="22"/>
        </w:rPr>
      </w:pPr>
      <w:r>
        <w:rPr>
          <w:b/>
        </w:rPr>
        <w:lastRenderedPageBreak/>
        <w:t>Düsseldorf – Henkel a réalisé une performance globalement bonne au cours d’un exercice 2025 difficile, caractérisé par une croissance économique mondiale modérée dans un environnement géopolitique complexe. Au cours de l’exercice 2025, le chiffre d’affaires du Groupe s’est élevé à environ 20,5 milliards d’euros et la marge EBIT ajustée a augmenté de 50 points de base pour atteindre 14,8 %. A taux de change constants, le bénéfice ajusté par action privilégiée a augmenté de 4,7 %.</w:t>
      </w:r>
    </w:p>
    <w:p w14:paraId="453AF329" w14:textId="7C066E4B" w:rsidR="00B671E3" w:rsidRDefault="00B671E3" w:rsidP="00B671E3">
      <w:pPr>
        <w:rPr>
          <w:rFonts w:cs="Segoe UI"/>
          <w:b/>
          <w:bCs/>
          <w:szCs w:val="22"/>
        </w:rPr>
      </w:pPr>
      <w:bookmarkStart w:id="5" w:name="_Hlk190074952"/>
      <w:r>
        <w:rPr>
          <w:b/>
        </w:rPr>
        <w:t xml:space="preserve">« Notre environnement économique a été et continue d’être marqué par des défis majeurs, </w:t>
      </w:r>
      <w:r w:rsidR="00901B3A">
        <w:rPr>
          <w:b/>
        </w:rPr>
        <w:t>incluant</w:t>
      </w:r>
      <w:r>
        <w:rPr>
          <w:b/>
        </w:rPr>
        <w:t xml:space="preserve"> des conflits militaires, des tensions géopolitiques dans de nombreuses régions du monde et des conflits commerciaux et tarifaires de grande ampleur. Les incertitudes qui en résultent ont affaibli la confiance des consommateurs et la demande industrielle. Avec la guerre au Moyen-Orient qui a commencé fin février, les incertitudes ont de nouveau </w:t>
      </w:r>
      <w:r w:rsidR="00901B3A">
        <w:rPr>
          <w:b/>
        </w:rPr>
        <w:t>significativement</w:t>
      </w:r>
      <w:r>
        <w:rPr>
          <w:b/>
        </w:rPr>
        <w:t xml:space="preserve"> augmenté », a déclaré Carsten Knobel, </w:t>
      </w:r>
      <w:r w:rsidR="00ED0A0A">
        <w:rPr>
          <w:b/>
        </w:rPr>
        <w:t>président du comité de direction</w:t>
      </w:r>
      <w:r>
        <w:rPr>
          <w:b/>
        </w:rPr>
        <w:t xml:space="preserve"> de Henkel. « Malgré la persistance d’un contexte économique difficile, nous avons réussi à faire progresser Henkel en 2025. Nous avons atteint, voire dépassé, nos principaux objectifs et continué à mener la transformation de notre entreprise. Nous avons augmenté nos ventes de manière organique et amélioré </w:t>
      </w:r>
      <w:r w:rsidR="00890E72">
        <w:rPr>
          <w:b/>
        </w:rPr>
        <w:t xml:space="preserve">significativement </w:t>
      </w:r>
      <w:r>
        <w:rPr>
          <w:b/>
        </w:rPr>
        <w:t>la rentabilité de notre entreprise. Nous voulons que nos actionnaires participent à la réussite du développement de l’entreprise. C’est pourquoi nous proposerons une augmentation du dividende de 1,5 %. »</w:t>
      </w:r>
    </w:p>
    <w:bookmarkEnd w:id="5"/>
    <w:p w14:paraId="76DA59A6" w14:textId="77777777" w:rsidR="00456F1E" w:rsidRPr="005F750F" w:rsidRDefault="00456F1E" w:rsidP="00456F1E">
      <w:pPr>
        <w:rPr>
          <w:rFonts w:cs="Segoe UI"/>
          <w:b/>
          <w:bCs/>
          <w:szCs w:val="22"/>
        </w:rPr>
      </w:pPr>
    </w:p>
    <w:p w14:paraId="1F6D1AFD" w14:textId="628D3AFF" w:rsidR="006D4D0C" w:rsidRPr="006D4D0C" w:rsidRDefault="006D4D0C" w:rsidP="006D4D0C">
      <w:pPr>
        <w:rPr>
          <w:rFonts w:cs="Segoe UI"/>
          <w:b/>
          <w:bCs/>
          <w:szCs w:val="22"/>
        </w:rPr>
      </w:pPr>
      <w:bookmarkStart w:id="6" w:name="_Hlk190777016"/>
      <w:r>
        <w:rPr>
          <w:b/>
        </w:rPr>
        <w:t>« Nous avons augmenté nos ventes de manière organique et amélioré la rentabilité de nos deux</w:t>
      </w:r>
      <w:r w:rsidR="00ED0A0A">
        <w:rPr>
          <w:b/>
        </w:rPr>
        <w:t xml:space="preserve"> branches d’activités</w:t>
      </w:r>
      <w:r>
        <w:rPr>
          <w:b/>
        </w:rPr>
        <w:t xml:space="preserve">, </w:t>
      </w:r>
      <w:proofErr w:type="spellStart"/>
      <w:r>
        <w:rPr>
          <w:b/>
        </w:rPr>
        <w:t>Adhesive</w:t>
      </w:r>
      <w:proofErr w:type="spellEnd"/>
      <w:r>
        <w:rPr>
          <w:b/>
        </w:rPr>
        <w:t xml:space="preserve"> Technologies et Consumer Brands, principalement grâce à de nouvelles innovations, à des mesures d’économie et à des améliorations de l’efficacité, ainsi qu’à une croissance plus forte dans les secteurs à forte marge. L’augmentation de la marge de la branche d’activité Consumer Brands a été portée par l’achèvement du processus d’intégration, la poursuite des économies et la valorisation accrue, c’est-à-dire l’amélioration ciblée du portefeuille de produits. Dans le même temps, nous avons continué à investir dans l’avenir des deux </w:t>
      </w:r>
      <w:r w:rsidR="00ED0A0A">
        <w:rPr>
          <w:b/>
        </w:rPr>
        <w:t>activités</w:t>
      </w:r>
      <w:r>
        <w:rPr>
          <w:b/>
        </w:rPr>
        <w:t xml:space="preserve"> : renforcement de nos marques, innovation, </w:t>
      </w:r>
      <w:r w:rsidR="00ED0A0A">
        <w:rPr>
          <w:b/>
        </w:rPr>
        <w:t>développement durable</w:t>
      </w:r>
      <w:r>
        <w:rPr>
          <w:b/>
        </w:rPr>
        <w:t xml:space="preserve"> et</w:t>
      </w:r>
      <w:r w:rsidR="0093743B">
        <w:rPr>
          <w:b/>
        </w:rPr>
        <w:t xml:space="preserve"> </w:t>
      </w:r>
      <w:r w:rsidR="00ED0A0A">
        <w:rPr>
          <w:b/>
        </w:rPr>
        <w:t>digitalisation</w:t>
      </w:r>
      <w:r>
        <w:rPr>
          <w:b/>
        </w:rPr>
        <w:t xml:space="preserve">. En outre, au cours des trois derniers mois, nous avons conclu des accords </w:t>
      </w:r>
      <w:r w:rsidR="00890E72">
        <w:rPr>
          <w:b/>
        </w:rPr>
        <w:t>pour des</w:t>
      </w:r>
      <w:r w:rsidR="0093743B">
        <w:rPr>
          <w:b/>
        </w:rPr>
        <w:t xml:space="preserve"> </w:t>
      </w:r>
      <w:r>
        <w:rPr>
          <w:b/>
        </w:rPr>
        <w:t>acquisition</w:t>
      </w:r>
      <w:r w:rsidR="00890E72">
        <w:rPr>
          <w:b/>
        </w:rPr>
        <w:t>s</w:t>
      </w:r>
      <w:r>
        <w:rPr>
          <w:b/>
        </w:rPr>
        <w:t xml:space="preserve"> dans les deux branches, pour un volume de ventes combiné d’environ 1,2 milliard d’euros, afin de renforcer nos activités et accroître leur potentiel de croissance. Les résultats pour 2025 montrent clairement que nous sommes sur la bonne voie en ce qui concerne notre stratégie de croissance durable et ciblée, qui positionne efficacement l’entreprise pour l’avenir. </w:t>
      </w:r>
      <w:bookmarkEnd w:id="6"/>
      <w:r>
        <w:rPr>
          <w:b/>
        </w:rPr>
        <w:t xml:space="preserve">Cela se reflète également dans nos perspectives pour l’exercice 2026, au cours duquel nous prévoyons une nouvelle croissance des ventes et des bénéfices, même si le début de l’année devrait être </w:t>
      </w:r>
      <w:r w:rsidR="00890E72">
        <w:rPr>
          <w:b/>
        </w:rPr>
        <w:t>un</w:t>
      </w:r>
      <w:r w:rsidR="0093743B">
        <w:rPr>
          <w:b/>
        </w:rPr>
        <w:t xml:space="preserve"> </w:t>
      </w:r>
      <w:r>
        <w:rPr>
          <w:b/>
        </w:rPr>
        <w:t xml:space="preserve">peu plus modéré. Je tiens à remercier tous les employés pour leurs performances exceptionnelles. Grâce à leur travail </w:t>
      </w:r>
      <w:r>
        <w:rPr>
          <w:b/>
        </w:rPr>
        <w:lastRenderedPageBreak/>
        <w:t>d’équipe et à leur engagement extraordinaire, nous avons une fois de plus permis à notre société de traverser une année difficile » a résumé Carsten Knobel.</w:t>
      </w:r>
    </w:p>
    <w:p w14:paraId="59F5F4F0" w14:textId="77777777" w:rsidR="006D4D0C" w:rsidRPr="005F750F" w:rsidRDefault="006D4D0C" w:rsidP="001274FA">
      <w:pPr>
        <w:spacing w:after="120"/>
        <w:rPr>
          <w:rFonts w:cs="Segoe UI"/>
          <w:b/>
          <w:bCs/>
          <w:szCs w:val="22"/>
          <w:lang w:eastAsia="de-DE"/>
        </w:rPr>
      </w:pPr>
    </w:p>
    <w:p w14:paraId="2706BE4B" w14:textId="4542CAF1" w:rsidR="000C47D1" w:rsidRPr="006D4D0C" w:rsidRDefault="006D4D0C" w:rsidP="001274FA">
      <w:pPr>
        <w:spacing w:after="120"/>
        <w:rPr>
          <w:rFonts w:cs="Segoe UI"/>
          <w:b/>
          <w:bCs/>
          <w:szCs w:val="22"/>
        </w:rPr>
      </w:pPr>
      <w:r>
        <w:rPr>
          <w:b/>
        </w:rPr>
        <w:t>Chiffre d’affaires et bénéfice du groupe pour l’exercice 2025</w:t>
      </w:r>
    </w:p>
    <w:p w14:paraId="187DB93D" w14:textId="7D7DBF44" w:rsidR="003C5801" w:rsidRPr="00C83BA4" w:rsidRDefault="003C5801" w:rsidP="003C5801">
      <w:pPr>
        <w:rPr>
          <w:rFonts w:cs="Segoe UI"/>
          <w:szCs w:val="22"/>
        </w:rPr>
      </w:pPr>
      <w:r>
        <w:t xml:space="preserve">Les </w:t>
      </w:r>
      <w:r>
        <w:rPr>
          <w:b/>
        </w:rPr>
        <w:t>ventes du Groupe</w:t>
      </w:r>
      <w:r>
        <w:t xml:space="preserve"> Henkel au cours de l’exercice 2025 se sont élevées à 20 495 millions d’euros, en baisse de 5,1 % d’une année à l’autre en termes nominaux. Les effets de change ont eu un impact </w:t>
      </w:r>
      <w:r w:rsidRPr="0093743B">
        <w:t>négatif de 4,2 % sur les ventes.  Corrigée</w:t>
      </w:r>
      <w:r w:rsidR="00890E72" w:rsidRPr="0093743B">
        <w:t>s</w:t>
      </w:r>
      <w:r w:rsidRPr="0093743B">
        <w:t xml:space="preserve"> de ces effets de change, les ventes ont reculé de 0,8 %. Les acquisitions/cessions ont également eu un impact négatif sur les ventes, en baisse de 1,7 %, principalement en raison de la cession de l’activité </w:t>
      </w:r>
      <w:proofErr w:type="spellStart"/>
      <w:r w:rsidRPr="0093743B">
        <w:t>Retailer</w:t>
      </w:r>
      <w:proofErr w:type="spellEnd"/>
      <w:r w:rsidRPr="0093743B">
        <w:t xml:space="preserve"> Brands </w:t>
      </w:r>
      <w:r w:rsidR="00ED0A0A" w:rsidRPr="0093743B">
        <w:t xml:space="preserve">(marques distributeurs) </w:t>
      </w:r>
      <w:r w:rsidRPr="0093743B">
        <w:t>en</w:t>
      </w:r>
      <w:r>
        <w:t xml:space="preserve"> Amérique du Nord au sein de la branche d’activité Consumer Brands. La </w:t>
      </w:r>
      <w:r>
        <w:rPr>
          <w:b/>
        </w:rPr>
        <w:t>croissance organique des ventes,</w:t>
      </w:r>
      <w:r>
        <w:t xml:space="preserve"> c’est-à-dire corrigée des effets de change et des acquisitions/désinvestissements, a été positive de 0,9 %. Cette augmentation a été principalement déterminée par les prix, tandis que les volumes sont restés stables d’une année sur l’autre.</w:t>
      </w:r>
    </w:p>
    <w:p w14:paraId="688727F1" w14:textId="77777777" w:rsidR="003663FD" w:rsidRPr="005F750F" w:rsidRDefault="003663FD" w:rsidP="006C4B3D">
      <w:pPr>
        <w:rPr>
          <w:rFonts w:cs="Segoe UI"/>
          <w:szCs w:val="22"/>
        </w:rPr>
      </w:pPr>
      <w:r>
        <w:t xml:space="preserve">La branche </w:t>
      </w:r>
      <w:r>
        <w:rPr>
          <w:b/>
        </w:rPr>
        <w:t>Adhesive Technologies</w:t>
      </w:r>
      <w:r>
        <w:t xml:space="preserve"> a généré une bonne croissance organique des ventes de 1,5 %, notamment grâce au secteur d’activité Mobility &amp; Electronics. La branche </w:t>
      </w:r>
      <w:r>
        <w:rPr>
          <w:b/>
        </w:rPr>
        <w:t>Consumer Brands</w:t>
      </w:r>
      <w:r>
        <w:t xml:space="preserve"> a enregistré une croissance organique des ventes positive de 0,3 %, principalement portée par le secteur d’activité Hair.</w:t>
      </w:r>
    </w:p>
    <w:p w14:paraId="74F99411" w14:textId="77777777" w:rsidR="006019EB" w:rsidRPr="005F750F" w:rsidRDefault="006019EB" w:rsidP="00D51576">
      <w:pPr>
        <w:rPr>
          <w:rFonts w:cs="Segoe UI"/>
          <w:szCs w:val="22"/>
        </w:rPr>
      </w:pPr>
    </w:p>
    <w:p w14:paraId="2292907A" w14:textId="18CE07F7" w:rsidR="00CE32F0" w:rsidRPr="005F750F" w:rsidRDefault="003663FD" w:rsidP="00CE32F0">
      <w:pPr>
        <w:rPr>
          <w:rFonts w:cs="Segoe UI"/>
          <w:szCs w:val="22"/>
        </w:rPr>
      </w:pPr>
      <w:r>
        <w:t xml:space="preserve">Le </w:t>
      </w:r>
      <w:r>
        <w:rPr>
          <w:b/>
        </w:rPr>
        <w:t>bénéfice d'exploitation ajusté (EBIT ajusté)</w:t>
      </w:r>
      <w:r>
        <w:t xml:space="preserve"> s'est élevé à 3 026 millions d'euros et était donc inférieur au niveau de l'année précédente, principalement en raison d'effets de change significativement négatifs (2024 : 3 089 millions d’euros).</w:t>
      </w:r>
    </w:p>
    <w:p w14:paraId="57EC4476" w14:textId="77777777" w:rsidR="00CE32F0" w:rsidRPr="005F750F" w:rsidRDefault="00CE32F0" w:rsidP="00CE32F0">
      <w:pPr>
        <w:rPr>
          <w:rFonts w:cs="Segoe UI"/>
          <w:szCs w:val="22"/>
        </w:rPr>
      </w:pPr>
    </w:p>
    <w:p w14:paraId="0F4FCF0E" w14:textId="55AFDBDD" w:rsidR="00CE32F0" w:rsidRPr="005F750F" w:rsidRDefault="003663FD" w:rsidP="00CE32F0">
      <w:pPr>
        <w:rPr>
          <w:rFonts w:cs="Segoe UI"/>
          <w:szCs w:val="22"/>
        </w:rPr>
      </w:pPr>
      <w:r>
        <w:t xml:space="preserve">En revanche, la </w:t>
      </w:r>
      <w:r>
        <w:rPr>
          <w:b/>
        </w:rPr>
        <w:t>rentabilité ajustée des ventes</w:t>
      </w:r>
      <w:r>
        <w:t xml:space="preserve"> </w:t>
      </w:r>
      <w:r>
        <w:rPr>
          <w:b/>
          <w:bCs/>
        </w:rPr>
        <w:t>(marge EBIT ajustée)</w:t>
      </w:r>
      <w:r>
        <w:t xml:space="preserve"> pour l’exercice a été plus élevée d’une année sur l’autre, atteignant 14,8 % (2024 : 14,3 %).</w:t>
      </w:r>
    </w:p>
    <w:p w14:paraId="05DF36A0" w14:textId="77777777" w:rsidR="00CE32F0" w:rsidRPr="005F750F" w:rsidRDefault="00CE32F0" w:rsidP="00D51576">
      <w:pPr>
        <w:rPr>
          <w:rFonts w:cs="Segoe UI"/>
          <w:szCs w:val="22"/>
        </w:rPr>
      </w:pPr>
    </w:p>
    <w:p w14:paraId="15D65414" w14:textId="5C1F976D" w:rsidR="003663FD" w:rsidRDefault="003663FD" w:rsidP="00846017">
      <w:pPr>
        <w:rPr>
          <w:rFonts w:cs="Segoe UI"/>
          <w:szCs w:val="22"/>
        </w:rPr>
      </w:pPr>
      <w:bookmarkStart w:id="7" w:name="_Hlk190081485"/>
      <w:r>
        <w:t xml:space="preserve">Le </w:t>
      </w:r>
      <w:r>
        <w:rPr>
          <w:b/>
        </w:rPr>
        <w:t>bénéfice ajusté par action privilégiée</w:t>
      </w:r>
      <w:r>
        <w:t xml:space="preserve"> a légèrement diminué de 0,6 % pour atteindre 5,33 euros (2024 : 5,36 euros). À taux de change constants, le bénéfice ajusté par action privilégiée a augmenté de 4,7 %. </w:t>
      </w:r>
    </w:p>
    <w:p w14:paraId="5166EAC4" w14:textId="77777777" w:rsidR="003663FD" w:rsidRDefault="003663FD" w:rsidP="00846017">
      <w:pPr>
        <w:rPr>
          <w:rFonts w:cs="Segoe UI"/>
          <w:szCs w:val="22"/>
        </w:rPr>
      </w:pPr>
    </w:p>
    <w:bookmarkEnd w:id="7"/>
    <w:p w14:paraId="31ACBEBE" w14:textId="17EA1E85" w:rsidR="003663FD" w:rsidRDefault="003663FD" w:rsidP="00841353">
      <w:pPr>
        <w:rPr>
          <w:rFonts w:cs="Segoe UI"/>
          <w:szCs w:val="22"/>
        </w:rPr>
      </w:pPr>
      <w:r>
        <w:t xml:space="preserve">Le </w:t>
      </w:r>
      <w:r>
        <w:rPr>
          <w:b/>
        </w:rPr>
        <w:t>fonds de roulement net</w:t>
      </w:r>
      <w:r>
        <w:t xml:space="preserve"> en pourcentage des ventes s’est élevé à 3,8 %, soit une augmentation d’une année sur l’autre (2024 : 3,0 %).</w:t>
      </w:r>
    </w:p>
    <w:p w14:paraId="22824E39" w14:textId="77777777" w:rsidR="00841353" w:rsidRPr="005F750F" w:rsidRDefault="00841353" w:rsidP="00841353">
      <w:pPr>
        <w:rPr>
          <w:rFonts w:cs="Segoe UI"/>
          <w:szCs w:val="22"/>
        </w:rPr>
      </w:pPr>
    </w:p>
    <w:p w14:paraId="5C6A2D6D" w14:textId="1F436AC9" w:rsidR="00740F23" w:rsidRPr="005F750F" w:rsidRDefault="003663FD" w:rsidP="00841353">
      <w:pPr>
        <w:rPr>
          <w:rFonts w:cs="Segoe UI"/>
          <w:szCs w:val="22"/>
        </w:rPr>
      </w:pPr>
      <w:r>
        <w:t xml:space="preserve">Le </w:t>
      </w:r>
      <w:r>
        <w:rPr>
          <w:b/>
        </w:rPr>
        <w:t>flux de trésorerie disponible</w:t>
      </w:r>
      <w:r>
        <w:t xml:space="preserve"> a atteint 1 850 millions d’euros, soit une baisse par rapport à l’année précédente (2024 : 2 362 millions d’euros). Cette évolution s’explique par les variations du fonds de roulement net et par les effets de conversion liés aux taux de change.</w:t>
      </w:r>
      <w:bookmarkStart w:id="8" w:name="_Hlk190081658"/>
    </w:p>
    <w:p w14:paraId="4F8FDF20" w14:textId="77777777" w:rsidR="00740F23" w:rsidRPr="005F750F" w:rsidRDefault="00740F23" w:rsidP="007863BF">
      <w:pPr>
        <w:rPr>
          <w:rFonts w:cs="Segoe UI"/>
          <w:szCs w:val="22"/>
        </w:rPr>
      </w:pPr>
    </w:p>
    <w:p w14:paraId="33A51494" w14:textId="616AAC1E" w:rsidR="00740F23" w:rsidRPr="005F750F" w:rsidRDefault="00DE4DB3" w:rsidP="007863BF">
      <w:pPr>
        <w:rPr>
          <w:rFonts w:cs="Segoe UI"/>
          <w:szCs w:val="22"/>
        </w:rPr>
      </w:pPr>
      <w:r>
        <w:lastRenderedPageBreak/>
        <w:t xml:space="preserve">Malgré les sorties de trésorerie liées au dividende et au programme de rachat d’actions, la </w:t>
      </w:r>
      <w:r>
        <w:rPr>
          <w:b/>
        </w:rPr>
        <w:t xml:space="preserve">position financière nette </w:t>
      </w:r>
      <w:r>
        <w:t>s’est établie à 109 millions d’euros, soit un niveau supérieur à celui de l’année précédente (31 décembre 2024 : -93 millions d’euros).</w:t>
      </w:r>
    </w:p>
    <w:bookmarkEnd w:id="8"/>
    <w:p w14:paraId="463E60F7" w14:textId="77777777" w:rsidR="003F4E93" w:rsidRPr="005F750F" w:rsidRDefault="003F4E93" w:rsidP="004C0686">
      <w:pPr>
        <w:rPr>
          <w:rFonts w:cs="Segoe UI"/>
        </w:rPr>
      </w:pPr>
    </w:p>
    <w:p w14:paraId="10505EAC" w14:textId="14B39502" w:rsidR="00DE4DB3" w:rsidRDefault="00DE4DB3" w:rsidP="004C0686">
      <w:pPr>
        <w:rPr>
          <w:rFonts w:cs="Segoe UI"/>
        </w:rPr>
      </w:pPr>
      <w:r>
        <w:t xml:space="preserve">Le directoire, le conseil de surveillance et le comité des actionnaires proposeront à l’assemblée générale annuelle du 27 avril 2026 un </w:t>
      </w:r>
      <w:r>
        <w:rPr>
          <w:b/>
          <w:bCs/>
        </w:rPr>
        <w:t>dividende</w:t>
      </w:r>
      <w:r>
        <w:t xml:space="preserve"> augmenté de 1,5 % par rapport à l’année précédente, s’élevant à 2,07 euros par action privilégiée et à 2,05 euros par action ordinaire. L’augmentation du dividende est possible grâce à la bonne performance financière de l’exercice écoulé et à la base financière solide du Groupe Henkel. Le ratio de distribution reste inchangé à 37,9 % et se situe donc dans la fourchette cible de 30 à 40 %. </w:t>
      </w:r>
    </w:p>
    <w:p w14:paraId="3A63A046" w14:textId="4B63A259" w:rsidR="002464E3" w:rsidRPr="005F750F" w:rsidRDefault="002464E3" w:rsidP="001274FA">
      <w:pPr>
        <w:rPr>
          <w:rFonts w:cs="Segoe UI"/>
          <w:szCs w:val="22"/>
        </w:rPr>
      </w:pPr>
    </w:p>
    <w:p w14:paraId="2E56F5E3" w14:textId="77777777" w:rsidR="003C2AB0" w:rsidRDefault="003C2AB0">
      <w:pPr>
        <w:spacing w:line="240" w:lineRule="auto"/>
        <w:jc w:val="left"/>
        <w:rPr>
          <w:rFonts w:cs="Segoe UI"/>
          <w:b/>
          <w:bCs/>
          <w:szCs w:val="22"/>
        </w:rPr>
      </w:pPr>
      <w:r>
        <w:br w:type="page"/>
      </w:r>
    </w:p>
    <w:p w14:paraId="4649C4D4" w14:textId="67DF7172" w:rsidR="00846017" w:rsidRPr="00B312F1" w:rsidRDefault="00DE4DB3" w:rsidP="00CD1F32">
      <w:pPr>
        <w:spacing w:after="120"/>
        <w:rPr>
          <w:rFonts w:cs="Segoe UI"/>
          <w:b/>
          <w:bCs/>
          <w:szCs w:val="22"/>
        </w:rPr>
      </w:pPr>
      <w:r>
        <w:rPr>
          <w:b/>
        </w:rPr>
        <w:lastRenderedPageBreak/>
        <w:t xml:space="preserve">Performance des </w:t>
      </w:r>
      <w:r w:rsidR="00ED0A0A">
        <w:rPr>
          <w:b/>
        </w:rPr>
        <w:t xml:space="preserve">branches d’activités </w:t>
      </w:r>
      <w:r>
        <w:rPr>
          <w:b/>
        </w:rPr>
        <w:t>au cours de l’exercice 2025</w:t>
      </w:r>
    </w:p>
    <w:p w14:paraId="50922014" w14:textId="23B3F31A" w:rsidR="004A2703" w:rsidRPr="005F750F" w:rsidRDefault="00B312F1" w:rsidP="00B312F1">
      <w:pPr>
        <w:rPr>
          <w:rFonts w:cs="Segoe UI"/>
          <w:szCs w:val="22"/>
        </w:rPr>
      </w:pPr>
      <w:r>
        <w:t xml:space="preserve">Les </w:t>
      </w:r>
      <w:r>
        <w:rPr>
          <w:b/>
        </w:rPr>
        <w:t>ventes</w:t>
      </w:r>
      <w:r>
        <w:t xml:space="preserve"> de la branche </w:t>
      </w:r>
      <w:r>
        <w:rPr>
          <w:b/>
          <w:bCs/>
        </w:rPr>
        <w:t>Adhesive Technologies</w:t>
      </w:r>
      <w:r>
        <w:t xml:space="preserve"> se sont élevées à 10 667 millions d’euros au cours de l’exercice, soit une baisse de 2,8 % d’une année à l’autre en termes nominaux. Les effets de change ont diminué les ventes de 4,1 %. Les acquisitions/désinvestissements ont eu un effet de -0,1 %. </w:t>
      </w:r>
      <w:r>
        <w:rPr>
          <w:b/>
        </w:rPr>
        <w:t xml:space="preserve">Sur le plan organique, </w:t>
      </w:r>
      <w:r>
        <w:t xml:space="preserve">les ventes ont augmenté de 1,5 %. Cette croissance des ventes est notamment due à une évolution positive des volumes au cours du second semestre de l’année par rapport à l’année précédente, en raison d’une légère amélioration de la demande sur certains marchés finaux clés. Les prix ont enregistré une évolution positive par rapport à l’année précédente. </w:t>
      </w:r>
      <w:bookmarkStart w:id="9" w:name="_Hlk190097207"/>
      <w:r>
        <w:t xml:space="preserve">Le </w:t>
      </w:r>
      <w:r>
        <w:rPr>
          <w:b/>
        </w:rPr>
        <w:t>bénéfice d’exploitation ajusté</w:t>
      </w:r>
      <w:r>
        <w:t xml:space="preserve"> était légèrement inférieur à celui de l’année précédente, à 1 779 millions d’euros. La marge brute est restée inchangée par rapport à l’année précédente, à un niveau élevé. </w:t>
      </w:r>
      <w:r>
        <w:rPr>
          <w:b/>
        </w:rPr>
        <w:t>La rentabilité ajustée des ventes</w:t>
      </w:r>
      <w:r>
        <w:t xml:space="preserve"> a légèrement augmenté d’une année sur l’autre et a atteint 16,7 %.</w:t>
      </w:r>
      <w:bookmarkEnd w:id="9"/>
    </w:p>
    <w:p w14:paraId="282DCCAB" w14:textId="77777777" w:rsidR="004C0686" w:rsidRPr="005F750F" w:rsidRDefault="004C0686" w:rsidP="00024483">
      <w:pPr>
        <w:rPr>
          <w:rFonts w:cs="Segoe UI"/>
          <w:szCs w:val="22"/>
        </w:rPr>
      </w:pPr>
    </w:p>
    <w:p w14:paraId="2669D3B3" w14:textId="6D4E47F2" w:rsidR="005F2643" w:rsidRPr="00521B13" w:rsidRDefault="00521B13" w:rsidP="00521B13">
      <w:pPr>
        <w:rPr>
          <w:rFonts w:cs="Segoe UI"/>
          <w:szCs w:val="22"/>
        </w:rPr>
      </w:pPr>
      <w:r>
        <w:t xml:space="preserve">Les </w:t>
      </w:r>
      <w:r>
        <w:rPr>
          <w:b/>
        </w:rPr>
        <w:t>ventes</w:t>
      </w:r>
      <w:r>
        <w:t xml:space="preserve"> de la branche </w:t>
      </w:r>
      <w:r>
        <w:rPr>
          <w:b/>
        </w:rPr>
        <w:t>Consumer Brands</w:t>
      </w:r>
      <w:r>
        <w:t xml:space="preserve"> se sont élevées à 9 677 millions d’euros au cours de l’exercice considéré, -7,5 % par rapport à l’année précédente en termes nominaux. Les effets de change ont diminué les ventes de -4,4 %. Les acquisitions/cessions ont également pesé sur les ventes, entraînant un effet négatif de -3,4 %, principalement en raison de la cession de l’activité Retailer Brands en Amérique du Nord, intervenue en avril 2025. </w:t>
      </w:r>
      <w:r>
        <w:rPr>
          <w:b/>
        </w:rPr>
        <w:t xml:space="preserve">Sur le plan organique, </w:t>
      </w:r>
      <w:r>
        <w:t>les ventes ont augmenté de 0,3 %. Cette augmentation des ventes a été déterminée par une évolution favorable des prix, tandis que les volumes ont légèrement diminué.</w:t>
      </w:r>
      <w:bookmarkStart w:id="10" w:name="_Hlk190100714"/>
      <w:r>
        <w:t xml:space="preserve"> Le </w:t>
      </w:r>
      <w:r>
        <w:rPr>
          <w:b/>
        </w:rPr>
        <w:t>bénéfice d’exploitation ajusté</w:t>
      </w:r>
      <w:r>
        <w:t xml:space="preserve">, de 1 400 millions d’euros, est resté presque au même niveau de l’année précédente. En revanche, la marge brute s’est considérablement améliorée. La </w:t>
      </w:r>
      <w:r>
        <w:rPr>
          <w:b/>
        </w:rPr>
        <w:t>rentabilité ajustée des ventes</w:t>
      </w:r>
      <w:r>
        <w:t xml:space="preserve"> a atteint 14,5 %, ce qui représente une augmentation significative d’une année sur l’autre. </w:t>
      </w:r>
      <w:bookmarkEnd w:id="10"/>
    </w:p>
    <w:p w14:paraId="6C0C5E75" w14:textId="77777777" w:rsidR="00242C71" w:rsidRPr="00521B13" w:rsidRDefault="00242C71" w:rsidP="003F4E93">
      <w:pPr>
        <w:rPr>
          <w:rFonts w:cs="Segoe UI"/>
          <w:szCs w:val="22"/>
        </w:rPr>
      </w:pPr>
    </w:p>
    <w:p w14:paraId="39AAD420" w14:textId="5EA8D10F" w:rsidR="00A540B0" w:rsidRPr="00FB398A" w:rsidRDefault="00FB398A" w:rsidP="00A540B0">
      <w:pPr>
        <w:spacing w:after="120"/>
        <w:rPr>
          <w:rFonts w:cs="Segoe UI"/>
          <w:b/>
          <w:bCs/>
          <w:szCs w:val="22"/>
        </w:rPr>
      </w:pPr>
      <w:r>
        <w:rPr>
          <w:b/>
        </w:rPr>
        <w:t>Perspectives 2026</w:t>
      </w:r>
    </w:p>
    <w:p w14:paraId="6E64D031" w14:textId="27BE4B69" w:rsidR="00FB398A" w:rsidRPr="00FB398A" w:rsidRDefault="00FB398A" w:rsidP="00A540B0">
      <w:pPr>
        <w:rPr>
          <w:rFonts w:cs="Segoe UI"/>
          <w:szCs w:val="22"/>
        </w:rPr>
      </w:pPr>
      <w:r>
        <w:t>Après une croissance modérée au cours de l’exercice écoulé, la production économique mondiale devrait continuer à croître à un rythme modéré en 2026. Le développement de l’économie mondiale devrait continuer à être marqué par les incertitudes géopolitiques persistantes et par un niveau global des prix élevé. Dans ce contexte, seule une augmentation modérée de la demande industrielle et de la demande des consommateurs dans les domaines d’activité pertinents pour les activités de Henkel dans le secteur des biens de consommation est prév</w:t>
      </w:r>
      <w:r w:rsidR="00ED0A0A">
        <w:t>ue.</w:t>
      </w:r>
    </w:p>
    <w:p w14:paraId="186840F7" w14:textId="77777777" w:rsidR="00A540B0" w:rsidRPr="00FB398A" w:rsidRDefault="00A540B0" w:rsidP="00A540B0">
      <w:pPr>
        <w:rPr>
          <w:rFonts w:cs="Segoe UI"/>
          <w:szCs w:val="22"/>
        </w:rPr>
      </w:pPr>
    </w:p>
    <w:p w14:paraId="5BC2FF69" w14:textId="6B1219A9" w:rsidR="00A540B0" w:rsidRPr="00FB398A" w:rsidRDefault="00FB398A" w:rsidP="00A540B0">
      <w:pPr>
        <w:rPr>
          <w:rFonts w:cs="Segoe UI"/>
          <w:szCs w:val="22"/>
        </w:rPr>
      </w:pPr>
      <w:r>
        <w:t>La conversion des ventes en devises étrangères devrait avoir un impact négatif de l’ordre d’un pourcentage faible à un chiffre. Les prix des matériaux directs devraient augmenter d’un pourcentage à un chiffre faible par rapport à la moyenne annuelle de 2025.</w:t>
      </w:r>
    </w:p>
    <w:p w14:paraId="6EFB10DD" w14:textId="77777777" w:rsidR="001F0F3B" w:rsidRDefault="001F0F3B" w:rsidP="00521B13">
      <w:pPr>
        <w:rPr>
          <w:rFonts w:cs="Segoe UI"/>
        </w:rPr>
      </w:pPr>
    </w:p>
    <w:p w14:paraId="668E42FE" w14:textId="0658F390" w:rsidR="00FB398A" w:rsidRPr="00F46706" w:rsidRDefault="00FB398A" w:rsidP="00521B13">
      <w:pPr>
        <w:rPr>
          <w:rFonts w:cs="Segoe UI"/>
          <w:szCs w:val="22"/>
        </w:rPr>
      </w:pPr>
      <w:r>
        <w:lastRenderedPageBreak/>
        <w:t xml:space="preserve">Compte tenu de ces hypothèses, Henkel prévoit de générer une </w:t>
      </w:r>
      <w:r>
        <w:rPr>
          <w:b/>
        </w:rPr>
        <w:t>croissance organique des ventes</w:t>
      </w:r>
      <w:r>
        <w:t xml:space="preserve"> comprise entre 1,0 et 3,0 % pour l’exercice 2026. La croissance organique devrait se situer entre 1,0 et 3,0 % pour la branche Adhesive Technologies et entre 0,5 et 2,5 % pour Consumer Brands. Le </w:t>
      </w:r>
      <w:r>
        <w:rPr>
          <w:b/>
        </w:rPr>
        <w:t>rendement ajusté des ventes (marge EBIT ajustée)</w:t>
      </w:r>
      <w:r>
        <w:t xml:space="preserve"> devrait se situer entre 14,5 et 16,0 %. Pour Adhesive Technologies la rentabilité ajustée des ventes devrait se situer entre 16,5 et 18,0 % et pour Consumer Brands entre 14,0 et 15,5 %. Pour le </w:t>
      </w:r>
      <w:r>
        <w:rPr>
          <w:b/>
        </w:rPr>
        <w:t>bénéfice ajusté par action privilégiée (EPS)</w:t>
      </w:r>
      <w:r>
        <w:t xml:space="preserve"> à taux de change constants, on s’attend à une augmentation de l’ordre d’un pourcentage à un chiffre, dans le bas ou dans le haut de la fourchette.</w:t>
      </w:r>
    </w:p>
    <w:p w14:paraId="2B58C77B" w14:textId="77777777" w:rsidR="00A540B0" w:rsidRPr="00F46706" w:rsidRDefault="00A540B0" w:rsidP="008450BB">
      <w:pPr>
        <w:rPr>
          <w:rFonts w:cs="Segoe UI"/>
          <w:b/>
          <w:bCs/>
          <w:szCs w:val="22"/>
          <w:lang w:eastAsia="de-DE"/>
        </w:rPr>
      </w:pPr>
    </w:p>
    <w:p w14:paraId="282D382E" w14:textId="718778FB" w:rsidR="006E1A70" w:rsidRPr="00467CC0" w:rsidRDefault="00467CC0" w:rsidP="008450BB">
      <w:pPr>
        <w:rPr>
          <w:rFonts w:cs="Segoe UI"/>
          <w:b/>
          <w:bCs/>
          <w:szCs w:val="22"/>
        </w:rPr>
      </w:pPr>
      <w:r>
        <w:rPr>
          <w:b/>
        </w:rPr>
        <w:t>Progrès majeurs dans le processus de transformation</w:t>
      </w:r>
    </w:p>
    <w:p w14:paraId="4790C752" w14:textId="2EC5B2DF" w:rsidR="00875A71" w:rsidRDefault="00875A71" w:rsidP="00B05ECC">
      <w:pPr>
        <w:rPr>
          <w:rFonts w:cs="Segoe UI"/>
          <w:szCs w:val="22"/>
        </w:rPr>
      </w:pPr>
      <w:r>
        <w:t xml:space="preserve">Au cours des dernières années, Henkel s’est profondément renouvelée dans de nombreux domaines et a mis en œuvre de manière cohérente son programme stratégique pour une croissance ciblée. L’un des facteurs clés du succès à long terme est la volonté d’évoluer en permanence et de façonner activement le changement. </w:t>
      </w:r>
    </w:p>
    <w:p w14:paraId="45F7F611" w14:textId="6AC974FB" w:rsidR="00B05ECC" w:rsidRPr="005F750F" w:rsidRDefault="00B05ECC" w:rsidP="00B05ECC">
      <w:pPr>
        <w:rPr>
          <w:rFonts w:cs="Segoe UI"/>
          <w:szCs w:val="22"/>
        </w:rPr>
      </w:pPr>
    </w:p>
    <w:p w14:paraId="29ED0BF6" w14:textId="53F738B8" w:rsidR="006E1A70" w:rsidRPr="009C6158" w:rsidRDefault="00B2292F" w:rsidP="006E1A70">
      <w:pPr>
        <w:spacing w:after="120"/>
        <w:jc w:val="left"/>
        <w:rPr>
          <w:rFonts w:cs="Segoe UI"/>
          <w:b/>
          <w:bCs/>
          <w:szCs w:val="22"/>
        </w:rPr>
      </w:pPr>
      <w:r>
        <w:rPr>
          <w:b/>
        </w:rPr>
        <w:t xml:space="preserve">Consumer Brands : </w:t>
      </w:r>
      <w:r w:rsidR="00ED0A0A">
        <w:rPr>
          <w:b/>
        </w:rPr>
        <w:t>f</w:t>
      </w:r>
      <w:r>
        <w:rPr>
          <w:b/>
        </w:rPr>
        <w:t>usion réalisée avec succès</w:t>
      </w:r>
    </w:p>
    <w:p w14:paraId="18CACE59" w14:textId="513CFAD1" w:rsidR="0024732C" w:rsidRPr="009C6158" w:rsidRDefault="00FB4BF5" w:rsidP="0024732C">
      <w:pPr>
        <w:rPr>
          <w:rFonts w:cs="Segoe UI"/>
          <w:szCs w:val="22"/>
        </w:rPr>
      </w:pPr>
      <w:r>
        <w:t xml:space="preserve">La fusion des activités de biens de consommation </w:t>
      </w:r>
      <w:r w:rsidR="00ED0A0A">
        <w:t>au sein de</w:t>
      </w:r>
      <w:r>
        <w:t xml:space="preserve"> la branche </w:t>
      </w:r>
      <w:r>
        <w:rPr>
          <w:b/>
        </w:rPr>
        <w:t>Consumer Brands</w:t>
      </w:r>
      <w:r>
        <w:t>, qui a été annoncée au début de l’année 2022, a été achevée à la fin de l’exercice 2025. Au total, l’objectif initial d’économies annuelles de 525 millions d’euros a été dépassé à la fin de l’exercice 2025. L’intégration de la branche d’activité Consumer Brands a ainsi été menée à bien avec succès, un an plus tôt que prévu.</w:t>
      </w:r>
      <w:bookmarkStart w:id="11" w:name="_Hlk190100871"/>
    </w:p>
    <w:p w14:paraId="15975637" w14:textId="77777777" w:rsidR="00ED1B01" w:rsidRDefault="00ED1B01" w:rsidP="0024732C">
      <w:pPr>
        <w:rPr>
          <w:rFonts w:cs="Segoe UI"/>
          <w:szCs w:val="22"/>
          <w:lang w:eastAsia="de-DE"/>
        </w:rPr>
      </w:pPr>
    </w:p>
    <w:p w14:paraId="3817138C" w14:textId="203E36D9" w:rsidR="004D1DBD" w:rsidRDefault="004D1DBD" w:rsidP="0024732C">
      <w:pPr>
        <w:rPr>
          <w:rFonts w:cs="Segoe UI"/>
          <w:szCs w:val="22"/>
        </w:rPr>
      </w:pPr>
      <w:r>
        <w:t xml:space="preserve">Dans le même temps, la branche Consumer Brands s’est concentrée sur des marques et des activités fortes présentant des marges brutes élevées, ainsi que sur des positions de premier plan sur les marchés et dans les </w:t>
      </w:r>
      <w:r w:rsidR="00ED0A0A">
        <w:t xml:space="preserve">différentes </w:t>
      </w:r>
      <w:r>
        <w:t xml:space="preserve">catégories. Cette concentration sur les marques et les activités à forte croissance et à marge élevée porte </w:t>
      </w:r>
      <w:r w:rsidR="00ED0A0A">
        <w:t>ses</w:t>
      </w:r>
      <w:r>
        <w:t xml:space="preserve"> fruits : </w:t>
      </w:r>
      <w:r w:rsidR="00ED0A0A">
        <w:t>l</w:t>
      </w:r>
      <w:r>
        <w:t xml:space="preserve">es </w:t>
      </w:r>
      <w:r w:rsidR="00ED0A0A">
        <w:t>dix marques</w:t>
      </w:r>
      <w:r>
        <w:t xml:space="preserve"> </w:t>
      </w:r>
      <w:r w:rsidR="00ED0A0A">
        <w:t xml:space="preserve">principales </w:t>
      </w:r>
      <w:r>
        <w:t xml:space="preserve">de la branche Consumer Brands, qui représentaient presque 60 % du chiffre d’affaires en 2025, ont enregistré une très forte croissance organique, ainsi qu’une croissance positive des volumes. </w:t>
      </w:r>
    </w:p>
    <w:bookmarkEnd w:id="11"/>
    <w:p w14:paraId="35A24017" w14:textId="77777777" w:rsidR="00DA6DF7" w:rsidRPr="004D1DBD" w:rsidRDefault="00DA6DF7" w:rsidP="00FE683A">
      <w:pPr>
        <w:rPr>
          <w:rFonts w:cs="Segoe UI"/>
          <w:szCs w:val="22"/>
        </w:rPr>
      </w:pPr>
    </w:p>
    <w:p w14:paraId="2FA5E8DB" w14:textId="40CD3925" w:rsidR="004D1DBD" w:rsidRPr="004D1DBD" w:rsidRDefault="004D1DBD" w:rsidP="00FE683A">
      <w:pPr>
        <w:rPr>
          <w:rFonts w:cs="Segoe UI"/>
          <w:szCs w:val="22"/>
        </w:rPr>
      </w:pPr>
      <w:r>
        <w:t>L’importance de la consolidation des activités de</w:t>
      </w:r>
      <w:r w:rsidR="00ED0A0A">
        <w:t xml:space="preserve"> biens de</w:t>
      </w:r>
      <w:r>
        <w:t xml:space="preserve"> consommation apparaît de manière particulièrement évidente si l’on examine les performances au cours des trois dernières années, c’est-à-dire depuis la création de la nouvelle branche. Au cours de l’exercice 2022, le rendement ajusté combiné des ventes des activités con</w:t>
      </w:r>
      <w:r w:rsidR="00200087">
        <w:t>cernées</w:t>
      </w:r>
      <w:r>
        <w:t xml:space="preserve"> s’</w:t>
      </w:r>
      <w:r w:rsidR="00200087">
        <w:t>était</w:t>
      </w:r>
      <w:r>
        <w:t xml:space="preserve"> élevé à 8,3 %. À la fin de l’année 2025, </w:t>
      </w:r>
      <w:r w:rsidR="001277E6">
        <w:t>il avait</w:t>
      </w:r>
      <w:r w:rsidR="00AC33D2">
        <w:t xml:space="preserve"> </w:t>
      </w:r>
      <w:r>
        <w:t xml:space="preserve">augmenté </w:t>
      </w:r>
      <w:r w:rsidR="00AC33D2">
        <w:t>à</w:t>
      </w:r>
      <w:r>
        <w:t xml:space="preserve">14,5 %. Cela représente une amélioration de 6,2 points de pourcentage sur trois ans – une période qui a également été marquée par une augmentation </w:t>
      </w:r>
      <w:r>
        <w:lastRenderedPageBreak/>
        <w:t xml:space="preserve">significative des investissements dans les marques et les capacités d’innovation au sein de </w:t>
      </w:r>
      <w:r w:rsidR="00ED0A0A">
        <w:t>la branche d’activités.</w:t>
      </w:r>
    </w:p>
    <w:p w14:paraId="5321A51A" w14:textId="4AA495EE" w:rsidR="00875A71" w:rsidRPr="004D1DBD" w:rsidRDefault="00875A71">
      <w:pPr>
        <w:spacing w:line="240" w:lineRule="auto"/>
        <w:jc w:val="left"/>
        <w:rPr>
          <w:rFonts w:cs="Segoe UI"/>
          <w:b/>
          <w:bCs/>
          <w:szCs w:val="22"/>
          <w:lang w:eastAsia="de-DE"/>
        </w:rPr>
      </w:pPr>
    </w:p>
    <w:p w14:paraId="2024FF95" w14:textId="793747AD" w:rsidR="00E21F5D" w:rsidRPr="00E21F5D" w:rsidRDefault="00E21F5D" w:rsidP="00E21F5D">
      <w:pPr>
        <w:spacing w:after="120"/>
        <w:rPr>
          <w:rFonts w:cs="Segoe UI"/>
          <w:b/>
          <w:bCs/>
          <w:szCs w:val="22"/>
        </w:rPr>
      </w:pPr>
      <w:r>
        <w:rPr>
          <w:b/>
        </w:rPr>
        <w:t>Mise en œuvre cohérente du programme stratégique</w:t>
      </w:r>
    </w:p>
    <w:p w14:paraId="466DB146" w14:textId="7672C0A8" w:rsidR="00E21F5D" w:rsidRPr="00E21F5D" w:rsidRDefault="00E21F5D" w:rsidP="00E21F5D">
      <w:pPr>
        <w:autoSpaceDE w:val="0"/>
        <w:autoSpaceDN w:val="0"/>
        <w:adjustRightInd w:val="0"/>
        <w:rPr>
          <w:rFonts w:cs="Segoe UI"/>
          <w:bCs/>
          <w:szCs w:val="22"/>
        </w:rPr>
      </w:pPr>
      <w:r>
        <w:t>Dans un environnement macroéconomique et géopolitique difficile, Henkel a poursuivi la mise en œuvre systématique de son programme stratégique au cours de l’exercice écoulé et a réalisé d’importants progrès dans tous les domaines. L’entreprise a continué à développer son portefeuille d’activités et de marques, a renforcé son avantage concurrentiel dans l’innovation, l</w:t>
      </w:r>
      <w:r w:rsidR="00AF650E">
        <w:t>e développement durable</w:t>
      </w:r>
      <w:r>
        <w:t xml:space="preserve"> et la </w:t>
      </w:r>
      <w:r w:rsidR="00AF650E">
        <w:t>digitalisation</w:t>
      </w:r>
      <w:r>
        <w:t>, a optimisé ses processus d’activité et a renforcé sa culture d’entreprise.</w:t>
      </w:r>
    </w:p>
    <w:p w14:paraId="02BF1EFC" w14:textId="6BA87244" w:rsidR="005110D3" w:rsidRPr="00E21F5D" w:rsidRDefault="005110D3" w:rsidP="00E21F5D">
      <w:pPr>
        <w:autoSpaceDE w:val="0"/>
        <w:autoSpaceDN w:val="0"/>
        <w:adjustRightInd w:val="0"/>
        <w:rPr>
          <w:rFonts w:cs="Segoe UI"/>
          <w:bCs/>
          <w:szCs w:val="22"/>
        </w:rPr>
      </w:pPr>
    </w:p>
    <w:p w14:paraId="4AAE23F0" w14:textId="24887EFD" w:rsidR="00E21F5D" w:rsidRDefault="00E21F5D" w:rsidP="00DE567C">
      <w:pPr>
        <w:autoSpaceDE w:val="0"/>
        <w:autoSpaceDN w:val="0"/>
        <w:adjustRightInd w:val="0"/>
        <w:rPr>
          <w:rFonts w:cs="Segoe UI"/>
          <w:bCs/>
          <w:szCs w:val="22"/>
        </w:rPr>
      </w:pPr>
      <w:r>
        <w:t xml:space="preserve">Dans le cadre de </w:t>
      </w:r>
      <w:r w:rsidR="00AF650E">
        <w:t>l</w:t>
      </w:r>
      <w:r>
        <w:t xml:space="preserve">a </w:t>
      </w:r>
      <w:r>
        <w:rPr>
          <w:b/>
        </w:rPr>
        <w:t>gestion active d</w:t>
      </w:r>
      <w:r w:rsidR="00AF650E">
        <w:rPr>
          <w:b/>
        </w:rPr>
        <w:t>e son</w:t>
      </w:r>
      <w:r>
        <w:rPr>
          <w:b/>
        </w:rPr>
        <w:t xml:space="preserve"> </w:t>
      </w:r>
      <w:r>
        <w:rPr>
          <w:b/>
          <w:bCs/>
        </w:rPr>
        <w:t>portefeuille</w:t>
      </w:r>
      <w:r>
        <w:t xml:space="preserve">, Henkel a continué de développer son portefeuille en abandonnant ou en cédant des activités, ainsi qu’en procédant à des acquisitions. Avec la cession de son activité Retailer Brands en Amérique du Nord, qui a été finalisée avec succès au printemps 2025, Henkel a achevé les mesures de portefeuille annoncées au début de la fusion de ses activités de </w:t>
      </w:r>
      <w:r w:rsidR="00AF650E">
        <w:t xml:space="preserve">grande </w:t>
      </w:r>
      <w:r>
        <w:t xml:space="preserve">consommation auparavant séparées. Ainsi, depuis le début de l’année 2022, Henkel a cédé ou abandonné des marques et des activités représentant des ventes totales d’un peu plus d’un milliard d’euros. </w:t>
      </w:r>
    </w:p>
    <w:p w14:paraId="0F99C05C" w14:textId="77777777" w:rsidR="00E21F5D" w:rsidRPr="0006442E" w:rsidRDefault="00E21F5D" w:rsidP="008762E7">
      <w:pPr>
        <w:autoSpaceDE w:val="0"/>
        <w:autoSpaceDN w:val="0"/>
        <w:adjustRightInd w:val="0"/>
        <w:rPr>
          <w:rFonts w:cs="Segoe UI"/>
          <w:bCs/>
          <w:szCs w:val="22"/>
        </w:rPr>
      </w:pPr>
    </w:p>
    <w:p w14:paraId="021BE4F3" w14:textId="13188DDC" w:rsidR="00DD5FF5" w:rsidRPr="00DD5FF5" w:rsidRDefault="00E21F5D" w:rsidP="00DD5FF5">
      <w:pPr>
        <w:autoSpaceDE w:val="0"/>
        <w:autoSpaceDN w:val="0"/>
        <w:adjustRightInd w:val="0"/>
        <w:rPr>
          <w:rFonts w:cs="Segoe UI"/>
          <w:bCs/>
          <w:szCs w:val="22"/>
        </w:rPr>
      </w:pPr>
      <w:r>
        <w:t>L’élargissement du portefeuille par le biais d’</w:t>
      </w:r>
      <w:r>
        <w:rPr>
          <w:b/>
        </w:rPr>
        <w:t>acquisitions</w:t>
      </w:r>
      <w:r>
        <w:t xml:space="preserve"> ciblées fait également partie intégrante du programme de croissance de Henkel. En 2025, Henkel a signé un accord pour acquérir ATP Adhesive Systems AG. L’entreprise basée en Suisse est l’un des principaux fournisseurs de rubans spéciaux à base d’eau haute performance pour un large éventail de marchés finaux, y compris l’automobile, l’électronique, la médecine, la construction et l’industrie graphique. ATP a une forte présence en Amérique du Nord et en Europe et a généré des ventes d’environ 270 millions d’euros au cours de l’exercice 2025. </w:t>
      </w:r>
    </w:p>
    <w:p w14:paraId="086542D4" w14:textId="77777777" w:rsidR="00DD5FF5" w:rsidRPr="009C6158" w:rsidRDefault="00DD5FF5" w:rsidP="00DE567C">
      <w:pPr>
        <w:autoSpaceDE w:val="0"/>
        <w:autoSpaceDN w:val="0"/>
        <w:adjustRightInd w:val="0"/>
        <w:rPr>
          <w:rFonts w:cs="Segoe UI"/>
          <w:bCs/>
          <w:szCs w:val="22"/>
        </w:rPr>
      </w:pPr>
    </w:p>
    <w:p w14:paraId="76CA2124" w14:textId="5E91954D" w:rsidR="00DD5FF5" w:rsidRDefault="00DD5FF5" w:rsidP="00DD5FF5">
      <w:pPr>
        <w:autoSpaceDE w:val="0"/>
        <w:autoSpaceDN w:val="0"/>
        <w:adjustRightInd w:val="0"/>
        <w:rPr>
          <w:rFonts w:cs="Segoe UI"/>
          <w:bCs/>
          <w:szCs w:val="22"/>
        </w:rPr>
      </w:pPr>
      <w:r>
        <w:t xml:space="preserve">En février 2026, Henkel a accepté d'acquérir le groupe Stahl basé aux Pays-Bas. L’entreprise est un acteur mondial des revêtements spéciaux haute performance pour les matériaux flexibles, au service des principales entreprises du monde entier sur les marchés de l’automobile, de la mode et du style de vie, et de l’emballage. Au cours de l’exercice 2025, Stahl a généré des ventes d’environ 725 millions d’euros avec une empreinte régionale équilibrée. </w:t>
      </w:r>
    </w:p>
    <w:p w14:paraId="46DB7840" w14:textId="77777777" w:rsidR="00DD5FF5" w:rsidRDefault="00DD5FF5" w:rsidP="00DD5FF5">
      <w:pPr>
        <w:autoSpaceDE w:val="0"/>
        <w:autoSpaceDN w:val="0"/>
        <w:adjustRightInd w:val="0"/>
        <w:rPr>
          <w:rFonts w:cs="Segoe UI"/>
          <w:bCs/>
          <w:szCs w:val="22"/>
        </w:rPr>
      </w:pPr>
    </w:p>
    <w:p w14:paraId="2248A617" w14:textId="7F16ABE9" w:rsidR="00EA5996" w:rsidRDefault="00EA5996" w:rsidP="00EA5996">
      <w:pPr>
        <w:autoSpaceDE w:val="0"/>
        <w:autoSpaceDN w:val="0"/>
        <w:adjustRightInd w:val="0"/>
        <w:rPr>
          <w:rFonts w:cs="Segoe UI"/>
          <w:bCs/>
          <w:szCs w:val="22"/>
        </w:rPr>
      </w:pPr>
      <w:r>
        <w:t xml:space="preserve">En outre, Henkel a signé début mars un accord portant sur l’acquisition de « Not Your Mother’s », l’une des principales marques grand public de soins capillaires et de coiffage en Amérique du Nord. Cette acquisition renforce la position de Henkel dans le secteur des soins capillaires, l’une des catégories clés de </w:t>
      </w:r>
      <w:r w:rsidR="00AF650E">
        <w:t xml:space="preserve">l’activité </w:t>
      </w:r>
      <w:r>
        <w:t xml:space="preserve">Consumer Brands. « Not Your Mother’s » est une marque de produits capillaires à succès, en forte croissance, qui </w:t>
      </w:r>
      <w:r>
        <w:lastRenderedPageBreak/>
        <w:t>propose une large gamme de shampooings, d’après-shampoings, de soins et de produits de coiffure. Au cours de l’exercice 2025, la marque a généré des ventes d’environ 190 millions d’euros, avec une croissance à deux chiffres et une rentabilité élevée.</w:t>
      </w:r>
    </w:p>
    <w:p w14:paraId="40FD5790" w14:textId="77777777" w:rsidR="00EA5996" w:rsidRDefault="00EA5996" w:rsidP="00DD5FF5">
      <w:pPr>
        <w:autoSpaceDE w:val="0"/>
        <w:autoSpaceDN w:val="0"/>
        <w:adjustRightInd w:val="0"/>
        <w:rPr>
          <w:rFonts w:cs="Segoe UI"/>
          <w:bCs/>
          <w:szCs w:val="22"/>
        </w:rPr>
      </w:pPr>
    </w:p>
    <w:p w14:paraId="7255BCCF" w14:textId="594AD469" w:rsidR="00C249E3" w:rsidRDefault="00C249E3" w:rsidP="00841179">
      <w:pPr>
        <w:pStyle w:val="Topline"/>
        <w:spacing w:before="0" w:after="0"/>
      </w:pPr>
      <w:r>
        <w:t xml:space="preserve">Ces opérations récentes, qui sont encore soumises aux conditions de clôture habituelles et aux approbations des autorités de la concurrence, représentent un </w:t>
      </w:r>
      <w:r>
        <w:rPr>
          <w:b/>
        </w:rPr>
        <w:t>volume de ventes supplémentaire combiné d’environ 1,2 milliard d’euros</w:t>
      </w:r>
      <w:r>
        <w:t xml:space="preserve"> et </w:t>
      </w:r>
      <w:r>
        <w:rPr>
          <w:b/>
        </w:rPr>
        <w:t>renforcent le potentiel de croissance</w:t>
      </w:r>
      <w:r>
        <w:t xml:space="preserve"> de l’activité Adhesive Technologies, leader mondial, et de l</w:t>
      </w:r>
      <w:r w:rsidR="00AF650E">
        <w:t>’</w:t>
      </w:r>
      <w:r>
        <w:t>activité Consumer Brands.</w:t>
      </w:r>
    </w:p>
    <w:p w14:paraId="2C100848" w14:textId="77777777" w:rsidR="00DD5FF5" w:rsidRPr="009C6158" w:rsidRDefault="00DD5FF5" w:rsidP="00841179">
      <w:pPr>
        <w:pStyle w:val="Topline"/>
        <w:spacing w:before="0" w:after="0"/>
      </w:pPr>
    </w:p>
    <w:p w14:paraId="5475D3A1" w14:textId="779AEDAA" w:rsidR="00B027BA" w:rsidRDefault="00E21F5D" w:rsidP="007B2C2C">
      <w:pPr>
        <w:rPr>
          <w:rFonts w:cs="Segoe UI"/>
          <w:bCs/>
          <w:szCs w:val="22"/>
        </w:rPr>
      </w:pPr>
      <w:r>
        <w:t xml:space="preserve">En 2025, Henkel a lancé de nombreuses </w:t>
      </w:r>
      <w:r>
        <w:rPr>
          <w:b/>
        </w:rPr>
        <w:t>innovations</w:t>
      </w:r>
      <w:r>
        <w:t xml:space="preserve"> sur le marché, répondant à des tendances importantes et créant de la valeur pour les clients et les consommateurs. </w:t>
      </w:r>
      <w:bookmarkStart w:id="12" w:name="_Hlk190180076"/>
      <w:r>
        <w:t>Sur le marché des biens de consommation, l’innovation est un facteur de réussite essentiel pour se différencier. La nouvelle coloration capillaire Creme Supreme de Schwarzkopf en est un exemple. S’inspirant des applications professionnelles en salon, Henkel a développé Creme Supreme, une nouvelle technologie qui renforce et nourrit la structure du cheveu grâce à des micro-liaisons. Ces micro-liaisons maintiennent plus efficacement les fibres capillaires ensemble et forment une couche protectrice spéciale autour du cheveu. Il en résulte une réduction significative des cassures des cheveux, qui constituent l’une des principales préoccupations des consommateurs lorsqu’ils se font colorer les cheveux.</w:t>
      </w:r>
    </w:p>
    <w:p w14:paraId="2F9AD5B3" w14:textId="5CF86464" w:rsidR="00D64961" w:rsidRPr="0006442E" w:rsidRDefault="007B2C2C" w:rsidP="00484218">
      <w:pPr>
        <w:rPr>
          <w:rFonts w:cs="Segoe UI"/>
          <w:bCs/>
          <w:szCs w:val="22"/>
        </w:rPr>
      </w:pPr>
      <w:r>
        <w:t xml:space="preserve">Le concept « House of Hair » joue également un rôle important dans le développement d’innovations dans la catégorie Hair. Depuis mars 2025, Henkel a regroupé </w:t>
      </w:r>
      <w:r w:rsidR="00AF650E">
        <w:t>au sein d’</w:t>
      </w:r>
      <w:r>
        <w:t>un seul site en Allemagne, à Hambourg, les principaux secteurs de son activité dans le domaine des cosmétiques capillaires : la recherche et le développement, les salons d’essai, le marketing et l’Academy of Hair. Ici, plus de 300 experts travaillent ensemble pour développer des produits innovants. Outre Hambourg, il existe quatre autres sites à Los Angeles, Tokyo, Shanghai et Guadalajara. Chaque site joue un rôle important dans le développement, axé sur le client, de produits cosmétiques capillaires qui répondent spécifiquement aux besoins des clients, lesquels varient selon les régions.</w:t>
      </w:r>
    </w:p>
    <w:p w14:paraId="2FE51A11" w14:textId="77777777" w:rsidR="00B027BA" w:rsidRPr="0006442E" w:rsidRDefault="00B027BA" w:rsidP="00273099">
      <w:pPr>
        <w:rPr>
          <w:rFonts w:cs="Segoe UI"/>
          <w:bCs/>
          <w:szCs w:val="22"/>
        </w:rPr>
      </w:pPr>
    </w:p>
    <w:p w14:paraId="7B6A7686" w14:textId="5F1D28D8" w:rsidR="00545516" w:rsidRDefault="00545516" w:rsidP="00545516">
      <w:pPr>
        <w:rPr>
          <w:rFonts w:cs="Segoe UI"/>
          <w:bCs/>
          <w:szCs w:val="22"/>
        </w:rPr>
      </w:pPr>
      <w:r>
        <w:t xml:space="preserve">L’innovation est également un facteur de succès central pour la branche d’activité Adhesive Technologies. Henkel continue donc d’investir de manière cohérente pour se positionner avec succès dans l’environnement concurrentiel. L’un des principaux axes d’action est l’expansion de son réseau de centres de recherche et d’innovation de pointe. De tels « Inspiration Centers » sont en activité à Düsseldorf, à Mumbai en Inde et dans le New Jersey aux États-Unis. En 2025, Henkel a ouvert un autre Inspiration Center à Shanghai pour la région Asie-Pacifique, avec un investissement de 60 millions d’euros. Plus de 500 chercheurs et développeurs travaillent dans ce centre, aux côtés de clients issus d’un large éventail d’industries. </w:t>
      </w:r>
    </w:p>
    <w:bookmarkEnd w:id="12"/>
    <w:p w14:paraId="14D137F5" w14:textId="77777777" w:rsidR="00A2751B" w:rsidRPr="009C6158" w:rsidRDefault="00A2751B" w:rsidP="008E6661">
      <w:pPr>
        <w:rPr>
          <w:rFonts w:cs="Segoe UI"/>
          <w:bCs/>
          <w:szCs w:val="22"/>
        </w:rPr>
      </w:pPr>
    </w:p>
    <w:p w14:paraId="7AAEEAC0" w14:textId="512E0F82" w:rsidR="00E810D3" w:rsidRPr="00921C0C" w:rsidRDefault="00E810D3" w:rsidP="00E810D3">
      <w:pPr>
        <w:rPr>
          <w:rFonts w:cs="Segoe UI"/>
          <w:bCs/>
          <w:szCs w:val="22"/>
        </w:rPr>
      </w:pPr>
      <w:bookmarkStart w:id="13" w:name="_Hlk190180237"/>
      <w:r>
        <w:t xml:space="preserve">L’une des priorités de Henkel en </w:t>
      </w:r>
      <w:r>
        <w:rPr>
          <w:b/>
        </w:rPr>
        <w:t>matière de développement durable</w:t>
      </w:r>
      <w:r>
        <w:t xml:space="preserve"> reste la réduction des émissions tout au long de la chaîne de valeur. D’ici à 2045, l’entreprise ambitionne de diminuer de 90 % ses émissions absolues de gaz à effet de serre de</w:t>
      </w:r>
      <w:r w:rsidR="00AF650E">
        <w:t xml:space="preserve"> scopes</w:t>
      </w:r>
      <w:r>
        <w:t> 1, 2 et 3 (par rapport à l’année de référence 2021) et d’atteindre ainsi</w:t>
      </w:r>
      <w:r w:rsidR="00AF650E">
        <w:t xml:space="preserve"> zéro émission nette</w:t>
      </w:r>
      <w:r>
        <w:t xml:space="preserve">. Henkel a réalisé des progrès </w:t>
      </w:r>
      <w:r w:rsidR="00AF650E">
        <w:t xml:space="preserve">en 2025 sur les trois scopes, </w:t>
      </w:r>
      <w:r>
        <w:t xml:space="preserve">et a déjà réduit ses émissions de 29 % depuis l’année de référence 2021. Henkel a également réalisé des améliorations </w:t>
      </w:r>
      <w:r w:rsidR="00AF650E">
        <w:t xml:space="preserve">en matière de durabilité de ses </w:t>
      </w:r>
      <w:r>
        <w:t>chaînes d’approvisionnement</w:t>
      </w:r>
      <w:r w:rsidR="00AF650E">
        <w:t xml:space="preserve">. </w:t>
      </w:r>
      <w:r>
        <w:t>La part des ingrédients à base de palme issus de sources responsables et certifiés a désormais atteint 98 %. L’entreprise a encore amélioré ses performances dans les évaluations de</w:t>
      </w:r>
      <w:r w:rsidR="00AF650E">
        <w:t xml:space="preserve"> développement durable</w:t>
      </w:r>
      <w:r>
        <w:t xml:space="preserve"> internationalement reconnues. Parmi d’autres réalisations, Henkel a obtenu pour la première fois la note A dans la catégorie Climat de l’évaluation CDP 2025. Henkel a également encore amélioré ses performances lors de la dernière évaluation EcoVadis et a de nouveau obtenu la médaille d’or.</w:t>
      </w:r>
    </w:p>
    <w:bookmarkEnd w:id="13"/>
    <w:p w14:paraId="0671982D" w14:textId="77777777" w:rsidR="00C9109C" w:rsidRDefault="00C9109C" w:rsidP="00062741">
      <w:pPr>
        <w:rPr>
          <w:rFonts w:cs="Segoe UI"/>
          <w:szCs w:val="22"/>
          <w:lang w:eastAsia="de-DE"/>
        </w:rPr>
      </w:pPr>
    </w:p>
    <w:p w14:paraId="13AF8950" w14:textId="5736E16E" w:rsidR="00062741" w:rsidRDefault="00062741" w:rsidP="00062741">
      <w:pPr>
        <w:rPr>
          <w:rFonts w:cs="Segoe UI"/>
          <w:szCs w:val="22"/>
        </w:rPr>
      </w:pPr>
      <w:r>
        <w:t xml:space="preserve">Henkel a également réalisé de nouveaux progrès </w:t>
      </w:r>
      <w:r w:rsidR="00AF650E">
        <w:t>en matière de</w:t>
      </w:r>
      <w:r>
        <w:t xml:space="preserve"> </w:t>
      </w:r>
      <w:r w:rsidR="00AF650E">
        <w:rPr>
          <w:b/>
        </w:rPr>
        <w:t>digitalisation</w:t>
      </w:r>
      <w:r>
        <w:t xml:space="preserve">. </w:t>
      </w:r>
      <w:bookmarkStart w:id="14" w:name="_Hlk190182641"/>
      <w:r>
        <w:t>En 2024, les progrès rapides de l’intelligence artificielle (IA) ont été un sujet clé. L’intelligence artificielle aura une influence considérable sur le fonctionnement de l’entreprise à l’avenir. Henkel met en œuvre des technologies d’IA dans de nombreuses applications pratiques, tant dans ses activités industrielles que dans ses activités de biens de consommation. En 2025, Henkel a lancé en Allemagne sa première publicité télévisée assistée par l’IA, faisant ainsi entrer l’emblématique Dame Blanche de Persil dans une nouvelle ère. L’IA est également utilisée pour l’automatisation des processus dans les laboratoires de développement d’adhésifs. Dans la fabrication de batteries, Henkel utilise la simulation assistée par l’IA et des solutions de décollage innovantes pour aider ses clients à réduire les délais et les coûts de développement, ainsi qu’à optimiser les performances.</w:t>
      </w:r>
    </w:p>
    <w:p w14:paraId="61B25AFC" w14:textId="77777777" w:rsidR="00062741" w:rsidRDefault="00062741" w:rsidP="00FA397B">
      <w:pPr>
        <w:rPr>
          <w:rFonts w:cs="Segoe UI"/>
          <w:szCs w:val="22"/>
          <w:lang w:eastAsia="de-DE"/>
        </w:rPr>
      </w:pPr>
    </w:p>
    <w:p w14:paraId="752AC14F" w14:textId="5E61F252" w:rsidR="005F750F" w:rsidRPr="005F750F" w:rsidRDefault="00E810D3" w:rsidP="005F750F">
      <w:pPr>
        <w:rPr>
          <w:rFonts w:cs="Segoe UI"/>
          <w:szCs w:val="22"/>
        </w:rPr>
      </w:pPr>
      <w:bookmarkStart w:id="15" w:name="_Hlk190182811"/>
      <w:bookmarkEnd w:id="14"/>
      <w:r>
        <w:t xml:space="preserve">Dans le cadre de sa stratégie de croissance à long terme, Henkel aligne constamment ses branches sur les exigences des marchés dynamiques et les attentes changeantes des clients, afin de parvenir à une réussite à long terme avec des </w:t>
      </w:r>
      <w:r>
        <w:rPr>
          <w:b/>
        </w:rPr>
        <w:t>modèles opérationnels prêts pour l’avenir.</w:t>
      </w:r>
      <w:r>
        <w:t xml:space="preserve"> </w:t>
      </w:r>
      <w:bookmarkStart w:id="16" w:name="_Hlk191457890"/>
      <w:bookmarkStart w:id="17" w:name="_Hlk222133417"/>
      <w:r>
        <w:t xml:space="preserve">En mars 2025, Henkel a annoncé qu’elle évaluerait la possibilité de créer des entités juridiques distinctes en Allemagne et dans certains pays pour ses </w:t>
      </w:r>
      <w:r w:rsidR="00AF650E">
        <w:t xml:space="preserve">deux activités </w:t>
      </w:r>
      <w:proofErr w:type="spellStart"/>
      <w:r>
        <w:t>Adhesive</w:t>
      </w:r>
      <w:proofErr w:type="spellEnd"/>
      <w:r>
        <w:t xml:space="preserve"> Technologies et Consumer Brands</w:t>
      </w:r>
      <w:r w:rsidR="00AF650E">
        <w:t>.</w:t>
      </w:r>
      <w:r>
        <w:t xml:space="preserve"> Cette mesure est également liée aux préparatifs de la migration vers SAP S/4HANA. Le directoire a examiné la proposition en détail et l’a approuvée avec les organes de surveillance compétents. En conséquence, la première étape envisagée consistera à créer des entités juridiques distinctes pour les deux branches existantes en Allemagne. Grâce à cette mesure, Henkel souhaite rendre ses processus et ses structures plus agiles et mieux répondre aux besoins futurs de ses entreprises et au programme de croissance du Groupe Henkel. La gestion stratégique et opérationnelle du Groupe et de ses branches </w:t>
      </w:r>
      <w:r>
        <w:lastRenderedPageBreak/>
        <w:t>restera inchangée. La proposition sera soumise à l’assemblée générale annuelle 2026 pour décision des actionnaires.</w:t>
      </w:r>
    </w:p>
    <w:bookmarkEnd w:id="16"/>
    <w:bookmarkEnd w:id="17"/>
    <w:p w14:paraId="3A1D5552" w14:textId="77777777" w:rsidR="008B3182" w:rsidRPr="00921C0C" w:rsidRDefault="008B3182" w:rsidP="008B3182">
      <w:pPr>
        <w:rPr>
          <w:rFonts w:cs="Segoe UI"/>
          <w:szCs w:val="22"/>
          <w:lang w:eastAsia="de-DE"/>
        </w:rPr>
      </w:pPr>
    </w:p>
    <w:bookmarkEnd w:id="15"/>
    <w:p w14:paraId="18EADE9F" w14:textId="12F5C88C" w:rsidR="003A11DF" w:rsidRDefault="003A11DF" w:rsidP="00607621">
      <w:pPr>
        <w:rPr>
          <w:rFonts w:cs="Segoe UI"/>
          <w:szCs w:val="22"/>
        </w:rPr>
      </w:pPr>
      <w:r>
        <w:t xml:space="preserve">Chez Henkel, une </w:t>
      </w:r>
      <w:r>
        <w:rPr>
          <w:b/>
        </w:rPr>
        <w:t>culture d’entreprise</w:t>
      </w:r>
      <w:r>
        <w:t xml:space="preserve"> forte constitue le fondement du programme de croissance ciblée. Elle se caractérise par une collaboration fondée sur la confiance entre les branches, au-delà des frontières nationales et entre les équipes, ainsi que par la capacité donnée à ses employés de prendre des responsabilités et de contribuer activement aux résultats. Une telle culture doit être encouragée en permanence. Afin de mieux comprendre comment les employés perçoivent cette culture, Henkel réalise depuis plusieurs années des enquêtes dites « pulse checks », une fois par mois auprès de 5 000 employés sélectionnés au hasard. Ces enquêtes anonymes fournissent des informations précieuses sur des sujets tels que la collaboration, la responsabilité, l’innovation, la diversité et l’alignement sur la stratégie à long terme de Henkel. Les résultats de 2025 montrent que Henkel a réalisé des progrès significatifs dans ces domaines. Cela confirme que les diverses initiatives et mesures mises en œuvre au cours des dernières années ont un impact et que la culture d'entreprise a été continuellement renforcée.</w:t>
      </w:r>
    </w:p>
    <w:p w14:paraId="1A3BACE2" w14:textId="77777777" w:rsidR="00607621" w:rsidRPr="00FB4BF5" w:rsidRDefault="00607621" w:rsidP="00607621">
      <w:pPr>
        <w:rPr>
          <w:rFonts w:cs="Segoe UI"/>
          <w:szCs w:val="22"/>
          <w:lang w:eastAsia="de-DE"/>
        </w:rPr>
      </w:pPr>
    </w:p>
    <w:p w14:paraId="4312476B" w14:textId="41AACDF9" w:rsidR="00FE00EA" w:rsidRPr="003A11DF" w:rsidRDefault="00FE00EA" w:rsidP="00765D0E">
      <w:pPr>
        <w:spacing w:after="120"/>
        <w:rPr>
          <w:rFonts w:cs="Segoe UI"/>
          <w:b/>
          <w:bCs/>
          <w:szCs w:val="22"/>
        </w:rPr>
      </w:pPr>
      <w:r>
        <w:rPr>
          <w:b/>
        </w:rPr>
        <w:t>Henkel célèbre 150 ans d’histoire couronnée de succès</w:t>
      </w:r>
    </w:p>
    <w:p w14:paraId="1E91AE04" w14:textId="7696E3B7" w:rsidR="00062741" w:rsidRPr="001058F1" w:rsidRDefault="00062741" w:rsidP="00062741">
      <w:pPr>
        <w:rPr>
          <w:rFonts w:cs="Segoe UI"/>
          <w:szCs w:val="22"/>
        </w:rPr>
      </w:pPr>
      <w:bookmarkStart w:id="18" w:name="_Hlk190182989"/>
      <w:r>
        <w:t>« L’année 2025 a été une année couronnée de succès, au cours de laquelle nous avons de nouveau relevé des défis majeurs tout en réalisant des progrès significatifs. Nous avons atteint nos objectifs financiers dans une large mesure. Nous avons mis en œuvre de manière cohérente notre programme de croissance ciblée dans toutes les dimensions stratégiques et avons mené à bien l’intégration de nos activités dans le secteur des biens de consommation. Nous sommes sur la bonne voie et la transformation de notre entreprise donne des résultats tangibles », a résumé Carsten Knobel.</w:t>
      </w:r>
    </w:p>
    <w:p w14:paraId="5720D19B" w14:textId="77777777" w:rsidR="00F460F3" w:rsidRDefault="00F460F3" w:rsidP="003A11DF">
      <w:pPr>
        <w:rPr>
          <w:rFonts w:cs="Segoe UI"/>
          <w:szCs w:val="22"/>
        </w:rPr>
      </w:pPr>
    </w:p>
    <w:p w14:paraId="65AD4A67" w14:textId="4767B82B" w:rsidR="00062741" w:rsidRPr="00ED0A0A" w:rsidRDefault="00062741" w:rsidP="003A11DF">
      <w:pPr>
        <w:rPr>
          <w:rFonts w:cs="Segoe UI"/>
          <w:szCs w:val="22"/>
          <w:lang w:val="en-US"/>
        </w:rPr>
      </w:pPr>
      <w:r>
        <w:t xml:space="preserve">« Nous nous réjouissons maintenant à la perspective d’une année 2026 passionnante, au cours de laquelle nous célébrerons notre 150ème anniversaire. Nous sommes, bien entendu, fiers de notre héritage – mais pour nous, ce n’est pas une raison </w:t>
      </w:r>
      <w:r w:rsidR="00AF650E">
        <w:t xml:space="preserve">de </w:t>
      </w:r>
      <w:r>
        <w:t xml:space="preserve">nous reposer sur nos lauriers. Au contraire, c’est une source de motivation pour la route qui nous attend. Nous sommes prêts pour l’avenir. Hier comme aujourd’hui, nous nous appuierons sur notre esprit pionnier pour développer des produits et des solutions tournés vers l’avenir, pour les générations à venir. </w:t>
      </w:r>
      <w:r w:rsidRPr="00ED0A0A">
        <w:rPr>
          <w:lang w:val="en-US"/>
        </w:rPr>
        <w:t xml:space="preserve">Cela </w:t>
      </w:r>
      <w:proofErr w:type="spellStart"/>
      <w:r w:rsidRPr="00ED0A0A">
        <w:rPr>
          <w:lang w:val="en-US"/>
        </w:rPr>
        <w:t>s’inscrit</w:t>
      </w:r>
      <w:proofErr w:type="spellEnd"/>
      <w:r w:rsidRPr="00ED0A0A">
        <w:rPr>
          <w:lang w:val="en-US"/>
        </w:rPr>
        <w:t xml:space="preserve"> </w:t>
      </w:r>
      <w:proofErr w:type="spellStart"/>
      <w:r w:rsidRPr="00ED0A0A">
        <w:rPr>
          <w:lang w:val="en-US"/>
        </w:rPr>
        <w:t>parfaitement</w:t>
      </w:r>
      <w:proofErr w:type="spellEnd"/>
      <w:r w:rsidRPr="00ED0A0A">
        <w:rPr>
          <w:lang w:val="en-US"/>
        </w:rPr>
        <w:t xml:space="preserve"> dans </w:t>
      </w:r>
      <w:proofErr w:type="spellStart"/>
      <w:r w:rsidRPr="00ED0A0A">
        <w:rPr>
          <w:lang w:val="en-US"/>
        </w:rPr>
        <w:t>notre</w:t>
      </w:r>
      <w:proofErr w:type="spellEnd"/>
      <w:r w:rsidRPr="00ED0A0A">
        <w:rPr>
          <w:lang w:val="en-US"/>
        </w:rPr>
        <w:t xml:space="preserve"> raison d’être : “Pioneers at heart for the good of generations" », a </w:t>
      </w:r>
      <w:proofErr w:type="spellStart"/>
      <w:r w:rsidRPr="00ED0A0A">
        <w:rPr>
          <w:lang w:val="en-US"/>
        </w:rPr>
        <w:t>continué</w:t>
      </w:r>
      <w:proofErr w:type="spellEnd"/>
      <w:r w:rsidRPr="00ED0A0A">
        <w:rPr>
          <w:lang w:val="en-US"/>
        </w:rPr>
        <w:t xml:space="preserve"> Carsten Knobel.</w:t>
      </w:r>
    </w:p>
    <w:bookmarkEnd w:id="18"/>
    <w:p w14:paraId="33E22388" w14:textId="77777777" w:rsidR="00B312F1" w:rsidRDefault="00B312F1">
      <w:pPr>
        <w:spacing w:line="240" w:lineRule="auto"/>
        <w:jc w:val="left"/>
        <w:rPr>
          <w:rFonts w:eastAsia="PMingLiU"/>
          <w:b/>
          <w:bCs/>
          <w:sz w:val="18"/>
          <w:lang w:val="en-US"/>
        </w:rPr>
      </w:pPr>
    </w:p>
    <w:p w14:paraId="2AAD0143" w14:textId="77777777" w:rsidR="00AF650E" w:rsidRPr="004F1EB8" w:rsidRDefault="00AF650E">
      <w:pPr>
        <w:spacing w:line="240" w:lineRule="auto"/>
        <w:jc w:val="left"/>
        <w:rPr>
          <w:rFonts w:eastAsia="PMingLiU"/>
          <w:b/>
          <w:bCs/>
          <w:sz w:val="20"/>
          <w:szCs w:val="28"/>
          <w:lang w:val="en-US"/>
        </w:rPr>
      </w:pPr>
    </w:p>
    <w:p w14:paraId="32D90A78" w14:textId="4FEC243E" w:rsidR="00062741" w:rsidRPr="0093743B" w:rsidRDefault="004F1EB8">
      <w:pPr>
        <w:spacing w:line="240" w:lineRule="auto"/>
        <w:jc w:val="left"/>
        <w:rPr>
          <w:rFonts w:eastAsia="PMingLiU"/>
          <w:b/>
          <w:bCs/>
          <w:szCs w:val="32"/>
          <w:u w:val="single"/>
        </w:rPr>
      </w:pPr>
      <w:hyperlink r:id="rId12" w:history="1">
        <w:r w:rsidRPr="0093743B">
          <w:rPr>
            <w:rStyle w:val="Hyperlink"/>
            <w:rFonts w:eastAsia="PMingLiU"/>
            <w:b/>
            <w:bCs/>
            <w:color w:val="auto"/>
            <w:sz w:val="22"/>
            <w:szCs w:val="32"/>
          </w:rPr>
          <w:t xml:space="preserve">Ce communiqué est une traduction du communiqué </w:t>
        </w:r>
        <w:r w:rsidR="00CF568C" w:rsidRPr="0093743B">
          <w:rPr>
            <w:rStyle w:val="Hyperlink"/>
            <w:rFonts w:eastAsia="PMingLiU"/>
            <w:b/>
            <w:bCs/>
            <w:color w:val="auto"/>
            <w:sz w:val="22"/>
            <w:szCs w:val="32"/>
          </w:rPr>
          <w:t>original</w:t>
        </w:r>
        <w:r w:rsidRPr="0093743B">
          <w:rPr>
            <w:rStyle w:val="Hyperlink"/>
            <w:rFonts w:eastAsia="PMingLiU"/>
            <w:b/>
            <w:bCs/>
            <w:color w:val="auto"/>
            <w:sz w:val="22"/>
            <w:szCs w:val="32"/>
          </w:rPr>
          <w:t xml:space="preserve"> en anglais</w:t>
        </w:r>
      </w:hyperlink>
    </w:p>
    <w:p w14:paraId="3E8FD95F" w14:textId="77777777" w:rsidR="0093743B" w:rsidRDefault="0093743B">
      <w:pPr>
        <w:spacing w:line="240" w:lineRule="auto"/>
        <w:jc w:val="left"/>
        <w:rPr>
          <w:rFonts w:eastAsia="PMingLiU"/>
          <w:b/>
          <w:bCs/>
          <w:szCs w:val="32"/>
          <w:u w:val="single"/>
        </w:rPr>
      </w:pPr>
    </w:p>
    <w:p w14:paraId="2FA9CC68" w14:textId="77777777" w:rsidR="0093743B" w:rsidRPr="004F1EB8" w:rsidRDefault="0093743B">
      <w:pPr>
        <w:spacing w:line="240" w:lineRule="auto"/>
        <w:jc w:val="left"/>
        <w:rPr>
          <w:rFonts w:eastAsia="PMingLiU"/>
          <w:b/>
          <w:bCs/>
          <w:szCs w:val="32"/>
          <w:u w:val="single"/>
        </w:rPr>
      </w:pPr>
    </w:p>
    <w:p w14:paraId="680187D5" w14:textId="77777777" w:rsidR="00292C23" w:rsidRDefault="00292C23" w:rsidP="00292C23">
      <w:pPr>
        <w:rPr>
          <w:b/>
          <w:sz w:val="18"/>
        </w:rPr>
      </w:pPr>
      <w:r>
        <w:rPr>
          <w:b/>
          <w:sz w:val="18"/>
        </w:rPr>
        <w:lastRenderedPageBreak/>
        <w:t>À propos de Henkel</w:t>
      </w:r>
    </w:p>
    <w:p w14:paraId="3F6EA92C" w14:textId="081F82CA" w:rsidR="004F1EB8" w:rsidRPr="004F1EB8" w:rsidRDefault="004F1EB8" w:rsidP="004F1EB8">
      <w:pPr>
        <w:rPr>
          <w:bCs/>
          <w:sz w:val="18"/>
        </w:rPr>
      </w:pPr>
      <w:r w:rsidRPr="004F1EB8">
        <w:rPr>
          <w:bCs/>
          <w:sz w:val="18"/>
        </w:rPr>
        <w:t xml:space="preserve">Grâce à ses marques, ses innovations et ses technologies, Henkel détient des positions mondiales fortes auprès des industriels comme des consommateurs. L’activité </w:t>
      </w:r>
      <w:proofErr w:type="spellStart"/>
      <w:r w:rsidRPr="004F1EB8">
        <w:rPr>
          <w:bCs/>
          <w:sz w:val="18"/>
        </w:rPr>
        <w:t>Adhesive</w:t>
      </w:r>
      <w:proofErr w:type="spellEnd"/>
      <w:r w:rsidRPr="004F1EB8">
        <w:rPr>
          <w:bCs/>
          <w:sz w:val="18"/>
        </w:rPr>
        <w:t xml:space="preserve"> Technologies est leader mondial des adhésifs, des produits d'étanchéité et des revêtements fonctionnels. Avec son activité Consumer Brands, Henkel détient des positions de leader sur de nombreux marchés et catégories dans le monde, en particulier pour les soins des cheveux et pour les lessives et produits d’entretien. Les trois premières marques internationales du Groupe sont </w:t>
      </w:r>
      <w:proofErr w:type="spellStart"/>
      <w:r w:rsidRPr="004F1EB8">
        <w:rPr>
          <w:bCs/>
          <w:sz w:val="18"/>
        </w:rPr>
        <w:t>Loctite</w:t>
      </w:r>
      <w:proofErr w:type="spellEnd"/>
      <w:r w:rsidRPr="004F1EB8">
        <w:rPr>
          <w:bCs/>
          <w:sz w:val="18"/>
        </w:rPr>
        <w:t>, Persil (Le Chat en France) et Schwarzkopf. En 202</w:t>
      </w:r>
      <w:r>
        <w:rPr>
          <w:bCs/>
          <w:sz w:val="18"/>
        </w:rPr>
        <w:t>5</w:t>
      </w:r>
      <w:r w:rsidRPr="004F1EB8">
        <w:rPr>
          <w:bCs/>
          <w:sz w:val="18"/>
        </w:rPr>
        <w:t>, Henkel a réalisé un chiffre d’affaires de p</w:t>
      </w:r>
      <w:r>
        <w:rPr>
          <w:bCs/>
          <w:sz w:val="18"/>
        </w:rPr>
        <w:t xml:space="preserve">rès de 20,5 </w:t>
      </w:r>
      <w:r w:rsidRPr="004F1EB8">
        <w:rPr>
          <w:bCs/>
          <w:sz w:val="18"/>
        </w:rPr>
        <w:t>milliards d’</w:t>
      </w:r>
      <w:r>
        <w:rPr>
          <w:bCs/>
          <w:sz w:val="18"/>
        </w:rPr>
        <w:t>euros</w:t>
      </w:r>
      <w:r w:rsidRPr="004F1EB8">
        <w:rPr>
          <w:bCs/>
          <w:sz w:val="18"/>
        </w:rPr>
        <w:t xml:space="preserve"> et un bénéfice d’exploitation ajusté d’environ 3,</w:t>
      </w:r>
      <w:r>
        <w:rPr>
          <w:bCs/>
          <w:sz w:val="18"/>
        </w:rPr>
        <w:t>0</w:t>
      </w:r>
      <w:r w:rsidRPr="004F1EB8">
        <w:rPr>
          <w:bCs/>
          <w:sz w:val="18"/>
        </w:rPr>
        <w:t xml:space="preserve"> milliards d’euros. Les actions préférentielles Henkel sont listées à l’indice boursier allemand DAX. Le développement durable fait partie intégrante de l’histoire de Henkel et le Groupe a dans ce domaine une stratégie claire avec des objectifs concrets. Fondé en 1876, Henkel s’appuie aujourd’hui sur une équipe empreinte de diversité, de près de 47 000 personnes à travers le monde – unies par une culture forte, des valeurs d’entreprise et une raison d’être partagées : « </w:t>
      </w:r>
      <w:proofErr w:type="spellStart"/>
      <w:r w:rsidRPr="004F1EB8">
        <w:rPr>
          <w:bCs/>
          <w:sz w:val="18"/>
        </w:rPr>
        <w:t>Pioneers</w:t>
      </w:r>
      <w:proofErr w:type="spellEnd"/>
      <w:r w:rsidRPr="004F1EB8">
        <w:rPr>
          <w:bCs/>
          <w:sz w:val="18"/>
        </w:rPr>
        <w:t xml:space="preserve"> at </w:t>
      </w:r>
      <w:proofErr w:type="spellStart"/>
      <w:r w:rsidRPr="004F1EB8">
        <w:rPr>
          <w:bCs/>
          <w:sz w:val="18"/>
        </w:rPr>
        <w:t>heart</w:t>
      </w:r>
      <w:proofErr w:type="spellEnd"/>
      <w:r w:rsidRPr="004F1EB8">
        <w:rPr>
          <w:bCs/>
          <w:sz w:val="18"/>
        </w:rPr>
        <w:t xml:space="preserve"> for the good of </w:t>
      </w:r>
      <w:proofErr w:type="spellStart"/>
      <w:r w:rsidRPr="004F1EB8">
        <w:rPr>
          <w:bCs/>
          <w:sz w:val="18"/>
        </w:rPr>
        <w:t>generations</w:t>
      </w:r>
      <w:proofErr w:type="spellEnd"/>
      <w:r w:rsidRPr="004F1EB8">
        <w:rPr>
          <w:bCs/>
          <w:sz w:val="18"/>
        </w:rPr>
        <w:t xml:space="preserve"> ».  </w:t>
      </w:r>
    </w:p>
    <w:p w14:paraId="25DBBED5" w14:textId="6D40BA57" w:rsidR="00292C23" w:rsidRPr="004F1EB8" w:rsidRDefault="004F1EB8" w:rsidP="00292C23">
      <w:pPr>
        <w:rPr>
          <w:bCs/>
          <w:sz w:val="18"/>
        </w:rPr>
      </w:pPr>
      <w:r w:rsidRPr="004F1EB8">
        <w:rPr>
          <w:bCs/>
          <w:sz w:val="18"/>
        </w:rPr>
        <w:t xml:space="preserve">Pour en savoir plus, rendez-vous sur </w:t>
      </w:r>
      <w:hyperlink r:id="rId13" w:history="1">
        <w:r w:rsidR="00C00325">
          <w:rPr>
            <w:rStyle w:val="Hyperlink"/>
            <w:bCs/>
            <w:szCs w:val="24"/>
          </w:rPr>
          <w:t>http://www.henkel.be</w:t>
        </w:r>
      </w:hyperlink>
    </w:p>
    <w:p w14:paraId="7A34B5B6" w14:textId="77777777" w:rsidR="00292C23" w:rsidRPr="00292C23" w:rsidRDefault="00292C23" w:rsidP="00292C23">
      <w:pPr>
        <w:rPr>
          <w:sz w:val="14"/>
          <w:szCs w:val="14"/>
        </w:rPr>
      </w:pPr>
    </w:p>
    <w:p w14:paraId="532BFA22" w14:textId="77777777" w:rsidR="00292C23" w:rsidRPr="00292C23" w:rsidRDefault="00292C23" w:rsidP="0093743B">
      <w:pPr>
        <w:spacing w:after="160" w:line="240" w:lineRule="auto"/>
        <w:rPr>
          <w:sz w:val="14"/>
          <w:szCs w:val="14"/>
        </w:rPr>
      </w:pPr>
      <w:r>
        <w:rPr>
          <w:sz w:val="14"/>
        </w:rPr>
        <w:t>Ce document contient des déclarations relatives à l’évolution future de l’activité, aux performances financières et à d’autres événements ou évolutions futures pour Henkel qui peuvent constituer des déclarations prévisionnelles. Les déclarations relatives à l'avenir se caractérisent par l'utilisation de termes tels que « s'attendre à », « avoir l'intention de », « planifier », « anticiper », « croire », « estimer » et d'autres termes similaires. Ces déclarations sont basées sur les estimations et les hypothèses actuelles de la direction de Henkel AG &amp; Co. KGaA. Ces déclarations ne doivent pas être interprétées comme garantissant de quelque manière que ce soit que ces attentes se révéleront exactes. Les performances futures et les résultats effectivement obtenus par Henkel AG &amp; Co. KGaA et ses sociétés affiliées dépendent d’un certain nombre de risques et d’incertitudes et peuvent donc différer matériellement (à la fois positivement et négativement) des déclarations prévisionnelles. Beaucoup de ces facteurs sont hors du contrôle de Henkel et ne peuvent être estimés avec précision à l'avance, tels que l'environnement économique futur et les actions des concurrents et autres acteurs du marché. Henkel ne prévoit ni ne s'engage à mettre à jour les déclarations prévisionnelles.</w:t>
      </w:r>
    </w:p>
    <w:p w14:paraId="5927BD4C" w14:textId="77777777" w:rsidR="00292C23" w:rsidRPr="00292C23" w:rsidRDefault="00292C23" w:rsidP="0093743B">
      <w:pPr>
        <w:spacing w:after="160" w:line="240" w:lineRule="auto"/>
        <w:rPr>
          <w:sz w:val="14"/>
          <w:szCs w:val="14"/>
        </w:rPr>
      </w:pPr>
      <w:r>
        <w:rPr>
          <w:sz w:val="14"/>
        </w:rPr>
        <w:t>Ce document comprend des indicateurs financiers supplémentaires qui ne sont pas clairement définis dans le cadre d'information financière applicable et qui sont ou peuvent être des mesures de performance alternatives. Ces indicateurs financiers supplémentaires ne doivent pas être considérés isolément ou comme des alternatives aux mesures de l'actif net et de la position financière de Henkel ou des résultats d'exploitation présentés conformément au cadre d'information financière applicable dans ses états financiers consolidés. D’autres entreprises qui rapportent ou décrivent des mesures de performance alternatives intitulées de manière similaire peuvent les calculer différemment.</w:t>
      </w:r>
    </w:p>
    <w:p w14:paraId="61F28DD5" w14:textId="50D709E4" w:rsidR="004F1EB8" w:rsidRPr="004F1EB8" w:rsidRDefault="00292C23" w:rsidP="0093743B">
      <w:pPr>
        <w:spacing w:after="160" w:line="240" w:lineRule="auto"/>
        <w:rPr>
          <w:sz w:val="14"/>
          <w:szCs w:val="14"/>
        </w:rPr>
      </w:pPr>
      <w:r>
        <w:rPr>
          <w:sz w:val="14"/>
        </w:rPr>
        <w:t>Ce document a été publié à des fins d’information uniquement et n’est pas destiné à constituer un conseil en investissement ou une offre de vente, ou une sollicitation d’une offre d’achat, de titres.</w:t>
      </w:r>
    </w:p>
    <w:p w14:paraId="60CE870C" w14:textId="77777777" w:rsidR="00292C23" w:rsidRPr="00292C23" w:rsidRDefault="00292C23" w:rsidP="00292C23">
      <w:pPr>
        <w:tabs>
          <w:tab w:val="left" w:pos="1080"/>
          <w:tab w:val="left" w:pos="4500"/>
        </w:tabs>
        <w:spacing w:line="264" w:lineRule="auto"/>
        <w:rPr>
          <w:rFonts w:asciiTheme="majorHAnsi" w:hAnsiTheme="majorHAnsi" w:cs="Calibri Light"/>
          <w:b/>
          <w:sz w:val="16"/>
          <w:szCs w:val="16"/>
        </w:rPr>
      </w:pPr>
    </w:p>
    <w:p w14:paraId="6B39B635" w14:textId="77777777" w:rsidR="00C00325" w:rsidRPr="003A7C79" w:rsidRDefault="00C00325" w:rsidP="00C00325">
      <w:pPr>
        <w:spacing w:line="240" w:lineRule="auto"/>
        <w:jc w:val="left"/>
        <w:rPr>
          <w:rFonts w:cs="Calibri Light"/>
          <w:b/>
          <w:sz w:val="18"/>
          <w:szCs w:val="18"/>
        </w:rPr>
      </w:pPr>
      <w:r w:rsidRPr="003A7C79">
        <w:rPr>
          <w:rFonts w:cs="Calibri Light"/>
          <w:b/>
          <w:bCs/>
          <w:sz w:val="18"/>
          <w:szCs w:val="18"/>
          <w:lang w:val="nl"/>
        </w:rPr>
        <w:t>Contact</w:t>
      </w:r>
    </w:p>
    <w:p w14:paraId="20100F9C" w14:textId="77777777" w:rsidR="00C00325" w:rsidRPr="003A7C79" w:rsidRDefault="00C00325" w:rsidP="00C00325">
      <w:pPr>
        <w:tabs>
          <w:tab w:val="left" w:pos="1080"/>
          <w:tab w:val="left" w:pos="4500"/>
        </w:tabs>
        <w:spacing w:line="264" w:lineRule="auto"/>
        <w:rPr>
          <w:rFonts w:cs="Calibri Light"/>
          <w:b/>
          <w:sz w:val="16"/>
          <w:szCs w:val="16"/>
        </w:rPr>
      </w:pPr>
    </w:p>
    <w:p w14:paraId="23338CFE" w14:textId="77777777" w:rsidR="00C00325" w:rsidRPr="003A7C79" w:rsidRDefault="00C00325" w:rsidP="00C00325">
      <w:pPr>
        <w:tabs>
          <w:tab w:val="left" w:pos="1080"/>
          <w:tab w:val="left" w:pos="4500"/>
        </w:tabs>
        <w:spacing w:line="264" w:lineRule="auto"/>
        <w:rPr>
          <w:rFonts w:cs="Calibri Light"/>
          <w:b/>
          <w:sz w:val="18"/>
          <w:szCs w:val="18"/>
        </w:rPr>
      </w:pPr>
      <w:r w:rsidRPr="003A7C79">
        <w:rPr>
          <w:rFonts w:cs="Calibri Light"/>
          <w:b/>
          <w:bCs/>
          <w:sz w:val="18"/>
          <w:szCs w:val="18"/>
          <w:lang w:val="nl"/>
        </w:rPr>
        <w:t>Investors &amp; Analysts</w:t>
      </w:r>
      <w:r w:rsidRPr="003A7C79">
        <w:rPr>
          <w:rFonts w:cs="Calibri Light"/>
          <w:b/>
          <w:bCs/>
          <w:sz w:val="18"/>
          <w:szCs w:val="18"/>
          <w:lang w:val="nl"/>
        </w:rPr>
        <w:tab/>
        <w:t>Press &amp; Media</w:t>
      </w:r>
    </w:p>
    <w:p w14:paraId="0BB4C465" w14:textId="77777777" w:rsidR="00C00325" w:rsidRPr="003A7C79" w:rsidRDefault="00C00325" w:rsidP="00C00325">
      <w:pPr>
        <w:tabs>
          <w:tab w:val="left" w:pos="1080"/>
          <w:tab w:val="left" w:pos="4500"/>
        </w:tabs>
        <w:spacing w:line="264" w:lineRule="auto"/>
        <w:rPr>
          <w:rFonts w:cs="Calibri Light"/>
          <w:b/>
          <w:sz w:val="16"/>
          <w:szCs w:val="16"/>
        </w:rPr>
      </w:pPr>
    </w:p>
    <w:p w14:paraId="30DEFB2F" w14:textId="77777777" w:rsidR="00C00325" w:rsidRPr="003A7C79" w:rsidRDefault="00C00325" w:rsidP="00C00325">
      <w:pPr>
        <w:tabs>
          <w:tab w:val="left" w:pos="1080"/>
          <w:tab w:val="left" w:pos="4500"/>
        </w:tabs>
        <w:spacing w:line="264" w:lineRule="auto"/>
        <w:rPr>
          <w:rFonts w:cs="Calibri Light"/>
          <w:b/>
          <w:sz w:val="18"/>
          <w:szCs w:val="18"/>
        </w:rPr>
      </w:pPr>
      <w:r w:rsidRPr="003A7C79">
        <w:rPr>
          <w:rFonts w:cs="Calibri Light"/>
          <w:b/>
          <w:bCs/>
          <w:sz w:val="18"/>
          <w:szCs w:val="18"/>
          <w:lang w:val="nl"/>
        </w:rPr>
        <w:t>Leslie Iltgen</w:t>
      </w:r>
      <w:r w:rsidRPr="003A7C79">
        <w:rPr>
          <w:rFonts w:cs="Calibri Light"/>
          <w:b/>
          <w:bCs/>
          <w:sz w:val="18"/>
          <w:szCs w:val="18"/>
          <w:lang w:val="nl"/>
        </w:rPr>
        <w:tab/>
      </w:r>
      <w:r w:rsidRPr="003A7C79">
        <w:rPr>
          <w:rFonts w:cs="Calibri Light"/>
          <w:b/>
          <w:bCs/>
          <w:sz w:val="18"/>
          <w:szCs w:val="18"/>
          <w:lang w:val="nl"/>
        </w:rPr>
        <w:tab/>
        <w:t>Lars Witteck</w:t>
      </w:r>
    </w:p>
    <w:p w14:paraId="7556FF28" w14:textId="77777777" w:rsidR="00C00325" w:rsidRPr="003A7C79" w:rsidRDefault="00C00325" w:rsidP="00C00325">
      <w:pPr>
        <w:tabs>
          <w:tab w:val="left" w:pos="709"/>
          <w:tab w:val="left" w:pos="4500"/>
          <w:tab w:val="left" w:pos="5245"/>
        </w:tabs>
        <w:spacing w:line="264" w:lineRule="auto"/>
        <w:rPr>
          <w:rFonts w:cs="Calibri Light"/>
          <w:sz w:val="18"/>
          <w:szCs w:val="18"/>
        </w:rPr>
      </w:pPr>
      <w:r w:rsidRPr="003A7C79">
        <w:rPr>
          <w:rFonts w:cs="Calibri Light"/>
          <w:sz w:val="18"/>
          <w:szCs w:val="18"/>
          <w:lang w:val="nl"/>
        </w:rPr>
        <w:t>Tel.:</w:t>
      </w:r>
      <w:r w:rsidRPr="003A7C79">
        <w:rPr>
          <w:rFonts w:cs="Calibri Light"/>
          <w:sz w:val="18"/>
          <w:szCs w:val="18"/>
          <w:lang w:val="nl"/>
        </w:rPr>
        <w:tab/>
        <w:t>+49 211 797 - 1631</w:t>
      </w:r>
      <w:r w:rsidRPr="003A7C79">
        <w:rPr>
          <w:rFonts w:cs="Calibri Light"/>
          <w:sz w:val="18"/>
          <w:szCs w:val="18"/>
          <w:lang w:val="nl"/>
        </w:rPr>
        <w:tab/>
        <w:t>Tel.:</w:t>
      </w:r>
      <w:r w:rsidRPr="003A7C79">
        <w:rPr>
          <w:rFonts w:cs="Calibri Light"/>
          <w:sz w:val="18"/>
          <w:szCs w:val="18"/>
          <w:lang w:val="nl"/>
        </w:rPr>
        <w:tab/>
        <w:t>+49 211 797 - 2606</w:t>
      </w:r>
    </w:p>
    <w:p w14:paraId="25878D81" w14:textId="77777777" w:rsidR="00C00325" w:rsidRPr="003A7C79" w:rsidRDefault="00C00325" w:rsidP="00C00325">
      <w:pPr>
        <w:tabs>
          <w:tab w:val="left" w:pos="709"/>
          <w:tab w:val="left" w:pos="4500"/>
          <w:tab w:val="left" w:pos="5245"/>
        </w:tabs>
        <w:spacing w:line="264" w:lineRule="auto"/>
        <w:rPr>
          <w:rFonts w:cs="Calibri Light"/>
          <w:sz w:val="18"/>
          <w:szCs w:val="18"/>
        </w:rPr>
      </w:pPr>
      <w:r w:rsidRPr="003A7C79">
        <w:rPr>
          <w:rFonts w:cs="Calibri Light"/>
          <w:sz w:val="18"/>
          <w:szCs w:val="18"/>
          <w:lang w:val="nl"/>
        </w:rPr>
        <w:t xml:space="preserve">E-mail: </w:t>
      </w:r>
      <w:r w:rsidRPr="003A7C79">
        <w:rPr>
          <w:rFonts w:cs="Calibri Light"/>
          <w:sz w:val="18"/>
          <w:szCs w:val="18"/>
          <w:lang w:val="nl"/>
        </w:rPr>
        <w:tab/>
      </w:r>
      <w:hyperlink r:id="rId14" w:history="1">
        <w:r w:rsidRPr="003A7C79">
          <w:rPr>
            <w:rFonts w:cs="Calibri Light"/>
            <w:color w:val="0000FF"/>
            <w:sz w:val="18"/>
            <w:szCs w:val="18"/>
            <w:u w:val="single"/>
            <w:lang w:val="nl"/>
          </w:rPr>
          <w:t>leslie.iltgen@henkel.com</w:t>
        </w:r>
      </w:hyperlink>
      <w:r w:rsidRPr="003A7C79">
        <w:rPr>
          <w:rFonts w:cs="Calibri Light"/>
          <w:sz w:val="18"/>
          <w:szCs w:val="18"/>
          <w:lang w:val="nl"/>
        </w:rPr>
        <w:tab/>
        <w:t>E-mail:</w:t>
      </w:r>
      <w:r w:rsidRPr="003A7C79">
        <w:rPr>
          <w:rFonts w:cs="Calibri Light"/>
          <w:sz w:val="18"/>
          <w:szCs w:val="18"/>
          <w:lang w:val="nl"/>
        </w:rPr>
        <w:tab/>
      </w:r>
      <w:hyperlink r:id="rId15" w:history="1">
        <w:r w:rsidRPr="003A7C79">
          <w:rPr>
            <w:rFonts w:cs="Calibri Light"/>
            <w:color w:val="0000FF"/>
            <w:sz w:val="18"/>
            <w:szCs w:val="18"/>
            <w:u w:val="single"/>
            <w:lang w:val="nl"/>
          </w:rPr>
          <w:t>lars.witteck@henkel.com</w:t>
        </w:r>
      </w:hyperlink>
    </w:p>
    <w:p w14:paraId="5C4C5DF6" w14:textId="77777777" w:rsidR="00C00325" w:rsidRPr="003A7C79" w:rsidRDefault="00C00325" w:rsidP="00C00325">
      <w:pPr>
        <w:tabs>
          <w:tab w:val="left" w:pos="1080"/>
          <w:tab w:val="left" w:pos="4500"/>
        </w:tabs>
        <w:spacing w:line="264" w:lineRule="auto"/>
        <w:rPr>
          <w:rFonts w:cs="Calibri Light"/>
          <w:sz w:val="16"/>
          <w:szCs w:val="16"/>
        </w:rPr>
      </w:pPr>
    </w:p>
    <w:p w14:paraId="78BD86DF" w14:textId="77777777" w:rsidR="00C00325" w:rsidRPr="003A7C79" w:rsidRDefault="00C00325" w:rsidP="00C00325">
      <w:pPr>
        <w:tabs>
          <w:tab w:val="left" w:pos="1080"/>
          <w:tab w:val="left" w:pos="4500"/>
        </w:tabs>
        <w:spacing w:line="264" w:lineRule="auto"/>
        <w:rPr>
          <w:rFonts w:cs="Calibri Light"/>
          <w:sz w:val="18"/>
          <w:szCs w:val="18"/>
        </w:rPr>
      </w:pPr>
      <w:r w:rsidRPr="003A7C79">
        <w:rPr>
          <w:rFonts w:cs="Calibri Light"/>
          <w:b/>
          <w:bCs/>
          <w:sz w:val="18"/>
          <w:szCs w:val="18"/>
          <w:lang w:val="nl"/>
        </w:rPr>
        <w:t>Dr. Dennis Starke</w:t>
      </w:r>
      <w:r w:rsidRPr="003A7C79">
        <w:rPr>
          <w:rFonts w:cs="Calibri Light"/>
          <w:b/>
          <w:bCs/>
          <w:sz w:val="18"/>
          <w:szCs w:val="18"/>
          <w:lang w:val="nl"/>
        </w:rPr>
        <w:tab/>
        <w:t>Wulf Klüppelholz</w:t>
      </w:r>
    </w:p>
    <w:p w14:paraId="19EC176B" w14:textId="77777777" w:rsidR="00C00325" w:rsidRPr="003A7C79" w:rsidRDefault="00C00325" w:rsidP="00C00325">
      <w:pPr>
        <w:tabs>
          <w:tab w:val="left" w:pos="709"/>
          <w:tab w:val="left" w:pos="4500"/>
          <w:tab w:val="left" w:pos="5245"/>
        </w:tabs>
        <w:spacing w:line="264" w:lineRule="auto"/>
        <w:rPr>
          <w:rFonts w:cs="Calibri Light"/>
          <w:sz w:val="18"/>
          <w:szCs w:val="18"/>
        </w:rPr>
      </w:pPr>
      <w:r w:rsidRPr="003A7C79">
        <w:rPr>
          <w:rFonts w:cs="Calibri Light"/>
          <w:sz w:val="18"/>
          <w:szCs w:val="18"/>
          <w:lang w:val="nl"/>
        </w:rPr>
        <w:t>Tel.:</w:t>
      </w:r>
      <w:r w:rsidRPr="003A7C79">
        <w:rPr>
          <w:rFonts w:cs="Calibri Light"/>
          <w:sz w:val="18"/>
          <w:szCs w:val="18"/>
          <w:lang w:val="nl"/>
        </w:rPr>
        <w:tab/>
        <w:t>+49 211 797 - 5601</w:t>
      </w:r>
      <w:r w:rsidRPr="003A7C79">
        <w:rPr>
          <w:rFonts w:cs="Calibri Light"/>
          <w:sz w:val="18"/>
          <w:szCs w:val="18"/>
          <w:lang w:val="nl"/>
        </w:rPr>
        <w:tab/>
        <w:t>Tel.:</w:t>
      </w:r>
      <w:r w:rsidRPr="003A7C79">
        <w:rPr>
          <w:rFonts w:cs="Calibri Light"/>
          <w:sz w:val="18"/>
          <w:szCs w:val="18"/>
          <w:lang w:val="nl"/>
        </w:rPr>
        <w:tab/>
        <w:t>+49 211 797 - 1875</w:t>
      </w:r>
    </w:p>
    <w:p w14:paraId="114B27D6" w14:textId="77777777" w:rsidR="00C00325" w:rsidRPr="003A7C79" w:rsidRDefault="00C00325" w:rsidP="00C00325">
      <w:pPr>
        <w:tabs>
          <w:tab w:val="left" w:pos="709"/>
          <w:tab w:val="left" w:pos="4500"/>
          <w:tab w:val="left" w:pos="5245"/>
        </w:tabs>
        <w:spacing w:line="264" w:lineRule="auto"/>
        <w:rPr>
          <w:rFonts w:cs="Calibri Light"/>
          <w:sz w:val="18"/>
          <w:szCs w:val="18"/>
        </w:rPr>
      </w:pPr>
      <w:r w:rsidRPr="003A7C79">
        <w:rPr>
          <w:rFonts w:cs="Calibri Light"/>
          <w:sz w:val="18"/>
          <w:szCs w:val="18"/>
          <w:lang w:val="nl"/>
        </w:rPr>
        <w:t xml:space="preserve">E-mail: </w:t>
      </w:r>
      <w:r w:rsidRPr="003A7C79">
        <w:rPr>
          <w:rFonts w:cs="Calibri Light"/>
          <w:sz w:val="18"/>
          <w:szCs w:val="18"/>
          <w:lang w:val="nl"/>
        </w:rPr>
        <w:tab/>
      </w:r>
      <w:hyperlink r:id="rId16" w:history="1">
        <w:r w:rsidRPr="003A7C79">
          <w:rPr>
            <w:rFonts w:cs="Calibri Light"/>
            <w:color w:val="0000FF"/>
            <w:sz w:val="18"/>
            <w:szCs w:val="18"/>
            <w:u w:val="single"/>
            <w:lang w:val="nl"/>
          </w:rPr>
          <w:t>dennis.starke@henkel.com</w:t>
        </w:r>
      </w:hyperlink>
      <w:r w:rsidRPr="003A7C79">
        <w:rPr>
          <w:rFonts w:cs="Calibri Light"/>
          <w:sz w:val="18"/>
          <w:szCs w:val="18"/>
          <w:lang w:val="nl"/>
        </w:rPr>
        <w:tab/>
        <w:t>E-mail:</w:t>
      </w:r>
      <w:r w:rsidRPr="003A7C79">
        <w:rPr>
          <w:rFonts w:cs="Calibri Light"/>
          <w:sz w:val="18"/>
          <w:szCs w:val="18"/>
          <w:lang w:val="nl"/>
        </w:rPr>
        <w:tab/>
      </w:r>
      <w:hyperlink r:id="rId17" w:history="1">
        <w:r w:rsidRPr="003A7C79">
          <w:rPr>
            <w:rFonts w:cs="Calibri Light"/>
            <w:color w:val="0000FF"/>
            <w:sz w:val="18"/>
            <w:szCs w:val="18"/>
            <w:u w:val="single"/>
            <w:lang w:val="nl"/>
          </w:rPr>
          <w:t>wulf.klueppelholz@henkel.com</w:t>
        </w:r>
      </w:hyperlink>
    </w:p>
    <w:p w14:paraId="0B43E68E" w14:textId="77777777" w:rsidR="00C00325" w:rsidRPr="003A7C79" w:rsidRDefault="00C00325" w:rsidP="00C00325">
      <w:pPr>
        <w:tabs>
          <w:tab w:val="left" w:pos="1080"/>
          <w:tab w:val="left" w:pos="4500"/>
        </w:tabs>
        <w:spacing w:line="264" w:lineRule="auto"/>
        <w:rPr>
          <w:rFonts w:cs="Calibri Light"/>
          <w:sz w:val="16"/>
          <w:szCs w:val="16"/>
        </w:rPr>
      </w:pPr>
    </w:p>
    <w:p w14:paraId="46F096B3" w14:textId="77777777" w:rsidR="00C00325" w:rsidRPr="003A7C79" w:rsidRDefault="00C00325" w:rsidP="00C00325">
      <w:pPr>
        <w:tabs>
          <w:tab w:val="left" w:pos="709"/>
          <w:tab w:val="left" w:pos="4500"/>
          <w:tab w:val="left" w:pos="5245"/>
        </w:tabs>
        <w:spacing w:line="264" w:lineRule="auto"/>
        <w:rPr>
          <w:rFonts w:eastAsia="PMingLiU" w:cs="Calibri Light"/>
          <w:b/>
          <w:bCs/>
          <w:sz w:val="18"/>
          <w:szCs w:val="18"/>
        </w:rPr>
      </w:pPr>
      <w:r w:rsidRPr="003A7C79">
        <w:rPr>
          <w:b/>
          <w:bCs/>
          <w:sz w:val="18"/>
          <w:szCs w:val="18"/>
          <w:lang w:val="nl"/>
        </w:rPr>
        <w:t>Dr. Sascha Kieback</w:t>
      </w:r>
      <w:r w:rsidRPr="003A7C79">
        <w:rPr>
          <w:b/>
          <w:bCs/>
          <w:sz w:val="18"/>
          <w:szCs w:val="18"/>
          <w:lang w:val="nl"/>
        </w:rPr>
        <w:tab/>
        <w:t>Hanna Philipps</w:t>
      </w:r>
    </w:p>
    <w:p w14:paraId="16D224F3" w14:textId="77777777" w:rsidR="00C00325" w:rsidRPr="003A7C79" w:rsidRDefault="00C00325" w:rsidP="00C00325">
      <w:pPr>
        <w:tabs>
          <w:tab w:val="left" w:pos="709"/>
          <w:tab w:val="left" w:pos="4500"/>
          <w:tab w:val="left" w:pos="5245"/>
        </w:tabs>
        <w:spacing w:line="264" w:lineRule="auto"/>
        <w:rPr>
          <w:rFonts w:eastAsia="PMingLiU" w:cs="Calibri Light"/>
          <w:sz w:val="18"/>
          <w:szCs w:val="18"/>
        </w:rPr>
      </w:pPr>
      <w:r w:rsidRPr="003A7C79">
        <w:rPr>
          <w:sz w:val="18"/>
          <w:lang w:val="nl"/>
        </w:rPr>
        <w:t xml:space="preserve">Tel.: </w:t>
      </w:r>
      <w:r w:rsidRPr="003A7C79">
        <w:rPr>
          <w:sz w:val="18"/>
          <w:lang w:val="nl"/>
        </w:rPr>
        <w:tab/>
        <w:t>+49 211 797 - 1810</w:t>
      </w:r>
      <w:r w:rsidRPr="003A7C79">
        <w:rPr>
          <w:sz w:val="18"/>
          <w:lang w:val="nl"/>
        </w:rPr>
        <w:tab/>
        <w:t>Tel.:</w:t>
      </w:r>
      <w:r w:rsidRPr="003A7C79">
        <w:rPr>
          <w:sz w:val="18"/>
          <w:lang w:val="nl"/>
        </w:rPr>
        <w:tab/>
        <w:t>+49 211 797 - 3626</w:t>
      </w:r>
    </w:p>
    <w:p w14:paraId="16E0428A" w14:textId="77777777" w:rsidR="00C00325" w:rsidRPr="003A7C79" w:rsidRDefault="00C00325" w:rsidP="00C00325">
      <w:pPr>
        <w:tabs>
          <w:tab w:val="left" w:pos="709"/>
          <w:tab w:val="left" w:pos="4500"/>
          <w:tab w:val="left" w:pos="5245"/>
        </w:tabs>
        <w:spacing w:line="264" w:lineRule="auto"/>
        <w:rPr>
          <w:rFonts w:eastAsia="PMingLiU" w:cs="Calibri Light"/>
        </w:rPr>
      </w:pPr>
      <w:r w:rsidRPr="003A7C79">
        <w:rPr>
          <w:rFonts w:eastAsia="PMingLiU" w:cs="Calibri Light"/>
          <w:sz w:val="18"/>
          <w:lang w:val="nl"/>
        </w:rPr>
        <w:t xml:space="preserve">E-mail: </w:t>
      </w:r>
      <w:r>
        <w:rPr>
          <w:lang w:val="nl"/>
        </w:rPr>
        <w:tab/>
      </w:r>
      <w:hyperlink r:id="rId18">
        <w:r w:rsidRPr="003A7C79">
          <w:rPr>
            <w:rFonts w:eastAsia="PMingLiU" w:cs="Calibri Light"/>
            <w:color w:val="0000FF"/>
            <w:sz w:val="18"/>
            <w:szCs w:val="18"/>
            <w:u w:val="single"/>
            <w:lang w:val="nl"/>
          </w:rPr>
          <w:t>sascha.kieback@henkel.com</w:t>
        </w:r>
      </w:hyperlink>
      <w:r>
        <w:rPr>
          <w:lang w:val="nl"/>
        </w:rPr>
        <w:tab/>
      </w:r>
      <w:r w:rsidRPr="003A7C79">
        <w:rPr>
          <w:rFonts w:eastAsia="PMingLiU" w:cs="Calibri Light"/>
          <w:sz w:val="18"/>
          <w:lang w:val="nl"/>
        </w:rPr>
        <w:t>E-mail:</w:t>
      </w:r>
      <w:r>
        <w:rPr>
          <w:lang w:val="nl"/>
        </w:rPr>
        <w:tab/>
      </w:r>
      <w:hyperlink r:id="rId19" w:history="1">
        <w:r w:rsidRPr="003A7C79">
          <w:rPr>
            <w:rStyle w:val="Hyperlink"/>
            <w:rFonts w:eastAsia="PMingLiU" w:cs="Calibri Light"/>
            <w:lang w:val="nl"/>
          </w:rPr>
          <w:t>hanna.philipps@henkel.com</w:t>
        </w:r>
      </w:hyperlink>
    </w:p>
    <w:p w14:paraId="34656DD1" w14:textId="77777777" w:rsidR="00C00325" w:rsidRPr="003A7C79" w:rsidRDefault="00C00325" w:rsidP="00C00325">
      <w:pPr>
        <w:tabs>
          <w:tab w:val="left" w:pos="709"/>
          <w:tab w:val="left" w:pos="4500"/>
          <w:tab w:val="left" w:pos="5245"/>
        </w:tabs>
        <w:spacing w:line="264" w:lineRule="auto"/>
        <w:rPr>
          <w:rFonts w:cs="Calibri Light"/>
          <w:sz w:val="16"/>
          <w:szCs w:val="16"/>
        </w:rPr>
      </w:pPr>
    </w:p>
    <w:p w14:paraId="3232C1EB" w14:textId="77777777" w:rsidR="00C00325" w:rsidRPr="00292C23" w:rsidRDefault="00C00325" w:rsidP="00C00325">
      <w:pPr>
        <w:tabs>
          <w:tab w:val="left" w:pos="1080"/>
          <w:tab w:val="left" w:pos="4500"/>
        </w:tabs>
        <w:spacing w:line="264" w:lineRule="auto"/>
      </w:pPr>
      <w:hyperlink r:id="rId20" w:history="1">
        <w:r w:rsidRPr="003A7C79">
          <w:rPr>
            <w:rFonts w:cs="Calibri Light"/>
            <w:color w:val="0000FF"/>
            <w:sz w:val="18"/>
            <w:szCs w:val="18"/>
            <w:u w:val="single"/>
            <w:lang w:val="nl"/>
          </w:rPr>
          <w:t>www.henkel.com/press</w:t>
        </w:r>
      </w:hyperlink>
    </w:p>
    <w:p w14:paraId="23552B25" w14:textId="604629CA" w:rsidR="00A15D78" w:rsidRPr="00292C23" w:rsidRDefault="00C00325" w:rsidP="00C00325">
      <w:pPr>
        <w:tabs>
          <w:tab w:val="left" w:pos="1080"/>
          <w:tab w:val="left" w:pos="4500"/>
        </w:tabs>
        <w:spacing w:line="264" w:lineRule="auto"/>
        <w:rPr>
          <w:rStyle w:val="Hyperlink"/>
        </w:rPr>
      </w:pPr>
      <w:hyperlink r:id="rId21" w:history="1">
        <w:r w:rsidRPr="003A7C79">
          <w:rPr>
            <w:rFonts w:cs="Calibri Light"/>
            <w:color w:val="0000FF"/>
            <w:sz w:val="18"/>
            <w:szCs w:val="18"/>
            <w:u w:val="single"/>
            <w:lang w:val="nl"/>
          </w:rPr>
          <w:t>www.henkel.com/ir</w:t>
        </w:r>
      </w:hyperlink>
    </w:p>
    <w:sectPr w:rsidR="00A15D78" w:rsidRPr="00292C23" w:rsidSect="00C65957">
      <w:headerReference w:type="even" r:id="rId22"/>
      <w:footerReference w:type="default" r:id="rId23"/>
      <w:headerReference w:type="first" r:id="rId24"/>
      <w:footerReference w:type="first" r:id="rId25"/>
      <w:pgSz w:w="11907" w:h="16840" w:code="9"/>
      <w:pgMar w:top="1944" w:right="1411" w:bottom="1843"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CFA7D" w14:textId="77777777" w:rsidR="004B35C8" w:rsidRDefault="004B35C8">
      <w:r>
        <w:separator/>
      </w:r>
    </w:p>
  </w:endnote>
  <w:endnote w:type="continuationSeparator" w:id="0">
    <w:p w14:paraId="7CE5D3FA" w14:textId="77777777" w:rsidR="004B35C8" w:rsidRDefault="004B35C8">
      <w:r>
        <w:continuationSeparator/>
      </w:r>
    </w:p>
  </w:endnote>
  <w:endnote w:type="continuationNotice" w:id="1">
    <w:p w14:paraId="2124A1F0" w14:textId="77777777" w:rsidR="004B35C8" w:rsidRDefault="004B35C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altName w:val="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10C9" w14:textId="374CEDE3" w:rsidR="00CF6F33" w:rsidRPr="00112A28" w:rsidRDefault="00112A28" w:rsidP="00112A28">
    <w:pPr>
      <w:pStyle w:val="Footer"/>
      <w:tabs>
        <w:tab w:val="clear" w:pos="7083"/>
        <w:tab w:val="clear" w:pos="8640"/>
        <w:tab w:val="right" w:pos="9071"/>
      </w:tabs>
      <w:jc w:val="both"/>
    </w:pPr>
    <w:r>
      <w:t>Henkel AG &amp; Co. KGaA</w:t>
    </w:r>
    <w:r>
      <w:tab/>
      <w:t xml:space="preserve">Page </w:t>
    </w:r>
    <w:r w:rsidRPr="00BF6E82">
      <w:fldChar w:fldCharType="begin"/>
    </w:r>
    <w:r w:rsidRPr="00BF6E82">
      <w:instrText xml:space="preserve"> PAGE  \* Arabic  \* MERGEFORMAT </w:instrText>
    </w:r>
    <w:r w:rsidRPr="00BF6E82">
      <w:fldChar w:fldCharType="separate"/>
    </w:r>
    <w:r>
      <w:t>2</w:t>
    </w:r>
    <w:r w:rsidRPr="00BF6E82">
      <w:fldChar w:fldCharType="end"/>
    </w:r>
    <w:r>
      <w:t>/</w:t>
    </w:r>
    <w:fldSimple w:instr="NUMPAGES  \* Arabic  \* MERGEFORMAT">
      <w: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A058E" w14:textId="0415A1A3" w:rsidR="00CF6F33" w:rsidRPr="00992A11" w:rsidRDefault="006D006A" w:rsidP="00992A11">
    <w:pPr>
      <w:pStyle w:val="Footer"/>
    </w:pPr>
    <w:r>
      <w:t xml:space="preserve">Page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451D" w14:textId="77777777" w:rsidR="004B35C8" w:rsidRDefault="004B35C8">
      <w:r>
        <w:separator/>
      </w:r>
    </w:p>
  </w:footnote>
  <w:footnote w:type="continuationSeparator" w:id="0">
    <w:p w14:paraId="0A1C982C" w14:textId="77777777" w:rsidR="004B35C8" w:rsidRDefault="004B35C8">
      <w:r>
        <w:continuationSeparator/>
      </w:r>
    </w:p>
  </w:footnote>
  <w:footnote w:type="continuationNotice" w:id="1">
    <w:p w14:paraId="43AEAEE0" w14:textId="77777777" w:rsidR="004B35C8" w:rsidRDefault="004B35C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CE39" w14:textId="77777777" w:rsidR="00112A28" w:rsidRDefault="00112A28" w:rsidP="00112A28">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86010" w14:textId="05DAD93D" w:rsidR="00CF6F33" w:rsidRPr="00EB46D9" w:rsidRDefault="0059722C" w:rsidP="00EB46D9">
    <w:pPr>
      <w:pStyle w:val="Header"/>
    </w:pPr>
    <w:r>
      <w:rPr>
        <w:noProof/>
      </w:rPr>
      <w:drawing>
        <wp:anchor distT="0" distB="0" distL="114300" distR="114300" simplePos="0" relativeHeight="251658241" behindDoc="0" locked="1" layoutInCell="1" allowOverlap="1" wp14:anchorId="5559ED3E" wp14:editId="20ECCE45">
          <wp:simplePos x="0" y="0"/>
          <wp:positionH relativeFrom="margin">
            <wp:posOffset>5036820</wp:posOffset>
          </wp:positionH>
          <wp:positionV relativeFrom="margin">
            <wp:posOffset>-1478915</wp:posOffset>
          </wp:positionV>
          <wp:extent cx="1051560" cy="603250"/>
          <wp:effectExtent l="0" t="0" r="0" b="6350"/>
          <wp:wrapNone/>
          <wp:docPr id="1653066876" name="Grafik 1653066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0" locked="0" layoutInCell="1" allowOverlap="1" wp14:anchorId="76D561A9" wp14:editId="7310849B">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5C8350C8" id="Group 16" o:spid="_x0000_s1026" style="position:absolute;margin-left:14.2pt;margin-top:297.7pt;width:14.15pt;height:297.65pt;z-index:251658240;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t>Communiqué de presse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3F4B6752"/>
    <w:multiLevelType w:val="hybridMultilevel"/>
    <w:tmpl w:val="1DAEF754"/>
    <w:lvl w:ilvl="0" w:tplc="36002C28">
      <w:start w:val="1"/>
      <w:numFmt w:val="bullet"/>
      <w:lvlText w:val=""/>
      <w:lvlJc w:val="left"/>
      <w:pPr>
        <w:ind w:left="360" w:hanging="360"/>
      </w:pPr>
      <w:rPr>
        <w:rFonts w:ascii="Wingdings" w:hAnsi="Wingdings" w:hint="default"/>
        <w:color w:val="E1000F"/>
        <w:sz w:val="24"/>
        <w:szCs w:val="24"/>
      </w:rPr>
    </w:lvl>
    <w:lvl w:ilvl="1" w:tplc="645A6B9C">
      <w:numFmt w:val="bullet"/>
      <w:lvlText w:val="-"/>
      <w:lvlJc w:val="left"/>
      <w:pPr>
        <w:ind w:left="1080" w:hanging="360"/>
      </w:pPr>
      <w:rPr>
        <w:rFonts w:ascii="Arial" w:hAnsi="Arial" w:hint="default"/>
        <w:color w:val="FF0000"/>
      </w:rPr>
    </w:lvl>
    <w:lvl w:ilvl="2" w:tplc="04070005" w:tentative="1">
      <w:start w:val="1"/>
      <w:numFmt w:val="bullet"/>
      <w:lvlText w:val=""/>
      <w:lvlJc w:val="left"/>
      <w:pPr>
        <w:ind w:left="1800" w:hanging="360"/>
      </w:pPr>
      <w:rPr>
        <w:rFonts w:ascii="Wingdings" w:hAnsi="Wingdings" w:cs="Wingdings" w:hint="default"/>
      </w:rPr>
    </w:lvl>
    <w:lvl w:ilvl="3" w:tplc="04070001" w:tentative="1">
      <w:start w:val="1"/>
      <w:numFmt w:val="bullet"/>
      <w:lvlText w:val=""/>
      <w:lvlJc w:val="left"/>
      <w:pPr>
        <w:ind w:left="2520" w:hanging="360"/>
      </w:pPr>
      <w:rPr>
        <w:rFonts w:ascii="Symbol" w:hAnsi="Symbol" w:cs="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cs="Wingdings" w:hint="default"/>
      </w:rPr>
    </w:lvl>
    <w:lvl w:ilvl="6" w:tplc="04070001" w:tentative="1">
      <w:start w:val="1"/>
      <w:numFmt w:val="bullet"/>
      <w:lvlText w:val=""/>
      <w:lvlJc w:val="left"/>
      <w:pPr>
        <w:ind w:left="4680" w:hanging="360"/>
      </w:pPr>
      <w:rPr>
        <w:rFonts w:ascii="Symbol" w:hAnsi="Symbol" w:cs="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cs="Wingdings" w:hint="default"/>
      </w:rPr>
    </w:lvl>
  </w:abstractNum>
  <w:abstractNum w:abstractNumId="4"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BB6FB3"/>
    <w:multiLevelType w:val="hybridMultilevel"/>
    <w:tmpl w:val="FD7E88F4"/>
    <w:lvl w:ilvl="0" w:tplc="A86EF76C">
      <w:start w:val="1"/>
      <w:numFmt w:val="bullet"/>
      <w:lvlText w:val=""/>
      <w:lvlJc w:val="left"/>
      <w:pPr>
        <w:ind w:left="720" w:hanging="360"/>
      </w:pPr>
      <w:rPr>
        <w:rFonts w:ascii="Wingdings" w:hAnsi="Wingdings" w:hint="default"/>
        <w:color w:val="E1000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1322993">
    <w:abstractNumId w:val="1"/>
  </w:num>
  <w:num w:numId="2" w16cid:durableId="165293174">
    <w:abstractNumId w:val="0"/>
  </w:num>
  <w:num w:numId="3" w16cid:durableId="1508134485">
    <w:abstractNumId w:val="7"/>
  </w:num>
  <w:num w:numId="4" w16cid:durableId="1234970366">
    <w:abstractNumId w:val="4"/>
  </w:num>
  <w:num w:numId="5" w16cid:durableId="1008554684">
    <w:abstractNumId w:val="2"/>
  </w:num>
  <w:num w:numId="6" w16cid:durableId="933825870">
    <w:abstractNumId w:val="5"/>
  </w:num>
  <w:num w:numId="7" w16cid:durableId="912852597">
    <w:abstractNumId w:val="3"/>
  </w:num>
  <w:num w:numId="8" w16cid:durableId="16256985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33451C"/>
    <w:rsid w:val="00000839"/>
    <w:rsid w:val="00002AA4"/>
    <w:rsid w:val="00005267"/>
    <w:rsid w:val="00005415"/>
    <w:rsid w:val="00006346"/>
    <w:rsid w:val="000069EB"/>
    <w:rsid w:val="00006A45"/>
    <w:rsid w:val="00007410"/>
    <w:rsid w:val="00011DDB"/>
    <w:rsid w:val="00013644"/>
    <w:rsid w:val="00014FC1"/>
    <w:rsid w:val="00016137"/>
    <w:rsid w:val="00017389"/>
    <w:rsid w:val="00020DC3"/>
    <w:rsid w:val="00021C67"/>
    <w:rsid w:val="00024147"/>
    <w:rsid w:val="00024483"/>
    <w:rsid w:val="000256A9"/>
    <w:rsid w:val="00026EEE"/>
    <w:rsid w:val="000301F0"/>
    <w:rsid w:val="00030557"/>
    <w:rsid w:val="00030701"/>
    <w:rsid w:val="00030F51"/>
    <w:rsid w:val="000343EB"/>
    <w:rsid w:val="00035A84"/>
    <w:rsid w:val="0003650E"/>
    <w:rsid w:val="00037396"/>
    <w:rsid w:val="000378F9"/>
    <w:rsid w:val="00037D04"/>
    <w:rsid w:val="00040816"/>
    <w:rsid w:val="00040CC9"/>
    <w:rsid w:val="00041F81"/>
    <w:rsid w:val="000425ED"/>
    <w:rsid w:val="00045CCB"/>
    <w:rsid w:val="000471D0"/>
    <w:rsid w:val="000510FC"/>
    <w:rsid w:val="00051555"/>
    <w:rsid w:val="000517E2"/>
    <w:rsid w:val="00051E86"/>
    <w:rsid w:val="00054AFE"/>
    <w:rsid w:val="0005544E"/>
    <w:rsid w:val="00055CE4"/>
    <w:rsid w:val="000575F9"/>
    <w:rsid w:val="000618FC"/>
    <w:rsid w:val="00062741"/>
    <w:rsid w:val="0006442E"/>
    <w:rsid w:val="00065466"/>
    <w:rsid w:val="000665F3"/>
    <w:rsid w:val="00066A9C"/>
    <w:rsid w:val="00067071"/>
    <w:rsid w:val="00067F67"/>
    <w:rsid w:val="00070652"/>
    <w:rsid w:val="00070757"/>
    <w:rsid w:val="00071284"/>
    <w:rsid w:val="0007275A"/>
    <w:rsid w:val="00073AED"/>
    <w:rsid w:val="000751A7"/>
    <w:rsid w:val="0007746E"/>
    <w:rsid w:val="00077AF9"/>
    <w:rsid w:val="00080D10"/>
    <w:rsid w:val="00081241"/>
    <w:rsid w:val="00081692"/>
    <w:rsid w:val="000818B6"/>
    <w:rsid w:val="00081EF8"/>
    <w:rsid w:val="00082417"/>
    <w:rsid w:val="0008357F"/>
    <w:rsid w:val="00083A35"/>
    <w:rsid w:val="00083A61"/>
    <w:rsid w:val="00083DAB"/>
    <w:rsid w:val="0008406B"/>
    <w:rsid w:val="00084918"/>
    <w:rsid w:val="00090DB6"/>
    <w:rsid w:val="00090E73"/>
    <w:rsid w:val="00091F11"/>
    <w:rsid w:val="00092511"/>
    <w:rsid w:val="00093255"/>
    <w:rsid w:val="00094235"/>
    <w:rsid w:val="00096AD4"/>
    <w:rsid w:val="000979FE"/>
    <w:rsid w:val="000A0598"/>
    <w:rsid w:val="000A05E0"/>
    <w:rsid w:val="000A06FB"/>
    <w:rsid w:val="000A31D3"/>
    <w:rsid w:val="000A50CF"/>
    <w:rsid w:val="000A511E"/>
    <w:rsid w:val="000A64B3"/>
    <w:rsid w:val="000A6C25"/>
    <w:rsid w:val="000B005C"/>
    <w:rsid w:val="000B10DE"/>
    <w:rsid w:val="000B2E86"/>
    <w:rsid w:val="000B576C"/>
    <w:rsid w:val="000B5D2F"/>
    <w:rsid w:val="000B5E32"/>
    <w:rsid w:val="000B6244"/>
    <w:rsid w:val="000B695A"/>
    <w:rsid w:val="000B6EF1"/>
    <w:rsid w:val="000B72A8"/>
    <w:rsid w:val="000C0715"/>
    <w:rsid w:val="000C1254"/>
    <w:rsid w:val="000C210A"/>
    <w:rsid w:val="000C27E5"/>
    <w:rsid w:val="000C30D6"/>
    <w:rsid w:val="000C47D1"/>
    <w:rsid w:val="000C50A1"/>
    <w:rsid w:val="000C56DD"/>
    <w:rsid w:val="000C63F4"/>
    <w:rsid w:val="000D11CB"/>
    <w:rsid w:val="000D14C4"/>
    <w:rsid w:val="000D1672"/>
    <w:rsid w:val="000D178A"/>
    <w:rsid w:val="000D18CE"/>
    <w:rsid w:val="000D40C6"/>
    <w:rsid w:val="000D6C67"/>
    <w:rsid w:val="000E0CAB"/>
    <w:rsid w:val="000E1B84"/>
    <w:rsid w:val="000E21E4"/>
    <w:rsid w:val="000E2F62"/>
    <w:rsid w:val="000E38ED"/>
    <w:rsid w:val="000E45C7"/>
    <w:rsid w:val="000E67D5"/>
    <w:rsid w:val="000E755E"/>
    <w:rsid w:val="000E7F24"/>
    <w:rsid w:val="000F03BE"/>
    <w:rsid w:val="000F10AC"/>
    <w:rsid w:val="000F1757"/>
    <w:rsid w:val="000F225B"/>
    <w:rsid w:val="000F333E"/>
    <w:rsid w:val="000F3949"/>
    <w:rsid w:val="000F41BC"/>
    <w:rsid w:val="000F48E9"/>
    <w:rsid w:val="000F4DAE"/>
    <w:rsid w:val="000F7ADB"/>
    <w:rsid w:val="000F7FAF"/>
    <w:rsid w:val="00100D8B"/>
    <w:rsid w:val="00102045"/>
    <w:rsid w:val="00102264"/>
    <w:rsid w:val="00103537"/>
    <w:rsid w:val="0010421C"/>
    <w:rsid w:val="0010465B"/>
    <w:rsid w:val="001050D7"/>
    <w:rsid w:val="0010570F"/>
    <w:rsid w:val="00105975"/>
    <w:rsid w:val="00110090"/>
    <w:rsid w:val="00110407"/>
    <w:rsid w:val="0011116D"/>
    <w:rsid w:val="00111386"/>
    <w:rsid w:val="001118DF"/>
    <w:rsid w:val="00111F4D"/>
    <w:rsid w:val="001125B2"/>
    <w:rsid w:val="00112A28"/>
    <w:rsid w:val="00113571"/>
    <w:rsid w:val="00114DDF"/>
    <w:rsid w:val="00114FAA"/>
    <w:rsid w:val="00115230"/>
    <w:rsid w:val="00115AE1"/>
    <w:rsid w:val="00115B5F"/>
    <w:rsid w:val="001162B4"/>
    <w:rsid w:val="00116DF3"/>
    <w:rsid w:val="00122B90"/>
    <w:rsid w:val="00122CBC"/>
    <w:rsid w:val="0012414B"/>
    <w:rsid w:val="001244F8"/>
    <w:rsid w:val="00124FA3"/>
    <w:rsid w:val="001255F8"/>
    <w:rsid w:val="00126AF1"/>
    <w:rsid w:val="00126C65"/>
    <w:rsid w:val="00126D4A"/>
    <w:rsid w:val="0012714C"/>
    <w:rsid w:val="001274FA"/>
    <w:rsid w:val="001277E6"/>
    <w:rsid w:val="00131762"/>
    <w:rsid w:val="001318EB"/>
    <w:rsid w:val="00132DA9"/>
    <w:rsid w:val="0013305B"/>
    <w:rsid w:val="00133B99"/>
    <w:rsid w:val="0013569C"/>
    <w:rsid w:val="00135939"/>
    <w:rsid w:val="001369E3"/>
    <w:rsid w:val="001375DD"/>
    <w:rsid w:val="001375E6"/>
    <w:rsid w:val="00142EFB"/>
    <w:rsid w:val="001438BF"/>
    <w:rsid w:val="001443BD"/>
    <w:rsid w:val="00144A87"/>
    <w:rsid w:val="00145B62"/>
    <w:rsid w:val="00146193"/>
    <w:rsid w:val="00147E09"/>
    <w:rsid w:val="00152022"/>
    <w:rsid w:val="00152026"/>
    <w:rsid w:val="00152392"/>
    <w:rsid w:val="00152A41"/>
    <w:rsid w:val="001544C3"/>
    <w:rsid w:val="00154D75"/>
    <w:rsid w:val="001577E9"/>
    <w:rsid w:val="00157A59"/>
    <w:rsid w:val="00157F37"/>
    <w:rsid w:val="0016138C"/>
    <w:rsid w:val="00162D60"/>
    <w:rsid w:val="001640D5"/>
    <w:rsid w:val="001653D7"/>
    <w:rsid w:val="001659FB"/>
    <w:rsid w:val="00171763"/>
    <w:rsid w:val="00171D3F"/>
    <w:rsid w:val="00172151"/>
    <w:rsid w:val="00172C99"/>
    <w:rsid w:val="001731CE"/>
    <w:rsid w:val="001742EE"/>
    <w:rsid w:val="00175C72"/>
    <w:rsid w:val="00177D1E"/>
    <w:rsid w:val="00180F93"/>
    <w:rsid w:val="00181B06"/>
    <w:rsid w:val="0018672E"/>
    <w:rsid w:val="001928FC"/>
    <w:rsid w:val="00193BD5"/>
    <w:rsid w:val="00194571"/>
    <w:rsid w:val="00196308"/>
    <w:rsid w:val="0019782F"/>
    <w:rsid w:val="00197E9B"/>
    <w:rsid w:val="001A1185"/>
    <w:rsid w:val="001A3D77"/>
    <w:rsid w:val="001A4A02"/>
    <w:rsid w:val="001B30F7"/>
    <w:rsid w:val="001B31F0"/>
    <w:rsid w:val="001B4862"/>
    <w:rsid w:val="001B5147"/>
    <w:rsid w:val="001B65FF"/>
    <w:rsid w:val="001B710A"/>
    <w:rsid w:val="001B771D"/>
    <w:rsid w:val="001B7C20"/>
    <w:rsid w:val="001C0B32"/>
    <w:rsid w:val="001C2D66"/>
    <w:rsid w:val="001C36F7"/>
    <w:rsid w:val="001C43A5"/>
    <w:rsid w:val="001C4BE1"/>
    <w:rsid w:val="001C5338"/>
    <w:rsid w:val="001C5847"/>
    <w:rsid w:val="001C7F21"/>
    <w:rsid w:val="001D1497"/>
    <w:rsid w:val="001D5534"/>
    <w:rsid w:val="001D63D9"/>
    <w:rsid w:val="001D6F0E"/>
    <w:rsid w:val="001D7ADF"/>
    <w:rsid w:val="001E0F71"/>
    <w:rsid w:val="001E160D"/>
    <w:rsid w:val="001E17FB"/>
    <w:rsid w:val="001E255E"/>
    <w:rsid w:val="001E2B9B"/>
    <w:rsid w:val="001E2C06"/>
    <w:rsid w:val="001E35BA"/>
    <w:rsid w:val="001E3A31"/>
    <w:rsid w:val="001E4690"/>
    <w:rsid w:val="001E49D3"/>
    <w:rsid w:val="001E4CCB"/>
    <w:rsid w:val="001E51A6"/>
    <w:rsid w:val="001E6D05"/>
    <w:rsid w:val="001E73E8"/>
    <w:rsid w:val="001E7C28"/>
    <w:rsid w:val="001F0C14"/>
    <w:rsid w:val="001F0F3B"/>
    <w:rsid w:val="001F11A1"/>
    <w:rsid w:val="001F1AB5"/>
    <w:rsid w:val="001F1BDF"/>
    <w:rsid w:val="001F1D6D"/>
    <w:rsid w:val="001F35F8"/>
    <w:rsid w:val="001F39FC"/>
    <w:rsid w:val="001F4AC3"/>
    <w:rsid w:val="001F4CAC"/>
    <w:rsid w:val="001F52E0"/>
    <w:rsid w:val="001F590C"/>
    <w:rsid w:val="001F7110"/>
    <w:rsid w:val="001F7185"/>
    <w:rsid w:val="001F773D"/>
    <w:rsid w:val="001F7E96"/>
    <w:rsid w:val="00200087"/>
    <w:rsid w:val="002005F5"/>
    <w:rsid w:val="0020202E"/>
    <w:rsid w:val="00202284"/>
    <w:rsid w:val="0020528D"/>
    <w:rsid w:val="0020543B"/>
    <w:rsid w:val="00205A66"/>
    <w:rsid w:val="002063CF"/>
    <w:rsid w:val="00206613"/>
    <w:rsid w:val="0020756B"/>
    <w:rsid w:val="00207E75"/>
    <w:rsid w:val="00210D86"/>
    <w:rsid w:val="0021158F"/>
    <w:rsid w:val="00212488"/>
    <w:rsid w:val="002129A6"/>
    <w:rsid w:val="002151DB"/>
    <w:rsid w:val="00220628"/>
    <w:rsid w:val="00221A45"/>
    <w:rsid w:val="00221BA0"/>
    <w:rsid w:val="00224CB4"/>
    <w:rsid w:val="002260C7"/>
    <w:rsid w:val="002304D2"/>
    <w:rsid w:val="002310E3"/>
    <w:rsid w:val="00232594"/>
    <w:rsid w:val="002338C1"/>
    <w:rsid w:val="00233D04"/>
    <w:rsid w:val="00234ABD"/>
    <w:rsid w:val="00236491"/>
    <w:rsid w:val="00236C3B"/>
    <w:rsid w:val="00236E2A"/>
    <w:rsid w:val="00237F62"/>
    <w:rsid w:val="00241E10"/>
    <w:rsid w:val="00242C71"/>
    <w:rsid w:val="00244ED9"/>
    <w:rsid w:val="0024586A"/>
    <w:rsid w:val="0024601F"/>
    <w:rsid w:val="002464E3"/>
    <w:rsid w:val="0024732C"/>
    <w:rsid w:val="002502E1"/>
    <w:rsid w:val="00250C98"/>
    <w:rsid w:val="00250F80"/>
    <w:rsid w:val="0025124F"/>
    <w:rsid w:val="002518A2"/>
    <w:rsid w:val="002528B3"/>
    <w:rsid w:val="00253854"/>
    <w:rsid w:val="0025551F"/>
    <w:rsid w:val="00255F8C"/>
    <w:rsid w:val="00256174"/>
    <w:rsid w:val="00256F0C"/>
    <w:rsid w:val="00257231"/>
    <w:rsid w:val="00260318"/>
    <w:rsid w:val="00261C23"/>
    <w:rsid w:val="00262C05"/>
    <w:rsid w:val="002715AF"/>
    <w:rsid w:val="002717F0"/>
    <w:rsid w:val="0027214F"/>
    <w:rsid w:val="0027301C"/>
    <w:rsid w:val="00273099"/>
    <w:rsid w:val="00281D14"/>
    <w:rsid w:val="00282C13"/>
    <w:rsid w:val="002833D8"/>
    <w:rsid w:val="002836D7"/>
    <w:rsid w:val="00284538"/>
    <w:rsid w:val="00285669"/>
    <w:rsid w:val="002858F6"/>
    <w:rsid w:val="00286BF6"/>
    <w:rsid w:val="002903B7"/>
    <w:rsid w:val="002919AD"/>
    <w:rsid w:val="00292C23"/>
    <w:rsid w:val="00295E54"/>
    <w:rsid w:val="002962D7"/>
    <w:rsid w:val="00296C33"/>
    <w:rsid w:val="002A0D7B"/>
    <w:rsid w:val="002A0DF7"/>
    <w:rsid w:val="002A268C"/>
    <w:rsid w:val="002A2975"/>
    <w:rsid w:val="002A460D"/>
    <w:rsid w:val="002A505B"/>
    <w:rsid w:val="002A5EE9"/>
    <w:rsid w:val="002A60E0"/>
    <w:rsid w:val="002A69D0"/>
    <w:rsid w:val="002A72F8"/>
    <w:rsid w:val="002B1AA8"/>
    <w:rsid w:val="002B1E87"/>
    <w:rsid w:val="002B4583"/>
    <w:rsid w:val="002B687A"/>
    <w:rsid w:val="002C1344"/>
    <w:rsid w:val="002C252E"/>
    <w:rsid w:val="002C3A2A"/>
    <w:rsid w:val="002C458A"/>
    <w:rsid w:val="002C6093"/>
    <w:rsid w:val="002C6552"/>
    <w:rsid w:val="002C6773"/>
    <w:rsid w:val="002C6F51"/>
    <w:rsid w:val="002C73EC"/>
    <w:rsid w:val="002D0FE0"/>
    <w:rsid w:val="002D269A"/>
    <w:rsid w:val="002D2A3D"/>
    <w:rsid w:val="002D3E72"/>
    <w:rsid w:val="002D3EAC"/>
    <w:rsid w:val="002D46A9"/>
    <w:rsid w:val="002D5D1D"/>
    <w:rsid w:val="002D6EFD"/>
    <w:rsid w:val="002D74CF"/>
    <w:rsid w:val="002D7B8C"/>
    <w:rsid w:val="002E0A45"/>
    <w:rsid w:val="002E0B17"/>
    <w:rsid w:val="002E26B4"/>
    <w:rsid w:val="002E31C0"/>
    <w:rsid w:val="002E3A73"/>
    <w:rsid w:val="002E4FFB"/>
    <w:rsid w:val="002E63A7"/>
    <w:rsid w:val="002E650E"/>
    <w:rsid w:val="002E6E2F"/>
    <w:rsid w:val="002E7DED"/>
    <w:rsid w:val="002F0334"/>
    <w:rsid w:val="002F2A7B"/>
    <w:rsid w:val="002F4AB2"/>
    <w:rsid w:val="002F4F67"/>
    <w:rsid w:val="002F5944"/>
    <w:rsid w:val="002F7BC2"/>
    <w:rsid w:val="002F7E11"/>
    <w:rsid w:val="003002BA"/>
    <w:rsid w:val="0030037C"/>
    <w:rsid w:val="003008B9"/>
    <w:rsid w:val="00304087"/>
    <w:rsid w:val="003053DC"/>
    <w:rsid w:val="003054B0"/>
    <w:rsid w:val="003057B1"/>
    <w:rsid w:val="003062AD"/>
    <w:rsid w:val="00310ACD"/>
    <w:rsid w:val="00312C23"/>
    <w:rsid w:val="0031379F"/>
    <w:rsid w:val="00313A9C"/>
    <w:rsid w:val="0031621E"/>
    <w:rsid w:val="00316A16"/>
    <w:rsid w:val="00316B30"/>
    <w:rsid w:val="00320228"/>
    <w:rsid w:val="00320372"/>
    <w:rsid w:val="00320A26"/>
    <w:rsid w:val="003212F3"/>
    <w:rsid w:val="00321344"/>
    <w:rsid w:val="00321622"/>
    <w:rsid w:val="00321788"/>
    <w:rsid w:val="00323FA3"/>
    <w:rsid w:val="00325064"/>
    <w:rsid w:val="00325EC9"/>
    <w:rsid w:val="00326735"/>
    <w:rsid w:val="003279C6"/>
    <w:rsid w:val="0032B295"/>
    <w:rsid w:val="00331A3E"/>
    <w:rsid w:val="0033451C"/>
    <w:rsid w:val="00335660"/>
    <w:rsid w:val="00335FBD"/>
    <w:rsid w:val="0033649A"/>
    <w:rsid w:val="00336854"/>
    <w:rsid w:val="0033769B"/>
    <w:rsid w:val="00337A89"/>
    <w:rsid w:val="0034015C"/>
    <w:rsid w:val="00341409"/>
    <w:rsid w:val="00341CAE"/>
    <w:rsid w:val="003442F4"/>
    <w:rsid w:val="00344546"/>
    <w:rsid w:val="003455CF"/>
    <w:rsid w:val="0034716E"/>
    <w:rsid w:val="00350CB4"/>
    <w:rsid w:val="00353705"/>
    <w:rsid w:val="00355536"/>
    <w:rsid w:val="003562E8"/>
    <w:rsid w:val="00357F94"/>
    <w:rsid w:val="003614D7"/>
    <w:rsid w:val="0036357D"/>
    <w:rsid w:val="00363637"/>
    <w:rsid w:val="003649BC"/>
    <w:rsid w:val="00364F7E"/>
    <w:rsid w:val="00365BE1"/>
    <w:rsid w:val="00365E44"/>
    <w:rsid w:val="003662B1"/>
    <w:rsid w:val="003663FD"/>
    <w:rsid w:val="003667AD"/>
    <w:rsid w:val="00367AA1"/>
    <w:rsid w:val="00370A5B"/>
    <w:rsid w:val="00372497"/>
    <w:rsid w:val="00372E36"/>
    <w:rsid w:val="00373C15"/>
    <w:rsid w:val="00373D53"/>
    <w:rsid w:val="00375653"/>
    <w:rsid w:val="00375DFA"/>
    <w:rsid w:val="00375F7D"/>
    <w:rsid w:val="003767D3"/>
    <w:rsid w:val="00376EE9"/>
    <w:rsid w:val="00376FFC"/>
    <w:rsid w:val="00377CBB"/>
    <w:rsid w:val="00382CCB"/>
    <w:rsid w:val="00382DA3"/>
    <w:rsid w:val="00384F62"/>
    <w:rsid w:val="00385438"/>
    <w:rsid w:val="003858E5"/>
    <w:rsid w:val="003877B6"/>
    <w:rsid w:val="00391539"/>
    <w:rsid w:val="003921B7"/>
    <w:rsid w:val="00392D73"/>
    <w:rsid w:val="00393531"/>
    <w:rsid w:val="00393887"/>
    <w:rsid w:val="00393F1B"/>
    <w:rsid w:val="00394C6B"/>
    <w:rsid w:val="0039610B"/>
    <w:rsid w:val="00396442"/>
    <w:rsid w:val="00397C2B"/>
    <w:rsid w:val="003A11DF"/>
    <w:rsid w:val="003A290F"/>
    <w:rsid w:val="003A4AAA"/>
    <w:rsid w:val="003A4B10"/>
    <w:rsid w:val="003A4E2E"/>
    <w:rsid w:val="003A4E62"/>
    <w:rsid w:val="003A5A6A"/>
    <w:rsid w:val="003A775E"/>
    <w:rsid w:val="003B02F2"/>
    <w:rsid w:val="003B0BD0"/>
    <w:rsid w:val="003B0CDD"/>
    <w:rsid w:val="003B1069"/>
    <w:rsid w:val="003B1F2E"/>
    <w:rsid w:val="003B38CC"/>
    <w:rsid w:val="003B390A"/>
    <w:rsid w:val="003B3D53"/>
    <w:rsid w:val="003B4E3A"/>
    <w:rsid w:val="003B60C3"/>
    <w:rsid w:val="003B6373"/>
    <w:rsid w:val="003B79E1"/>
    <w:rsid w:val="003C0E8C"/>
    <w:rsid w:val="003C15DE"/>
    <w:rsid w:val="003C2096"/>
    <w:rsid w:val="003C2889"/>
    <w:rsid w:val="003C2AB0"/>
    <w:rsid w:val="003C34C9"/>
    <w:rsid w:val="003C4EB2"/>
    <w:rsid w:val="003C5801"/>
    <w:rsid w:val="003C5E05"/>
    <w:rsid w:val="003C63D0"/>
    <w:rsid w:val="003C7959"/>
    <w:rsid w:val="003D3968"/>
    <w:rsid w:val="003D42AF"/>
    <w:rsid w:val="003D4899"/>
    <w:rsid w:val="003D4AD2"/>
    <w:rsid w:val="003D5E11"/>
    <w:rsid w:val="003D73C0"/>
    <w:rsid w:val="003E031D"/>
    <w:rsid w:val="003E1833"/>
    <w:rsid w:val="003E6DA3"/>
    <w:rsid w:val="003E7305"/>
    <w:rsid w:val="003F0C1C"/>
    <w:rsid w:val="003F1AF3"/>
    <w:rsid w:val="003F25E4"/>
    <w:rsid w:val="003F4804"/>
    <w:rsid w:val="003F4AAA"/>
    <w:rsid w:val="003F4D8D"/>
    <w:rsid w:val="003F4E93"/>
    <w:rsid w:val="003F5708"/>
    <w:rsid w:val="003F66A4"/>
    <w:rsid w:val="00401508"/>
    <w:rsid w:val="00401688"/>
    <w:rsid w:val="004024D9"/>
    <w:rsid w:val="0040257E"/>
    <w:rsid w:val="0040386D"/>
    <w:rsid w:val="00404188"/>
    <w:rsid w:val="00406435"/>
    <w:rsid w:val="004066F9"/>
    <w:rsid w:val="00406CBE"/>
    <w:rsid w:val="004073DC"/>
    <w:rsid w:val="004137C0"/>
    <w:rsid w:val="004138F3"/>
    <w:rsid w:val="00420F5B"/>
    <w:rsid w:val="00421F20"/>
    <w:rsid w:val="0042238F"/>
    <w:rsid w:val="00423B63"/>
    <w:rsid w:val="00427BEA"/>
    <w:rsid w:val="00430120"/>
    <w:rsid w:val="004313E7"/>
    <w:rsid w:val="00432542"/>
    <w:rsid w:val="004339B2"/>
    <w:rsid w:val="0044344E"/>
    <w:rsid w:val="00444A70"/>
    <w:rsid w:val="0044763B"/>
    <w:rsid w:val="00452696"/>
    <w:rsid w:val="00452726"/>
    <w:rsid w:val="00453F32"/>
    <w:rsid w:val="00454DAA"/>
    <w:rsid w:val="00456765"/>
    <w:rsid w:val="00456A53"/>
    <w:rsid w:val="00456F1E"/>
    <w:rsid w:val="0046213C"/>
    <w:rsid w:val="00462518"/>
    <w:rsid w:val="0046266D"/>
    <w:rsid w:val="004629B3"/>
    <w:rsid w:val="0046376E"/>
    <w:rsid w:val="00463B50"/>
    <w:rsid w:val="00464251"/>
    <w:rsid w:val="00464860"/>
    <w:rsid w:val="0046587C"/>
    <w:rsid w:val="0046690F"/>
    <w:rsid w:val="00467CC0"/>
    <w:rsid w:val="00471116"/>
    <w:rsid w:val="00472FEC"/>
    <w:rsid w:val="00473A2A"/>
    <w:rsid w:val="00473B89"/>
    <w:rsid w:val="004747D0"/>
    <w:rsid w:val="00476830"/>
    <w:rsid w:val="004770F6"/>
    <w:rsid w:val="004812D2"/>
    <w:rsid w:val="00483B28"/>
    <w:rsid w:val="00484218"/>
    <w:rsid w:val="004858E1"/>
    <w:rsid w:val="00485EF2"/>
    <w:rsid w:val="004864A1"/>
    <w:rsid w:val="0048769E"/>
    <w:rsid w:val="00487A1F"/>
    <w:rsid w:val="00490A03"/>
    <w:rsid w:val="00490B0D"/>
    <w:rsid w:val="00490E5D"/>
    <w:rsid w:val="00492B0A"/>
    <w:rsid w:val="00492D88"/>
    <w:rsid w:val="00493327"/>
    <w:rsid w:val="0049382E"/>
    <w:rsid w:val="0049391A"/>
    <w:rsid w:val="00494DBE"/>
    <w:rsid w:val="00495CE6"/>
    <w:rsid w:val="00497D5E"/>
    <w:rsid w:val="00497EB9"/>
    <w:rsid w:val="004A144D"/>
    <w:rsid w:val="004A1D27"/>
    <w:rsid w:val="004A2176"/>
    <w:rsid w:val="004A2703"/>
    <w:rsid w:val="004A323C"/>
    <w:rsid w:val="004A4D16"/>
    <w:rsid w:val="004B0801"/>
    <w:rsid w:val="004B1117"/>
    <w:rsid w:val="004B1A6B"/>
    <w:rsid w:val="004B1FC8"/>
    <w:rsid w:val="004B339A"/>
    <w:rsid w:val="004B35C8"/>
    <w:rsid w:val="004B39DA"/>
    <w:rsid w:val="004B54E8"/>
    <w:rsid w:val="004B7595"/>
    <w:rsid w:val="004B773C"/>
    <w:rsid w:val="004C0138"/>
    <w:rsid w:val="004C0686"/>
    <w:rsid w:val="004C12E8"/>
    <w:rsid w:val="004C130C"/>
    <w:rsid w:val="004C1389"/>
    <w:rsid w:val="004C1578"/>
    <w:rsid w:val="004C174B"/>
    <w:rsid w:val="004C33BA"/>
    <w:rsid w:val="004C47EA"/>
    <w:rsid w:val="004C4FEB"/>
    <w:rsid w:val="004C6570"/>
    <w:rsid w:val="004C678C"/>
    <w:rsid w:val="004C6B79"/>
    <w:rsid w:val="004C7345"/>
    <w:rsid w:val="004D059B"/>
    <w:rsid w:val="004D09F9"/>
    <w:rsid w:val="004D0E64"/>
    <w:rsid w:val="004D144F"/>
    <w:rsid w:val="004D1DBD"/>
    <w:rsid w:val="004D304E"/>
    <w:rsid w:val="004D4543"/>
    <w:rsid w:val="004D48A8"/>
    <w:rsid w:val="004D4CB6"/>
    <w:rsid w:val="004D4DCB"/>
    <w:rsid w:val="004E0907"/>
    <w:rsid w:val="004E20CF"/>
    <w:rsid w:val="004E2324"/>
    <w:rsid w:val="004E28C9"/>
    <w:rsid w:val="004E3341"/>
    <w:rsid w:val="004E3406"/>
    <w:rsid w:val="004E5124"/>
    <w:rsid w:val="004E7BE2"/>
    <w:rsid w:val="004E7E3A"/>
    <w:rsid w:val="004F10C1"/>
    <w:rsid w:val="004F1C5E"/>
    <w:rsid w:val="004F1EB8"/>
    <w:rsid w:val="004F3032"/>
    <w:rsid w:val="004F3E47"/>
    <w:rsid w:val="004F4CC8"/>
    <w:rsid w:val="004F4F5A"/>
    <w:rsid w:val="004F51FF"/>
    <w:rsid w:val="004F5AD9"/>
    <w:rsid w:val="0050159C"/>
    <w:rsid w:val="005022B7"/>
    <w:rsid w:val="00502E62"/>
    <w:rsid w:val="005044C2"/>
    <w:rsid w:val="00506B8A"/>
    <w:rsid w:val="005110D3"/>
    <w:rsid w:val="00511161"/>
    <w:rsid w:val="0051413C"/>
    <w:rsid w:val="00515F4A"/>
    <w:rsid w:val="0051693C"/>
    <w:rsid w:val="00520A65"/>
    <w:rsid w:val="005218B8"/>
    <w:rsid w:val="00521B13"/>
    <w:rsid w:val="0052212B"/>
    <w:rsid w:val="005221A8"/>
    <w:rsid w:val="005230C7"/>
    <w:rsid w:val="0052474F"/>
    <w:rsid w:val="0052625A"/>
    <w:rsid w:val="005266EA"/>
    <w:rsid w:val="00527072"/>
    <w:rsid w:val="005272FE"/>
    <w:rsid w:val="0053001D"/>
    <w:rsid w:val="00533B0D"/>
    <w:rsid w:val="00534B46"/>
    <w:rsid w:val="00535018"/>
    <w:rsid w:val="005355DB"/>
    <w:rsid w:val="00535866"/>
    <w:rsid w:val="00536CBD"/>
    <w:rsid w:val="00540358"/>
    <w:rsid w:val="00540A05"/>
    <w:rsid w:val="00540D47"/>
    <w:rsid w:val="00540E25"/>
    <w:rsid w:val="005428D7"/>
    <w:rsid w:val="00542D43"/>
    <w:rsid w:val="00545516"/>
    <w:rsid w:val="005463C3"/>
    <w:rsid w:val="005465A3"/>
    <w:rsid w:val="00547C7C"/>
    <w:rsid w:val="005506D5"/>
    <w:rsid w:val="00550864"/>
    <w:rsid w:val="00551D6C"/>
    <w:rsid w:val="00553580"/>
    <w:rsid w:val="005550A8"/>
    <w:rsid w:val="0055571E"/>
    <w:rsid w:val="00556F67"/>
    <w:rsid w:val="00557849"/>
    <w:rsid w:val="005578BC"/>
    <w:rsid w:val="00563009"/>
    <w:rsid w:val="005635B7"/>
    <w:rsid w:val="005652E8"/>
    <w:rsid w:val="0056772E"/>
    <w:rsid w:val="00567A17"/>
    <w:rsid w:val="005735E2"/>
    <w:rsid w:val="0057384B"/>
    <w:rsid w:val="0057392C"/>
    <w:rsid w:val="0057446D"/>
    <w:rsid w:val="0057667C"/>
    <w:rsid w:val="00576BDA"/>
    <w:rsid w:val="00577DB4"/>
    <w:rsid w:val="005826DA"/>
    <w:rsid w:val="00582943"/>
    <w:rsid w:val="00582D0E"/>
    <w:rsid w:val="00582E09"/>
    <w:rsid w:val="005833F0"/>
    <w:rsid w:val="005835F4"/>
    <w:rsid w:val="00585A6D"/>
    <w:rsid w:val="00586280"/>
    <w:rsid w:val="00586584"/>
    <w:rsid w:val="005865FC"/>
    <w:rsid w:val="00586913"/>
    <w:rsid w:val="005869CE"/>
    <w:rsid w:val="00586CAF"/>
    <w:rsid w:val="005873E9"/>
    <w:rsid w:val="00587A90"/>
    <w:rsid w:val="00591180"/>
    <w:rsid w:val="00592E9F"/>
    <w:rsid w:val="00595286"/>
    <w:rsid w:val="0059722C"/>
    <w:rsid w:val="005977A6"/>
    <w:rsid w:val="00597D07"/>
    <w:rsid w:val="00597DD6"/>
    <w:rsid w:val="005A16E6"/>
    <w:rsid w:val="005A1746"/>
    <w:rsid w:val="005A30D7"/>
    <w:rsid w:val="005A3846"/>
    <w:rsid w:val="005A678F"/>
    <w:rsid w:val="005A7DE8"/>
    <w:rsid w:val="005A7E97"/>
    <w:rsid w:val="005B2CD2"/>
    <w:rsid w:val="005B632A"/>
    <w:rsid w:val="005B6788"/>
    <w:rsid w:val="005B6A58"/>
    <w:rsid w:val="005C4C2F"/>
    <w:rsid w:val="005C5A83"/>
    <w:rsid w:val="005C7112"/>
    <w:rsid w:val="005D0155"/>
    <w:rsid w:val="005D0561"/>
    <w:rsid w:val="005D0AD9"/>
    <w:rsid w:val="005D1A67"/>
    <w:rsid w:val="005D1F10"/>
    <w:rsid w:val="005D22F6"/>
    <w:rsid w:val="005D4647"/>
    <w:rsid w:val="005D5EDE"/>
    <w:rsid w:val="005D6774"/>
    <w:rsid w:val="005D68AA"/>
    <w:rsid w:val="005D6BD1"/>
    <w:rsid w:val="005E060E"/>
    <w:rsid w:val="005E0C30"/>
    <w:rsid w:val="005E1DCB"/>
    <w:rsid w:val="005E2A31"/>
    <w:rsid w:val="005E33E0"/>
    <w:rsid w:val="005E3FBB"/>
    <w:rsid w:val="005E66B4"/>
    <w:rsid w:val="005E69D9"/>
    <w:rsid w:val="005E6CB1"/>
    <w:rsid w:val="005E7116"/>
    <w:rsid w:val="005E7971"/>
    <w:rsid w:val="005F17D1"/>
    <w:rsid w:val="005F23BC"/>
    <w:rsid w:val="005F2643"/>
    <w:rsid w:val="005F27F4"/>
    <w:rsid w:val="005F297C"/>
    <w:rsid w:val="005F3239"/>
    <w:rsid w:val="005F39BF"/>
    <w:rsid w:val="005F566C"/>
    <w:rsid w:val="005F5D54"/>
    <w:rsid w:val="005F5F4D"/>
    <w:rsid w:val="005F6567"/>
    <w:rsid w:val="005F676D"/>
    <w:rsid w:val="005F6A21"/>
    <w:rsid w:val="005F750F"/>
    <w:rsid w:val="005F7A8A"/>
    <w:rsid w:val="00600998"/>
    <w:rsid w:val="00600ACF"/>
    <w:rsid w:val="006019EB"/>
    <w:rsid w:val="00601CC1"/>
    <w:rsid w:val="006022D0"/>
    <w:rsid w:val="00605DFE"/>
    <w:rsid w:val="00607094"/>
    <w:rsid w:val="00607256"/>
    <w:rsid w:val="00607621"/>
    <w:rsid w:val="0060790C"/>
    <w:rsid w:val="0060791E"/>
    <w:rsid w:val="00611B7B"/>
    <w:rsid w:val="00611F08"/>
    <w:rsid w:val="00611FB2"/>
    <w:rsid w:val="00613BF1"/>
    <w:rsid w:val="006144B1"/>
    <w:rsid w:val="00615A5C"/>
    <w:rsid w:val="00616C7F"/>
    <w:rsid w:val="006177FF"/>
    <w:rsid w:val="0062077F"/>
    <w:rsid w:val="00621BC7"/>
    <w:rsid w:val="00622033"/>
    <w:rsid w:val="0062460B"/>
    <w:rsid w:val="00630644"/>
    <w:rsid w:val="006335F1"/>
    <w:rsid w:val="006336FD"/>
    <w:rsid w:val="00633B49"/>
    <w:rsid w:val="006345B6"/>
    <w:rsid w:val="006345CD"/>
    <w:rsid w:val="00635616"/>
    <w:rsid w:val="00635712"/>
    <w:rsid w:val="00635984"/>
    <w:rsid w:val="00635F41"/>
    <w:rsid w:val="006368FF"/>
    <w:rsid w:val="00636D95"/>
    <w:rsid w:val="006377D4"/>
    <w:rsid w:val="00640135"/>
    <w:rsid w:val="006402FF"/>
    <w:rsid w:val="0064107F"/>
    <w:rsid w:val="00643D8A"/>
    <w:rsid w:val="00645A5C"/>
    <w:rsid w:val="006460E5"/>
    <w:rsid w:val="00647A78"/>
    <w:rsid w:val="00647AB9"/>
    <w:rsid w:val="00647C4B"/>
    <w:rsid w:val="00650894"/>
    <w:rsid w:val="0065112B"/>
    <w:rsid w:val="00652091"/>
    <w:rsid w:val="00652229"/>
    <w:rsid w:val="00652793"/>
    <w:rsid w:val="006528DE"/>
    <w:rsid w:val="006541A1"/>
    <w:rsid w:val="00657789"/>
    <w:rsid w:val="00660320"/>
    <w:rsid w:val="0066187E"/>
    <w:rsid w:val="00662375"/>
    <w:rsid w:val="006626CA"/>
    <w:rsid w:val="00663487"/>
    <w:rsid w:val="00672382"/>
    <w:rsid w:val="006733BB"/>
    <w:rsid w:val="0067607A"/>
    <w:rsid w:val="006763B5"/>
    <w:rsid w:val="00676E80"/>
    <w:rsid w:val="006775C2"/>
    <w:rsid w:val="00681257"/>
    <w:rsid w:val="00681C3E"/>
    <w:rsid w:val="00682191"/>
    <w:rsid w:val="006822E9"/>
    <w:rsid w:val="00682643"/>
    <w:rsid w:val="00682EB9"/>
    <w:rsid w:val="00682F1E"/>
    <w:rsid w:val="0068378C"/>
    <w:rsid w:val="006839D3"/>
    <w:rsid w:val="0068441A"/>
    <w:rsid w:val="0068699A"/>
    <w:rsid w:val="00690B19"/>
    <w:rsid w:val="006938EE"/>
    <w:rsid w:val="00694195"/>
    <w:rsid w:val="0069650C"/>
    <w:rsid w:val="006A0A3C"/>
    <w:rsid w:val="006A1ED8"/>
    <w:rsid w:val="006A3D5B"/>
    <w:rsid w:val="006A442A"/>
    <w:rsid w:val="006A59E9"/>
    <w:rsid w:val="006A5AB1"/>
    <w:rsid w:val="006A6F2B"/>
    <w:rsid w:val="006A75B8"/>
    <w:rsid w:val="006A79F0"/>
    <w:rsid w:val="006B048F"/>
    <w:rsid w:val="006B359D"/>
    <w:rsid w:val="006B47EE"/>
    <w:rsid w:val="006B499F"/>
    <w:rsid w:val="006B54C6"/>
    <w:rsid w:val="006B617F"/>
    <w:rsid w:val="006B78E0"/>
    <w:rsid w:val="006C187E"/>
    <w:rsid w:val="006C1FB8"/>
    <w:rsid w:val="006C2BB0"/>
    <w:rsid w:val="006C33BE"/>
    <w:rsid w:val="006C4B3D"/>
    <w:rsid w:val="006C53D0"/>
    <w:rsid w:val="006C5B53"/>
    <w:rsid w:val="006C7E78"/>
    <w:rsid w:val="006D006A"/>
    <w:rsid w:val="006D064D"/>
    <w:rsid w:val="006D098F"/>
    <w:rsid w:val="006D127F"/>
    <w:rsid w:val="006D20E3"/>
    <w:rsid w:val="006D2218"/>
    <w:rsid w:val="006D33E1"/>
    <w:rsid w:val="006D4996"/>
    <w:rsid w:val="006D4D0C"/>
    <w:rsid w:val="006D510B"/>
    <w:rsid w:val="006D535B"/>
    <w:rsid w:val="006D54AB"/>
    <w:rsid w:val="006D58E5"/>
    <w:rsid w:val="006E1084"/>
    <w:rsid w:val="006E1097"/>
    <w:rsid w:val="006E10B2"/>
    <w:rsid w:val="006E1A70"/>
    <w:rsid w:val="006E1FA9"/>
    <w:rsid w:val="006E2D24"/>
    <w:rsid w:val="006E3006"/>
    <w:rsid w:val="006E3AFC"/>
    <w:rsid w:val="006E4458"/>
    <w:rsid w:val="006E4F02"/>
    <w:rsid w:val="006E5032"/>
    <w:rsid w:val="006E5BDA"/>
    <w:rsid w:val="006E7AC9"/>
    <w:rsid w:val="006F0FC7"/>
    <w:rsid w:val="006F39A9"/>
    <w:rsid w:val="006F3D9D"/>
    <w:rsid w:val="006F524E"/>
    <w:rsid w:val="006F5D57"/>
    <w:rsid w:val="006F643F"/>
    <w:rsid w:val="006F670F"/>
    <w:rsid w:val="006F77F3"/>
    <w:rsid w:val="0070063C"/>
    <w:rsid w:val="00700D69"/>
    <w:rsid w:val="0070243F"/>
    <w:rsid w:val="00702921"/>
    <w:rsid w:val="00703272"/>
    <w:rsid w:val="0070362C"/>
    <w:rsid w:val="00703652"/>
    <w:rsid w:val="00704020"/>
    <w:rsid w:val="00704044"/>
    <w:rsid w:val="00705B35"/>
    <w:rsid w:val="00705BBE"/>
    <w:rsid w:val="0070733C"/>
    <w:rsid w:val="007102D5"/>
    <w:rsid w:val="00710C5D"/>
    <w:rsid w:val="0071348C"/>
    <w:rsid w:val="00717273"/>
    <w:rsid w:val="00720FD4"/>
    <w:rsid w:val="00721EEF"/>
    <w:rsid w:val="00722A02"/>
    <w:rsid w:val="00723A21"/>
    <w:rsid w:val="00723B91"/>
    <w:rsid w:val="00723C6D"/>
    <w:rsid w:val="00724550"/>
    <w:rsid w:val="00724AF2"/>
    <w:rsid w:val="00724E51"/>
    <w:rsid w:val="00730624"/>
    <w:rsid w:val="0073096C"/>
    <w:rsid w:val="0073100D"/>
    <w:rsid w:val="00731368"/>
    <w:rsid w:val="00733429"/>
    <w:rsid w:val="00733A46"/>
    <w:rsid w:val="00733BB0"/>
    <w:rsid w:val="00735E2D"/>
    <w:rsid w:val="00736F2C"/>
    <w:rsid w:val="007371B2"/>
    <w:rsid w:val="00740F23"/>
    <w:rsid w:val="007419C8"/>
    <w:rsid w:val="00742398"/>
    <w:rsid w:val="00742E31"/>
    <w:rsid w:val="007432A9"/>
    <w:rsid w:val="00745C0B"/>
    <w:rsid w:val="00746050"/>
    <w:rsid w:val="00746118"/>
    <w:rsid w:val="00746C7F"/>
    <w:rsid w:val="007507B5"/>
    <w:rsid w:val="0075091D"/>
    <w:rsid w:val="00750EC4"/>
    <w:rsid w:val="00751831"/>
    <w:rsid w:val="0075201B"/>
    <w:rsid w:val="00753A24"/>
    <w:rsid w:val="00754294"/>
    <w:rsid w:val="0075430D"/>
    <w:rsid w:val="0075779F"/>
    <w:rsid w:val="0076106F"/>
    <w:rsid w:val="0076354B"/>
    <w:rsid w:val="00764668"/>
    <w:rsid w:val="007658F3"/>
    <w:rsid w:val="00765D0E"/>
    <w:rsid w:val="00765E3B"/>
    <w:rsid w:val="00766EA2"/>
    <w:rsid w:val="00767034"/>
    <w:rsid w:val="00772188"/>
    <w:rsid w:val="0077222A"/>
    <w:rsid w:val="00773909"/>
    <w:rsid w:val="0077433B"/>
    <w:rsid w:val="00774E1E"/>
    <w:rsid w:val="0077544E"/>
    <w:rsid w:val="00776743"/>
    <w:rsid w:val="00776D7F"/>
    <w:rsid w:val="007813D0"/>
    <w:rsid w:val="007845AC"/>
    <w:rsid w:val="00785993"/>
    <w:rsid w:val="00785A0D"/>
    <w:rsid w:val="007863BF"/>
    <w:rsid w:val="007866E2"/>
    <w:rsid w:val="00786BA3"/>
    <w:rsid w:val="00790993"/>
    <w:rsid w:val="0079202F"/>
    <w:rsid w:val="0079203E"/>
    <w:rsid w:val="007934C3"/>
    <w:rsid w:val="00793FDA"/>
    <w:rsid w:val="00794903"/>
    <w:rsid w:val="00795486"/>
    <w:rsid w:val="00795AF2"/>
    <w:rsid w:val="00795E4F"/>
    <w:rsid w:val="007A0287"/>
    <w:rsid w:val="007A09FC"/>
    <w:rsid w:val="007A2AAD"/>
    <w:rsid w:val="007A3017"/>
    <w:rsid w:val="007A4432"/>
    <w:rsid w:val="007A59E9"/>
    <w:rsid w:val="007A784E"/>
    <w:rsid w:val="007A7E31"/>
    <w:rsid w:val="007B02A0"/>
    <w:rsid w:val="007B278C"/>
    <w:rsid w:val="007B2C2C"/>
    <w:rsid w:val="007B2DAD"/>
    <w:rsid w:val="007B3774"/>
    <w:rsid w:val="007B4939"/>
    <w:rsid w:val="007B499C"/>
    <w:rsid w:val="007B4D4B"/>
    <w:rsid w:val="007B58C6"/>
    <w:rsid w:val="007B76D8"/>
    <w:rsid w:val="007C0646"/>
    <w:rsid w:val="007C1ACD"/>
    <w:rsid w:val="007C1E5E"/>
    <w:rsid w:val="007C1E9D"/>
    <w:rsid w:val="007C3AE3"/>
    <w:rsid w:val="007C6C51"/>
    <w:rsid w:val="007D0000"/>
    <w:rsid w:val="007D2A02"/>
    <w:rsid w:val="007D5EA2"/>
    <w:rsid w:val="007D6144"/>
    <w:rsid w:val="007D62A4"/>
    <w:rsid w:val="007D6CE5"/>
    <w:rsid w:val="007E0917"/>
    <w:rsid w:val="007E136B"/>
    <w:rsid w:val="007E1736"/>
    <w:rsid w:val="007E25DD"/>
    <w:rsid w:val="007E2887"/>
    <w:rsid w:val="007E3318"/>
    <w:rsid w:val="007E6EA1"/>
    <w:rsid w:val="007F0F16"/>
    <w:rsid w:val="007F0F63"/>
    <w:rsid w:val="007F2B1E"/>
    <w:rsid w:val="007F4590"/>
    <w:rsid w:val="007F62B4"/>
    <w:rsid w:val="007F7C05"/>
    <w:rsid w:val="007F7DF9"/>
    <w:rsid w:val="00800FD6"/>
    <w:rsid w:val="00801517"/>
    <w:rsid w:val="008019C0"/>
    <w:rsid w:val="00804966"/>
    <w:rsid w:val="0080510A"/>
    <w:rsid w:val="0080596A"/>
    <w:rsid w:val="00805CBF"/>
    <w:rsid w:val="00807195"/>
    <w:rsid w:val="00810AC4"/>
    <w:rsid w:val="0081218E"/>
    <w:rsid w:val="0081228B"/>
    <w:rsid w:val="00813492"/>
    <w:rsid w:val="00814DE2"/>
    <w:rsid w:val="00815599"/>
    <w:rsid w:val="00815D34"/>
    <w:rsid w:val="008177EE"/>
    <w:rsid w:val="00817895"/>
    <w:rsid w:val="00817AE8"/>
    <w:rsid w:val="00817DE8"/>
    <w:rsid w:val="008229F5"/>
    <w:rsid w:val="00824293"/>
    <w:rsid w:val="008259DE"/>
    <w:rsid w:val="0082699A"/>
    <w:rsid w:val="00827F2A"/>
    <w:rsid w:val="00832633"/>
    <w:rsid w:val="0083342C"/>
    <w:rsid w:val="00833869"/>
    <w:rsid w:val="00833CEB"/>
    <w:rsid w:val="0083662B"/>
    <w:rsid w:val="008372D2"/>
    <w:rsid w:val="008377BC"/>
    <w:rsid w:val="00841179"/>
    <w:rsid w:val="00841353"/>
    <w:rsid w:val="00844C17"/>
    <w:rsid w:val="008450BB"/>
    <w:rsid w:val="00846017"/>
    <w:rsid w:val="008464F2"/>
    <w:rsid w:val="00847726"/>
    <w:rsid w:val="00851033"/>
    <w:rsid w:val="00851A55"/>
    <w:rsid w:val="00851CB1"/>
    <w:rsid w:val="00852511"/>
    <w:rsid w:val="0085252F"/>
    <w:rsid w:val="00853FD6"/>
    <w:rsid w:val="00855F22"/>
    <w:rsid w:val="00855FD0"/>
    <w:rsid w:val="0085658E"/>
    <w:rsid w:val="008568E6"/>
    <w:rsid w:val="00857408"/>
    <w:rsid w:val="008578A9"/>
    <w:rsid w:val="00860338"/>
    <w:rsid w:val="0086072A"/>
    <w:rsid w:val="0086088F"/>
    <w:rsid w:val="008614F1"/>
    <w:rsid w:val="008639B3"/>
    <w:rsid w:val="00863C1A"/>
    <w:rsid w:val="00863F9D"/>
    <w:rsid w:val="0086470F"/>
    <w:rsid w:val="00865882"/>
    <w:rsid w:val="00866CDD"/>
    <w:rsid w:val="0087082E"/>
    <w:rsid w:val="008712FE"/>
    <w:rsid w:val="0087142D"/>
    <w:rsid w:val="00872928"/>
    <w:rsid w:val="00872DA6"/>
    <w:rsid w:val="00873416"/>
    <w:rsid w:val="00873956"/>
    <w:rsid w:val="0087538C"/>
    <w:rsid w:val="00875495"/>
    <w:rsid w:val="00875A71"/>
    <w:rsid w:val="00875CB0"/>
    <w:rsid w:val="008762E7"/>
    <w:rsid w:val="008770CC"/>
    <w:rsid w:val="00877800"/>
    <w:rsid w:val="00877C32"/>
    <w:rsid w:val="00880580"/>
    <w:rsid w:val="0088094B"/>
    <w:rsid w:val="00880E72"/>
    <w:rsid w:val="0088176E"/>
    <w:rsid w:val="008825EE"/>
    <w:rsid w:val="00882DE4"/>
    <w:rsid w:val="0088313E"/>
    <w:rsid w:val="008849B2"/>
    <w:rsid w:val="0088596E"/>
    <w:rsid w:val="00885D26"/>
    <w:rsid w:val="00886C54"/>
    <w:rsid w:val="008870ED"/>
    <w:rsid w:val="008877FC"/>
    <w:rsid w:val="00890E72"/>
    <w:rsid w:val="00892132"/>
    <w:rsid w:val="008947FF"/>
    <w:rsid w:val="0089796A"/>
    <w:rsid w:val="0089799B"/>
    <w:rsid w:val="008979FA"/>
    <w:rsid w:val="008A2375"/>
    <w:rsid w:val="008A54B6"/>
    <w:rsid w:val="008A7DEB"/>
    <w:rsid w:val="008B1B65"/>
    <w:rsid w:val="008B2185"/>
    <w:rsid w:val="008B3182"/>
    <w:rsid w:val="008B3557"/>
    <w:rsid w:val="008B39E0"/>
    <w:rsid w:val="008B4302"/>
    <w:rsid w:val="008B605A"/>
    <w:rsid w:val="008B6086"/>
    <w:rsid w:val="008B760D"/>
    <w:rsid w:val="008C093B"/>
    <w:rsid w:val="008C0E76"/>
    <w:rsid w:val="008C2665"/>
    <w:rsid w:val="008C6041"/>
    <w:rsid w:val="008C74E3"/>
    <w:rsid w:val="008D0936"/>
    <w:rsid w:val="008D403B"/>
    <w:rsid w:val="008D4707"/>
    <w:rsid w:val="008D764F"/>
    <w:rsid w:val="008D76C5"/>
    <w:rsid w:val="008E0A04"/>
    <w:rsid w:val="008E0AFA"/>
    <w:rsid w:val="008E28BD"/>
    <w:rsid w:val="008E2C6D"/>
    <w:rsid w:val="008E4F56"/>
    <w:rsid w:val="008E6661"/>
    <w:rsid w:val="008E75D3"/>
    <w:rsid w:val="008F02E9"/>
    <w:rsid w:val="008F076A"/>
    <w:rsid w:val="008F0CE4"/>
    <w:rsid w:val="008F125E"/>
    <w:rsid w:val="008F1CC5"/>
    <w:rsid w:val="008F2444"/>
    <w:rsid w:val="008F2B54"/>
    <w:rsid w:val="008F2CC5"/>
    <w:rsid w:val="008F4C1E"/>
    <w:rsid w:val="008F4D2F"/>
    <w:rsid w:val="008F510A"/>
    <w:rsid w:val="008F55A2"/>
    <w:rsid w:val="00900235"/>
    <w:rsid w:val="00900D3C"/>
    <w:rsid w:val="00901B3A"/>
    <w:rsid w:val="00906292"/>
    <w:rsid w:val="0091352F"/>
    <w:rsid w:val="00914B5B"/>
    <w:rsid w:val="009152B8"/>
    <w:rsid w:val="00917162"/>
    <w:rsid w:val="009172B9"/>
    <w:rsid w:val="009178AA"/>
    <w:rsid w:val="00920430"/>
    <w:rsid w:val="00921C0C"/>
    <w:rsid w:val="00923001"/>
    <w:rsid w:val="0092358D"/>
    <w:rsid w:val="009238BF"/>
    <w:rsid w:val="009251CC"/>
    <w:rsid w:val="0092680D"/>
    <w:rsid w:val="0092714E"/>
    <w:rsid w:val="00927661"/>
    <w:rsid w:val="00931E24"/>
    <w:rsid w:val="009324F0"/>
    <w:rsid w:val="00933130"/>
    <w:rsid w:val="0093478F"/>
    <w:rsid w:val="00936826"/>
    <w:rsid w:val="0093743B"/>
    <w:rsid w:val="00940B3D"/>
    <w:rsid w:val="00942002"/>
    <w:rsid w:val="00942359"/>
    <w:rsid w:val="0094623A"/>
    <w:rsid w:val="00946FC5"/>
    <w:rsid w:val="00947885"/>
    <w:rsid w:val="009504AB"/>
    <w:rsid w:val="00951212"/>
    <w:rsid w:val="00951818"/>
    <w:rsid w:val="00952168"/>
    <w:rsid w:val="009527FE"/>
    <w:rsid w:val="009529B2"/>
    <w:rsid w:val="009535A6"/>
    <w:rsid w:val="009538D0"/>
    <w:rsid w:val="0095421F"/>
    <w:rsid w:val="009555CA"/>
    <w:rsid w:val="00955D69"/>
    <w:rsid w:val="00957D2C"/>
    <w:rsid w:val="00960319"/>
    <w:rsid w:val="00960539"/>
    <w:rsid w:val="009605B1"/>
    <w:rsid w:val="00960CBC"/>
    <w:rsid w:val="00962591"/>
    <w:rsid w:val="00962AD4"/>
    <w:rsid w:val="00963A06"/>
    <w:rsid w:val="00965192"/>
    <w:rsid w:val="00967DD4"/>
    <w:rsid w:val="009700B1"/>
    <w:rsid w:val="00970D6F"/>
    <w:rsid w:val="00970ECF"/>
    <w:rsid w:val="00971261"/>
    <w:rsid w:val="00971FD4"/>
    <w:rsid w:val="009722CB"/>
    <w:rsid w:val="009739A0"/>
    <w:rsid w:val="00974EE4"/>
    <w:rsid w:val="00974F84"/>
    <w:rsid w:val="00975D5B"/>
    <w:rsid w:val="00976216"/>
    <w:rsid w:val="009767C7"/>
    <w:rsid w:val="00977D30"/>
    <w:rsid w:val="00980E69"/>
    <w:rsid w:val="0098334C"/>
    <w:rsid w:val="00984643"/>
    <w:rsid w:val="0098576C"/>
    <w:rsid w:val="0098579A"/>
    <w:rsid w:val="00991475"/>
    <w:rsid w:val="009918DD"/>
    <w:rsid w:val="0099195A"/>
    <w:rsid w:val="00991BD2"/>
    <w:rsid w:val="00992407"/>
    <w:rsid w:val="00992A11"/>
    <w:rsid w:val="00994681"/>
    <w:rsid w:val="0099486A"/>
    <w:rsid w:val="00994EFB"/>
    <w:rsid w:val="009954D8"/>
    <w:rsid w:val="00997239"/>
    <w:rsid w:val="009A0B33"/>
    <w:rsid w:val="009A0E26"/>
    <w:rsid w:val="009A16EC"/>
    <w:rsid w:val="009A22C2"/>
    <w:rsid w:val="009A743E"/>
    <w:rsid w:val="009A7CF6"/>
    <w:rsid w:val="009B10F6"/>
    <w:rsid w:val="009B1B55"/>
    <w:rsid w:val="009B29B7"/>
    <w:rsid w:val="009B3199"/>
    <w:rsid w:val="009B3B37"/>
    <w:rsid w:val="009B63F4"/>
    <w:rsid w:val="009B7D1F"/>
    <w:rsid w:val="009C088E"/>
    <w:rsid w:val="009C17DC"/>
    <w:rsid w:val="009C37AB"/>
    <w:rsid w:val="009C4C7A"/>
    <w:rsid w:val="009C4D35"/>
    <w:rsid w:val="009C5E51"/>
    <w:rsid w:val="009C6158"/>
    <w:rsid w:val="009C75A2"/>
    <w:rsid w:val="009C7B68"/>
    <w:rsid w:val="009D1522"/>
    <w:rsid w:val="009D51F0"/>
    <w:rsid w:val="009D61DC"/>
    <w:rsid w:val="009D7252"/>
    <w:rsid w:val="009D7652"/>
    <w:rsid w:val="009E1FF6"/>
    <w:rsid w:val="009E3CAF"/>
    <w:rsid w:val="009E3E5E"/>
    <w:rsid w:val="009E3F48"/>
    <w:rsid w:val="009E53A5"/>
    <w:rsid w:val="009E5EB4"/>
    <w:rsid w:val="009E7B37"/>
    <w:rsid w:val="009F4451"/>
    <w:rsid w:val="009F563C"/>
    <w:rsid w:val="009F610E"/>
    <w:rsid w:val="00A00DA9"/>
    <w:rsid w:val="00A00F7E"/>
    <w:rsid w:val="00A044D6"/>
    <w:rsid w:val="00A04ADB"/>
    <w:rsid w:val="00A04D8F"/>
    <w:rsid w:val="00A04F89"/>
    <w:rsid w:val="00A05F11"/>
    <w:rsid w:val="00A11E0F"/>
    <w:rsid w:val="00A12378"/>
    <w:rsid w:val="00A141E9"/>
    <w:rsid w:val="00A15B6B"/>
    <w:rsid w:val="00A15D78"/>
    <w:rsid w:val="00A15EBE"/>
    <w:rsid w:val="00A17F5B"/>
    <w:rsid w:val="00A216E5"/>
    <w:rsid w:val="00A25165"/>
    <w:rsid w:val="00A25F5B"/>
    <w:rsid w:val="00A26744"/>
    <w:rsid w:val="00A26CB6"/>
    <w:rsid w:val="00A2751B"/>
    <w:rsid w:val="00A30A00"/>
    <w:rsid w:val="00A316D9"/>
    <w:rsid w:val="00A32F82"/>
    <w:rsid w:val="00A32F8B"/>
    <w:rsid w:val="00A34F9F"/>
    <w:rsid w:val="00A36481"/>
    <w:rsid w:val="00A36675"/>
    <w:rsid w:val="00A3756F"/>
    <w:rsid w:val="00A42D6F"/>
    <w:rsid w:val="00A43870"/>
    <w:rsid w:val="00A4474B"/>
    <w:rsid w:val="00A45A62"/>
    <w:rsid w:val="00A462DC"/>
    <w:rsid w:val="00A4657C"/>
    <w:rsid w:val="00A51DB8"/>
    <w:rsid w:val="00A52E0B"/>
    <w:rsid w:val="00A52FA1"/>
    <w:rsid w:val="00A540B0"/>
    <w:rsid w:val="00A54AC5"/>
    <w:rsid w:val="00A54C2A"/>
    <w:rsid w:val="00A54D12"/>
    <w:rsid w:val="00A55DC3"/>
    <w:rsid w:val="00A56D41"/>
    <w:rsid w:val="00A56DEC"/>
    <w:rsid w:val="00A60529"/>
    <w:rsid w:val="00A60899"/>
    <w:rsid w:val="00A608D3"/>
    <w:rsid w:val="00A60F91"/>
    <w:rsid w:val="00A61353"/>
    <w:rsid w:val="00A61481"/>
    <w:rsid w:val="00A616F1"/>
    <w:rsid w:val="00A61A48"/>
    <w:rsid w:val="00A629D6"/>
    <w:rsid w:val="00A63035"/>
    <w:rsid w:val="00A637C9"/>
    <w:rsid w:val="00A66DB1"/>
    <w:rsid w:val="00A67A92"/>
    <w:rsid w:val="00A70DC6"/>
    <w:rsid w:val="00A7315C"/>
    <w:rsid w:val="00A7420B"/>
    <w:rsid w:val="00A74FDC"/>
    <w:rsid w:val="00A77192"/>
    <w:rsid w:val="00A8089F"/>
    <w:rsid w:val="00A81C0A"/>
    <w:rsid w:val="00A820BE"/>
    <w:rsid w:val="00A842D5"/>
    <w:rsid w:val="00A87870"/>
    <w:rsid w:val="00A903F3"/>
    <w:rsid w:val="00A90F18"/>
    <w:rsid w:val="00A90FFB"/>
    <w:rsid w:val="00A9149D"/>
    <w:rsid w:val="00A91A70"/>
    <w:rsid w:val="00A92FCD"/>
    <w:rsid w:val="00A9302F"/>
    <w:rsid w:val="00A957F6"/>
    <w:rsid w:val="00A959CF"/>
    <w:rsid w:val="00A9635E"/>
    <w:rsid w:val="00A97316"/>
    <w:rsid w:val="00A97BD8"/>
    <w:rsid w:val="00AA010B"/>
    <w:rsid w:val="00AA0D54"/>
    <w:rsid w:val="00AA1B85"/>
    <w:rsid w:val="00AA3290"/>
    <w:rsid w:val="00AA46F0"/>
    <w:rsid w:val="00AA6481"/>
    <w:rsid w:val="00AA7270"/>
    <w:rsid w:val="00AB08B8"/>
    <w:rsid w:val="00AB0C08"/>
    <w:rsid w:val="00AB12AC"/>
    <w:rsid w:val="00AB1CB6"/>
    <w:rsid w:val="00AB1D9A"/>
    <w:rsid w:val="00AB4A1F"/>
    <w:rsid w:val="00AB5C61"/>
    <w:rsid w:val="00AB7EAC"/>
    <w:rsid w:val="00AC304D"/>
    <w:rsid w:val="00AC33D2"/>
    <w:rsid w:val="00AC3540"/>
    <w:rsid w:val="00AC3D15"/>
    <w:rsid w:val="00AC5055"/>
    <w:rsid w:val="00AC5315"/>
    <w:rsid w:val="00AC7D60"/>
    <w:rsid w:val="00AD0A8D"/>
    <w:rsid w:val="00AD0C22"/>
    <w:rsid w:val="00AD1AD7"/>
    <w:rsid w:val="00AD1AE2"/>
    <w:rsid w:val="00AD3290"/>
    <w:rsid w:val="00AD442C"/>
    <w:rsid w:val="00AD44FE"/>
    <w:rsid w:val="00AD5A37"/>
    <w:rsid w:val="00AD6B50"/>
    <w:rsid w:val="00AE05A4"/>
    <w:rsid w:val="00AE177E"/>
    <w:rsid w:val="00AE25FC"/>
    <w:rsid w:val="00AE400C"/>
    <w:rsid w:val="00AE49F1"/>
    <w:rsid w:val="00AE4A1C"/>
    <w:rsid w:val="00AE4B7A"/>
    <w:rsid w:val="00AE5532"/>
    <w:rsid w:val="00AE74D8"/>
    <w:rsid w:val="00AF0B6F"/>
    <w:rsid w:val="00AF0F75"/>
    <w:rsid w:val="00AF1D69"/>
    <w:rsid w:val="00AF23A8"/>
    <w:rsid w:val="00AF30D0"/>
    <w:rsid w:val="00AF41FA"/>
    <w:rsid w:val="00AF4796"/>
    <w:rsid w:val="00AF650E"/>
    <w:rsid w:val="00AF71EB"/>
    <w:rsid w:val="00B00988"/>
    <w:rsid w:val="00B01405"/>
    <w:rsid w:val="00B027BA"/>
    <w:rsid w:val="00B052E8"/>
    <w:rsid w:val="00B05CCA"/>
    <w:rsid w:val="00B05ECC"/>
    <w:rsid w:val="00B06DC3"/>
    <w:rsid w:val="00B100C9"/>
    <w:rsid w:val="00B11099"/>
    <w:rsid w:val="00B116B7"/>
    <w:rsid w:val="00B14271"/>
    <w:rsid w:val="00B16270"/>
    <w:rsid w:val="00B20182"/>
    <w:rsid w:val="00B22578"/>
    <w:rsid w:val="00B2292F"/>
    <w:rsid w:val="00B23C16"/>
    <w:rsid w:val="00B23C52"/>
    <w:rsid w:val="00B24E86"/>
    <w:rsid w:val="00B259E1"/>
    <w:rsid w:val="00B2685D"/>
    <w:rsid w:val="00B26D1E"/>
    <w:rsid w:val="00B26EE8"/>
    <w:rsid w:val="00B30351"/>
    <w:rsid w:val="00B312F1"/>
    <w:rsid w:val="00B33837"/>
    <w:rsid w:val="00B33C2A"/>
    <w:rsid w:val="00B349F7"/>
    <w:rsid w:val="00B34A14"/>
    <w:rsid w:val="00B35967"/>
    <w:rsid w:val="00B35CBA"/>
    <w:rsid w:val="00B363D9"/>
    <w:rsid w:val="00B416D1"/>
    <w:rsid w:val="00B422EC"/>
    <w:rsid w:val="00B44875"/>
    <w:rsid w:val="00B44C07"/>
    <w:rsid w:val="00B46320"/>
    <w:rsid w:val="00B4657A"/>
    <w:rsid w:val="00B47F0A"/>
    <w:rsid w:val="00B50B6B"/>
    <w:rsid w:val="00B51D75"/>
    <w:rsid w:val="00B54329"/>
    <w:rsid w:val="00B54885"/>
    <w:rsid w:val="00B54BFF"/>
    <w:rsid w:val="00B554C9"/>
    <w:rsid w:val="00B56AD9"/>
    <w:rsid w:val="00B5714F"/>
    <w:rsid w:val="00B57158"/>
    <w:rsid w:val="00B5778D"/>
    <w:rsid w:val="00B60827"/>
    <w:rsid w:val="00B61117"/>
    <w:rsid w:val="00B614C0"/>
    <w:rsid w:val="00B61EBB"/>
    <w:rsid w:val="00B634AB"/>
    <w:rsid w:val="00B63624"/>
    <w:rsid w:val="00B671E3"/>
    <w:rsid w:val="00B7037B"/>
    <w:rsid w:val="00B719F6"/>
    <w:rsid w:val="00B726D4"/>
    <w:rsid w:val="00B72969"/>
    <w:rsid w:val="00B73A2D"/>
    <w:rsid w:val="00B758FD"/>
    <w:rsid w:val="00B76807"/>
    <w:rsid w:val="00B769E6"/>
    <w:rsid w:val="00B77D24"/>
    <w:rsid w:val="00B8214F"/>
    <w:rsid w:val="00B82B43"/>
    <w:rsid w:val="00B82B48"/>
    <w:rsid w:val="00B84956"/>
    <w:rsid w:val="00B84F2C"/>
    <w:rsid w:val="00B85133"/>
    <w:rsid w:val="00B8643A"/>
    <w:rsid w:val="00B86A4F"/>
    <w:rsid w:val="00B91786"/>
    <w:rsid w:val="00B93035"/>
    <w:rsid w:val="00B93D17"/>
    <w:rsid w:val="00B940EB"/>
    <w:rsid w:val="00B9431C"/>
    <w:rsid w:val="00B95798"/>
    <w:rsid w:val="00B958E8"/>
    <w:rsid w:val="00B97E4A"/>
    <w:rsid w:val="00BA09B2"/>
    <w:rsid w:val="00BA0F35"/>
    <w:rsid w:val="00BA397D"/>
    <w:rsid w:val="00BA465D"/>
    <w:rsid w:val="00BA52C0"/>
    <w:rsid w:val="00BA5B46"/>
    <w:rsid w:val="00BA621C"/>
    <w:rsid w:val="00BA63D4"/>
    <w:rsid w:val="00BB2D73"/>
    <w:rsid w:val="00BB400D"/>
    <w:rsid w:val="00BB45BA"/>
    <w:rsid w:val="00BB48B2"/>
    <w:rsid w:val="00BB4A3A"/>
    <w:rsid w:val="00BB5D0B"/>
    <w:rsid w:val="00BB629C"/>
    <w:rsid w:val="00BC0995"/>
    <w:rsid w:val="00BC1761"/>
    <w:rsid w:val="00BC19ED"/>
    <w:rsid w:val="00BC513A"/>
    <w:rsid w:val="00BC6C56"/>
    <w:rsid w:val="00BC6DE2"/>
    <w:rsid w:val="00BC6E62"/>
    <w:rsid w:val="00BD013A"/>
    <w:rsid w:val="00BD2510"/>
    <w:rsid w:val="00BD3A53"/>
    <w:rsid w:val="00BD4ECD"/>
    <w:rsid w:val="00BD5A19"/>
    <w:rsid w:val="00BD6539"/>
    <w:rsid w:val="00BD656A"/>
    <w:rsid w:val="00BD6D1B"/>
    <w:rsid w:val="00BE2403"/>
    <w:rsid w:val="00BE2D0A"/>
    <w:rsid w:val="00BE47D4"/>
    <w:rsid w:val="00BE66DB"/>
    <w:rsid w:val="00BE793A"/>
    <w:rsid w:val="00BE7A0B"/>
    <w:rsid w:val="00BF114D"/>
    <w:rsid w:val="00BF1B93"/>
    <w:rsid w:val="00BF2B82"/>
    <w:rsid w:val="00BF2CEB"/>
    <w:rsid w:val="00BF432A"/>
    <w:rsid w:val="00BF66DA"/>
    <w:rsid w:val="00BF6E82"/>
    <w:rsid w:val="00C00325"/>
    <w:rsid w:val="00C0361D"/>
    <w:rsid w:val="00C041A4"/>
    <w:rsid w:val="00C060C7"/>
    <w:rsid w:val="00C06DCC"/>
    <w:rsid w:val="00C07F92"/>
    <w:rsid w:val="00C10EA4"/>
    <w:rsid w:val="00C11D25"/>
    <w:rsid w:val="00C13217"/>
    <w:rsid w:val="00C15BEC"/>
    <w:rsid w:val="00C15DB5"/>
    <w:rsid w:val="00C208E2"/>
    <w:rsid w:val="00C21874"/>
    <w:rsid w:val="00C21897"/>
    <w:rsid w:val="00C2288E"/>
    <w:rsid w:val="00C22B54"/>
    <w:rsid w:val="00C22CEA"/>
    <w:rsid w:val="00C22F1F"/>
    <w:rsid w:val="00C24279"/>
    <w:rsid w:val="00C249E3"/>
    <w:rsid w:val="00C24C17"/>
    <w:rsid w:val="00C27C4A"/>
    <w:rsid w:val="00C31595"/>
    <w:rsid w:val="00C31B25"/>
    <w:rsid w:val="00C3309D"/>
    <w:rsid w:val="00C3411D"/>
    <w:rsid w:val="00C34357"/>
    <w:rsid w:val="00C34829"/>
    <w:rsid w:val="00C363B8"/>
    <w:rsid w:val="00C3758F"/>
    <w:rsid w:val="00C40B88"/>
    <w:rsid w:val="00C43DDD"/>
    <w:rsid w:val="00C44489"/>
    <w:rsid w:val="00C44FC2"/>
    <w:rsid w:val="00C47D87"/>
    <w:rsid w:val="00C47FCD"/>
    <w:rsid w:val="00C50FA6"/>
    <w:rsid w:val="00C53430"/>
    <w:rsid w:val="00C5376E"/>
    <w:rsid w:val="00C549AA"/>
    <w:rsid w:val="00C554C1"/>
    <w:rsid w:val="00C558F2"/>
    <w:rsid w:val="00C55AEE"/>
    <w:rsid w:val="00C5701B"/>
    <w:rsid w:val="00C6069A"/>
    <w:rsid w:val="00C61501"/>
    <w:rsid w:val="00C61BDC"/>
    <w:rsid w:val="00C64D40"/>
    <w:rsid w:val="00C65957"/>
    <w:rsid w:val="00C66218"/>
    <w:rsid w:val="00C677C9"/>
    <w:rsid w:val="00C70B76"/>
    <w:rsid w:val="00C70DBC"/>
    <w:rsid w:val="00C70FB7"/>
    <w:rsid w:val="00C71E80"/>
    <w:rsid w:val="00C75DCE"/>
    <w:rsid w:val="00C7750A"/>
    <w:rsid w:val="00C808A6"/>
    <w:rsid w:val="00C83BA4"/>
    <w:rsid w:val="00C84AC6"/>
    <w:rsid w:val="00C855DB"/>
    <w:rsid w:val="00C855F3"/>
    <w:rsid w:val="00C86270"/>
    <w:rsid w:val="00C90C20"/>
    <w:rsid w:val="00C9109C"/>
    <w:rsid w:val="00C948CF"/>
    <w:rsid w:val="00C95798"/>
    <w:rsid w:val="00C95A74"/>
    <w:rsid w:val="00C97091"/>
    <w:rsid w:val="00C97260"/>
    <w:rsid w:val="00C97391"/>
    <w:rsid w:val="00CA14A5"/>
    <w:rsid w:val="00CA14DA"/>
    <w:rsid w:val="00CA1AB8"/>
    <w:rsid w:val="00CA2001"/>
    <w:rsid w:val="00CA2B10"/>
    <w:rsid w:val="00CA3F11"/>
    <w:rsid w:val="00CA5256"/>
    <w:rsid w:val="00CA5564"/>
    <w:rsid w:val="00CB078E"/>
    <w:rsid w:val="00CB3782"/>
    <w:rsid w:val="00CB4D20"/>
    <w:rsid w:val="00CB5B6C"/>
    <w:rsid w:val="00CB60EF"/>
    <w:rsid w:val="00CB74E3"/>
    <w:rsid w:val="00CC052E"/>
    <w:rsid w:val="00CC06E5"/>
    <w:rsid w:val="00CC0B14"/>
    <w:rsid w:val="00CC5B9C"/>
    <w:rsid w:val="00CD02DF"/>
    <w:rsid w:val="00CD10A5"/>
    <w:rsid w:val="00CD16BE"/>
    <w:rsid w:val="00CD179F"/>
    <w:rsid w:val="00CD1F32"/>
    <w:rsid w:val="00CD2268"/>
    <w:rsid w:val="00CD4616"/>
    <w:rsid w:val="00CD50DC"/>
    <w:rsid w:val="00CD56AF"/>
    <w:rsid w:val="00CD5FFA"/>
    <w:rsid w:val="00CD608B"/>
    <w:rsid w:val="00CD61BB"/>
    <w:rsid w:val="00CE32F0"/>
    <w:rsid w:val="00CE33D5"/>
    <w:rsid w:val="00CE4712"/>
    <w:rsid w:val="00CE6073"/>
    <w:rsid w:val="00CE761C"/>
    <w:rsid w:val="00CF568C"/>
    <w:rsid w:val="00CF5D37"/>
    <w:rsid w:val="00CF6353"/>
    <w:rsid w:val="00CF6F33"/>
    <w:rsid w:val="00D02248"/>
    <w:rsid w:val="00D04429"/>
    <w:rsid w:val="00D04B47"/>
    <w:rsid w:val="00D04E37"/>
    <w:rsid w:val="00D063B8"/>
    <w:rsid w:val="00D06825"/>
    <w:rsid w:val="00D0702E"/>
    <w:rsid w:val="00D07467"/>
    <w:rsid w:val="00D076E6"/>
    <w:rsid w:val="00D1044F"/>
    <w:rsid w:val="00D106BD"/>
    <w:rsid w:val="00D14E64"/>
    <w:rsid w:val="00D17185"/>
    <w:rsid w:val="00D17D02"/>
    <w:rsid w:val="00D17E3B"/>
    <w:rsid w:val="00D22A9A"/>
    <w:rsid w:val="00D2306F"/>
    <w:rsid w:val="00D23C09"/>
    <w:rsid w:val="00D23CED"/>
    <w:rsid w:val="00D241D1"/>
    <w:rsid w:val="00D24BD2"/>
    <w:rsid w:val="00D24F2C"/>
    <w:rsid w:val="00D254F7"/>
    <w:rsid w:val="00D2573D"/>
    <w:rsid w:val="00D260A2"/>
    <w:rsid w:val="00D30CC6"/>
    <w:rsid w:val="00D30DA4"/>
    <w:rsid w:val="00D31722"/>
    <w:rsid w:val="00D3260C"/>
    <w:rsid w:val="00D3391A"/>
    <w:rsid w:val="00D33DB5"/>
    <w:rsid w:val="00D35790"/>
    <w:rsid w:val="00D41276"/>
    <w:rsid w:val="00D41971"/>
    <w:rsid w:val="00D442D5"/>
    <w:rsid w:val="00D45043"/>
    <w:rsid w:val="00D51576"/>
    <w:rsid w:val="00D519AF"/>
    <w:rsid w:val="00D532A9"/>
    <w:rsid w:val="00D5437A"/>
    <w:rsid w:val="00D5611E"/>
    <w:rsid w:val="00D5653B"/>
    <w:rsid w:val="00D56C30"/>
    <w:rsid w:val="00D5726D"/>
    <w:rsid w:val="00D572AC"/>
    <w:rsid w:val="00D6071F"/>
    <w:rsid w:val="00D61D6E"/>
    <w:rsid w:val="00D62580"/>
    <w:rsid w:val="00D62EF1"/>
    <w:rsid w:val="00D6309D"/>
    <w:rsid w:val="00D644CA"/>
    <w:rsid w:val="00D64961"/>
    <w:rsid w:val="00D64EA0"/>
    <w:rsid w:val="00D669E9"/>
    <w:rsid w:val="00D66FC2"/>
    <w:rsid w:val="00D7044E"/>
    <w:rsid w:val="00D704A8"/>
    <w:rsid w:val="00D76C7E"/>
    <w:rsid w:val="00D771DE"/>
    <w:rsid w:val="00D7776D"/>
    <w:rsid w:val="00D77ADC"/>
    <w:rsid w:val="00D81AEF"/>
    <w:rsid w:val="00D82A42"/>
    <w:rsid w:val="00D834F1"/>
    <w:rsid w:val="00D83609"/>
    <w:rsid w:val="00D83AA6"/>
    <w:rsid w:val="00D85C0D"/>
    <w:rsid w:val="00D866CB"/>
    <w:rsid w:val="00D86909"/>
    <w:rsid w:val="00D87A9A"/>
    <w:rsid w:val="00D87E39"/>
    <w:rsid w:val="00D90625"/>
    <w:rsid w:val="00D909F8"/>
    <w:rsid w:val="00D9152C"/>
    <w:rsid w:val="00D92179"/>
    <w:rsid w:val="00D922C6"/>
    <w:rsid w:val="00D9293F"/>
    <w:rsid w:val="00D92C6A"/>
    <w:rsid w:val="00D92DE7"/>
    <w:rsid w:val="00D93598"/>
    <w:rsid w:val="00D93B82"/>
    <w:rsid w:val="00D93FDD"/>
    <w:rsid w:val="00D94253"/>
    <w:rsid w:val="00D942F8"/>
    <w:rsid w:val="00D96FA9"/>
    <w:rsid w:val="00D97A5B"/>
    <w:rsid w:val="00D97D9B"/>
    <w:rsid w:val="00DA1E18"/>
    <w:rsid w:val="00DA2009"/>
    <w:rsid w:val="00DA3F5E"/>
    <w:rsid w:val="00DA585A"/>
    <w:rsid w:val="00DA6DF7"/>
    <w:rsid w:val="00DA7741"/>
    <w:rsid w:val="00DA7769"/>
    <w:rsid w:val="00DB01C3"/>
    <w:rsid w:val="00DB05B1"/>
    <w:rsid w:val="00DB2823"/>
    <w:rsid w:val="00DB2D74"/>
    <w:rsid w:val="00DB3786"/>
    <w:rsid w:val="00DB59E8"/>
    <w:rsid w:val="00DB5A79"/>
    <w:rsid w:val="00DB638B"/>
    <w:rsid w:val="00DC2465"/>
    <w:rsid w:val="00DC4BCA"/>
    <w:rsid w:val="00DC5E2C"/>
    <w:rsid w:val="00DC7D48"/>
    <w:rsid w:val="00DD0253"/>
    <w:rsid w:val="00DD145A"/>
    <w:rsid w:val="00DD512E"/>
    <w:rsid w:val="00DD5EC8"/>
    <w:rsid w:val="00DD5FF5"/>
    <w:rsid w:val="00DD61D4"/>
    <w:rsid w:val="00DD7BEC"/>
    <w:rsid w:val="00DE083E"/>
    <w:rsid w:val="00DE0C22"/>
    <w:rsid w:val="00DE1177"/>
    <w:rsid w:val="00DE2CEA"/>
    <w:rsid w:val="00DE3CFE"/>
    <w:rsid w:val="00DE4DB3"/>
    <w:rsid w:val="00DE4F86"/>
    <w:rsid w:val="00DE567C"/>
    <w:rsid w:val="00DE6154"/>
    <w:rsid w:val="00DE634D"/>
    <w:rsid w:val="00DE6A3C"/>
    <w:rsid w:val="00DE74F4"/>
    <w:rsid w:val="00DE7C8B"/>
    <w:rsid w:val="00DE7F97"/>
    <w:rsid w:val="00DF0AAF"/>
    <w:rsid w:val="00DF1010"/>
    <w:rsid w:val="00DF2244"/>
    <w:rsid w:val="00DF334D"/>
    <w:rsid w:val="00DF53D9"/>
    <w:rsid w:val="00DF5AEA"/>
    <w:rsid w:val="00DF5D49"/>
    <w:rsid w:val="00DF63F6"/>
    <w:rsid w:val="00DF7992"/>
    <w:rsid w:val="00DF7BD0"/>
    <w:rsid w:val="00E00C8E"/>
    <w:rsid w:val="00E0219D"/>
    <w:rsid w:val="00E0276A"/>
    <w:rsid w:val="00E0374B"/>
    <w:rsid w:val="00E0392F"/>
    <w:rsid w:val="00E0632F"/>
    <w:rsid w:val="00E06C36"/>
    <w:rsid w:val="00E071A9"/>
    <w:rsid w:val="00E07D26"/>
    <w:rsid w:val="00E10047"/>
    <w:rsid w:val="00E10B28"/>
    <w:rsid w:val="00E117FD"/>
    <w:rsid w:val="00E13747"/>
    <w:rsid w:val="00E14758"/>
    <w:rsid w:val="00E16BDE"/>
    <w:rsid w:val="00E21088"/>
    <w:rsid w:val="00E21F5D"/>
    <w:rsid w:val="00E22B1C"/>
    <w:rsid w:val="00E23C5E"/>
    <w:rsid w:val="00E23E29"/>
    <w:rsid w:val="00E24632"/>
    <w:rsid w:val="00E25155"/>
    <w:rsid w:val="00E25AEA"/>
    <w:rsid w:val="00E27C2C"/>
    <w:rsid w:val="00E30D26"/>
    <w:rsid w:val="00E30DEF"/>
    <w:rsid w:val="00E30ED2"/>
    <w:rsid w:val="00E31276"/>
    <w:rsid w:val="00E3155D"/>
    <w:rsid w:val="00E32102"/>
    <w:rsid w:val="00E34666"/>
    <w:rsid w:val="00E349A2"/>
    <w:rsid w:val="00E36A66"/>
    <w:rsid w:val="00E37F70"/>
    <w:rsid w:val="00E41377"/>
    <w:rsid w:val="00E41985"/>
    <w:rsid w:val="00E42B89"/>
    <w:rsid w:val="00E430B8"/>
    <w:rsid w:val="00E446C1"/>
    <w:rsid w:val="00E46BCD"/>
    <w:rsid w:val="00E51CCC"/>
    <w:rsid w:val="00E52079"/>
    <w:rsid w:val="00E52FC7"/>
    <w:rsid w:val="00E545D7"/>
    <w:rsid w:val="00E547FE"/>
    <w:rsid w:val="00E54960"/>
    <w:rsid w:val="00E55447"/>
    <w:rsid w:val="00E55927"/>
    <w:rsid w:val="00E5669C"/>
    <w:rsid w:val="00E570D4"/>
    <w:rsid w:val="00E60ECA"/>
    <w:rsid w:val="00E613AB"/>
    <w:rsid w:val="00E637B6"/>
    <w:rsid w:val="00E6487C"/>
    <w:rsid w:val="00E654A9"/>
    <w:rsid w:val="00E658DC"/>
    <w:rsid w:val="00E663B6"/>
    <w:rsid w:val="00E66B13"/>
    <w:rsid w:val="00E66BBE"/>
    <w:rsid w:val="00E6780D"/>
    <w:rsid w:val="00E71DFE"/>
    <w:rsid w:val="00E728D3"/>
    <w:rsid w:val="00E72BDE"/>
    <w:rsid w:val="00E73083"/>
    <w:rsid w:val="00E758B9"/>
    <w:rsid w:val="00E76025"/>
    <w:rsid w:val="00E76B45"/>
    <w:rsid w:val="00E77C00"/>
    <w:rsid w:val="00E810D3"/>
    <w:rsid w:val="00E82FE5"/>
    <w:rsid w:val="00E83724"/>
    <w:rsid w:val="00E84236"/>
    <w:rsid w:val="00E84C02"/>
    <w:rsid w:val="00E85569"/>
    <w:rsid w:val="00E856AF"/>
    <w:rsid w:val="00E859D9"/>
    <w:rsid w:val="00E8607C"/>
    <w:rsid w:val="00E86B83"/>
    <w:rsid w:val="00E86D6E"/>
    <w:rsid w:val="00E878FB"/>
    <w:rsid w:val="00E87976"/>
    <w:rsid w:val="00E87C64"/>
    <w:rsid w:val="00E912E1"/>
    <w:rsid w:val="00E919C3"/>
    <w:rsid w:val="00E92278"/>
    <w:rsid w:val="00E93A01"/>
    <w:rsid w:val="00E93FF8"/>
    <w:rsid w:val="00E948D8"/>
    <w:rsid w:val="00E94EB6"/>
    <w:rsid w:val="00E94F16"/>
    <w:rsid w:val="00E950CA"/>
    <w:rsid w:val="00E95CA8"/>
    <w:rsid w:val="00E96643"/>
    <w:rsid w:val="00E96CE0"/>
    <w:rsid w:val="00E96EAF"/>
    <w:rsid w:val="00E97448"/>
    <w:rsid w:val="00EA044C"/>
    <w:rsid w:val="00EA1752"/>
    <w:rsid w:val="00EA1911"/>
    <w:rsid w:val="00EA1D90"/>
    <w:rsid w:val="00EA371E"/>
    <w:rsid w:val="00EA539B"/>
    <w:rsid w:val="00EA5996"/>
    <w:rsid w:val="00EA5A89"/>
    <w:rsid w:val="00EA5BDB"/>
    <w:rsid w:val="00EA63FA"/>
    <w:rsid w:val="00EA7720"/>
    <w:rsid w:val="00EB0A73"/>
    <w:rsid w:val="00EB0B55"/>
    <w:rsid w:val="00EB254F"/>
    <w:rsid w:val="00EB3A98"/>
    <w:rsid w:val="00EB46D9"/>
    <w:rsid w:val="00EB6EF6"/>
    <w:rsid w:val="00EC0199"/>
    <w:rsid w:val="00EC0E64"/>
    <w:rsid w:val="00EC142D"/>
    <w:rsid w:val="00EC1E16"/>
    <w:rsid w:val="00EC2DD1"/>
    <w:rsid w:val="00EC4A19"/>
    <w:rsid w:val="00EC4BA5"/>
    <w:rsid w:val="00EC52DA"/>
    <w:rsid w:val="00EC6F28"/>
    <w:rsid w:val="00EC7220"/>
    <w:rsid w:val="00ED0024"/>
    <w:rsid w:val="00ED0A0A"/>
    <w:rsid w:val="00ED0EA0"/>
    <w:rsid w:val="00ED0F85"/>
    <w:rsid w:val="00ED1B01"/>
    <w:rsid w:val="00ED2B5C"/>
    <w:rsid w:val="00ED3269"/>
    <w:rsid w:val="00ED3A18"/>
    <w:rsid w:val="00ED3AB7"/>
    <w:rsid w:val="00ED3C57"/>
    <w:rsid w:val="00EE1A8C"/>
    <w:rsid w:val="00EE3FED"/>
    <w:rsid w:val="00EE4643"/>
    <w:rsid w:val="00EE529F"/>
    <w:rsid w:val="00EE65B6"/>
    <w:rsid w:val="00EE7C86"/>
    <w:rsid w:val="00EF1330"/>
    <w:rsid w:val="00EF15FF"/>
    <w:rsid w:val="00EF2D80"/>
    <w:rsid w:val="00EF31D8"/>
    <w:rsid w:val="00EF55E6"/>
    <w:rsid w:val="00EF5707"/>
    <w:rsid w:val="00EF588D"/>
    <w:rsid w:val="00EF66B1"/>
    <w:rsid w:val="00EF67D3"/>
    <w:rsid w:val="00EF6F1F"/>
    <w:rsid w:val="00EF70EC"/>
    <w:rsid w:val="00EF7111"/>
    <w:rsid w:val="00EF7D1A"/>
    <w:rsid w:val="00F02350"/>
    <w:rsid w:val="00F02759"/>
    <w:rsid w:val="00F03B49"/>
    <w:rsid w:val="00F0448F"/>
    <w:rsid w:val="00F0716C"/>
    <w:rsid w:val="00F105AE"/>
    <w:rsid w:val="00F108A8"/>
    <w:rsid w:val="00F13319"/>
    <w:rsid w:val="00F14353"/>
    <w:rsid w:val="00F1628B"/>
    <w:rsid w:val="00F16990"/>
    <w:rsid w:val="00F22E81"/>
    <w:rsid w:val="00F250ED"/>
    <w:rsid w:val="00F270E9"/>
    <w:rsid w:val="00F27440"/>
    <w:rsid w:val="00F275C0"/>
    <w:rsid w:val="00F3011D"/>
    <w:rsid w:val="00F30443"/>
    <w:rsid w:val="00F3048B"/>
    <w:rsid w:val="00F317B5"/>
    <w:rsid w:val="00F33348"/>
    <w:rsid w:val="00F346B6"/>
    <w:rsid w:val="00F34AB1"/>
    <w:rsid w:val="00F36145"/>
    <w:rsid w:val="00F36227"/>
    <w:rsid w:val="00F37BDD"/>
    <w:rsid w:val="00F40716"/>
    <w:rsid w:val="00F41503"/>
    <w:rsid w:val="00F417D4"/>
    <w:rsid w:val="00F41D5C"/>
    <w:rsid w:val="00F432CF"/>
    <w:rsid w:val="00F437FD"/>
    <w:rsid w:val="00F43B69"/>
    <w:rsid w:val="00F4479A"/>
    <w:rsid w:val="00F44D82"/>
    <w:rsid w:val="00F45589"/>
    <w:rsid w:val="00F460F3"/>
    <w:rsid w:val="00F46207"/>
    <w:rsid w:val="00F466C8"/>
    <w:rsid w:val="00F46706"/>
    <w:rsid w:val="00F469A9"/>
    <w:rsid w:val="00F46B50"/>
    <w:rsid w:val="00F47C20"/>
    <w:rsid w:val="00F50B46"/>
    <w:rsid w:val="00F50D1F"/>
    <w:rsid w:val="00F51545"/>
    <w:rsid w:val="00F521DE"/>
    <w:rsid w:val="00F52654"/>
    <w:rsid w:val="00F541D4"/>
    <w:rsid w:val="00F553CE"/>
    <w:rsid w:val="00F56043"/>
    <w:rsid w:val="00F5664E"/>
    <w:rsid w:val="00F56BD8"/>
    <w:rsid w:val="00F56E86"/>
    <w:rsid w:val="00F56FA9"/>
    <w:rsid w:val="00F6171A"/>
    <w:rsid w:val="00F619BA"/>
    <w:rsid w:val="00F62306"/>
    <w:rsid w:val="00F635FC"/>
    <w:rsid w:val="00F63D03"/>
    <w:rsid w:val="00F65E2F"/>
    <w:rsid w:val="00F67385"/>
    <w:rsid w:val="00F67DF1"/>
    <w:rsid w:val="00F7054E"/>
    <w:rsid w:val="00F7137C"/>
    <w:rsid w:val="00F72A09"/>
    <w:rsid w:val="00F74E67"/>
    <w:rsid w:val="00F76734"/>
    <w:rsid w:val="00F76814"/>
    <w:rsid w:val="00F77A5F"/>
    <w:rsid w:val="00F8309B"/>
    <w:rsid w:val="00F833C9"/>
    <w:rsid w:val="00F836C8"/>
    <w:rsid w:val="00F85198"/>
    <w:rsid w:val="00F90064"/>
    <w:rsid w:val="00F90BF7"/>
    <w:rsid w:val="00F94217"/>
    <w:rsid w:val="00F9586C"/>
    <w:rsid w:val="00F96AFD"/>
    <w:rsid w:val="00F96F4C"/>
    <w:rsid w:val="00FA07F4"/>
    <w:rsid w:val="00FA1398"/>
    <w:rsid w:val="00FA1515"/>
    <w:rsid w:val="00FA2053"/>
    <w:rsid w:val="00FA2E19"/>
    <w:rsid w:val="00FA397B"/>
    <w:rsid w:val="00FA3BE7"/>
    <w:rsid w:val="00FA4373"/>
    <w:rsid w:val="00FA4BA0"/>
    <w:rsid w:val="00FA697F"/>
    <w:rsid w:val="00FA6F4C"/>
    <w:rsid w:val="00FA7354"/>
    <w:rsid w:val="00FB0147"/>
    <w:rsid w:val="00FB0F92"/>
    <w:rsid w:val="00FB2FB3"/>
    <w:rsid w:val="00FB3846"/>
    <w:rsid w:val="00FB398A"/>
    <w:rsid w:val="00FB4BF5"/>
    <w:rsid w:val="00FB5059"/>
    <w:rsid w:val="00FB5521"/>
    <w:rsid w:val="00FB610D"/>
    <w:rsid w:val="00FB626E"/>
    <w:rsid w:val="00FB6CA8"/>
    <w:rsid w:val="00FC1E4C"/>
    <w:rsid w:val="00FC4477"/>
    <w:rsid w:val="00FC46FB"/>
    <w:rsid w:val="00FC4DD1"/>
    <w:rsid w:val="00FC7B66"/>
    <w:rsid w:val="00FD0D94"/>
    <w:rsid w:val="00FD106C"/>
    <w:rsid w:val="00FD2BD3"/>
    <w:rsid w:val="00FD2DE3"/>
    <w:rsid w:val="00FD3DEF"/>
    <w:rsid w:val="00FD4CCA"/>
    <w:rsid w:val="00FD58B1"/>
    <w:rsid w:val="00FE00EA"/>
    <w:rsid w:val="00FE04BA"/>
    <w:rsid w:val="00FE234B"/>
    <w:rsid w:val="00FE2A9E"/>
    <w:rsid w:val="00FE34B3"/>
    <w:rsid w:val="00FE46B7"/>
    <w:rsid w:val="00FE4CEC"/>
    <w:rsid w:val="00FE683A"/>
    <w:rsid w:val="00FF0420"/>
    <w:rsid w:val="00FF41B8"/>
    <w:rsid w:val="00FF47C1"/>
    <w:rsid w:val="00FF4F5A"/>
    <w:rsid w:val="00FF5237"/>
    <w:rsid w:val="00FF5629"/>
    <w:rsid w:val="00FF5B79"/>
    <w:rsid w:val="00FF689D"/>
    <w:rsid w:val="06763376"/>
    <w:rsid w:val="06D79157"/>
    <w:rsid w:val="0DD79F36"/>
    <w:rsid w:val="11E43BAB"/>
    <w:rsid w:val="121534C5"/>
    <w:rsid w:val="161E678D"/>
    <w:rsid w:val="19090967"/>
    <w:rsid w:val="1B3C24C5"/>
    <w:rsid w:val="210B7837"/>
    <w:rsid w:val="23B4E6BE"/>
    <w:rsid w:val="24F18C83"/>
    <w:rsid w:val="25653D02"/>
    <w:rsid w:val="27AA7305"/>
    <w:rsid w:val="3310C0BE"/>
    <w:rsid w:val="38EF0D05"/>
    <w:rsid w:val="39A07357"/>
    <w:rsid w:val="42088138"/>
    <w:rsid w:val="511D528A"/>
    <w:rsid w:val="588ADAF6"/>
    <w:rsid w:val="5CE173DD"/>
    <w:rsid w:val="66EB6E8A"/>
    <w:rsid w:val="69981A89"/>
    <w:rsid w:val="7629CDD5"/>
    <w:rsid w:val="772E53B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409AA"/>
  <w15:chartTrackingRefBased/>
  <w15:docId w15:val="{D8A9B98D-733D-4FF4-9BF4-D50BB21B0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18"/>
        <w:szCs w:val="24"/>
        <w:lang w:val="fr-FR"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2975"/>
    <w:pPr>
      <w:spacing w:line="276" w:lineRule="auto"/>
      <w:jc w:val="both"/>
    </w:pPr>
    <w:rPr>
      <w:sz w:val="22"/>
    </w:rPr>
  </w:style>
  <w:style w:type="paragraph" w:styleId="Heading1">
    <w:name w:val="heading 1"/>
    <w:basedOn w:val="Normal"/>
    <w:next w:val="Normal"/>
    <w:link w:val="Heading1Char"/>
    <w:uiPriority w:val="99"/>
    <w:qFormat/>
    <w:rsid w:val="00097261"/>
    <w:pPr>
      <w:keepNext/>
      <w:spacing w:line="420" w:lineRule="atLeast"/>
      <w:outlineLvl w:val="0"/>
    </w:pPr>
    <w:rPr>
      <w:rFonts w:cs="Arial"/>
      <w:b/>
      <w:bCs/>
      <w:kern w:val="32"/>
      <w:sz w:val="36"/>
      <w:szCs w:val="32"/>
    </w:rPr>
  </w:style>
  <w:style w:type="paragraph" w:styleId="Heading2">
    <w:name w:val="heading 2"/>
    <w:basedOn w:val="Normal"/>
    <w:next w:val="Normal"/>
    <w:qFormat/>
    <w:rsid w:val="003F46B0"/>
    <w:pPr>
      <w:keepNext/>
      <w:outlineLvl w:val="1"/>
    </w:pPr>
    <w:rPr>
      <w:rFonts w:cs="Arial"/>
      <w:bCs/>
      <w:iCs/>
      <w:color w:val="E1000F"/>
      <w:szCs w:val="28"/>
    </w:rPr>
  </w:style>
  <w:style w:type="paragraph" w:styleId="Heading3">
    <w:name w:val="heading 3"/>
    <w:basedOn w:val="Heading2"/>
    <w:next w:val="Normal"/>
    <w:qFormat/>
    <w:rsid w:val="006F1596"/>
    <w:pPr>
      <w:outlineLvl w:val="2"/>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758F"/>
    <w:pPr>
      <w:tabs>
        <w:tab w:val="left" w:pos="2607"/>
        <w:tab w:val="center" w:pos="4320"/>
        <w:tab w:val="right" w:pos="9356"/>
      </w:tabs>
      <w:spacing w:before="1440" w:line="100" w:lineRule="atLeast"/>
      <w:jc w:val="right"/>
    </w:pPr>
    <w:rPr>
      <w:rFonts w:cs="Segoe UI"/>
      <w:b/>
      <w:bCs/>
      <w:color w:val="3E3C3C"/>
      <w:sz w:val="40"/>
      <w:szCs w:val="40"/>
    </w:rPr>
  </w:style>
  <w:style w:type="paragraph" w:styleId="Footer">
    <w:name w:val="footer"/>
    <w:basedOn w:val="Normal"/>
    <w:link w:val="FooterChar"/>
    <w:uiPriority w:val="99"/>
    <w:rsid w:val="00992A11"/>
    <w:pPr>
      <w:tabs>
        <w:tab w:val="right" w:pos="7083"/>
        <w:tab w:val="right" w:pos="8640"/>
      </w:tabs>
      <w:spacing w:line="180" w:lineRule="atLeast"/>
      <w:jc w:val="right"/>
    </w:pPr>
    <w:rPr>
      <w:bCs/>
      <w:noProof/>
      <w:sz w:val="12"/>
    </w:rPr>
  </w:style>
  <w:style w:type="paragraph" w:customStyle="1" w:styleId="Intro">
    <w:name w:val="Intro"/>
    <w:basedOn w:val="Normal"/>
    <w:rsid w:val="006F1596"/>
    <w:pPr>
      <w:spacing w:after="300"/>
    </w:pPr>
    <w:rPr>
      <w:color w:val="415055"/>
      <w:sz w:val="24"/>
    </w:rPr>
  </w:style>
  <w:style w:type="paragraph" w:customStyle="1" w:styleId="NumBullet">
    <w:name w:val="Num_Bullet"/>
    <w:basedOn w:val="Normal"/>
    <w:rsid w:val="00576BC8"/>
    <w:pPr>
      <w:numPr>
        <w:numId w:val="1"/>
      </w:numPr>
      <w:tabs>
        <w:tab w:val="clear" w:pos="567"/>
        <w:tab w:val="left" w:pos="357"/>
      </w:tabs>
      <w:ind w:left="357" w:hanging="357"/>
    </w:pPr>
  </w:style>
  <w:style w:type="paragraph" w:customStyle="1" w:styleId="Page1Name">
    <w:name w:val="Page1_Name"/>
    <w:basedOn w:val="Normal"/>
    <w:rsid w:val="004F237B"/>
    <w:pPr>
      <w:spacing w:after="420" w:line="360" w:lineRule="atLeast"/>
    </w:pPr>
    <w:rPr>
      <w:b/>
      <w:sz w:val="30"/>
    </w:rPr>
  </w:style>
  <w:style w:type="paragraph" w:customStyle="1" w:styleId="Page1Title">
    <w:name w:val="Page1_Title"/>
    <w:basedOn w:val="Normal"/>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leGrid">
    <w:name w:val="Table Grid"/>
    <w:basedOn w:val="TableNormal"/>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Normal"/>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fr-FR" w:eastAsia="en-US" w:bidi="ar-SA"/>
    </w:rPr>
  </w:style>
  <w:style w:type="paragraph" w:customStyle="1" w:styleId="Standard12pt">
    <w:name w:val="Standard_12pt"/>
    <w:basedOn w:val="Normal"/>
    <w:rsid w:val="0048435F"/>
    <w:pPr>
      <w:spacing w:line="300" w:lineRule="atLeast"/>
    </w:pPr>
    <w:rPr>
      <w:sz w:val="24"/>
    </w:rPr>
  </w:style>
  <w:style w:type="character" w:customStyle="1" w:styleId="Heading1Char">
    <w:name w:val="Heading 1 Char"/>
    <w:link w:val="Heading1"/>
    <w:uiPriority w:val="99"/>
    <w:locked/>
    <w:rsid w:val="00B422EC"/>
    <w:rPr>
      <w:rFonts w:ascii="Arial" w:hAnsi="Arial" w:cs="Arial"/>
      <w:b/>
      <w:bCs/>
      <w:kern w:val="32"/>
      <w:sz w:val="36"/>
      <w:szCs w:val="32"/>
      <w:lang w:val="fr-FR"/>
    </w:rPr>
  </w:style>
  <w:style w:type="character" w:styleId="Hyperlink">
    <w:name w:val="Hyperlink"/>
    <w:rsid w:val="00336854"/>
    <w:rPr>
      <w:rFonts w:ascii="Segoe UI" w:hAnsi="Segoe UI"/>
      <w:color w:val="0000FF"/>
      <w:sz w:val="18"/>
      <w:szCs w:val="18"/>
      <w:u w:val="single"/>
    </w:rPr>
  </w:style>
  <w:style w:type="paragraph" w:customStyle="1" w:styleId="MittleresRaster1-Akzent21">
    <w:name w:val="Mittleres Raster 1 - Akzent 21"/>
    <w:basedOn w:val="Normal"/>
    <w:uiPriority w:val="34"/>
    <w:qFormat/>
    <w:rsid w:val="00B422EC"/>
    <w:pPr>
      <w:ind w:left="720"/>
    </w:pPr>
  </w:style>
  <w:style w:type="paragraph" w:styleId="BalloonText">
    <w:name w:val="Balloon Text"/>
    <w:basedOn w:val="Normal"/>
    <w:link w:val="BalloonTextChar"/>
    <w:rsid w:val="00336854"/>
    <w:pPr>
      <w:spacing w:line="240" w:lineRule="auto"/>
    </w:pPr>
    <w:rPr>
      <w:sz w:val="18"/>
      <w:szCs w:val="18"/>
    </w:rPr>
  </w:style>
  <w:style w:type="character" w:customStyle="1" w:styleId="BalloonTextChar">
    <w:name w:val="Balloon Text Char"/>
    <w:link w:val="BalloonText"/>
    <w:rsid w:val="00336854"/>
    <w:rPr>
      <w:rFonts w:ascii="Segoe UI" w:hAnsi="Segoe UI"/>
      <w:sz w:val="18"/>
      <w:szCs w:val="18"/>
      <w:lang w:val="fr-FR"/>
    </w:rPr>
  </w:style>
  <w:style w:type="paragraph" w:customStyle="1" w:styleId="MittlereListe2-Akzent21">
    <w:name w:val="Mittlere Liste 2 - Akzent 21"/>
    <w:hidden/>
    <w:uiPriority w:val="99"/>
    <w:semiHidden/>
    <w:rsid w:val="002E0B17"/>
    <w:rPr>
      <w:rFonts w:ascii="Arial" w:hAnsi="Arial"/>
    </w:rPr>
  </w:style>
  <w:style w:type="character" w:customStyle="1" w:styleId="FooterChar">
    <w:name w:val="Footer Char"/>
    <w:link w:val="Footer"/>
    <w:uiPriority w:val="99"/>
    <w:rsid w:val="00992A11"/>
    <w:rPr>
      <w:rFonts w:ascii="Segoe UI" w:hAnsi="Segoe UI"/>
      <w:bCs/>
      <w:noProof/>
      <w:sz w:val="12"/>
      <w:szCs w:val="24"/>
      <w:lang w:val="fr-FR"/>
    </w:rPr>
  </w:style>
  <w:style w:type="character" w:styleId="UnresolvedMention">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Normal"/>
    <w:rsid w:val="00974F84"/>
    <w:rPr>
      <w:szCs w:val="20"/>
    </w:rPr>
  </w:style>
  <w:style w:type="paragraph" w:customStyle="1" w:styleId="Style12ptJustifiedLinespacing15lines1">
    <w:name w:val="Style 12 pt Justified Line spacing:  1.5 lines1"/>
    <w:basedOn w:val="Normal"/>
    <w:rsid w:val="00974F84"/>
    <w:pPr>
      <w:spacing w:before="120"/>
    </w:pPr>
    <w:rPr>
      <w:szCs w:val="20"/>
    </w:rPr>
  </w:style>
  <w:style w:type="character" w:customStyle="1" w:styleId="Headline">
    <w:name w:val="Headline"/>
    <w:basedOn w:val="DefaultParagraphFont"/>
    <w:rsid w:val="00A3756F"/>
    <w:rPr>
      <w:b/>
      <w:bCs/>
      <w:sz w:val="32"/>
    </w:rPr>
  </w:style>
  <w:style w:type="paragraph" w:customStyle="1" w:styleId="MonthDayYear">
    <w:name w:val="Month Day Year"/>
    <w:basedOn w:val="Normal"/>
    <w:rsid w:val="00643D8A"/>
    <w:pPr>
      <w:spacing w:before="120"/>
      <w:ind w:right="-1"/>
      <w:jc w:val="right"/>
    </w:pPr>
    <w:rPr>
      <w:szCs w:val="20"/>
    </w:rPr>
  </w:style>
  <w:style w:type="paragraph" w:customStyle="1" w:styleId="Topline">
    <w:name w:val="Topline"/>
    <w:basedOn w:val="Normal"/>
    <w:qFormat/>
    <w:rsid w:val="00472FEC"/>
    <w:pPr>
      <w:spacing w:before="560" w:after="560"/>
    </w:pPr>
    <w:rPr>
      <w:rFonts w:cs="Segoe UI"/>
      <w:szCs w:val="22"/>
    </w:rPr>
  </w:style>
  <w:style w:type="character" w:customStyle="1" w:styleId="AboutandContactBody">
    <w:name w:val="About and Contact Body"/>
    <w:basedOn w:val="DefaultParagraphFont"/>
    <w:rsid w:val="00336854"/>
    <w:rPr>
      <w:rFonts w:ascii="Segoe UI" w:hAnsi="Segoe UI"/>
      <w:sz w:val="18"/>
    </w:rPr>
  </w:style>
  <w:style w:type="character" w:customStyle="1" w:styleId="AboutandContactHeadline">
    <w:name w:val="About and Contact Headline"/>
    <w:basedOn w:val="DefaultParagraphFont"/>
    <w:rsid w:val="00336854"/>
    <w:rPr>
      <w:rFonts w:ascii="Segoe UI" w:hAnsi="Segoe UI"/>
      <w:b/>
      <w:bCs/>
      <w:sz w:val="18"/>
    </w:rPr>
  </w:style>
  <w:style w:type="paragraph" w:styleId="ListParagraph">
    <w:name w:val="List Paragraph"/>
    <w:basedOn w:val="Normal"/>
    <w:uiPriority w:val="34"/>
    <w:qFormat/>
    <w:rsid w:val="00635616"/>
    <w:pPr>
      <w:ind w:left="720"/>
      <w:contextualSpacing/>
    </w:pPr>
  </w:style>
  <w:style w:type="character" w:styleId="CommentReference">
    <w:name w:val="annotation reference"/>
    <w:rsid w:val="00846017"/>
    <w:rPr>
      <w:sz w:val="16"/>
      <w:szCs w:val="16"/>
    </w:rPr>
  </w:style>
  <w:style w:type="paragraph" w:styleId="CommentText">
    <w:name w:val="annotation text"/>
    <w:basedOn w:val="Normal"/>
    <w:link w:val="CommentTextChar"/>
    <w:rsid w:val="00846017"/>
    <w:pPr>
      <w:spacing w:line="260" w:lineRule="atLeast"/>
      <w:jc w:val="left"/>
    </w:pPr>
    <w:rPr>
      <w:rFonts w:ascii="Arial" w:hAnsi="Arial"/>
      <w:sz w:val="20"/>
      <w:szCs w:val="20"/>
    </w:rPr>
  </w:style>
  <w:style w:type="character" w:customStyle="1" w:styleId="CommentTextChar">
    <w:name w:val="Comment Text Char"/>
    <w:basedOn w:val="DefaultParagraphFont"/>
    <w:link w:val="CommentText"/>
    <w:rsid w:val="00846017"/>
    <w:rPr>
      <w:rFonts w:ascii="Arial" w:hAnsi="Arial"/>
      <w:sz w:val="20"/>
      <w:szCs w:val="20"/>
      <w:lang w:val="fr-FR"/>
    </w:rPr>
  </w:style>
  <w:style w:type="paragraph" w:styleId="CommentSubject">
    <w:name w:val="annotation subject"/>
    <w:basedOn w:val="CommentText"/>
    <w:next w:val="CommentText"/>
    <w:link w:val="CommentSubjectChar"/>
    <w:rsid w:val="0020528D"/>
    <w:pPr>
      <w:spacing w:line="240" w:lineRule="auto"/>
      <w:jc w:val="both"/>
    </w:pPr>
    <w:rPr>
      <w:rFonts w:ascii="Segoe UI" w:hAnsi="Segoe UI"/>
      <w:b/>
      <w:bCs/>
    </w:rPr>
  </w:style>
  <w:style w:type="character" w:customStyle="1" w:styleId="CommentSubjectChar">
    <w:name w:val="Comment Subject Char"/>
    <w:basedOn w:val="CommentTextChar"/>
    <w:link w:val="CommentSubject"/>
    <w:rsid w:val="0020528D"/>
    <w:rPr>
      <w:rFonts w:ascii="Arial" w:hAnsi="Arial"/>
      <w:b/>
      <w:bCs/>
      <w:sz w:val="20"/>
      <w:szCs w:val="20"/>
      <w:lang w:val="fr-FR"/>
    </w:rPr>
  </w:style>
  <w:style w:type="paragraph" w:styleId="Revision">
    <w:name w:val="Revision"/>
    <w:hidden/>
    <w:uiPriority w:val="62"/>
    <w:unhideWhenUsed/>
    <w:rsid w:val="006E2D24"/>
    <w:rPr>
      <w:sz w:val="22"/>
    </w:rPr>
  </w:style>
  <w:style w:type="paragraph" w:customStyle="1" w:styleId="He04Funote">
    <w:name w:val="_He_04_Fußnote"/>
    <w:next w:val="Normal"/>
    <w:qFormat/>
    <w:rsid w:val="00A90F18"/>
    <w:pPr>
      <w:tabs>
        <w:tab w:val="left" w:pos="85"/>
      </w:tabs>
      <w:spacing w:line="256" w:lineRule="auto"/>
      <w:ind w:left="85" w:hanging="85"/>
    </w:pPr>
    <w:rPr>
      <w:rFonts w:eastAsiaTheme="minorHAnsi" w:cstheme="minorBidi"/>
      <w:sz w:val="15"/>
      <w:szCs w:val="22"/>
      <w14:numForm w14:val="lining"/>
    </w:rPr>
  </w:style>
  <w:style w:type="character" w:styleId="FootnoteReference">
    <w:name w:val="footnote reference"/>
    <w:basedOn w:val="DefaultParagraphFont"/>
    <w:uiPriority w:val="99"/>
    <w:unhideWhenUsed/>
    <w:rsid w:val="00A90F18"/>
    <w:rPr>
      <w:vertAlign w:val="superscript"/>
    </w:rPr>
  </w:style>
  <w:style w:type="paragraph" w:customStyle="1" w:styleId="He05Fett">
    <w:name w:val="_He_05_Fett"/>
    <w:next w:val="Normal"/>
    <w:link w:val="He05FettZchn"/>
    <w:qFormat/>
    <w:rsid w:val="00A92FCD"/>
    <w:pPr>
      <w:spacing w:after="160" w:line="259" w:lineRule="auto"/>
    </w:pPr>
    <w:rPr>
      <w:rFonts w:eastAsiaTheme="minorHAnsi" w:cstheme="minorBidi"/>
      <w:b/>
      <w:szCs w:val="22"/>
    </w:rPr>
  </w:style>
  <w:style w:type="character" w:customStyle="1" w:styleId="He05FettZchn">
    <w:name w:val="_He_05_Fett Zchn"/>
    <w:basedOn w:val="DefaultParagraphFont"/>
    <w:link w:val="He05Fett"/>
    <w:rsid w:val="00A92FCD"/>
    <w:rPr>
      <w:rFonts w:eastAsiaTheme="minorHAnsi" w:cstheme="minorBidi"/>
      <w:b/>
      <w:szCs w:val="22"/>
      <w:lang w:val="fr-FR"/>
    </w:rPr>
  </w:style>
  <w:style w:type="paragraph" w:customStyle="1" w:styleId="He01Flietext">
    <w:name w:val="_He_01_Fließtext"/>
    <w:qFormat/>
    <w:rsid w:val="00FE683A"/>
    <w:pPr>
      <w:tabs>
        <w:tab w:val="left" w:pos="284"/>
      </w:tabs>
      <w:spacing w:after="160" w:line="259" w:lineRule="auto"/>
      <w:jc w:val="both"/>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8271">
      <w:bodyDiv w:val="1"/>
      <w:marLeft w:val="0"/>
      <w:marRight w:val="0"/>
      <w:marTop w:val="0"/>
      <w:marBottom w:val="0"/>
      <w:divBdr>
        <w:top w:val="none" w:sz="0" w:space="0" w:color="auto"/>
        <w:left w:val="none" w:sz="0" w:space="0" w:color="auto"/>
        <w:bottom w:val="none" w:sz="0" w:space="0" w:color="auto"/>
        <w:right w:val="none" w:sz="0" w:space="0" w:color="auto"/>
      </w:divBdr>
    </w:div>
    <w:div w:id="215901274">
      <w:bodyDiv w:val="1"/>
      <w:marLeft w:val="0"/>
      <w:marRight w:val="0"/>
      <w:marTop w:val="0"/>
      <w:marBottom w:val="0"/>
      <w:divBdr>
        <w:top w:val="none" w:sz="0" w:space="0" w:color="auto"/>
        <w:left w:val="none" w:sz="0" w:space="0" w:color="auto"/>
        <w:bottom w:val="none" w:sz="0" w:space="0" w:color="auto"/>
        <w:right w:val="none" w:sz="0" w:space="0" w:color="auto"/>
      </w:divBdr>
    </w:div>
    <w:div w:id="331758879">
      <w:bodyDiv w:val="1"/>
      <w:marLeft w:val="0"/>
      <w:marRight w:val="0"/>
      <w:marTop w:val="0"/>
      <w:marBottom w:val="0"/>
      <w:divBdr>
        <w:top w:val="none" w:sz="0" w:space="0" w:color="auto"/>
        <w:left w:val="none" w:sz="0" w:space="0" w:color="auto"/>
        <w:bottom w:val="none" w:sz="0" w:space="0" w:color="auto"/>
        <w:right w:val="none" w:sz="0" w:space="0" w:color="auto"/>
      </w:divBdr>
    </w:div>
    <w:div w:id="545877286">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0689247">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 w:id="1483084704">
      <w:bodyDiv w:val="1"/>
      <w:marLeft w:val="0"/>
      <w:marRight w:val="0"/>
      <w:marTop w:val="0"/>
      <w:marBottom w:val="0"/>
      <w:divBdr>
        <w:top w:val="none" w:sz="0" w:space="0" w:color="auto"/>
        <w:left w:val="none" w:sz="0" w:space="0" w:color="auto"/>
        <w:bottom w:val="none" w:sz="0" w:space="0" w:color="auto"/>
        <w:right w:val="none" w:sz="0" w:space="0" w:color="auto"/>
      </w:divBdr>
    </w:div>
    <w:div w:id="1546261199">
      <w:bodyDiv w:val="1"/>
      <w:marLeft w:val="0"/>
      <w:marRight w:val="0"/>
      <w:marTop w:val="0"/>
      <w:marBottom w:val="0"/>
      <w:divBdr>
        <w:top w:val="none" w:sz="0" w:space="0" w:color="auto"/>
        <w:left w:val="none" w:sz="0" w:space="0" w:color="auto"/>
        <w:bottom w:val="none" w:sz="0" w:space="0" w:color="auto"/>
        <w:right w:val="none" w:sz="0" w:space="0" w:color="auto"/>
      </w:divBdr>
    </w:div>
    <w:div w:id="1641376655">
      <w:bodyDiv w:val="1"/>
      <w:marLeft w:val="0"/>
      <w:marRight w:val="0"/>
      <w:marTop w:val="0"/>
      <w:marBottom w:val="0"/>
      <w:divBdr>
        <w:top w:val="none" w:sz="0" w:space="0" w:color="auto"/>
        <w:left w:val="none" w:sz="0" w:space="0" w:color="auto"/>
        <w:bottom w:val="none" w:sz="0" w:space="0" w:color="auto"/>
        <w:right w:val="none" w:sz="0" w:space="0" w:color="auto"/>
      </w:divBdr>
    </w:div>
    <w:div w:id="2013604992">
      <w:bodyDiv w:val="1"/>
      <w:marLeft w:val="0"/>
      <w:marRight w:val="0"/>
      <w:marTop w:val="0"/>
      <w:marBottom w:val="0"/>
      <w:divBdr>
        <w:top w:val="none" w:sz="0" w:space="0" w:color="auto"/>
        <w:left w:val="none" w:sz="0" w:space="0" w:color="auto"/>
        <w:bottom w:val="none" w:sz="0" w:space="0" w:color="auto"/>
        <w:right w:val="none" w:sz="0" w:space="0" w:color="auto"/>
      </w:divBdr>
      <w:divsChild>
        <w:div w:id="237326346">
          <w:marLeft w:val="0"/>
          <w:marRight w:val="0"/>
          <w:marTop w:val="0"/>
          <w:marBottom w:val="0"/>
          <w:divBdr>
            <w:top w:val="none" w:sz="0" w:space="0" w:color="auto"/>
            <w:left w:val="none" w:sz="0" w:space="0" w:color="auto"/>
            <w:bottom w:val="none" w:sz="0" w:space="0" w:color="auto"/>
            <w:right w:val="none" w:sz="0" w:space="0" w:color="auto"/>
          </w:divBdr>
        </w:div>
        <w:div w:id="331104911">
          <w:marLeft w:val="0"/>
          <w:marRight w:val="0"/>
          <w:marTop w:val="0"/>
          <w:marBottom w:val="0"/>
          <w:divBdr>
            <w:top w:val="none" w:sz="0" w:space="0" w:color="auto"/>
            <w:left w:val="none" w:sz="0" w:space="0" w:color="auto"/>
            <w:bottom w:val="none" w:sz="0" w:space="0" w:color="auto"/>
            <w:right w:val="none" w:sz="0" w:space="0" w:color="auto"/>
          </w:divBdr>
        </w:div>
        <w:div w:id="430466892">
          <w:marLeft w:val="0"/>
          <w:marRight w:val="0"/>
          <w:marTop w:val="0"/>
          <w:marBottom w:val="0"/>
          <w:divBdr>
            <w:top w:val="none" w:sz="0" w:space="0" w:color="auto"/>
            <w:left w:val="none" w:sz="0" w:space="0" w:color="auto"/>
            <w:bottom w:val="none" w:sz="0" w:space="0" w:color="auto"/>
            <w:right w:val="none" w:sz="0" w:space="0" w:color="auto"/>
          </w:divBdr>
        </w:div>
        <w:div w:id="881399477">
          <w:marLeft w:val="0"/>
          <w:marRight w:val="0"/>
          <w:marTop w:val="0"/>
          <w:marBottom w:val="0"/>
          <w:divBdr>
            <w:top w:val="none" w:sz="0" w:space="0" w:color="auto"/>
            <w:left w:val="none" w:sz="0" w:space="0" w:color="auto"/>
            <w:bottom w:val="none" w:sz="0" w:space="0" w:color="auto"/>
            <w:right w:val="none" w:sz="0" w:space="0" w:color="auto"/>
          </w:divBdr>
        </w:div>
        <w:div w:id="1927032988">
          <w:marLeft w:val="0"/>
          <w:marRight w:val="0"/>
          <w:marTop w:val="0"/>
          <w:marBottom w:val="0"/>
          <w:divBdr>
            <w:top w:val="none" w:sz="0" w:space="0" w:color="auto"/>
            <w:left w:val="none" w:sz="0" w:space="0" w:color="auto"/>
            <w:bottom w:val="none" w:sz="0" w:space="0" w:color="auto"/>
            <w:right w:val="none" w:sz="0" w:space="0" w:color="auto"/>
          </w:divBdr>
        </w:div>
        <w:div w:id="2009089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nkel.be/" TargetMode="External"/><Relationship Id="rId18" Type="http://schemas.openxmlformats.org/officeDocument/2006/relationships/hyperlink" Target="mailto:dennis.starke@henke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henkel.com/ir" TargetMode="External"/><Relationship Id="rId7" Type="http://schemas.openxmlformats.org/officeDocument/2006/relationships/styles" Target="styles.xml"/><Relationship Id="rId12" Type="http://schemas.openxmlformats.org/officeDocument/2006/relationships/hyperlink" Target="https://www.henkel.com/press-and-media/press-releases-and-kits/2026-03-11-henkel-delivers-organic-growth-in-2025-and-increases-profitability-through-innovation-and-more-efficiency-2131952" TargetMode="External"/><Relationship Id="rId17" Type="http://schemas.openxmlformats.org/officeDocument/2006/relationships/hyperlink" Target="mailto:wulf.klueppelholz@henkel.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dennis.starke@henkel.com" TargetMode="External"/><Relationship Id="rId20" Type="http://schemas.openxmlformats.org/officeDocument/2006/relationships/hyperlink" Target="http://www.henkel.com/pres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lars.witteck@henkel.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hanna.philipps@henk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slie.iltgen@henkel.com" TargetMode="External"/><Relationship Id="rId22" Type="http://schemas.openxmlformats.org/officeDocument/2006/relationships/header" Target="head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ohng\AppData\Local\Temp\Temp1_Completed.zip\Completed\segoe-Henkel-press-release-template-2020-english.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E3C925157EE074095811C87522C7BC7" ma:contentTypeVersion="21" ma:contentTypeDescription="Create a new document." ma:contentTypeScope="" ma:versionID="5c82d6a91480ea3a633158506e52c116">
  <xsd:schema xmlns:xsd="http://www.w3.org/2001/XMLSchema" xmlns:xs="http://www.w3.org/2001/XMLSchema" xmlns:p="http://schemas.microsoft.com/office/2006/metadata/properties" xmlns:ns2="487aa4a8-6e08-4624-a126-3644f60fbb35" xmlns:ns3="cec4b484-d643-4c02-a873-288aa5369532" xmlns:ns4="ef406d6b-70e0-427c-b08d-4edfc77771aa" targetNamespace="http://schemas.microsoft.com/office/2006/metadata/properties" ma:root="true" ma:fieldsID="4c2c19249a9c10464532c27e8f459ab4" ns2:_="" ns3:_="" ns4:_="">
    <xsd:import namespace="487aa4a8-6e08-4624-a126-3644f60fbb35"/>
    <xsd:import namespace="cec4b484-d643-4c02-a873-288aa5369532"/>
    <xsd:import namespace="ef406d6b-70e0-427c-b08d-4edfc77771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aa4a8-6e08-4624-a126-3644f60fb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Datum" ma:index="20" nillable="true" ma:displayName="Datum" ma:format="DateOnly" ma:internalName="Datum">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2f792e8-4dad-42c1-ad63-44982727bf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4b484-d643-4c02-a873-288aa53695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406d6b-70e0-427c-b08d-4edfc77771a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099daea-b67b-4b58-9130-be82b407cc11}" ma:internalName="TaxCatchAll" ma:showField="CatchAllData" ma:web="cec4b484-d643-4c02-a873-288aa536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f406d6b-70e0-427c-b08d-4edfc77771aa" xsi:nil="true"/>
    <lcf76f155ced4ddcb4097134ff3c332f xmlns="487aa4a8-6e08-4624-a126-3644f60fbb35">
      <Terms xmlns="http://schemas.microsoft.com/office/infopath/2007/PartnerControls"/>
    </lcf76f155ced4ddcb4097134ff3c332f>
    <Datum xmlns="487aa4a8-6e08-4624-a126-3644f60fbb35" xsi:nil="true"/>
  </documentManagement>
</p:properties>
</file>

<file path=customXml/itemProps1.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2.xml><?xml version="1.0" encoding="utf-8"?>
<ds:datastoreItem xmlns:ds="http://schemas.openxmlformats.org/officeDocument/2006/customXml" ds:itemID="{E5F5E823-FD9A-4CF5-8C4B-A2151B3E8DB5}">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0FCCBF54-28EE-4544-922A-14A41FE43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aa4a8-6e08-4624-a126-3644f60fbb35"/>
    <ds:schemaRef ds:uri="cec4b484-d643-4c02-a873-288aa5369532"/>
    <ds:schemaRef ds:uri="ef406d6b-70e0-427c-b08d-4edfc7777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245D12-BDB4-413F-ABB3-2AF0CF323A38}">
  <ds:schemaRefs>
    <ds:schemaRef ds:uri="http://schemas.microsoft.com/office/2006/metadata/properties"/>
    <ds:schemaRef ds:uri="http://schemas.microsoft.com/office/infopath/2007/PartnerControls"/>
    <ds:schemaRef ds:uri="ef406d6b-70e0-427c-b08d-4edfc77771aa"/>
    <ds:schemaRef ds:uri="487aa4a8-6e08-4624-a126-3644f60fbb35"/>
  </ds:schemaRefs>
</ds:datastoreItem>
</file>

<file path=docProps/app.xml><?xml version="1.0" encoding="utf-8"?>
<Properties xmlns="http://schemas.openxmlformats.org/officeDocument/2006/extended-properties" xmlns:vt="http://schemas.openxmlformats.org/officeDocument/2006/docPropsVTypes">
  <Template>C:\Users\frohng\AppData\Local\Temp\Temp1_Completed.zip\Completed\segoe-Henkel-press-release-template-2020-english.dotx</Template>
  <TotalTime>0</TotalTime>
  <Pages>11</Pages>
  <Words>4424</Words>
  <Characters>24920</Characters>
  <Application>Microsoft Office Word</Application>
  <DocSecurity>0</DocSecurity>
  <Lines>207</Lines>
  <Paragraphs>58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29286</CharactersWithSpaces>
  <SharedDoc>false</SharedDoc>
  <HLinks>
    <vt:vector size="66" baseType="variant">
      <vt:variant>
        <vt:i4>6946937</vt:i4>
      </vt:variant>
      <vt:variant>
        <vt:i4>30</vt:i4>
      </vt:variant>
      <vt:variant>
        <vt:i4>0</vt:i4>
      </vt:variant>
      <vt:variant>
        <vt:i4>5</vt:i4>
      </vt:variant>
      <vt:variant>
        <vt:lpwstr>http://www.henkel.de/ir</vt:lpwstr>
      </vt:variant>
      <vt:variant>
        <vt:lpwstr/>
      </vt:variant>
      <vt:variant>
        <vt:i4>6619256</vt:i4>
      </vt:variant>
      <vt:variant>
        <vt:i4>27</vt:i4>
      </vt:variant>
      <vt:variant>
        <vt:i4>0</vt:i4>
      </vt:variant>
      <vt:variant>
        <vt:i4>5</vt:i4>
      </vt:variant>
      <vt:variant>
        <vt:lpwstr>http://www.henkel.de/presse</vt:lpwstr>
      </vt:variant>
      <vt:variant>
        <vt:lpwstr/>
      </vt:variant>
      <vt:variant>
        <vt:i4>2228305</vt:i4>
      </vt:variant>
      <vt:variant>
        <vt:i4>24</vt:i4>
      </vt:variant>
      <vt:variant>
        <vt:i4>0</vt:i4>
      </vt:variant>
      <vt:variant>
        <vt:i4>5</vt:i4>
      </vt:variant>
      <vt:variant>
        <vt:lpwstr>mailto:linda.gehring@henkel.com</vt:lpwstr>
      </vt:variant>
      <vt:variant>
        <vt:lpwstr/>
      </vt:variant>
      <vt:variant>
        <vt:i4>7208970</vt:i4>
      </vt:variant>
      <vt:variant>
        <vt:i4>21</vt:i4>
      </vt:variant>
      <vt:variant>
        <vt:i4>0</vt:i4>
      </vt:variant>
      <vt:variant>
        <vt:i4>5</vt:i4>
      </vt:variant>
      <vt:variant>
        <vt:lpwstr>mailto:dennis.starke@henkel.com</vt:lpwstr>
      </vt:variant>
      <vt:variant>
        <vt:lpwstr/>
      </vt:variant>
      <vt:variant>
        <vt:i4>2687054</vt:i4>
      </vt:variant>
      <vt:variant>
        <vt:i4>18</vt:i4>
      </vt:variant>
      <vt:variant>
        <vt:i4>0</vt:i4>
      </vt:variant>
      <vt:variant>
        <vt:i4>5</vt:i4>
      </vt:variant>
      <vt:variant>
        <vt:lpwstr>mailto:hanna.philipps@henkel.com</vt:lpwstr>
      </vt:variant>
      <vt:variant>
        <vt:lpwstr/>
      </vt:variant>
      <vt:variant>
        <vt:i4>1835116</vt:i4>
      </vt:variant>
      <vt:variant>
        <vt:i4>15</vt:i4>
      </vt:variant>
      <vt:variant>
        <vt:i4>0</vt:i4>
      </vt:variant>
      <vt:variant>
        <vt:i4>5</vt:i4>
      </vt:variant>
      <vt:variant>
        <vt:lpwstr>mailto:jennifer.ott@henkel.com</vt:lpwstr>
      </vt:variant>
      <vt:variant>
        <vt:lpwstr/>
      </vt:variant>
      <vt:variant>
        <vt:i4>7667735</vt:i4>
      </vt:variant>
      <vt:variant>
        <vt:i4>12</vt:i4>
      </vt:variant>
      <vt:variant>
        <vt:i4>0</vt:i4>
      </vt:variant>
      <vt:variant>
        <vt:i4>5</vt:i4>
      </vt:variant>
      <vt:variant>
        <vt:lpwstr>mailto:wulf.klueppelholz@henkel.com</vt:lpwstr>
      </vt:variant>
      <vt:variant>
        <vt:lpwstr/>
      </vt:variant>
      <vt:variant>
        <vt:i4>7602201</vt:i4>
      </vt:variant>
      <vt:variant>
        <vt:i4>9</vt:i4>
      </vt:variant>
      <vt:variant>
        <vt:i4>0</vt:i4>
      </vt:variant>
      <vt:variant>
        <vt:i4>5</vt:i4>
      </vt:variant>
      <vt:variant>
        <vt:lpwstr>mailto:manuel.boesing@henkel.com</vt:lpwstr>
      </vt:variant>
      <vt:variant>
        <vt:lpwstr/>
      </vt:variant>
      <vt:variant>
        <vt:i4>119</vt:i4>
      </vt:variant>
      <vt:variant>
        <vt:i4>6</vt:i4>
      </vt:variant>
      <vt:variant>
        <vt:i4>0</vt:i4>
      </vt:variant>
      <vt:variant>
        <vt:i4>5</vt:i4>
      </vt:variant>
      <vt:variant>
        <vt:lpwstr>mailto:lars.witteck@henkel.com</vt:lpwstr>
      </vt:variant>
      <vt:variant>
        <vt:lpwstr/>
      </vt:variant>
      <vt:variant>
        <vt:i4>786533</vt:i4>
      </vt:variant>
      <vt:variant>
        <vt:i4>3</vt:i4>
      </vt:variant>
      <vt:variant>
        <vt:i4>0</vt:i4>
      </vt:variant>
      <vt:variant>
        <vt:i4>5</vt:i4>
      </vt:variant>
      <vt:variant>
        <vt:lpwstr>mailto:lars.korinth@henkel.com</vt:lpwstr>
      </vt:variant>
      <vt:variant>
        <vt:lpwstr/>
      </vt:variant>
      <vt:variant>
        <vt:i4>196694</vt:i4>
      </vt:variant>
      <vt:variant>
        <vt:i4>0</vt:i4>
      </vt:variant>
      <vt:variant>
        <vt:i4>0</vt:i4>
      </vt:variant>
      <vt:variant>
        <vt:i4>5</vt:i4>
      </vt:variant>
      <vt:variant>
        <vt:lpwstr>http://www.henkel.de/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Henkel</dc:creator>
  <cp:keywords/>
  <dc:description/>
  <cp:lastModifiedBy>Irina Brunner</cp:lastModifiedBy>
  <cp:revision>4</cp:revision>
  <cp:lastPrinted>2026-02-11T08:17:00Z</cp:lastPrinted>
  <dcterms:created xsi:type="dcterms:W3CDTF">2026-03-11T14:45:00Z</dcterms:created>
  <dcterms:modified xsi:type="dcterms:W3CDTF">2026-03-12T08:12:00Z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0x0101004E3C925157EE074095811C87522C7BC7</vt:lpwstr>
  </property>
  <property fmtid="{D5CDD505-2E9C-101B-9397-08002B2CF9AE}" pid="3" name="MediaServiceImageTags">
    <vt:lpwstr/>
  </property>
</Properties>
</file>