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7DF1" w14:textId="2239D9B9" w:rsidR="005C7B2F" w:rsidRPr="00921C0C" w:rsidRDefault="005C7B2F" w:rsidP="005C7B2F">
      <w:pPr>
        <w:pStyle w:val="MonthDayYear"/>
        <w:tabs>
          <w:tab w:val="left" w:pos="7371"/>
        </w:tabs>
      </w:pPr>
      <w:r>
        <w:rPr>
          <w:lang w:val="sr-Latn-CS"/>
        </w:rPr>
        <w:t>1</w:t>
      </w:r>
      <w:r>
        <w:t>1. mart 2026.</w:t>
      </w:r>
    </w:p>
    <w:p w14:paraId="55D5E39A" w14:textId="65066F2F" w:rsidR="00B422EC" w:rsidRPr="00251485" w:rsidRDefault="00B422EC" w:rsidP="00E23EC8">
      <w:pPr>
        <w:pStyle w:val="MonthDayYear"/>
        <w:ind w:right="-510"/>
        <w:rPr>
          <w:lang w:val="sr-Latn-RS"/>
        </w:rPr>
      </w:pPr>
    </w:p>
    <w:p w14:paraId="737623C9" w14:textId="77777777" w:rsidR="00766D9A" w:rsidRPr="009D61DC" w:rsidRDefault="00766D9A" w:rsidP="00766D9A">
      <w:pPr>
        <w:pStyle w:val="Topline"/>
        <w:spacing w:after="240"/>
        <w:rPr>
          <w:rFonts w:asciiTheme="majorHAnsi" w:hAnsiTheme="majorHAnsi" w:cstheme="majorHAnsi"/>
        </w:rPr>
      </w:pPr>
      <w:bookmarkStart w:id="0" w:name="_Hlk190695874"/>
      <w:r>
        <w:rPr>
          <w:rFonts w:asciiTheme="majorHAnsi" w:hAnsiTheme="majorHAnsi"/>
        </w:rPr>
        <w:t>Henkel predstavlja godišnje rezultate za 2025. godinu: Planirano dalje povećanje dividende</w:t>
      </w:r>
    </w:p>
    <w:bookmarkEnd w:id="0"/>
    <w:p w14:paraId="1647D553" w14:textId="77777777" w:rsidR="00766D9A" w:rsidRPr="00A81C0A" w:rsidRDefault="00766D9A" w:rsidP="00766D9A">
      <w:pPr>
        <w:jc w:val="left"/>
        <w:rPr>
          <w:rStyle w:val="Headline"/>
          <w:rFonts w:asciiTheme="majorHAnsi" w:hAnsiTheme="majorHAnsi" w:cstheme="majorHAnsi"/>
        </w:rPr>
      </w:pPr>
      <w:r>
        <w:rPr>
          <w:rStyle w:val="Headline"/>
          <w:rFonts w:asciiTheme="majorHAnsi" w:hAnsiTheme="majorHAnsi"/>
        </w:rPr>
        <w:t>Henkel ostvario organski rast u 2025. godini i povećao profitabilnost kroz inovacije i veću efikasnost</w:t>
      </w:r>
    </w:p>
    <w:p w14:paraId="5CCF9C01" w14:textId="77777777" w:rsidR="00766D9A" w:rsidRPr="00A81C0A" w:rsidRDefault="00766D9A" w:rsidP="00766D9A">
      <w:pPr>
        <w:spacing w:line="240" w:lineRule="auto"/>
        <w:jc w:val="left"/>
        <w:rPr>
          <w:sz w:val="16"/>
          <w:szCs w:val="16"/>
        </w:rPr>
      </w:pPr>
    </w:p>
    <w:p w14:paraId="23A0BDD0" w14:textId="77777777" w:rsidR="00766D9A" w:rsidRPr="009D61DC" w:rsidRDefault="00766D9A" w:rsidP="00766D9A">
      <w:pPr>
        <w:pStyle w:val="ListParagraph"/>
        <w:numPr>
          <w:ilvl w:val="0"/>
          <w:numId w:val="8"/>
        </w:numPr>
        <w:spacing w:after="80"/>
        <w:ind w:left="357" w:right="-108" w:hanging="357"/>
        <w:contextualSpacing w:val="0"/>
        <w:rPr>
          <w:rFonts w:asciiTheme="majorHAnsi" w:hAnsiTheme="majorHAnsi" w:cstheme="majorHAnsi"/>
          <w:b/>
          <w:szCs w:val="22"/>
        </w:rPr>
      </w:pPr>
      <w:bookmarkStart w:id="1" w:name="_Hlk64363173"/>
      <w:bookmarkStart w:id="2" w:name="_Hlk43712519"/>
      <w:r>
        <w:rPr>
          <w:rFonts w:asciiTheme="majorHAnsi" w:hAnsiTheme="majorHAnsi"/>
          <w:b/>
        </w:rPr>
        <w:t>Dobri poslovni rezultati u fiskalnoj 2025. godini</w:t>
      </w:r>
    </w:p>
    <w:bookmarkEnd w:id="1"/>
    <w:p w14:paraId="689E9A2B" w14:textId="77777777" w:rsidR="00766D9A" w:rsidRPr="009D61DC" w:rsidRDefault="00766D9A" w:rsidP="00766D9A">
      <w:pPr>
        <w:pStyle w:val="ListParagraph"/>
        <w:numPr>
          <w:ilvl w:val="1"/>
          <w:numId w:val="8"/>
        </w:numPr>
        <w:spacing w:after="80" w:line="266" w:lineRule="auto"/>
        <w:ind w:left="709" w:right="-108" w:hanging="283"/>
        <w:contextualSpacing w:val="0"/>
        <w:rPr>
          <w:rFonts w:asciiTheme="majorHAnsi" w:hAnsiTheme="majorHAnsi" w:cstheme="majorHAnsi"/>
          <w:b/>
          <w:szCs w:val="22"/>
        </w:rPr>
      </w:pPr>
      <w:r>
        <w:rPr>
          <w:rFonts w:asciiTheme="majorHAnsi" w:hAnsiTheme="majorHAnsi"/>
          <w:b/>
        </w:rPr>
        <w:t xml:space="preserve">Prodaja: </w:t>
      </w:r>
      <w:r>
        <w:rPr>
          <w:rFonts w:asciiTheme="majorHAnsi" w:hAnsiTheme="majorHAnsi"/>
          <w:b/>
          <w:bCs/>
        </w:rPr>
        <w:t>20,5 milijardi evra</w:t>
      </w:r>
      <w:r>
        <w:rPr>
          <w:rFonts w:asciiTheme="majorHAnsi" w:hAnsiTheme="majorHAnsi"/>
          <w:b/>
        </w:rPr>
        <w:t>,  dobar organski rast od 0,9 odsto</w:t>
      </w:r>
      <w:bookmarkEnd w:id="2"/>
    </w:p>
    <w:p w14:paraId="278D5A02" w14:textId="77777777" w:rsidR="00766D9A" w:rsidRPr="00EA7720" w:rsidRDefault="00766D9A" w:rsidP="00766D9A">
      <w:pPr>
        <w:pStyle w:val="ListParagraph"/>
        <w:numPr>
          <w:ilvl w:val="1"/>
          <w:numId w:val="8"/>
        </w:numPr>
        <w:spacing w:after="80" w:line="266" w:lineRule="auto"/>
        <w:ind w:left="709" w:right="-108" w:hanging="283"/>
        <w:contextualSpacing w:val="0"/>
        <w:rPr>
          <w:rFonts w:asciiTheme="majorHAnsi" w:hAnsiTheme="majorHAnsi" w:cstheme="majorHAnsi"/>
          <w:b/>
          <w:szCs w:val="22"/>
        </w:rPr>
      </w:pPr>
      <w:r>
        <w:rPr>
          <w:rFonts w:asciiTheme="majorHAnsi" w:hAnsiTheme="majorHAnsi"/>
          <w:b/>
        </w:rPr>
        <w:t>Operativna dobit (EBIT)*: 3,0 milijardi evra, blago ispod nivoa prethodne godine usled značajnih negativnih efekata deviznih kurseva</w:t>
      </w:r>
    </w:p>
    <w:p w14:paraId="74C2D843" w14:textId="77777777" w:rsidR="00766D9A" w:rsidRPr="00A81C0A" w:rsidRDefault="00766D9A" w:rsidP="00766D9A">
      <w:pPr>
        <w:pStyle w:val="ListParagraph"/>
        <w:numPr>
          <w:ilvl w:val="1"/>
          <w:numId w:val="8"/>
        </w:numPr>
        <w:spacing w:after="80" w:line="266" w:lineRule="auto"/>
        <w:ind w:left="709" w:right="-108" w:hanging="283"/>
        <w:contextualSpacing w:val="0"/>
        <w:rPr>
          <w:rFonts w:asciiTheme="majorHAnsi" w:hAnsiTheme="majorHAnsi" w:cstheme="majorHAnsi"/>
          <w:b/>
          <w:szCs w:val="22"/>
        </w:rPr>
      </w:pPr>
      <w:r>
        <w:rPr>
          <w:rFonts w:asciiTheme="majorHAnsi" w:hAnsiTheme="majorHAnsi"/>
          <w:b/>
        </w:rPr>
        <w:t>EBIT marža*: 14,8 odsto, poboljšanje za 50 baznih poena</w:t>
      </w:r>
    </w:p>
    <w:p w14:paraId="71EF84DD" w14:textId="77777777" w:rsidR="00766D9A" w:rsidRPr="00A81C0A" w:rsidRDefault="00766D9A" w:rsidP="00766D9A">
      <w:pPr>
        <w:pStyle w:val="ListParagraph"/>
        <w:numPr>
          <w:ilvl w:val="1"/>
          <w:numId w:val="8"/>
        </w:numPr>
        <w:spacing w:after="80" w:line="266" w:lineRule="auto"/>
        <w:ind w:left="709" w:right="-108" w:hanging="283"/>
        <w:contextualSpacing w:val="0"/>
        <w:rPr>
          <w:rFonts w:asciiTheme="majorHAnsi" w:hAnsiTheme="majorHAnsi" w:cstheme="majorHAnsi"/>
          <w:b/>
          <w:szCs w:val="22"/>
        </w:rPr>
      </w:pPr>
      <w:r>
        <w:rPr>
          <w:rFonts w:asciiTheme="majorHAnsi" w:hAnsiTheme="majorHAnsi"/>
          <w:b/>
        </w:rPr>
        <w:t>Prihod po prioritetnoj akciji (EPS)*: 5,33 evra, +4,7 procenata (pri konstantnom kursu)</w:t>
      </w:r>
    </w:p>
    <w:p w14:paraId="0CC8FC50" w14:textId="77777777" w:rsidR="00766D9A" w:rsidRPr="009D61DC" w:rsidRDefault="00766D9A" w:rsidP="00766D9A">
      <w:pPr>
        <w:pStyle w:val="ListParagraph"/>
        <w:numPr>
          <w:ilvl w:val="1"/>
          <w:numId w:val="8"/>
        </w:numPr>
        <w:spacing w:after="80" w:line="266" w:lineRule="auto"/>
        <w:ind w:left="709" w:right="-108" w:hanging="283"/>
        <w:contextualSpacing w:val="0"/>
        <w:rPr>
          <w:rFonts w:asciiTheme="majorHAnsi" w:hAnsiTheme="majorHAnsi" w:cstheme="majorHAnsi"/>
          <w:b/>
          <w:szCs w:val="22"/>
        </w:rPr>
      </w:pPr>
      <w:r>
        <w:rPr>
          <w:rFonts w:asciiTheme="majorHAnsi" w:hAnsiTheme="majorHAnsi"/>
          <w:b/>
        </w:rPr>
        <w:t xml:space="preserve">Snažan slobodan gotovinski tok od oko 1,9 milijardi evra </w:t>
      </w:r>
    </w:p>
    <w:p w14:paraId="15843D71" w14:textId="77777777" w:rsidR="00766D9A" w:rsidRPr="00A81C0A" w:rsidRDefault="00766D9A" w:rsidP="00766D9A">
      <w:pPr>
        <w:numPr>
          <w:ilvl w:val="0"/>
          <w:numId w:val="8"/>
        </w:numPr>
        <w:spacing w:after="80"/>
        <w:ind w:left="357" w:right="-108" w:hanging="357"/>
        <w:jc w:val="left"/>
        <w:rPr>
          <w:rFonts w:asciiTheme="majorHAnsi" w:hAnsiTheme="majorHAnsi" w:cstheme="majorHAnsi"/>
          <w:b/>
          <w:szCs w:val="22"/>
        </w:rPr>
      </w:pPr>
      <w:r>
        <w:rPr>
          <w:rFonts w:asciiTheme="majorHAnsi" w:hAnsiTheme="majorHAnsi"/>
          <w:b/>
        </w:rPr>
        <w:t>Predloženo povećanje dividende od 1,5%  na 2,07 evra po prioritetnoj akciji</w:t>
      </w:r>
    </w:p>
    <w:p w14:paraId="0D35CA42" w14:textId="77777777" w:rsidR="00766D9A" w:rsidRPr="00B2292F" w:rsidRDefault="00766D9A" w:rsidP="00766D9A">
      <w:pPr>
        <w:numPr>
          <w:ilvl w:val="0"/>
          <w:numId w:val="8"/>
        </w:numPr>
        <w:spacing w:after="80"/>
        <w:ind w:left="357" w:right="-108" w:hanging="357"/>
        <w:jc w:val="left"/>
        <w:rPr>
          <w:rFonts w:asciiTheme="majorHAnsi" w:hAnsiTheme="majorHAnsi" w:cstheme="majorHAnsi"/>
          <w:b/>
          <w:szCs w:val="22"/>
        </w:rPr>
      </w:pPr>
      <w:r>
        <w:rPr>
          <w:rFonts w:asciiTheme="majorHAnsi" w:hAnsiTheme="majorHAnsi"/>
          <w:b/>
        </w:rPr>
        <w:t>Dalji napredak u sprovođenju Agende svrsishodnog rasta</w:t>
      </w:r>
    </w:p>
    <w:p w14:paraId="639CEDE9" w14:textId="77777777" w:rsidR="00766D9A" w:rsidRPr="00A81C0A" w:rsidRDefault="00766D9A" w:rsidP="00766D9A">
      <w:pPr>
        <w:pStyle w:val="ListParagraph"/>
        <w:numPr>
          <w:ilvl w:val="1"/>
          <w:numId w:val="8"/>
        </w:numPr>
        <w:spacing w:after="80" w:line="266" w:lineRule="auto"/>
        <w:ind w:left="709" w:right="-108" w:hanging="283"/>
        <w:contextualSpacing w:val="0"/>
        <w:rPr>
          <w:rFonts w:asciiTheme="majorHAnsi" w:hAnsiTheme="majorHAnsi" w:cstheme="majorHAnsi"/>
          <w:b/>
          <w:szCs w:val="22"/>
        </w:rPr>
      </w:pPr>
      <w:bookmarkStart w:id="3" w:name="_Hlk157433806"/>
      <w:r>
        <w:rPr>
          <w:rFonts w:asciiTheme="majorHAnsi" w:hAnsiTheme="majorHAnsi"/>
          <w:b/>
        </w:rPr>
        <w:t>Spajanje sektora robe široke potrošnje završeno pre planiranog roka</w:t>
      </w:r>
    </w:p>
    <w:p w14:paraId="165FFCBB" w14:textId="77777777" w:rsidR="00766D9A" w:rsidRPr="00A81C0A" w:rsidRDefault="00766D9A" w:rsidP="00766D9A">
      <w:pPr>
        <w:pStyle w:val="ListParagraph"/>
        <w:numPr>
          <w:ilvl w:val="1"/>
          <w:numId w:val="8"/>
        </w:numPr>
        <w:spacing w:after="80" w:line="266" w:lineRule="auto"/>
        <w:ind w:left="709" w:right="-108" w:hanging="283"/>
        <w:contextualSpacing w:val="0"/>
        <w:rPr>
          <w:rFonts w:asciiTheme="majorHAnsi" w:hAnsiTheme="majorHAnsi" w:cstheme="majorHAnsi"/>
          <w:b/>
          <w:szCs w:val="22"/>
        </w:rPr>
      </w:pPr>
      <w:r>
        <w:rPr>
          <w:rFonts w:asciiTheme="majorHAnsi" w:hAnsiTheme="majorHAnsi"/>
          <w:b/>
        </w:rPr>
        <w:t>Nedavne akvizicije u oba poslovna sektora jačaju potencijal za rast</w:t>
      </w:r>
      <w:bookmarkEnd w:id="3"/>
    </w:p>
    <w:p w14:paraId="7B6F59C9" w14:textId="77777777" w:rsidR="00766D9A" w:rsidRPr="00835910" w:rsidRDefault="00766D9A" w:rsidP="00766D9A">
      <w:pPr>
        <w:numPr>
          <w:ilvl w:val="0"/>
          <w:numId w:val="8"/>
        </w:numPr>
        <w:spacing w:after="80"/>
        <w:ind w:left="357" w:right="-108" w:hanging="357"/>
        <w:jc w:val="left"/>
        <w:rPr>
          <w:rFonts w:asciiTheme="majorHAnsi" w:hAnsiTheme="majorHAnsi" w:cstheme="majorHAnsi"/>
          <w:b/>
          <w:szCs w:val="22"/>
        </w:rPr>
      </w:pPr>
      <w:r>
        <w:rPr>
          <w:rFonts w:asciiTheme="majorHAnsi" w:hAnsiTheme="majorHAnsi"/>
          <w:b/>
        </w:rPr>
        <w:t>Prognoze prihoda za fiskalnu 2026. godinu: Očekuje se dalji rast prihoda i dobiti</w:t>
      </w:r>
    </w:p>
    <w:p w14:paraId="79D47BA3" w14:textId="77777777" w:rsidR="00766D9A" w:rsidRPr="00CF56F5" w:rsidRDefault="00766D9A" w:rsidP="00766D9A">
      <w:pPr>
        <w:pStyle w:val="ListParagraph"/>
        <w:numPr>
          <w:ilvl w:val="1"/>
          <w:numId w:val="8"/>
        </w:numPr>
        <w:spacing w:after="80" w:line="266" w:lineRule="auto"/>
        <w:ind w:left="567" w:right="-108" w:hanging="283"/>
        <w:contextualSpacing w:val="0"/>
        <w:rPr>
          <w:rFonts w:asciiTheme="majorHAnsi" w:hAnsiTheme="majorHAnsi" w:cstheme="majorHAnsi"/>
          <w:b/>
          <w:szCs w:val="22"/>
        </w:rPr>
      </w:pPr>
      <w:r>
        <w:rPr>
          <w:rFonts w:asciiTheme="majorHAnsi" w:hAnsiTheme="majorHAnsi"/>
          <w:b/>
        </w:rPr>
        <w:t>Organski rast prodaje: 1,0 do 3,0 procenata</w:t>
      </w:r>
    </w:p>
    <w:p w14:paraId="679813B9" w14:textId="77777777" w:rsidR="00766D9A" w:rsidRPr="00C82433" w:rsidRDefault="00766D9A" w:rsidP="00766D9A">
      <w:pPr>
        <w:pStyle w:val="ListParagraph"/>
        <w:numPr>
          <w:ilvl w:val="1"/>
          <w:numId w:val="8"/>
        </w:numPr>
        <w:spacing w:after="80" w:line="266" w:lineRule="auto"/>
        <w:ind w:left="567" w:right="-108" w:hanging="283"/>
        <w:contextualSpacing w:val="0"/>
        <w:rPr>
          <w:rFonts w:asciiTheme="majorHAnsi" w:hAnsiTheme="majorHAnsi" w:cstheme="majorHAnsi"/>
          <w:b/>
          <w:szCs w:val="22"/>
        </w:rPr>
      </w:pPr>
      <w:r>
        <w:rPr>
          <w:rFonts w:asciiTheme="majorHAnsi" w:hAnsiTheme="majorHAnsi"/>
          <w:b/>
        </w:rPr>
        <w:t>EBIT marža*: 14,5 do 16,0 procenata</w:t>
      </w:r>
    </w:p>
    <w:p w14:paraId="5039959E" w14:textId="77777777" w:rsidR="00766D9A" w:rsidRPr="00CF56F5" w:rsidRDefault="00766D9A" w:rsidP="00766D9A">
      <w:pPr>
        <w:pStyle w:val="ListParagraph"/>
        <w:numPr>
          <w:ilvl w:val="1"/>
          <w:numId w:val="8"/>
        </w:numPr>
        <w:spacing w:after="80" w:line="266" w:lineRule="auto"/>
        <w:ind w:left="567" w:right="-108" w:hanging="283"/>
        <w:contextualSpacing w:val="0"/>
        <w:rPr>
          <w:rFonts w:asciiTheme="majorHAnsi" w:hAnsiTheme="majorHAnsi" w:cstheme="majorHAnsi"/>
          <w:b/>
          <w:szCs w:val="22"/>
        </w:rPr>
      </w:pPr>
      <w:r>
        <w:rPr>
          <w:rFonts w:asciiTheme="majorHAnsi" w:hAnsiTheme="majorHAnsi"/>
          <w:b/>
        </w:rPr>
        <w:t xml:space="preserve">Prihod po prioritetnoj akciji (EPS)*: </w:t>
      </w:r>
      <w:r>
        <w:rPr>
          <w:b/>
          <w:bCs/>
        </w:rPr>
        <w:t>Povećanje u niskom</w:t>
      </w:r>
      <w:r>
        <w:rPr>
          <w:rFonts w:asciiTheme="majorHAnsi" w:hAnsiTheme="majorHAnsi"/>
          <w:b/>
        </w:rPr>
        <w:t xml:space="preserve"> </w:t>
      </w:r>
      <w:bookmarkStart w:id="4" w:name="_Hlk191544887"/>
      <w:r>
        <w:rPr>
          <w:rFonts w:asciiTheme="majorHAnsi" w:hAnsiTheme="majorHAnsi"/>
          <w:b/>
        </w:rPr>
        <w:t>do visokom jednocifrenom procentualnom opsegu (pri stalnom kursu)</w:t>
      </w:r>
      <w:bookmarkEnd w:id="4"/>
    </w:p>
    <w:p w14:paraId="4C2DC070" w14:textId="77777777" w:rsidR="00766D9A" w:rsidRPr="00921C0C" w:rsidRDefault="00766D9A" w:rsidP="00766D9A">
      <w:pPr>
        <w:rPr>
          <w:rFonts w:cs="Segoe UI"/>
          <w:b/>
          <w:bCs/>
          <w:szCs w:val="22"/>
        </w:rPr>
      </w:pPr>
    </w:p>
    <w:p w14:paraId="123C7410" w14:textId="5530BE35" w:rsidR="00766D9A" w:rsidRPr="00921C0C" w:rsidRDefault="00766D9A" w:rsidP="00766D9A">
      <w:pPr>
        <w:rPr>
          <w:rFonts w:cs="Segoe UI"/>
          <w:b/>
          <w:bCs/>
          <w:szCs w:val="22"/>
        </w:rPr>
      </w:pPr>
      <w:r>
        <w:rPr>
          <w:b/>
          <w:noProof/>
          <w:sz w:val="24"/>
        </w:rPr>
        <mc:AlternateContent>
          <mc:Choice Requires="wps">
            <w:drawing>
              <wp:anchor distT="45720" distB="45720" distL="114300" distR="114300" simplePos="0" relativeHeight="251659264" behindDoc="0" locked="0" layoutInCell="1" allowOverlap="1" wp14:anchorId="0F1F2935" wp14:editId="79C9FE61">
                <wp:simplePos x="0" y="0"/>
                <wp:positionH relativeFrom="margin">
                  <wp:posOffset>-40005</wp:posOffset>
                </wp:positionH>
                <wp:positionV relativeFrom="paragraph">
                  <wp:posOffset>1682115</wp:posOffset>
                </wp:positionV>
                <wp:extent cx="5414010" cy="233045"/>
                <wp:effectExtent l="0" t="0" r="0" b="0"/>
                <wp:wrapNone/>
                <wp:docPr id="11796146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010" cy="233045"/>
                        </a:xfrm>
                        <a:prstGeom prst="rect">
                          <a:avLst/>
                        </a:prstGeom>
                        <a:solidFill>
                          <a:srgbClr val="FFFFFF"/>
                        </a:solidFill>
                        <a:ln>
                          <a:noFill/>
                        </a:ln>
                      </wps:spPr>
                      <wps:txbx>
                        <w:txbxContent>
                          <w:p w14:paraId="397C8430" w14:textId="77777777" w:rsidR="00766D9A" w:rsidRPr="00CF56F5" w:rsidRDefault="00766D9A" w:rsidP="00766D9A">
                            <w:pPr>
                              <w:pStyle w:val="He04Funote"/>
                              <w:rPr>
                                <w:sz w:val="12"/>
                                <w:szCs w:val="12"/>
                              </w:rPr>
                            </w:pPr>
                            <w:r>
                              <w:rPr>
                                <w:sz w:val="12"/>
                              </w:rPr>
                              <w:t>* Korigovano zbog jednokratnih troškova i dobiti, i zbog troškova restrukturiranja.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1F2935" id="_x0000_t202" coordsize="21600,21600" o:spt="202" path="m,l,21600r21600,l21600,xe">
                <v:stroke joinstyle="miter"/>
                <v:path gradientshapeok="t" o:connecttype="rect"/>
              </v:shapetype>
              <v:shape id="Text Box 1" o:spid="_x0000_s1026" type="#_x0000_t202" style="position:absolute;left:0;text-align:left;margin-left:-3.15pt;margin-top:132.45pt;width:426.3pt;height:18.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" stroked="f">
                <v:textbox>
                  <w:txbxContent>
                    <w:p w14:paraId="397C8430" w14:textId="77777777" w:rsidR="00766D9A" w:rsidRPr="00CF56F5" w:rsidRDefault="00766D9A" w:rsidP="00766D9A">
                      <w:pPr>
                        <w:pStyle w:val="He04Funote"/>
                        <w:rPr>
                          <w:sz w:val="12"/>
                          <w:szCs w:val="12"/>
                        </w:rPr>
                      </w:pPr>
                      <w:r>
                        <w:rPr>
                          <w:sz w:val="12"/>
                        </w:rPr>
                        <w:t>* Korigovano zbog jednokratnih troškova i dobiti, i zbog troškova restrukturiranja.</w:t>
                      </w:r>
                    </w:p>
                  </w:txbxContent>
                </v:textbox>
                <w10:wrap anchorx="margin"/>
              </v:shape>
            </w:pict>
          </mc:Fallback>
        </mc:AlternateContent>
      </w:r>
      <w:r>
        <w:rPr>
          <w:b/>
          <w:bCs/>
        </w:rPr>
        <w:t>Diseldorf – Henkel je ostvario ukupno dobar učinak u izazovnoj fiskalnoj 2025. godini, koju je odlikovao umereni globalni ekonomski rast u složenom geopolitičkom okruženju.</w:t>
      </w:r>
      <w:r>
        <w:rPr>
          <w:b/>
        </w:rPr>
        <w:t xml:space="preserve"> </w:t>
      </w:r>
      <w:r>
        <w:rPr>
          <w:b/>
          <w:bCs/>
        </w:rPr>
        <w:lastRenderedPageBreak/>
        <w:t xml:space="preserve">Prodaja Grupe u fiskalnoj 2025. godini iznosila je oko 20,5 milijardi evra, a korigovana EBIT marža porasla je za 50 baznih poena na 14,8%. </w:t>
      </w:r>
      <w:r>
        <w:rPr>
          <w:b/>
        </w:rPr>
        <w:t xml:space="preserve"> Korigovana zarada po prioritetnoj akciji uz konstantne kurseve razmene porasla je za 4,7%.</w:t>
      </w:r>
    </w:p>
    <w:p w14:paraId="343D4874" w14:textId="77777777" w:rsidR="00766D9A" w:rsidRDefault="00766D9A" w:rsidP="00766D9A">
      <w:pPr>
        <w:rPr>
          <w:rFonts w:cs="Segoe UI"/>
          <w:b/>
          <w:bCs/>
          <w:szCs w:val="22"/>
        </w:rPr>
      </w:pPr>
      <w:bookmarkStart w:id="5" w:name="_Hlk190074952"/>
      <w:r>
        <w:rPr>
          <w:b/>
        </w:rPr>
        <w:t xml:space="preserve">„Naše poslovno okruženje i dalje je obeleženo velikim izazovima, uključujući vojne sukobe, geopolitičke tenzije u mnogim delovima sveta i dalekosežne trgovinske i carinske konflikte. Neizvenost koja nastaje kao rezultat toga oslabila je poverenje potrošača i industrijsku potražnju. Sa ratom na Bliskom istoku koji je počeo krajem februara, neizvesnost se još jednom značajno povećala,“ izjavio je izvršni direktor kompanije Henkel, Karsten Knobel. </w:t>
      </w:r>
    </w:p>
    <w:p w14:paraId="2E115E49" w14:textId="77777777" w:rsidR="00766D9A" w:rsidRDefault="00766D9A" w:rsidP="00766D9A">
      <w:pPr>
        <w:rPr>
          <w:rFonts w:cs="Segoe UI"/>
          <w:b/>
          <w:bCs/>
          <w:szCs w:val="22"/>
        </w:rPr>
      </w:pPr>
      <w:r>
        <w:rPr>
          <w:b/>
        </w:rPr>
        <w:t>„Uprkos tome što se teški ekonomski uslovi nastavljaju, uspešno smo unapredili Henkel u 2025. godini. Ostvarili smo ili čak premašili ključne ciljeve i nastavili da podstičemo transformaciju naše kompanije. Organski smo povećali prodaju i značajno poboljšali profitabilnost. Želimo da naši akcionari učestvuju u uspešnom razvoju kompanije. Zato ćemo predložiti povećanje dividende od 1,5%.“</w:t>
      </w:r>
    </w:p>
    <w:p w14:paraId="6B5AEFAF" w14:textId="77777777" w:rsidR="00766D9A" w:rsidRPr="006D4D0C" w:rsidRDefault="00766D9A" w:rsidP="00766D9A">
      <w:pPr>
        <w:rPr>
          <w:rFonts w:cs="Segoe UI"/>
          <w:b/>
          <w:bCs/>
          <w:szCs w:val="22"/>
        </w:rPr>
      </w:pPr>
      <w:bookmarkStart w:id="6" w:name="_Hlk190777016"/>
      <w:bookmarkEnd w:id="5"/>
      <w:r>
        <w:rPr>
          <w:b/>
        </w:rPr>
        <w:t xml:space="preserve">„Povećali smo organsku prodaju i dodatno poboljšali profitabilnost u oba poslovna sektora, Adhezivi Tehnologije i Consumer Brands, prvenstveno kroz dalje inovacije, kontinuirane mere uštede i poboljšanje efikasnosti, kao i snažniji rast u oblastima sa visokom maržom. Povećanje marže u sektoru Consumer Brands vođeno je završenim procesom integracije, kontinuiranim uštedama i daljom valorizacijom – odnosno ciljanim unapređenjem portfolija proizvoda. Istovremeno smo nastavili da investiramo u budućnost oba sektora: u jačanje naših brendova, inovacije, održivost i digitalizaciju. Pored toga, tokom protekla tri meseca dogovorili smo akvizicije u oba poslovna sektora sa ukupnim obimom prodaje od oko 1,2 milijarde evra kako bismo ojačali naše poslovanje i proširili potencijal za rast. Rezultati za 2025. godinu jasno pokazuju da smo na pravom putu sa našom strategijom održivog, svrsishodnog rasta, efikasno pozicionirajući kompaniju za budućnost. </w:t>
      </w:r>
      <w:bookmarkEnd w:id="6"/>
      <w:r>
        <w:rPr>
          <w:b/>
        </w:rPr>
        <w:t>To se ogleda i u našim izgledima za fiskalnu 2026. godinu, u kojoj očekujemo dalji rast prodaje i zarade, iako će početak godine verovatno biti nešto slabiji. Želeo bih da se zahvalim svim zaposlenima na izuzetnom učinku. Zahvaljujući njihovom timskom radu i izvanrednoj posvećenosti, još jednom smo uspešno vodili našu kompaniju kroz izazovno okruženje,“ zaključio je Karsten Knobel.</w:t>
      </w:r>
    </w:p>
    <w:p w14:paraId="1AA9EC43" w14:textId="77777777" w:rsidR="00766D9A" w:rsidRPr="006D4D0C" w:rsidRDefault="00766D9A" w:rsidP="00766D9A">
      <w:pPr>
        <w:rPr>
          <w:rFonts w:cs="Segoe UI"/>
          <w:b/>
          <w:bCs/>
          <w:szCs w:val="22"/>
        </w:rPr>
      </w:pPr>
    </w:p>
    <w:p w14:paraId="03D9782C" w14:textId="77777777" w:rsidR="00766D9A" w:rsidRPr="005F750F" w:rsidRDefault="00766D9A" w:rsidP="00766D9A">
      <w:pPr>
        <w:spacing w:after="120"/>
        <w:rPr>
          <w:rFonts w:cs="Segoe UI"/>
          <w:b/>
          <w:bCs/>
          <w:szCs w:val="22"/>
          <w:lang w:eastAsia="de-DE"/>
        </w:rPr>
      </w:pPr>
    </w:p>
    <w:p w14:paraId="48E3DB71" w14:textId="77777777" w:rsidR="00766D9A" w:rsidRPr="006D4D0C" w:rsidRDefault="00766D9A" w:rsidP="00766D9A">
      <w:pPr>
        <w:spacing w:after="120"/>
        <w:rPr>
          <w:rFonts w:cs="Segoe UI"/>
          <w:b/>
          <w:bCs/>
          <w:szCs w:val="22"/>
        </w:rPr>
      </w:pPr>
      <w:r>
        <w:rPr>
          <w:b/>
        </w:rPr>
        <w:t>Prodaja grupe i prihodi u fiskalnoj 2025.</w:t>
      </w:r>
    </w:p>
    <w:p w14:paraId="68666560" w14:textId="77777777" w:rsidR="00766D9A" w:rsidRPr="00C83BA4" w:rsidRDefault="00766D9A" w:rsidP="00766D9A">
      <w:pPr>
        <w:rPr>
          <w:rFonts w:cs="Segoe UI"/>
          <w:szCs w:val="22"/>
        </w:rPr>
      </w:pPr>
      <w:r>
        <w:t xml:space="preserve">Prodaja </w:t>
      </w:r>
      <w:r>
        <w:rPr>
          <w:b/>
          <w:bCs/>
        </w:rPr>
        <w:t>Henkel grupe</w:t>
      </w:r>
      <w:r>
        <w:t xml:space="preserve"> u fiskalnoj 2025. godini iznosila je 20.495 miliona evra, što je nominalno za -5,1% manje u odnosu na prethodnu godinu. Devizni efekti su negativno uticali na prodaju sa -4,2 odsto.  Korigovano za efekte deviznih kurseva, prodaja je opala za -0,8%. Akvizicije/divestitcije su takođe imale negativan uticaj na prodaju od -1,7%, uglavnom zbog </w:t>
      </w:r>
      <w:r>
        <w:lastRenderedPageBreak/>
        <w:t xml:space="preserve">prodaje poslovanja sa robnim markama trgovaca (Retailer Brands) u Severnoj Americi u okviru poslovnog sektora Consumer Brands.  </w:t>
      </w:r>
      <w:r>
        <w:rPr>
          <w:b/>
          <w:bCs/>
        </w:rPr>
        <w:t>Organski rast prodaje</w:t>
      </w:r>
      <w:r>
        <w:t>, t.j. korigovan za efekte deviznih kurseva i akvizicije/divestitcije, bio je pozitivan i iznosio je 0,9%.  Ovo povećanje je prvenstveno bilo vođeno cenama, dok je obim ostao nepromenjen u odnosu na prethodnu godinu.</w:t>
      </w:r>
    </w:p>
    <w:p w14:paraId="3B4C0039" w14:textId="77777777" w:rsidR="00766D9A" w:rsidRPr="005F750F" w:rsidRDefault="00766D9A" w:rsidP="00766D9A">
      <w:pPr>
        <w:rPr>
          <w:rFonts w:cs="Segoe UI"/>
          <w:szCs w:val="22"/>
        </w:rPr>
      </w:pPr>
      <w:r>
        <w:t xml:space="preserve">Poslovni sektor </w:t>
      </w:r>
      <w:r>
        <w:rPr>
          <w:b/>
          <w:bCs/>
        </w:rPr>
        <w:t>Adhezivi Tehnologije</w:t>
      </w:r>
      <w:r>
        <w:t xml:space="preserve"> ostvario je dobar organski rast prodaje od 1,5%, vođen posebno poslovnom oblašću Mobilnost i elektronika (Mobility &amp; Electronics). Poslovni sektor </w:t>
      </w:r>
      <w:r>
        <w:rPr>
          <w:b/>
          <w:bCs/>
        </w:rPr>
        <w:t>Consumer Brands</w:t>
      </w:r>
      <w:r>
        <w:t xml:space="preserve"> zabeležio je pozitivan organski rast prodaje od 0,3%, čemu je posebno doprinela poslovna oblast Nega kose (Hair).</w:t>
      </w:r>
    </w:p>
    <w:p w14:paraId="6DB15735" w14:textId="77777777" w:rsidR="00766D9A" w:rsidRPr="005F750F" w:rsidRDefault="00766D9A" w:rsidP="00766D9A">
      <w:pPr>
        <w:rPr>
          <w:rFonts w:cs="Segoe UI"/>
          <w:szCs w:val="22"/>
        </w:rPr>
      </w:pPr>
    </w:p>
    <w:p w14:paraId="476B778D" w14:textId="77777777" w:rsidR="00766D9A" w:rsidRPr="005F750F" w:rsidRDefault="00766D9A" w:rsidP="00766D9A">
      <w:pPr>
        <w:rPr>
          <w:rFonts w:cs="Segoe UI"/>
          <w:szCs w:val="22"/>
        </w:rPr>
      </w:pPr>
      <w:r>
        <w:rPr>
          <w:b/>
          <w:bCs/>
        </w:rPr>
        <w:t>Korigovana operativna dobit (korigovani EBIT)</w:t>
      </w:r>
      <w:r>
        <w:t xml:space="preserve"> iznosila je 3.026 miliona evra i bila je ispod nivoa prethodne godine, prvenstveno zbog značajnih negativnih efekata deviznih kurseva (2024: 3.089 miliona evra).</w:t>
      </w:r>
    </w:p>
    <w:p w14:paraId="00D63A43" w14:textId="77777777" w:rsidR="00766D9A" w:rsidRPr="005F750F" w:rsidRDefault="00766D9A" w:rsidP="00766D9A">
      <w:pPr>
        <w:rPr>
          <w:rFonts w:cs="Segoe UI"/>
          <w:szCs w:val="22"/>
        </w:rPr>
      </w:pPr>
    </w:p>
    <w:p w14:paraId="3585CE3E" w14:textId="77777777" w:rsidR="00766D9A" w:rsidRPr="005F750F" w:rsidRDefault="00766D9A" w:rsidP="00766D9A">
      <w:pPr>
        <w:rPr>
          <w:rFonts w:cs="Segoe UI"/>
          <w:szCs w:val="22"/>
        </w:rPr>
      </w:pPr>
      <w:r>
        <w:t>Za razliku od toga</w:t>
      </w:r>
      <w:r>
        <w:rPr>
          <w:b/>
          <w:bCs/>
        </w:rPr>
        <w:t>, korigovani prinos od prodaje</w:t>
      </w:r>
      <w:r>
        <w:t xml:space="preserve"> </w:t>
      </w:r>
      <w:r>
        <w:rPr>
          <w:b/>
        </w:rPr>
        <w:t>(korigovana EBIT marža)</w:t>
      </w:r>
      <w:r>
        <w:t xml:space="preserve"> porasla je u odnosu na prethodnu godinu na 14,8 posto (2024. godine: 14,3 odsto).</w:t>
      </w:r>
    </w:p>
    <w:p w14:paraId="6945F950" w14:textId="77777777" w:rsidR="00766D9A" w:rsidRPr="005F750F" w:rsidRDefault="00766D9A" w:rsidP="00766D9A">
      <w:pPr>
        <w:rPr>
          <w:rFonts w:cs="Segoe UI"/>
          <w:szCs w:val="22"/>
        </w:rPr>
      </w:pPr>
    </w:p>
    <w:p w14:paraId="3C7A60BB" w14:textId="77777777" w:rsidR="00766D9A" w:rsidRDefault="00766D9A" w:rsidP="00766D9A">
      <w:pPr>
        <w:rPr>
          <w:rFonts w:cs="Segoe UI"/>
          <w:szCs w:val="22"/>
        </w:rPr>
      </w:pPr>
      <w:bookmarkStart w:id="7" w:name="_Hlk190081485"/>
      <w:r>
        <w:rPr>
          <w:b/>
          <w:bCs/>
        </w:rPr>
        <w:t xml:space="preserve">Korigovani prihod po prioritetnoj akciji </w:t>
      </w:r>
      <w:r>
        <w:t xml:space="preserve">takođe je značajno opao za -0,6 procenata na 5,33 evra (2024: 5,36 evra). Pri konstantnim deviznim kursevima, korigovani prihod po prioritetnoj akciji porastao je za 4,7 procenata. </w:t>
      </w:r>
    </w:p>
    <w:p w14:paraId="3DDDCAA3" w14:textId="77777777" w:rsidR="00766D9A" w:rsidRDefault="00766D9A" w:rsidP="00766D9A">
      <w:pPr>
        <w:rPr>
          <w:rFonts w:cs="Segoe UI"/>
          <w:szCs w:val="22"/>
        </w:rPr>
      </w:pPr>
    </w:p>
    <w:bookmarkEnd w:id="7"/>
    <w:p w14:paraId="00B3ADDA" w14:textId="77777777" w:rsidR="00766D9A" w:rsidRDefault="00766D9A" w:rsidP="00766D9A">
      <w:pPr>
        <w:rPr>
          <w:rFonts w:cs="Segoe UI"/>
          <w:szCs w:val="22"/>
        </w:rPr>
      </w:pPr>
      <w:r>
        <w:rPr>
          <w:b/>
          <w:bCs/>
        </w:rPr>
        <w:t xml:space="preserve">Neto obrtna sredstva </w:t>
      </w:r>
      <w:r>
        <w:t>kao procenat prodaje iznosila si 3,8 posto, tako da su značajno manja u odnosu na iz prethodne godine (2024. godine:</w:t>
      </w:r>
      <w:r>
        <w:rPr>
          <w:b/>
          <w:bCs/>
        </w:rPr>
        <w:t xml:space="preserve"> </w:t>
      </w:r>
      <w:r>
        <w:t xml:space="preserve"> 3,0 odsto).</w:t>
      </w:r>
    </w:p>
    <w:p w14:paraId="0821477C" w14:textId="77777777" w:rsidR="00766D9A" w:rsidRPr="005F750F" w:rsidRDefault="00766D9A" w:rsidP="00766D9A">
      <w:pPr>
        <w:rPr>
          <w:rFonts w:cs="Segoe UI"/>
          <w:szCs w:val="22"/>
        </w:rPr>
      </w:pPr>
    </w:p>
    <w:p w14:paraId="7FC017DE" w14:textId="77777777" w:rsidR="00766D9A" w:rsidRPr="005F750F" w:rsidRDefault="00766D9A" w:rsidP="00766D9A">
      <w:pPr>
        <w:rPr>
          <w:rFonts w:cs="Segoe UI"/>
          <w:szCs w:val="22"/>
        </w:rPr>
      </w:pPr>
      <w:r>
        <w:rPr>
          <w:b/>
          <w:bCs/>
        </w:rPr>
        <w:t>Slobodan gotovinski tok</w:t>
      </w:r>
      <w:r>
        <w:t xml:space="preserve"> iznosio je 1.850 miliona evra, što je ispod nivoa prethodne godine (2024: 2.362 miliona evra). Ovakav razvoj događaja bio je uzrokovan promenama u neto obrtnom kapitalu i efektima preračunavanja deviznih kurseva.</w:t>
      </w:r>
      <w:bookmarkStart w:id="8" w:name="_Hlk190081658"/>
    </w:p>
    <w:p w14:paraId="0760915B" w14:textId="77777777" w:rsidR="00766D9A" w:rsidRPr="005F750F" w:rsidRDefault="00766D9A" w:rsidP="00766D9A">
      <w:pPr>
        <w:rPr>
          <w:rFonts w:cs="Segoe UI"/>
          <w:szCs w:val="22"/>
        </w:rPr>
      </w:pPr>
    </w:p>
    <w:p w14:paraId="1EB508EE" w14:textId="77777777" w:rsidR="00766D9A" w:rsidRPr="005F750F" w:rsidRDefault="00766D9A" w:rsidP="00766D9A">
      <w:pPr>
        <w:rPr>
          <w:rFonts w:cs="Segoe UI"/>
          <w:szCs w:val="22"/>
        </w:rPr>
      </w:pPr>
      <w:r>
        <w:t>Uprkos odlivu gotovine za dividendu i program otkupa akcija</w:t>
      </w:r>
      <w:r>
        <w:rPr>
          <w:b/>
          <w:bCs/>
        </w:rPr>
        <w:t>, neto finansijska pozicija</w:t>
      </w:r>
      <w:r>
        <w:t xml:space="preserve"> iznosila je 109 miliona evra, što je iznad prošlogodišnje cifre (31. decembar 2024: -93 miliona evra).</w:t>
      </w:r>
    </w:p>
    <w:bookmarkEnd w:id="8"/>
    <w:p w14:paraId="22246722" w14:textId="77777777" w:rsidR="00766D9A" w:rsidRPr="005F750F" w:rsidRDefault="00766D9A" w:rsidP="00766D9A">
      <w:pPr>
        <w:rPr>
          <w:rFonts w:cs="Segoe UI"/>
        </w:rPr>
      </w:pPr>
    </w:p>
    <w:p w14:paraId="69954091" w14:textId="77777777" w:rsidR="00766D9A" w:rsidRDefault="00766D9A" w:rsidP="00766D9A">
      <w:pPr>
        <w:rPr>
          <w:rFonts w:cs="Segoe UI"/>
        </w:rPr>
      </w:pPr>
      <w:r>
        <w:t xml:space="preserve">Upravni odbor, Nadzorni odbor i Odbor akcionara predložiće godišnjoj skupštini akcionara 27. aprila 2026. godine povećanje </w:t>
      </w:r>
      <w:r>
        <w:rPr>
          <w:b/>
          <w:bCs/>
        </w:rPr>
        <w:t>dividende</w:t>
      </w:r>
      <w:r>
        <w:t xml:space="preserve"> od 1,5% u odnosu na prethodnu godinu, u iznosu od 2,07 evra po prioritetnoj akciji i 2,05 evra po običnoj akciji. Povećanje dividende je omogućeno zahvaljujući dobrom finansijskom učinku u protekloj fiskalnoj godini i snažnoj finansijskoj bazi Henkel grupe. Koeficijent isplate ostaje nepromenjen na 37,9%, što je u okviru ciljanog raspona od 30 do 40%. </w:t>
      </w:r>
    </w:p>
    <w:p w14:paraId="1DDAE3E1" w14:textId="77777777" w:rsidR="00766D9A" w:rsidRDefault="00766D9A" w:rsidP="00766D9A">
      <w:pPr>
        <w:spacing w:line="240" w:lineRule="auto"/>
        <w:jc w:val="left"/>
        <w:rPr>
          <w:rFonts w:cs="Segoe UI"/>
          <w:b/>
          <w:bCs/>
          <w:szCs w:val="22"/>
          <w:lang w:eastAsia="de-DE"/>
        </w:rPr>
      </w:pPr>
    </w:p>
    <w:p w14:paraId="7164E31C" w14:textId="77777777" w:rsidR="00766D9A" w:rsidRDefault="00766D9A" w:rsidP="00766D9A">
      <w:pPr>
        <w:spacing w:line="240" w:lineRule="auto"/>
        <w:jc w:val="left"/>
        <w:rPr>
          <w:rFonts w:cs="Segoe UI"/>
          <w:b/>
          <w:bCs/>
          <w:szCs w:val="22"/>
          <w:lang w:eastAsia="de-DE"/>
        </w:rPr>
      </w:pPr>
    </w:p>
    <w:p w14:paraId="4669A81A" w14:textId="77777777" w:rsidR="00766D9A" w:rsidRDefault="00766D9A" w:rsidP="00766D9A">
      <w:pPr>
        <w:spacing w:line="240" w:lineRule="auto"/>
        <w:jc w:val="left"/>
        <w:rPr>
          <w:rFonts w:cs="Segoe UI"/>
          <w:b/>
          <w:bCs/>
          <w:szCs w:val="22"/>
          <w:lang w:eastAsia="de-DE"/>
        </w:rPr>
      </w:pPr>
    </w:p>
    <w:p w14:paraId="5E62BBE5" w14:textId="77777777" w:rsidR="00766D9A" w:rsidRDefault="00766D9A" w:rsidP="00766D9A">
      <w:pPr>
        <w:spacing w:line="240" w:lineRule="auto"/>
        <w:jc w:val="left"/>
        <w:rPr>
          <w:rFonts w:cs="Segoe UI"/>
          <w:b/>
          <w:bCs/>
          <w:szCs w:val="22"/>
          <w:lang w:eastAsia="de-DE"/>
        </w:rPr>
      </w:pPr>
    </w:p>
    <w:p w14:paraId="0CCF20DA" w14:textId="77777777" w:rsidR="00766D9A" w:rsidRDefault="00766D9A" w:rsidP="00766D9A">
      <w:pPr>
        <w:spacing w:line="240" w:lineRule="auto"/>
        <w:jc w:val="left"/>
        <w:rPr>
          <w:rFonts w:cs="Segoe UI"/>
          <w:b/>
          <w:bCs/>
          <w:szCs w:val="22"/>
        </w:rPr>
      </w:pPr>
      <w:r>
        <w:rPr>
          <w:b/>
        </w:rPr>
        <w:t>Rezultati poslovnih sektora u fiskalnoj 2025.</w:t>
      </w:r>
    </w:p>
    <w:p w14:paraId="012C0AD0" w14:textId="77777777" w:rsidR="00766D9A" w:rsidRPr="00B312F1" w:rsidRDefault="00766D9A" w:rsidP="00766D9A">
      <w:pPr>
        <w:spacing w:line="240" w:lineRule="auto"/>
        <w:jc w:val="left"/>
        <w:rPr>
          <w:rFonts w:cs="Segoe UI"/>
          <w:b/>
          <w:bCs/>
          <w:szCs w:val="22"/>
          <w:lang w:eastAsia="de-DE"/>
        </w:rPr>
      </w:pPr>
    </w:p>
    <w:p w14:paraId="11A78935" w14:textId="77777777" w:rsidR="00766D9A" w:rsidRPr="005F750F" w:rsidRDefault="00766D9A" w:rsidP="00766D9A">
      <w:pPr>
        <w:rPr>
          <w:rFonts w:cs="Segoe UI"/>
          <w:szCs w:val="22"/>
        </w:rPr>
      </w:pPr>
      <w:r>
        <w:rPr>
          <w:b/>
          <w:bCs/>
        </w:rPr>
        <w:t xml:space="preserve">Prodaja </w:t>
      </w:r>
      <w:r>
        <w:t xml:space="preserve">u poslovnom sektoru </w:t>
      </w:r>
      <w:r>
        <w:rPr>
          <w:b/>
          <w:bCs/>
        </w:rPr>
        <w:t>Adhezivi Tehnologije:</w:t>
      </w:r>
      <w:r>
        <w:t xml:space="preserve"> iznosila je 10.667 miliona evra u fiskalnoj godin, -2,8 procenta ispod prethodne godine u nominalnom iznosu. Efekti deviznih kurseva smanjili su prodaju za -4,1 odsto. Akvizicije/divestitcije imale su uticaj od -0,1%. Prodaja je </w:t>
      </w:r>
      <w:r>
        <w:rPr>
          <w:b/>
          <w:bCs/>
        </w:rPr>
        <w:t xml:space="preserve">organski </w:t>
      </w:r>
      <w:r>
        <w:t xml:space="preserve">porasla za 1,5 procenata. Ovaj rast prodaje posebno je bio podstaknut pozitivnim razvojem obima u drugoj polovini godine u poređenju sa prethodnom godinom, što je rezultat blago poboljšane potražnje na nekim ključnim krajnjim tržištima. Cene su takođe zabeležile pozitivan trend u poređenju sa prethodnom godinom. </w:t>
      </w:r>
      <w:bookmarkStart w:id="9" w:name="_Hlk190097207"/>
      <w:r>
        <w:rPr>
          <w:b/>
          <w:bCs/>
        </w:rPr>
        <w:t>Korigovana operativna dobit</w:t>
      </w:r>
      <w:r>
        <w:t xml:space="preserve"> bila je malo ispod nivoa iz prethodne godine i iznosila je 1.779 milion evra. Bruto marža je ostala nepromenjena u odnosu na prethodnu godinu na visokom nivou. </w:t>
      </w:r>
      <w:r>
        <w:rPr>
          <w:b/>
          <w:bCs/>
        </w:rPr>
        <w:t xml:space="preserve">Korigovani prinos od prodaje </w:t>
      </w:r>
      <w:r>
        <w:t>uvećan je značajno za 190 baznih poena na 16,7 odsto.</w:t>
      </w:r>
      <w:bookmarkEnd w:id="9"/>
    </w:p>
    <w:p w14:paraId="63478035" w14:textId="77777777" w:rsidR="00766D9A" w:rsidRPr="005F750F" w:rsidRDefault="00766D9A" w:rsidP="00766D9A">
      <w:pPr>
        <w:rPr>
          <w:rFonts w:cs="Segoe UI"/>
          <w:szCs w:val="22"/>
        </w:rPr>
      </w:pPr>
    </w:p>
    <w:p w14:paraId="490E614F" w14:textId="77777777" w:rsidR="00766D9A" w:rsidRDefault="00766D9A" w:rsidP="00766D9A">
      <w:r>
        <w:rPr>
          <w:b/>
          <w:bCs/>
        </w:rPr>
        <w:t>Prodaja</w:t>
      </w:r>
      <w:r>
        <w:t xml:space="preserve"> u poslovnom sektoru</w:t>
      </w:r>
      <w:r>
        <w:rPr>
          <w:b/>
          <w:bCs/>
        </w:rPr>
        <w:t xml:space="preserve"> Consumer Brands</w:t>
      </w:r>
      <w:r>
        <w:t xml:space="preserve"> iznosila je 9.677 miliona evra u fiskalnoj 2024. godini i bila je tako -7,5 procenta ispod prethodne godine u nominalnom iznosu. Efekti deviznih kurseva smanjili su prodaju za -4.4 odsto. Akvizicije/divestitcije su takođe imale negativan uticaj na prodaju od -3,4%, uglavnom zbog prodaje poslovanja sa robnim markama trgovaca (Retailer Brands) u Severnoj Americi u aprilu 2025. Prodaja je </w:t>
      </w:r>
      <w:r>
        <w:rPr>
          <w:b/>
          <w:bCs/>
        </w:rPr>
        <w:t xml:space="preserve">organski </w:t>
      </w:r>
      <w:r>
        <w:t>porasla za 0,3 procenata. Ovaj porast prodaje bio je vođen dobrim kretanjem cena, dok je obim prodaje blago opao.</w:t>
      </w:r>
      <w:bookmarkStart w:id="10" w:name="_Hlk190100714"/>
      <w:r>
        <w:t xml:space="preserve"> Na nivou od 1.400 miliona evra, </w:t>
      </w:r>
      <w:r>
        <w:rPr>
          <w:b/>
          <w:bCs/>
        </w:rPr>
        <w:t>korigovani operativni prihod</w:t>
      </w:r>
      <w:r>
        <w:t xml:space="preserve"> bio je nešto iznad nivoa prethodne godine. Nasuprot tome, bruto marža je značajno poboljšana. </w:t>
      </w:r>
      <w:r>
        <w:rPr>
          <w:b/>
          <w:bCs/>
        </w:rPr>
        <w:t>Korigovani prinos na prodaju</w:t>
      </w:r>
      <w:r>
        <w:t xml:space="preserve"> dostigao je 14,5%, što predstavlja značajno povećanje u odnosu na prethodnu godinu. </w:t>
      </w:r>
      <w:bookmarkEnd w:id="10"/>
    </w:p>
    <w:p w14:paraId="47B7F302" w14:textId="77777777" w:rsidR="00766D9A" w:rsidRDefault="00766D9A" w:rsidP="00766D9A">
      <w:pPr>
        <w:rPr>
          <w:rFonts w:cs="Segoe UI"/>
          <w:szCs w:val="22"/>
        </w:rPr>
      </w:pPr>
    </w:p>
    <w:p w14:paraId="76F26F5C" w14:textId="77777777" w:rsidR="00766D9A" w:rsidRDefault="00766D9A" w:rsidP="00766D9A">
      <w:pPr>
        <w:rPr>
          <w:rFonts w:cs="Segoe UI"/>
          <w:b/>
          <w:bCs/>
          <w:szCs w:val="22"/>
        </w:rPr>
      </w:pPr>
      <w:r>
        <w:rPr>
          <w:b/>
        </w:rPr>
        <w:t>Prognoza za 2026.</w:t>
      </w:r>
    </w:p>
    <w:p w14:paraId="4DA7223E" w14:textId="77777777" w:rsidR="00766D9A" w:rsidRPr="00CC0D1D" w:rsidRDefault="00766D9A" w:rsidP="00766D9A">
      <w:pPr>
        <w:rPr>
          <w:rFonts w:cs="Segoe UI"/>
          <w:szCs w:val="22"/>
        </w:rPr>
      </w:pPr>
    </w:p>
    <w:p w14:paraId="1FD98E40" w14:textId="77777777" w:rsidR="00766D9A" w:rsidRPr="00FB398A" w:rsidRDefault="00766D9A" w:rsidP="00766D9A">
      <w:pPr>
        <w:rPr>
          <w:rFonts w:cs="Segoe UI"/>
          <w:szCs w:val="22"/>
        </w:rPr>
      </w:pPr>
      <w:r>
        <w:t>Očekuje se da će preračunavanje prodaje u stranim valutama imati negativan uticaj u rasponu niskog jednocifrenog procenta. Očekuje se da će cene direktnih materijala porasti u niskom jednocifrenom procentualnom opsegu u odnosu na godišnji prosek iz 2025. godine.</w:t>
      </w:r>
    </w:p>
    <w:p w14:paraId="7832EC09" w14:textId="77777777" w:rsidR="00766D9A" w:rsidRDefault="00766D9A" w:rsidP="00766D9A">
      <w:pPr>
        <w:rPr>
          <w:rFonts w:cs="Segoe UI"/>
        </w:rPr>
      </w:pPr>
    </w:p>
    <w:p w14:paraId="54961DB7" w14:textId="77777777" w:rsidR="00766D9A" w:rsidRPr="00F46706" w:rsidRDefault="00766D9A" w:rsidP="00766D9A">
      <w:pPr>
        <w:rPr>
          <w:rFonts w:cs="Segoe UI"/>
          <w:szCs w:val="22"/>
        </w:rPr>
      </w:pPr>
      <w:r>
        <w:t xml:space="preserve">U skladu sa ovim pretpostavkama, Henkel očekuje da će </w:t>
      </w:r>
      <w:r>
        <w:rPr>
          <w:b/>
          <w:bCs/>
        </w:rPr>
        <w:t>organski rast prodaje</w:t>
      </w:r>
      <w:r>
        <w:t xml:space="preserve"> iznositi između 1,0 i 3,0 odsto u fiskalnoj 2026. Organski rast između 1,0 i 3,0 odsto se očekuje za poslovnu jedinicu Adhezivi Tehnologije i između 0,5 i 2,5 odsto za sektor Consumer Brands. Očekuje se da će</w:t>
      </w:r>
      <w:r>
        <w:rPr>
          <w:b/>
          <w:bCs/>
        </w:rPr>
        <w:t xml:space="preserve"> korigovani prinosod prodaje</w:t>
      </w:r>
      <w:r>
        <w:t xml:space="preserve"> (usklađena EBIT marža) biti u opsegu od 14,5 do 16,0 odsto. Za jedinicu Adhezivi Tehnologije, očekuje se prilagođeni prihod od prodaje između 16,5 i 18,0 odsto, a za jedinicu Consumer Brands između 14,0 i 15,5 odsto. Za </w:t>
      </w:r>
      <w:r>
        <w:rPr>
          <w:b/>
          <w:bCs/>
        </w:rPr>
        <w:t xml:space="preserve">korigovani prihod </w:t>
      </w:r>
      <w:r>
        <w:rPr>
          <w:b/>
          <w:bCs/>
        </w:rPr>
        <w:lastRenderedPageBreak/>
        <w:t>po prioritetnoj akciji (EPS)</w:t>
      </w:r>
      <w:r>
        <w:t xml:space="preserve"> pri stalnom kursu očekuje se povećanje u rasponu od niskog do visokog jednocifrenog procenta.</w:t>
      </w:r>
    </w:p>
    <w:p w14:paraId="1DFEC67B" w14:textId="77777777" w:rsidR="00766D9A" w:rsidRPr="00F46706" w:rsidRDefault="00766D9A" w:rsidP="00766D9A">
      <w:pPr>
        <w:rPr>
          <w:rFonts w:cs="Segoe UI"/>
          <w:b/>
          <w:bCs/>
          <w:szCs w:val="22"/>
          <w:lang w:eastAsia="de-DE"/>
        </w:rPr>
      </w:pPr>
    </w:p>
    <w:p w14:paraId="52111DB8" w14:textId="77777777" w:rsidR="00766D9A" w:rsidRDefault="00766D9A" w:rsidP="00766D9A">
      <w:pPr>
        <w:rPr>
          <w:rFonts w:cs="Segoe UI"/>
          <w:b/>
          <w:bCs/>
          <w:szCs w:val="22"/>
          <w:lang w:eastAsia="de-DE"/>
        </w:rPr>
      </w:pPr>
    </w:p>
    <w:p w14:paraId="75AE0F28" w14:textId="77777777" w:rsidR="00766D9A" w:rsidRDefault="00766D9A" w:rsidP="00766D9A">
      <w:pPr>
        <w:rPr>
          <w:rFonts w:cs="Segoe UI"/>
          <w:b/>
          <w:bCs/>
          <w:szCs w:val="22"/>
          <w:lang w:eastAsia="de-DE"/>
        </w:rPr>
      </w:pPr>
    </w:p>
    <w:p w14:paraId="31886047" w14:textId="77777777" w:rsidR="00766D9A" w:rsidRDefault="00766D9A" w:rsidP="00766D9A">
      <w:pPr>
        <w:rPr>
          <w:rFonts w:cs="Segoe UI"/>
          <w:b/>
          <w:bCs/>
          <w:szCs w:val="22"/>
          <w:lang w:eastAsia="de-DE"/>
        </w:rPr>
      </w:pPr>
    </w:p>
    <w:p w14:paraId="57E24940" w14:textId="77777777" w:rsidR="00766D9A" w:rsidRPr="00467CC0" w:rsidRDefault="00766D9A" w:rsidP="00766D9A">
      <w:pPr>
        <w:rPr>
          <w:rFonts w:cs="Segoe UI"/>
          <w:b/>
          <w:bCs/>
          <w:szCs w:val="22"/>
        </w:rPr>
      </w:pPr>
      <w:r>
        <w:rPr>
          <w:b/>
        </w:rPr>
        <w:t>Značajan napredak u procesu transformacije</w:t>
      </w:r>
    </w:p>
    <w:p w14:paraId="1F2104B4" w14:textId="77777777" w:rsidR="00766D9A" w:rsidRDefault="00766D9A" w:rsidP="00766D9A">
      <w:pPr>
        <w:rPr>
          <w:rFonts w:cs="Segoe UI"/>
          <w:szCs w:val="22"/>
        </w:rPr>
      </w:pPr>
      <w:r>
        <w:t xml:space="preserve">Tokom poslednjih godina, Henkel se suštinski obnovio u mnogim oblastima i dosledno sprovodio svoju stratešku agendu za svrsishodan rast Ključni faktor dugoročnog uspeha je spremnost na kontinuirani razvoj i aktivno oblikovanje promena. </w:t>
      </w:r>
    </w:p>
    <w:p w14:paraId="50BE28CF" w14:textId="77777777" w:rsidR="00766D9A" w:rsidRPr="005F750F" w:rsidRDefault="00766D9A" w:rsidP="00766D9A">
      <w:pPr>
        <w:rPr>
          <w:rFonts w:cs="Segoe UI"/>
          <w:szCs w:val="22"/>
        </w:rPr>
      </w:pPr>
    </w:p>
    <w:p w14:paraId="2A30689D" w14:textId="77777777" w:rsidR="00766D9A" w:rsidRPr="009C6158" w:rsidRDefault="00766D9A" w:rsidP="00766D9A">
      <w:pPr>
        <w:spacing w:after="120"/>
        <w:jc w:val="left"/>
        <w:rPr>
          <w:rFonts w:cs="Segoe UI"/>
          <w:b/>
          <w:bCs/>
          <w:szCs w:val="22"/>
        </w:rPr>
      </w:pPr>
      <w:r>
        <w:rPr>
          <w:b/>
        </w:rPr>
        <w:t>Consumer Brands: Spajanje uspešno završeno</w:t>
      </w:r>
    </w:p>
    <w:p w14:paraId="1E2A1997" w14:textId="77777777" w:rsidR="00766D9A" w:rsidRPr="009C6158" w:rsidRDefault="00766D9A" w:rsidP="00766D9A">
      <w:pPr>
        <w:rPr>
          <w:rFonts w:cs="Segoe UI"/>
          <w:szCs w:val="22"/>
        </w:rPr>
      </w:pPr>
      <w:r>
        <w:t xml:space="preserve">Spajanje sektora jedinica za brendove robe široke potrošnje u poslovni sektor </w:t>
      </w:r>
      <w:r>
        <w:rPr>
          <w:b/>
          <w:bCs/>
        </w:rPr>
        <w:t>Consumer Brands</w:t>
      </w:r>
      <w:r>
        <w:t>, koje je najavljeno početkom 2022. godine, završeno je krajem fiskalne 2025. godine. Ukupno su prvobitno planirane godišnje uštede od 525 miliona evra premašene do kraja fiskalne 2025. godine.  Time je uspešno završena integracija sektora Consumer Brands – godinu dana ranije nego što je prvobitno planirano.</w:t>
      </w:r>
      <w:bookmarkStart w:id="11" w:name="_Hlk190100871"/>
    </w:p>
    <w:p w14:paraId="5024856E" w14:textId="77777777" w:rsidR="00766D9A" w:rsidRDefault="00766D9A" w:rsidP="00766D9A">
      <w:pPr>
        <w:rPr>
          <w:rFonts w:cs="Segoe UI"/>
          <w:szCs w:val="22"/>
          <w:lang w:eastAsia="de-DE"/>
        </w:rPr>
      </w:pPr>
    </w:p>
    <w:p w14:paraId="241FA30E" w14:textId="77777777" w:rsidR="00766D9A" w:rsidRDefault="00766D9A" w:rsidP="00766D9A">
      <w:pPr>
        <w:rPr>
          <w:rFonts w:cs="Segoe UI"/>
          <w:szCs w:val="22"/>
        </w:rPr>
      </w:pPr>
      <w:r>
        <w:t xml:space="preserve">Istovremeno, sektor Consumer Brands je bio dosledno fokusiran na snažne brendove i poslovanja sa visokim bruto maržama, kao i na vodeće pozicije na tržištima i u kategorijama Ovaj fokus na brendove i poslovanja sa visokim rastom i maržom se isplati deset najboljih brendova u okviru sektora Consumer Brands, koji su činili skoro 60%  prihoda u 2025. godini, zabeležili su veoma snažan organski rast, uz pozitivan porast obima prodaje. </w:t>
      </w:r>
      <w:bookmarkEnd w:id="11"/>
    </w:p>
    <w:p w14:paraId="6CBF1E9C" w14:textId="77777777" w:rsidR="00766D9A" w:rsidRPr="00CC0D1D" w:rsidRDefault="00766D9A" w:rsidP="00766D9A">
      <w:pPr>
        <w:rPr>
          <w:rFonts w:cs="Segoe UI"/>
          <w:szCs w:val="22"/>
        </w:rPr>
      </w:pPr>
    </w:p>
    <w:p w14:paraId="7B062E4B" w14:textId="77777777" w:rsidR="00766D9A" w:rsidRPr="00E21F5D" w:rsidRDefault="00766D9A" w:rsidP="00766D9A">
      <w:pPr>
        <w:spacing w:after="120"/>
        <w:rPr>
          <w:rFonts w:cs="Segoe UI"/>
          <w:b/>
          <w:bCs/>
          <w:szCs w:val="22"/>
        </w:rPr>
      </w:pPr>
      <w:r>
        <w:rPr>
          <w:b/>
        </w:rPr>
        <w:t>Dosledna implementacija strateške agende</w:t>
      </w:r>
    </w:p>
    <w:p w14:paraId="372AFB8B" w14:textId="77777777" w:rsidR="00766D9A" w:rsidRDefault="00766D9A" w:rsidP="00766D9A">
      <w:pPr>
        <w:autoSpaceDE w:val="0"/>
        <w:autoSpaceDN w:val="0"/>
        <w:adjustRightInd w:val="0"/>
        <w:rPr>
          <w:rFonts w:cs="Segoe UI"/>
          <w:bCs/>
          <w:szCs w:val="22"/>
        </w:rPr>
      </w:pPr>
      <w:r>
        <w:t xml:space="preserve">Kao deo </w:t>
      </w:r>
      <w:r>
        <w:rPr>
          <w:b/>
          <w:bCs/>
        </w:rPr>
        <w:t>aktivnog upravljanja portfolijom</w:t>
      </w:r>
      <w:r>
        <w:t xml:space="preserve">, Henkel je dodatno razvio svoj asortiman prekidom ili prodajom određenih aktivnosti i realizacijom akvizicija. Prodajom poslovanja sa robnim markama trgovaca u Severnoj Americi, koja je uspešno završena u proleće 2025. godine, Henkel je finalizovao mere portfolija najavljene na početku spajanja svojih ranije odvojenih sektora robe široke potrošnje. Od početka 2022. godine, Henkel je tako prodao ili ugasio brendove i aktivnosti sa ukupnom prodajom od nešto više od milijardu evra . </w:t>
      </w:r>
    </w:p>
    <w:p w14:paraId="0700C690" w14:textId="77777777" w:rsidR="00766D9A" w:rsidRPr="0006442E" w:rsidRDefault="00766D9A" w:rsidP="00766D9A">
      <w:pPr>
        <w:autoSpaceDE w:val="0"/>
        <w:autoSpaceDN w:val="0"/>
        <w:adjustRightInd w:val="0"/>
        <w:rPr>
          <w:rFonts w:cs="Segoe UI"/>
          <w:bCs/>
          <w:szCs w:val="22"/>
        </w:rPr>
      </w:pPr>
    </w:p>
    <w:p w14:paraId="43CE253B" w14:textId="77777777" w:rsidR="00766D9A" w:rsidRPr="00DD5FF5" w:rsidRDefault="00766D9A" w:rsidP="00766D9A">
      <w:pPr>
        <w:autoSpaceDE w:val="0"/>
        <w:autoSpaceDN w:val="0"/>
        <w:adjustRightInd w:val="0"/>
        <w:rPr>
          <w:rFonts w:cs="Segoe UI"/>
          <w:bCs/>
          <w:szCs w:val="22"/>
        </w:rPr>
      </w:pPr>
      <w:r>
        <w:t xml:space="preserve">Širenje portfolija kroz ciljane </w:t>
      </w:r>
      <w:r>
        <w:rPr>
          <w:b/>
          <w:bCs/>
        </w:rPr>
        <w:t>akvizicije</w:t>
      </w:r>
      <w:r>
        <w:t xml:space="preserve"> takođe je sastavni deo Henkelove agende rasta. U 2025. godini, Henkel je potpisao ugovor o kupovini kompanije ATP Adhesive Systems AG. Ova kompanija sa sedištem u Švajcarskoj je vodeći dobavljač specijalnih traka visokih performansi na bazi vode za širok spektar krajnjih tržišta, uključujući automobilsku industriju, elektroniku, </w:t>
      </w:r>
      <w:r>
        <w:lastRenderedPageBreak/>
        <w:t xml:space="preserve">medicinu, građevinarstvo i grafičku industriju. ATP ima snažno prisustvo u Severnoj Americi i Evropi i ostvario je prodaju od oko 270 miliona evra u fiskalnoj 2025. godini. </w:t>
      </w:r>
    </w:p>
    <w:p w14:paraId="567714A2" w14:textId="77777777" w:rsidR="00766D9A" w:rsidRPr="009C6158" w:rsidRDefault="00766D9A" w:rsidP="00766D9A">
      <w:pPr>
        <w:autoSpaceDE w:val="0"/>
        <w:autoSpaceDN w:val="0"/>
        <w:adjustRightInd w:val="0"/>
        <w:rPr>
          <w:rFonts w:cs="Segoe UI"/>
          <w:bCs/>
          <w:szCs w:val="22"/>
        </w:rPr>
      </w:pPr>
    </w:p>
    <w:p w14:paraId="315F80A4" w14:textId="77777777" w:rsidR="00766D9A" w:rsidRDefault="00766D9A" w:rsidP="00766D9A">
      <w:pPr>
        <w:autoSpaceDE w:val="0"/>
        <w:autoSpaceDN w:val="0"/>
        <w:adjustRightInd w:val="0"/>
        <w:rPr>
          <w:rFonts w:cs="Segoe UI"/>
          <w:bCs/>
          <w:szCs w:val="22"/>
        </w:rPr>
      </w:pPr>
      <w:r>
        <w:t xml:space="preserve">U februaru 2026. godine, Henkel je dogovorio kupovinu holandske Stahl grupe. Kompanija je globalni lider u specijalnim premazima visokih performansi za fleksibilne materijale, opslužujući vodeće svetske kompanije u automobilskoj, modnoj i lifestyle industriji, kao i na tržištima ambalaže. U fiskalnoj 2025. godini, Stahl je ostvario prodaju od približno 725 miliona evra uz uravnoteženo regionalno prisustvo. </w:t>
      </w:r>
    </w:p>
    <w:p w14:paraId="37D6DBBC" w14:textId="77777777" w:rsidR="00766D9A" w:rsidRDefault="00766D9A" w:rsidP="00766D9A">
      <w:pPr>
        <w:autoSpaceDE w:val="0"/>
        <w:autoSpaceDN w:val="0"/>
        <w:adjustRightInd w:val="0"/>
        <w:rPr>
          <w:rFonts w:cs="Segoe UI"/>
          <w:bCs/>
          <w:szCs w:val="22"/>
        </w:rPr>
      </w:pPr>
    </w:p>
    <w:p w14:paraId="48B89210" w14:textId="77777777" w:rsidR="00766D9A" w:rsidRDefault="00766D9A" w:rsidP="00766D9A">
      <w:pPr>
        <w:autoSpaceDE w:val="0"/>
        <w:autoSpaceDN w:val="0"/>
        <w:adjustRightInd w:val="0"/>
        <w:rPr>
          <w:rFonts w:cs="Segoe UI"/>
          <w:bCs/>
          <w:szCs w:val="22"/>
        </w:rPr>
      </w:pPr>
      <w:r>
        <w:t>Pored toga, Henkel je početkom marta potpisao ugovor o kupovini brenda „Not Your Mother’s“, jednog od vodećih brendova za negu i oblikovanje kose u Severnoj Americi. Ovo jača Henkelovu poziciju u poslovanju sa proizvodima za negu kose, jednoj od osnovnih kategorija u sektoru Consumer Brands. „Not Your Mother’s“ je uspešan, brzorastući brend sa širokim spektrom šampona, regeneratora, tretmana i proizvoda za oblikovanje kose U fiskalnoj 2025. godini brend je ostvario prodaju od oko 190 miliona evra uz dvocifren rast i visoku profitabilnost.</w:t>
      </w:r>
    </w:p>
    <w:p w14:paraId="6BC856B0" w14:textId="77777777" w:rsidR="00766D9A" w:rsidRDefault="00766D9A" w:rsidP="00766D9A">
      <w:pPr>
        <w:autoSpaceDE w:val="0"/>
        <w:autoSpaceDN w:val="0"/>
        <w:adjustRightInd w:val="0"/>
        <w:rPr>
          <w:rFonts w:cs="Segoe UI"/>
          <w:bCs/>
          <w:szCs w:val="22"/>
        </w:rPr>
      </w:pPr>
    </w:p>
    <w:p w14:paraId="7FB286D5" w14:textId="77777777" w:rsidR="00766D9A" w:rsidRDefault="00766D9A" w:rsidP="00766D9A">
      <w:pPr>
        <w:pStyle w:val="Topline"/>
        <w:spacing w:before="0" w:after="0"/>
      </w:pPr>
      <w:r>
        <w:t xml:space="preserve">Nedavne transakcije, koje još uvek podležu uobičajenim uslovima zatvaranja i odobrenjima antimonopolskih organa, predstavljaju </w:t>
      </w:r>
      <w:r w:rsidRPr="004501B6">
        <w:t>k</w:t>
      </w:r>
      <w:r>
        <w:rPr>
          <w:b/>
          <w:bCs/>
        </w:rPr>
        <w:t>ombinovani dodatni obim prodaje od oko  1,2 milijarde evra i unapređuju potencijal rasta</w:t>
      </w:r>
      <w:r>
        <w:t xml:space="preserve"> za vodeće svetsko poslovanje Adhezivi Tehnologije i sektor Consumer Brands.</w:t>
      </w:r>
    </w:p>
    <w:p w14:paraId="7EEBA4F8" w14:textId="77777777" w:rsidR="00766D9A" w:rsidRPr="009C6158" w:rsidRDefault="00766D9A" w:rsidP="00766D9A">
      <w:pPr>
        <w:pStyle w:val="Topline"/>
        <w:spacing w:before="0" w:after="0"/>
      </w:pPr>
    </w:p>
    <w:p w14:paraId="3124A738" w14:textId="77777777" w:rsidR="00766D9A" w:rsidRDefault="00766D9A" w:rsidP="00766D9A">
      <w:pPr>
        <w:rPr>
          <w:rFonts w:cs="Segoe UI"/>
          <w:bCs/>
          <w:szCs w:val="22"/>
        </w:rPr>
      </w:pPr>
      <w:r>
        <w:t xml:space="preserve">Tokom 2025. godine, Henkel je lansirao brojne </w:t>
      </w:r>
      <w:r>
        <w:rPr>
          <w:b/>
          <w:bCs/>
        </w:rPr>
        <w:t xml:space="preserve">inovacije </w:t>
      </w:r>
      <w:r>
        <w:t xml:space="preserve">na tržište, adresirajući važne trendove i stvarajući vrednost za kupce i potrošače. </w:t>
      </w:r>
      <w:bookmarkStart w:id="12" w:name="_Hlk190180076"/>
      <w:r>
        <w:t>Na tržištu robe široke potrošnje, inovacija je ključni faktor uspeha za diferencijaciju. Jedan primer je nova boja za kosu Creme Supreme brenda Schwarzkopf. Inspirisan profesionalnim salonskim tretmanima, Henkel je razvio Creme Supreme, novu tehnologiju koja jača i neguje strukturu kose kroz mikro-vezivanje. Ove mikro-veze efikasnije drže vlakna kose zajedno i formiraju poseban zaštitni sloj oko vlasi. Rezultat je značajno manje lomljenje kose, što je jedna od glavnih briga potrošača prilikom farbanja.</w:t>
      </w:r>
    </w:p>
    <w:p w14:paraId="662FE330" w14:textId="77777777" w:rsidR="00766D9A" w:rsidRPr="0006442E" w:rsidRDefault="00766D9A" w:rsidP="00766D9A">
      <w:pPr>
        <w:rPr>
          <w:rFonts w:cs="Segoe UI"/>
          <w:bCs/>
          <w:szCs w:val="22"/>
        </w:rPr>
      </w:pPr>
      <w:r>
        <w:t>Koncept „House of Hair“ takođe igra važnu ulogu u razvoju inovacija u kategoriji proizvoda za kosu. Od marta 2025. godine, Henkel je konsolidovao glavne oblasti svog poslovanja sa kozmetikom za kosu u Hamburgu na jednoj lokaciji u Nemačkoj: istraživanje i razvoj, test salone, marketing i Akademiju za kosu. Ovde više od 300 stručnjaka radi ruku pod ruku na razvoju inovativnih proizvoda. Pored Hamburga, postoje još četiri lokacije: u Los Anđelesu, Tokiju, Šangaju i Gvadalahari. Svaka lokacija igra važnu ulogu u razvoju proizvoda za kozmetiku kose koji su orijentisani ka kupcima i koji specifično adresiraju regionalno različite potrebe kupaca.</w:t>
      </w:r>
    </w:p>
    <w:p w14:paraId="562B8C17" w14:textId="77777777" w:rsidR="00766D9A" w:rsidRPr="0006442E" w:rsidRDefault="00766D9A" w:rsidP="00766D9A">
      <w:pPr>
        <w:rPr>
          <w:rFonts w:cs="Segoe UI"/>
          <w:bCs/>
          <w:szCs w:val="22"/>
        </w:rPr>
      </w:pPr>
    </w:p>
    <w:p w14:paraId="5FAA3E86" w14:textId="77777777" w:rsidR="00766D9A" w:rsidRDefault="00766D9A" w:rsidP="00766D9A">
      <w:pPr>
        <w:rPr>
          <w:rFonts w:cs="Segoe UI"/>
          <w:bCs/>
          <w:szCs w:val="22"/>
        </w:rPr>
      </w:pPr>
      <w:r>
        <w:lastRenderedPageBreak/>
        <w:t xml:space="preserve">Inovacija je takođe centralni faktor uspeha za sektor Adhezivi Tehnologije. Henkel stoga nastavlja dosledno da investira kako bi se uspešno pozicionirao u konkurentnom okruženju. Ključni fokus je proširenje mreže najsavremenijih centara za istraživanje i inovacije. Takvi Inspiracioni centri već neko vreme rade u Diseldorfu, Mumbaju u Indiji i Nju Džerziju u SAD. U 2025. godini, Henkel je otvorio još jedan Inspiracioni centar u Šangaju za region Azije i Pacifika, uz investiciju od 60 miliona evra. U ovom centru, zajedno sa kupcima iz širokog spektra industrija, radi više od 500 istraživača i programera. </w:t>
      </w:r>
    </w:p>
    <w:bookmarkEnd w:id="12"/>
    <w:p w14:paraId="212D714D" w14:textId="77777777" w:rsidR="00766D9A" w:rsidRPr="009C6158" w:rsidRDefault="00766D9A" w:rsidP="00766D9A">
      <w:pPr>
        <w:rPr>
          <w:rFonts w:cs="Segoe UI"/>
          <w:bCs/>
          <w:szCs w:val="22"/>
        </w:rPr>
      </w:pPr>
    </w:p>
    <w:p w14:paraId="6760498C" w14:textId="77777777" w:rsidR="00766D9A" w:rsidRPr="00921C0C" w:rsidRDefault="00766D9A" w:rsidP="00766D9A">
      <w:pPr>
        <w:rPr>
          <w:rFonts w:cs="Segoe UI"/>
          <w:bCs/>
          <w:szCs w:val="22"/>
        </w:rPr>
      </w:pPr>
      <w:bookmarkStart w:id="13" w:name="_Hlk190180237"/>
      <w:r>
        <w:t xml:space="preserve">Jedan od Henkelovih prioriteta u pogledu </w:t>
      </w:r>
      <w:r>
        <w:rPr>
          <w:b/>
          <w:bCs/>
        </w:rPr>
        <w:t>održivosti</w:t>
      </w:r>
      <w:r>
        <w:t xml:space="preserve"> ostaje smanjenje emisija duž lanca vrednosti. Do 2045. godine kompanija ima za cilj da smanji svoje apsolutne emisije gasova staklene bašte u opsezima 1, 2 i 3 za 90%  (u poređenju sa baznom 2021. godinom) i time postigne neto nulte emisije.  U sve tri kategorije opsega, Henkel je prošle godine napredovao i već je smanjio svoje emisije za 29% u odnosu na baznu 2021. godinu Henkel je takođe postigao poboljšanja u oblasti održivih lanaca snabdevanja. Udeo sastojaka na bazi palme koji su odgovorno nabavljeni i sertifikovani sada je dostigao 98%.  Kompanija je dodatno poboljšala svoj učinak u međunarodnopriznatim rejtinzima održivosti. Između ostalih dostignuća, Henkel je po prvi put dobio ocenu A u kategoriji Klima u proceni CDP-a za 2025. godinu. Henkel je takođe dodatno poboljšao svoj učinak u najnovijoj EcoVadis proceni i ponovo je nagrađen zlatnim priznanjem.</w:t>
      </w:r>
    </w:p>
    <w:bookmarkEnd w:id="13"/>
    <w:p w14:paraId="73F27100" w14:textId="77777777" w:rsidR="00766D9A" w:rsidRPr="00FB4BF5" w:rsidRDefault="00766D9A" w:rsidP="00766D9A">
      <w:pPr>
        <w:rPr>
          <w:rFonts w:cs="Segoe UI"/>
          <w:szCs w:val="22"/>
          <w:lang w:eastAsia="de-DE"/>
        </w:rPr>
      </w:pPr>
    </w:p>
    <w:p w14:paraId="36E5F17B" w14:textId="77777777" w:rsidR="00766D9A" w:rsidRPr="003A11DF" w:rsidRDefault="00766D9A" w:rsidP="00766D9A">
      <w:pPr>
        <w:spacing w:after="120"/>
        <w:rPr>
          <w:rFonts w:cs="Segoe UI"/>
          <w:b/>
          <w:bCs/>
          <w:szCs w:val="22"/>
        </w:rPr>
      </w:pPr>
      <w:r>
        <w:rPr>
          <w:b/>
        </w:rPr>
        <w:t>Henkel slavi 150 godina uspešne istorije</w:t>
      </w:r>
    </w:p>
    <w:p w14:paraId="2E6DC57D" w14:textId="77777777" w:rsidR="00766D9A" w:rsidRPr="001058F1" w:rsidRDefault="00766D9A" w:rsidP="00766D9A">
      <w:pPr>
        <w:rPr>
          <w:rFonts w:cs="Segoe UI"/>
          <w:szCs w:val="22"/>
        </w:rPr>
      </w:pPr>
      <w:bookmarkStart w:id="14" w:name="_Hlk190182989"/>
      <w:r>
        <w:t>„Godina 2025. je bila uspešna godina u kojoj smo još jednom savladali velike izazove uz značajan napredak U velikoj meri smo ispunili naše finansijske ciljeve. Dosledno smo sprovodili našu agendu za svrsishodan rast u svim strateškim dimenzijama i uspešno završili integraciju naših sektora robe široke potrošnje. Na pravom smo putu, a transformacija naše kompanije pokazuje opipljive rezultate,“ rezimirao je Karsten Knobel.</w:t>
      </w:r>
    </w:p>
    <w:p w14:paraId="443E2307" w14:textId="77777777" w:rsidR="00766D9A" w:rsidRDefault="00766D9A" w:rsidP="00766D9A">
      <w:pPr>
        <w:rPr>
          <w:rFonts w:cs="Segoe UI"/>
          <w:szCs w:val="22"/>
        </w:rPr>
      </w:pPr>
    </w:p>
    <w:p w14:paraId="1ED29C7C" w14:textId="77777777" w:rsidR="00766D9A" w:rsidRDefault="00766D9A" w:rsidP="00766D9A">
      <w:pPr>
        <w:rPr>
          <w:rFonts w:cs="Segoe UI"/>
          <w:szCs w:val="22"/>
        </w:rPr>
      </w:pPr>
      <w:r>
        <w:t xml:space="preserve">„Sada gledamo unapred ka uzbudljivoj 2026. godini, u kojoj slavimo našu 150. godišnjicu. Naravno, ponosni smo na naše nasleđe – ali za nas to nije razlog da stojimo u mestu. Naprotiv, to je izvor motivacije za put koji je pred nama. Spremni smo za budućnost. Tada kao i sada, oslanjaćemo se na naš pionirski duh da razvijemo proizvode i rešenja okrenuta budućnosti za generacije koje dolaze To je u potpunosti u skladu sa našom svrhom: </w:t>
      </w:r>
      <w:r w:rsidRPr="00062741">
        <w:rPr>
          <w:rFonts w:cs="Segoe UI"/>
          <w:szCs w:val="22"/>
        </w:rPr>
        <w:t>Pioneers at heart for the good of generations</w:t>
      </w:r>
      <w:r>
        <w:t>,“ rekao je Karsten Knobel.</w:t>
      </w:r>
    </w:p>
    <w:bookmarkEnd w:id="14"/>
    <w:p w14:paraId="10CA0BD4" w14:textId="77777777" w:rsidR="00766D9A" w:rsidRDefault="00766D9A" w:rsidP="00766D9A">
      <w:pPr>
        <w:spacing w:line="240" w:lineRule="auto"/>
        <w:jc w:val="left"/>
        <w:rPr>
          <w:rFonts w:eastAsia="PMingLiU"/>
          <w:b/>
          <w:bCs/>
          <w:sz w:val="18"/>
        </w:rPr>
      </w:pPr>
    </w:p>
    <w:p w14:paraId="32348222" w14:textId="77777777" w:rsidR="00766D9A" w:rsidRDefault="00766D9A" w:rsidP="00766D9A">
      <w:pPr>
        <w:spacing w:line="240" w:lineRule="auto"/>
        <w:jc w:val="left"/>
        <w:rPr>
          <w:rFonts w:eastAsia="PMingLiU"/>
          <w:b/>
          <w:bCs/>
          <w:sz w:val="18"/>
          <w:lang w:val="sr-Latn-CS"/>
        </w:rPr>
      </w:pPr>
    </w:p>
    <w:p w14:paraId="292CB8CE" w14:textId="77777777" w:rsidR="005405BC" w:rsidRDefault="005405BC" w:rsidP="00766D9A">
      <w:pPr>
        <w:spacing w:line="240" w:lineRule="auto"/>
        <w:jc w:val="left"/>
        <w:rPr>
          <w:rFonts w:eastAsia="PMingLiU"/>
          <w:b/>
          <w:bCs/>
          <w:sz w:val="18"/>
          <w:lang w:val="sr-Latn-CS"/>
        </w:rPr>
      </w:pPr>
    </w:p>
    <w:p w14:paraId="13F47510" w14:textId="77777777" w:rsidR="005405BC" w:rsidRDefault="005405BC" w:rsidP="00766D9A">
      <w:pPr>
        <w:spacing w:line="240" w:lineRule="auto"/>
        <w:jc w:val="left"/>
        <w:rPr>
          <w:rFonts w:eastAsia="PMingLiU"/>
          <w:b/>
          <w:bCs/>
          <w:sz w:val="18"/>
          <w:lang w:val="sr-Latn-CS"/>
        </w:rPr>
      </w:pPr>
    </w:p>
    <w:p w14:paraId="1D9ADA8F" w14:textId="77777777" w:rsidR="005405BC" w:rsidRDefault="005405BC" w:rsidP="00766D9A">
      <w:pPr>
        <w:spacing w:line="240" w:lineRule="auto"/>
        <w:jc w:val="left"/>
        <w:rPr>
          <w:rFonts w:eastAsia="PMingLiU"/>
          <w:b/>
          <w:bCs/>
          <w:sz w:val="18"/>
          <w:lang w:val="sr-Latn-CS"/>
        </w:rPr>
      </w:pPr>
    </w:p>
    <w:p w14:paraId="3EDF0F0C" w14:textId="77777777" w:rsidR="005405BC" w:rsidRPr="005405BC" w:rsidRDefault="005405BC" w:rsidP="00766D9A">
      <w:pPr>
        <w:spacing w:line="240" w:lineRule="auto"/>
        <w:jc w:val="left"/>
        <w:rPr>
          <w:rFonts w:eastAsia="PMingLiU"/>
          <w:b/>
          <w:bCs/>
          <w:sz w:val="18"/>
          <w:lang w:val="sr-Latn-CS"/>
        </w:rPr>
      </w:pPr>
    </w:p>
    <w:p w14:paraId="23711C15" w14:textId="77777777" w:rsidR="00766D9A" w:rsidRPr="00841179" w:rsidRDefault="00766D9A" w:rsidP="00766D9A">
      <w:pPr>
        <w:spacing w:line="240" w:lineRule="auto"/>
        <w:jc w:val="left"/>
        <w:rPr>
          <w:rFonts w:eastAsia="PMingLiU"/>
          <w:b/>
          <w:bCs/>
          <w:sz w:val="18"/>
        </w:rPr>
      </w:pPr>
    </w:p>
    <w:p w14:paraId="454F2147" w14:textId="77777777" w:rsidR="00766D9A" w:rsidRPr="00292C23" w:rsidRDefault="00766D9A" w:rsidP="00766D9A">
      <w:pPr>
        <w:rPr>
          <w:rFonts w:cs="Segoe UI"/>
          <w:b/>
          <w:bCs/>
          <w:szCs w:val="22"/>
        </w:rPr>
      </w:pPr>
      <w:r>
        <w:rPr>
          <w:b/>
          <w:sz w:val="18"/>
        </w:rPr>
        <w:lastRenderedPageBreak/>
        <w:t>O kompaniji Henkel</w:t>
      </w:r>
    </w:p>
    <w:p w14:paraId="07BC7DDC" w14:textId="77777777" w:rsidR="00766D9A" w:rsidRPr="00292C23" w:rsidRDefault="00766D9A" w:rsidP="00766D9A">
      <w:pPr>
        <w:rPr>
          <w:sz w:val="18"/>
        </w:rPr>
      </w:pPr>
      <w:r>
        <w:rPr>
          <w:sz w:val="18"/>
        </w:rPr>
        <w:t>Henkel, sa svojim brendovima, inovacijama i tehnologijama, zauzima vodeće pozicije na tržištu širom sveta u industrijskom i potrošačkom sektoru. Poslovni sektor Adhezivi tehnologije je globalni lider na tržištu lepkova, zaptivača i funkcionalnih premaza. U sektoru Consumer Brands, kompanija drži vodeće pozicije posebno u sektorima pranja veša i održavanja domaćinstva i nege kose na mnogim tržištima i kategorijama širom sveta. Tri najjača brenda kompanije su Loctite, Persil i Schwarzkopf. U fiskalnoj 2025. godini, Henkel je zabeležio prodaju od preko 20,5 milijarde evra i korigovani operativni profit od oko 3 milijarde evra. Prioritetne akcije Henkela su uvrštene u nemački indeks DAX. Održivost ima dugu tradiciju u Henkelu, a kompanija ima jasnu strategiju održivosti sa specifičnim ciljevima. Henkel je osnovan 1876. godine i danas zapošljava raznovrsni tim od više od 47.000 ljudi širom sveta, ujedinjen jakom korporativnom kulturom, deljenim vrednostima i zajedničkom svrhom:     „</w:t>
      </w:r>
      <w:r w:rsidRPr="00292C23">
        <w:rPr>
          <w:sz w:val="18"/>
        </w:rPr>
        <w:t>Pioneers at heart for the good of generations</w:t>
      </w:r>
      <w:r>
        <w:rPr>
          <w:sz w:val="18"/>
        </w:rPr>
        <w:t xml:space="preserve"> “. Više informacija na </w:t>
      </w:r>
      <w:hyperlink r:id="rId12" w:history="1">
        <w:r w:rsidRPr="005706A0">
          <w:rPr>
            <w:rStyle w:val="Hyperlink"/>
            <w:szCs w:val="24"/>
          </w:rPr>
          <w:t>www.henkel.rs</w:t>
        </w:r>
      </w:hyperlink>
      <w:r>
        <w:rPr>
          <w:sz w:val="18"/>
        </w:rPr>
        <w:t xml:space="preserve"> </w:t>
      </w:r>
    </w:p>
    <w:p w14:paraId="653504F6" w14:textId="77777777" w:rsidR="00766D9A" w:rsidRPr="00292C23" w:rsidRDefault="00766D9A" w:rsidP="00766D9A">
      <w:pPr>
        <w:rPr>
          <w:sz w:val="14"/>
          <w:szCs w:val="14"/>
        </w:rPr>
      </w:pPr>
    </w:p>
    <w:p w14:paraId="3E0C395E" w14:textId="77777777" w:rsidR="00766D9A" w:rsidRPr="00292C23" w:rsidRDefault="00766D9A" w:rsidP="00766D9A">
      <w:pPr>
        <w:rPr>
          <w:sz w:val="14"/>
          <w:szCs w:val="14"/>
        </w:rPr>
      </w:pPr>
    </w:p>
    <w:p w14:paraId="7601A97B" w14:textId="77777777" w:rsidR="00766D9A" w:rsidRPr="00292C23" w:rsidRDefault="00766D9A" w:rsidP="00766D9A">
      <w:pPr>
        <w:spacing w:after="160" w:line="240" w:lineRule="auto"/>
        <w:jc w:val="left"/>
        <w:rPr>
          <w:sz w:val="14"/>
          <w:szCs w:val="14"/>
        </w:rPr>
      </w:pPr>
      <w:r>
        <w:rPr>
          <w:sz w:val="14"/>
        </w:rPr>
        <w:t>Ovaj dokument sadrži izjave koje se odnose na buduće poslovanje, finansijske rezultate i druge događaje ili okolnosti u budućnosti koje su važne za Henkelu koje se mogu smatrati izjavama koje se odnose na budućnost. Izjave koje se odnose na budućnost se odlikuju rečima poput „očekivati“, „nameravati“, „planirati“, „predviđati“, „procenjivati“, i sličnim terminima. Ove informacije sadrže izjave koje se odnose na budućnost zasnovane na trenutnim procenama i predviđanjima rukovodstva kompanije Henkel AG &amp; Co. KGaA. Takvim izjavama se na bilo koji način ne garantuje da će se takva očekivanja ostvariti. Budući učinci i rezultati koje će Henkel AG &amp; Co. KGaA i njegova povezana društva stvarno ostvariti zavisi od više rizika i neizvesnosti, i stoga se mogu razlikovati materijalno od izjava koje se odnose na budućnost. Mnogi od ovih faktora su van Henkelove kontrole i ne mogu se precizno predvideti, poput budućeg privrednog ambijenta i radnji rivala i drugih uključenih u tržište. Henkel ne planira niti se obavezuje da ažurira bilo koju izjavu koja se odnosi na budućnost.</w:t>
      </w:r>
    </w:p>
    <w:p w14:paraId="38CFC7D3" w14:textId="77777777" w:rsidR="00766D9A" w:rsidRPr="00292C23" w:rsidRDefault="00766D9A" w:rsidP="00766D9A">
      <w:pPr>
        <w:spacing w:after="160" w:line="240" w:lineRule="auto"/>
        <w:jc w:val="left"/>
        <w:rPr>
          <w:sz w:val="14"/>
          <w:szCs w:val="14"/>
        </w:rPr>
      </w:pPr>
      <w:r>
        <w:rPr>
          <w:sz w:val="14"/>
        </w:rPr>
        <w:t>Ovaj dokument uključuje dodatne finansijske mere koje nisu jasno definisane u primenjivom okviru finansijskog izveštavanja, i koje su ili mogu biti alternative merama rezultata.</w:t>
      </w:r>
      <w:r>
        <w:rPr>
          <w:sz w:val="14"/>
        </w:rPr>
        <w:cr/>
      </w:r>
      <w:r>
        <w:rPr>
          <w:sz w:val="14"/>
        </w:rPr>
        <w:br/>
        <w:t>Ovaj dokument je izdat isključivo u svrhe o Ove dodatne finansijske mere ne bi trebalo posmatrati izolovane ili kao alternative merama Henkelove neto imovine i finansijskih pozicija ili rezultata poslovanja kao što su prikazani u skladu sa primenjivim okvirom finansijskog izveštavanja u svojim konsolidovanim finansijskim izveštajima. Druge kompanije koje izveštavaju ili opisuju slično naslovljene alternativne mere učinaka bi mogle da ih računaju drugačije.</w:t>
      </w:r>
    </w:p>
    <w:p w14:paraId="1631B21C" w14:textId="77777777" w:rsidR="00766D9A" w:rsidRPr="00292C23" w:rsidRDefault="00766D9A" w:rsidP="00766D9A">
      <w:pPr>
        <w:spacing w:after="160" w:line="240" w:lineRule="auto"/>
        <w:jc w:val="left"/>
        <w:rPr>
          <w:sz w:val="14"/>
          <w:szCs w:val="14"/>
        </w:rPr>
      </w:pPr>
      <w:r>
        <w:rPr>
          <w:sz w:val="14"/>
        </w:rPr>
        <w:t>Ovaj dokument je izdat isključivo u informativne svrhe i ne predstavlja nameru da čini investicioni savet ili ponudu za prodaju, niti poziv za ponudu za kupovinu bilo kojih hartija od vrednosti.</w:t>
      </w:r>
    </w:p>
    <w:p w14:paraId="0B8AA874" w14:textId="77777777" w:rsidR="00766D9A" w:rsidRPr="00292C23" w:rsidRDefault="00766D9A" w:rsidP="00766D9A">
      <w:pPr>
        <w:tabs>
          <w:tab w:val="left" w:pos="1080"/>
          <w:tab w:val="left" w:pos="4500"/>
        </w:tabs>
        <w:spacing w:line="264" w:lineRule="auto"/>
        <w:rPr>
          <w:rFonts w:asciiTheme="majorHAnsi" w:eastAsia="PMingLiU" w:hAnsiTheme="majorHAnsi" w:cs="Calibri Light"/>
          <w:b/>
          <w:sz w:val="18"/>
          <w:szCs w:val="18"/>
        </w:rPr>
      </w:pPr>
    </w:p>
    <w:p w14:paraId="53315535" w14:textId="77777777" w:rsidR="0099008E" w:rsidRPr="004A4D88" w:rsidRDefault="0099008E" w:rsidP="0099008E">
      <w:pPr>
        <w:spacing w:line="240" w:lineRule="auto"/>
        <w:jc w:val="left"/>
        <w:rPr>
          <w:rStyle w:val="AboutandContactBody"/>
          <w:sz w:val="14"/>
          <w:szCs w:val="14"/>
        </w:rPr>
      </w:pPr>
    </w:p>
    <w:p w14:paraId="417F3B13" w14:textId="77777777" w:rsidR="00CB4419" w:rsidRPr="00C639B4" w:rsidRDefault="00CB4419" w:rsidP="00CB4419">
      <w:pPr>
        <w:tabs>
          <w:tab w:val="left" w:pos="1080"/>
          <w:tab w:val="left" w:pos="4500"/>
        </w:tabs>
        <w:rPr>
          <w:rStyle w:val="AboutandContactBody"/>
        </w:rPr>
      </w:pPr>
      <w:r w:rsidRPr="00C639B4">
        <w:rPr>
          <w:rStyle w:val="AboutandContactBody"/>
        </w:rPr>
        <w:t>Kontаkt</w:t>
      </w:r>
      <w:r w:rsidRPr="00C639B4">
        <w:rPr>
          <w:rStyle w:val="AboutandContactBody"/>
        </w:rPr>
        <w:tab/>
        <w:t>Jelenа Gаvrilović Šаrenаc</w:t>
      </w:r>
      <w:r w:rsidRPr="00C639B4">
        <w:rPr>
          <w:rStyle w:val="AboutandContactBody"/>
        </w:rPr>
        <w:tab/>
      </w:r>
      <w:r>
        <w:rPr>
          <w:rStyle w:val="AboutandContactBody"/>
        </w:rPr>
        <w:t>An</w:t>
      </w:r>
      <w:r w:rsidRPr="00C639B4">
        <w:rPr>
          <w:rStyle w:val="AboutandContactBody"/>
        </w:rPr>
        <w:t xml:space="preserve">а </w:t>
      </w:r>
      <w:r>
        <w:rPr>
          <w:rStyle w:val="AboutandContactBody"/>
        </w:rPr>
        <w:t>Krez</w:t>
      </w:r>
      <w:r w:rsidRPr="00C639B4">
        <w:rPr>
          <w:rStyle w:val="AboutandContactBody"/>
        </w:rPr>
        <w:t>ić</w:t>
      </w:r>
    </w:p>
    <w:p w14:paraId="490A1CA5" w14:textId="77777777" w:rsidR="00CB4419" w:rsidRPr="00C639B4" w:rsidRDefault="00CB4419" w:rsidP="00CB4419">
      <w:pPr>
        <w:tabs>
          <w:tab w:val="left" w:pos="1080"/>
          <w:tab w:val="left" w:pos="4500"/>
        </w:tabs>
        <w:rPr>
          <w:rStyle w:val="AboutandContactBody"/>
        </w:rPr>
      </w:pPr>
      <w:r w:rsidRPr="00C639B4">
        <w:rPr>
          <w:rStyle w:val="AboutandContactBody"/>
        </w:rPr>
        <w:t>Telephone</w:t>
      </w:r>
      <w:r w:rsidRPr="00C639B4">
        <w:rPr>
          <w:rStyle w:val="AboutandContactBody"/>
        </w:rPr>
        <w:tab/>
        <w:t>+381 60 207 22 09</w:t>
      </w:r>
      <w:r w:rsidRPr="00C639B4">
        <w:rPr>
          <w:rStyle w:val="AboutandContactBody"/>
        </w:rPr>
        <w:tab/>
      </w:r>
      <w:r w:rsidRPr="00C639B4">
        <w:rPr>
          <w:sz w:val="18"/>
        </w:rPr>
        <w:t>+381 60 207 2</w:t>
      </w:r>
      <w:r>
        <w:rPr>
          <w:sz w:val="18"/>
        </w:rPr>
        <w:t>1</w:t>
      </w:r>
      <w:r w:rsidRPr="00C639B4">
        <w:rPr>
          <w:sz w:val="18"/>
        </w:rPr>
        <w:t xml:space="preserve"> </w:t>
      </w:r>
      <w:r>
        <w:rPr>
          <w:sz w:val="18"/>
        </w:rPr>
        <w:t>90</w:t>
      </w:r>
    </w:p>
    <w:p w14:paraId="23F9D07E" w14:textId="77777777" w:rsidR="00CB4419" w:rsidRPr="00C639B4" w:rsidRDefault="00CB4419" w:rsidP="00CB4419">
      <w:pPr>
        <w:tabs>
          <w:tab w:val="left" w:pos="1080"/>
          <w:tab w:val="left" w:pos="4500"/>
        </w:tabs>
        <w:rPr>
          <w:rStyle w:val="AboutandContactBody"/>
        </w:rPr>
      </w:pPr>
      <w:r w:rsidRPr="00C639B4">
        <w:rPr>
          <w:rStyle w:val="AboutandContactBody"/>
        </w:rPr>
        <w:t>Emаil</w:t>
      </w:r>
      <w:r w:rsidRPr="00C639B4">
        <w:rPr>
          <w:rStyle w:val="AboutandContactBody"/>
        </w:rPr>
        <w:tab/>
        <w:t>jelenа.sаrenаc@henkel.com</w:t>
      </w:r>
      <w:r w:rsidRPr="00C639B4">
        <w:rPr>
          <w:rStyle w:val="AboutandContactBody"/>
        </w:rPr>
        <w:tab/>
      </w:r>
      <w:r>
        <w:rPr>
          <w:rStyle w:val="AboutandContactBody"/>
        </w:rPr>
        <w:t>an</w:t>
      </w:r>
      <w:r w:rsidRPr="00C639B4">
        <w:rPr>
          <w:rStyle w:val="AboutandContactBody"/>
        </w:rPr>
        <w:t>а.</w:t>
      </w:r>
      <w:r>
        <w:rPr>
          <w:rStyle w:val="AboutandContactBody"/>
        </w:rPr>
        <w:t>krezic</w:t>
      </w:r>
      <w:r w:rsidRPr="00C639B4">
        <w:rPr>
          <w:rStyle w:val="AboutandContactBody"/>
        </w:rPr>
        <w:t>@henkel.com</w:t>
      </w:r>
    </w:p>
    <w:p w14:paraId="5DED95A2" w14:textId="77777777" w:rsidR="0099008E" w:rsidRPr="004A4D88" w:rsidRDefault="0099008E" w:rsidP="0099008E">
      <w:pPr>
        <w:rPr>
          <w:rFonts w:eastAsia="PMingLiU"/>
          <w:b/>
          <w:bCs/>
          <w:sz w:val="18"/>
        </w:rPr>
      </w:pPr>
    </w:p>
    <w:p w14:paraId="41CFDE26" w14:textId="43849500" w:rsidR="00AE7E27" w:rsidRPr="0062206B" w:rsidRDefault="0099008E" w:rsidP="0062206B">
      <w:pPr>
        <w:rPr>
          <w:rStyle w:val="AboutandContactHeadline"/>
          <w:rFonts w:eastAsia="PMingLiU"/>
          <w:b w:val="0"/>
          <w:bCs w:val="0"/>
          <w:color w:val="9A141B"/>
        </w:rPr>
      </w:pPr>
      <w:r w:rsidRPr="004A4D88">
        <w:rPr>
          <w:rStyle w:val="AboutandContactBody"/>
        </w:rPr>
        <w:t>Henkel Srbij</w:t>
      </w:r>
      <w:r w:rsidR="00D01821" w:rsidRPr="004A4D88">
        <w:rPr>
          <w:rStyle w:val="AboutandContactBody"/>
        </w:rPr>
        <w:t>а</w:t>
      </w:r>
      <w:r w:rsidRPr="004A4D88">
        <w:rPr>
          <w:rStyle w:val="AboutandContactBody"/>
        </w:rPr>
        <w:t xml:space="preserve"> d.o.o.</w:t>
      </w:r>
    </w:p>
    <w:sectPr w:rsidR="00AE7E27" w:rsidRPr="0062206B" w:rsidSect="0017111B">
      <w:headerReference w:type="even" r:id="rId13"/>
      <w:footerReference w:type="default" r:id="rId14"/>
      <w:headerReference w:type="first" r:id="rId15"/>
      <w:footerReference w:type="first" r:id="rId16"/>
      <w:pgSz w:w="11907" w:h="16840" w:code="9"/>
      <w:pgMar w:top="1944" w:right="1411" w:bottom="1987" w:left="1411" w:header="124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B790" w14:textId="77777777" w:rsidR="00E06A02" w:rsidRPr="004A4D88" w:rsidRDefault="00E06A02">
      <w:r w:rsidRPr="004A4D88">
        <w:separator/>
      </w:r>
    </w:p>
  </w:endnote>
  <w:endnote w:type="continuationSeparator" w:id="0">
    <w:p w14:paraId="4CEA044B" w14:textId="77777777" w:rsidR="00E06A02" w:rsidRPr="004A4D88" w:rsidRDefault="00E06A02">
      <w:r w:rsidRPr="004A4D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179BBEF9" w:rsidR="00CF6F33" w:rsidRPr="004A4D88" w:rsidRDefault="00112A28" w:rsidP="00112A28">
    <w:pPr>
      <w:pStyle w:val="Footer"/>
      <w:tabs>
        <w:tab w:val="clear" w:pos="7083"/>
        <w:tab w:val="clear" w:pos="8640"/>
        <w:tab w:val="right" w:pos="9071"/>
      </w:tabs>
      <w:jc w:val="both"/>
      <w:rPr>
        <w:noProof w:val="0"/>
      </w:rPr>
    </w:pPr>
    <w:r w:rsidRPr="004A4D88">
      <w:rPr>
        <w:noProof w:val="0"/>
      </w:rPr>
      <w:tab/>
    </w:r>
    <w:r w:rsidRPr="004A4D88">
      <w:rPr>
        <w:noProof w:val="0"/>
      </w:rPr>
      <w:t xml:space="preserve">Page </w:t>
    </w:r>
    <w:r w:rsidRPr="004A4D88">
      <w:rPr>
        <w:noProof w:val="0"/>
      </w:rPr>
      <w:fldChar w:fldCharType="begin"/>
    </w:r>
    <w:r w:rsidRPr="004A4D88">
      <w:rPr>
        <w:noProof w:val="0"/>
      </w:rPr>
      <w:instrText xml:space="preserve"> PAGE  \* Arabic  \* MERGEFORMAT </w:instrText>
    </w:r>
    <w:r w:rsidRPr="004A4D88">
      <w:rPr>
        <w:noProof w:val="0"/>
      </w:rPr>
      <w:fldChar w:fldCharType="separate"/>
    </w:r>
    <w:r w:rsidRPr="004A4D88">
      <w:rPr>
        <w:noProof w:val="0"/>
      </w:rPr>
      <w:t>2</w:t>
    </w:r>
    <w:r w:rsidRPr="004A4D88">
      <w:rPr>
        <w:noProof w:val="0"/>
      </w:rPr>
      <w:fldChar w:fldCharType="end"/>
    </w:r>
    <w:r w:rsidRPr="004A4D88">
      <w:rPr>
        <w:noProof w:val="0"/>
      </w:rPr>
      <w:t>/</w:t>
    </w:r>
    <w:r w:rsidRPr="004A4D88">
      <w:rPr>
        <w:noProof w:val="0"/>
      </w:rPr>
      <w:fldChar w:fldCharType="begin"/>
    </w:r>
    <w:r w:rsidRPr="004A4D88">
      <w:rPr>
        <w:noProof w:val="0"/>
      </w:rPr>
      <w:instrText xml:space="preserve"> NUMPAGES  \* Arabic  \* MERGEFORMAT </w:instrText>
    </w:r>
    <w:r w:rsidRPr="004A4D88">
      <w:rPr>
        <w:noProof w:val="0"/>
      </w:rPr>
      <w:fldChar w:fldCharType="separate"/>
    </w:r>
    <w:r w:rsidRPr="004A4D88">
      <w:rPr>
        <w:noProof w:val="0"/>
      </w:rPr>
      <w:t>2</w:t>
    </w:r>
    <w:r w:rsidRPr="004A4D88">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8F11" w14:textId="75AC03A5" w:rsidR="00E23EC8" w:rsidRPr="004A4D88" w:rsidRDefault="00E23EC8" w:rsidP="00E23EC8">
    <w:pPr>
      <w:pStyle w:val="Footer"/>
      <w:tabs>
        <w:tab w:val="right" w:pos="9072"/>
      </w:tabs>
      <w:jc w:val="both"/>
      <w:rPr>
        <w:rFonts w:cs="Arial"/>
        <w:noProof w:val="0"/>
        <w:szCs w:val="14"/>
      </w:rPr>
    </w:pPr>
    <w:r w:rsidRPr="004A4D88">
      <w:rPr>
        <w:noProof w:val="0"/>
      </w:rPr>
      <w:t xml:space="preserve">   </w:t>
    </w:r>
    <w:r w:rsidRPr="004A4D88">
      <w:rPr>
        <w:rFonts w:cs="Arial"/>
        <w:szCs w:val="14"/>
      </w:rPr>
      <w:drawing>
        <wp:inline distT="0" distB="0" distL="0" distR="0" wp14:anchorId="5D58B8C5" wp14:editId="2FB538E8">
          <wp:extent cx="363070" cy="133054"/>
          <wp:effectExtent l="0" t="0" r="0" b="635"/>
          <wp:docPr id="14" name="Slika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66" cy="136131"/>
                  </a:xfrm>
                  <a:prstGeom prst="rect">
                    <a:avLst/>
                  </a:prstGeom>
                  <a:noFill/>
                  <a:ln>
                    <a:noFill/>
                  </a:ln>
                </pic:spPr>
              </pic:pic>
            </a:graphicData>
          </a:graphic>
        </wp:inline>
      </w:drawing>
    </w:r>
    <w:r w:rsidRPr="004A4D88">
      <w:rPr>
        <w:rFonts w:cs="Arial"/>
        <w:szCs w:val="14"/>
      </w:rPr>
      <w:drawing>
        <wp:inline distT="0" distB="0" distL="0" distR="0" wp14:anchorId="5654DFDE" wp14:editId="111D1B59">
          <wp:extent cx="304800" cy="147172"/>
          <wp:effectExtent l="0" t="0" r="0" b="5715"/>
          <wp:docPr id="15"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27"/>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307522" cy="148486"/>
                  </a:xfrm>
                  <a:prstGeom prst="rect">
                    <a:avLst/>
                  </a:prstGeom>
                  <a:noFill/>
                  <a:ln>
                    <a:noFill/>
                  </a:ln>
                </pic:spPr>
              </pic:pic>
            </a:graphicData>
          </a:graphic>
        </wp:inline>
      </w:drawing>
    </w:r>
    <w:r w:rsidRPr="004A4D88">
      <w:rPr>
        <w:rFonts w:cs="Arial"/>
        <w:szCs w:val="14"/>
      </w:rPr>
      <w:drawing>
        <wp:inline distT="0" distB="0" distL="0" distR="0" wp14:anchorId="24AED4B0" wp14:editId="622235FB">
          <wp:extent cx="339725" cy="199390"/>
          <wp:effectExtent l="0" t="0" r="0" b="0"/>
          <wp:docPr id="16" name="Slika 1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Slika 16" descr="A picture containing text, clipart&#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9725" cy="199390"/>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557DDA6A" wp14:editId="35E61AC7">
          <wp:extent cx="305371" cy="144921"/>
          <wp:effectExtent l="0" t="0" r="0" b="7620"/>
          <wp:docPr id="17" name="Slika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Slika 17"/>
                  <pic:cNvPicPr>
                    <a:picLocks/>
                  </pic:cNvPicPr>
                </pic:nvPicPr>
                <pic:blipFill>
                  <a:blip r:embed="rId4">
                    <a:extLst>
                      <a:ext uri="{28A0092B-C50C-407E-A947-70E740481C1C}">
                        <a14:useLocalDpi xmlns:a14="http://schemas.microsoft.com/office/drawing/2010/main" val="0"/>
                      </a:ext>
                    </a:extLst>
                  </a:blip>
                  <a:stretch>
                    <a:fillRect/>
                  </a:stretch>
                </pic:blipFill>
                <pic:spPr bwMode="auto">
                  <a:xfrm>
                    <a:off x="0" y="0"/>
                    <a:ext cx="305371" cy="144921"/>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69205366" wp14:editId="182C50CA">
          <wp:extent cx="322729" cy="143614"/>
          <wp:effectExtent l="0" t="0" r="1270" b="8890"/>
          <wp:docPr id="18" name="Slika 18"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Slika 18" descr="A picture containing text, clipart&#10;&#10;Description automatically generated"/>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329590" cy="146667"/>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77241BF6" wp14:editId="3F51B09E">
          <wp:extent cx="229448" cy="212240"/>
          <wp:effectExtent l="0" t="0" r="0" b="0"/>
          <wp:docPr id="19" name="Slika 1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Slika 19" descr="Icon&#10;&#10;Description automatically generated"/>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234454" cy="216870"/>
                  </a:xfrm>
                  <a:prstGeom prst="rect">
                    <a:avLst/>
                  </a:prstGeom>
                  <a:noFill/>
                  <a:ln>
                    <a:noFill/>
                  </a:ln>
                </pic:spPr>
              </pic:pic>
            </a:graphicData>
          </a:graphic>
        </wp:inline>
      </w:drawing>
    </w:r>
    <w:r w:rsidRPr="004A4D88">
      <w:rPr>
        <w:rFonts w:cs="Arial"/>
        <w:szCs w:val="14"/>
      </w:rPr>
      <w:drawing>
        <wp:inline distT="0" distB="0" distL="0" distR="0" wp14:anchorId="3BF167CE" wp14:editId="37280B79">
          <wp:extent cx="614083" cy="261687"/>
          <wp:effectExtent l="0" t="0" r="0" b="5080"/>
          <wp:docPr id="20" name="Picture 25"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5" descr="Logo, company name&#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482" cy="262709"/>
                  </a:xfrm>
                  <a:prstGeom prst="rect">
                    <a:avLst/>
                  </a:prstGeom>
                  <a:noFill/>
                  <a:ln>
                    <a:noFill/>
                  </a:ln>
                </pic:spPr>
              </pic:pic>
            </a:graphicData>
          </a:graphic>
        </wp:inline>
      </w:drawing>
    </w:r>
    <w:r w:rsidRPr="004A4D88">
      <w:rPr>
        <w:rFonts w:cs="Arial"/>
        <w:szCs w:val="14"/>
      </w:rPr>
      <w:drawing>
        <wp:inline distT="0" distB="0" distL="0" distR="0" wp14:anchorId="164CFF4B" wp14:editId="0E381230">
          <wp:extent cx="130628" cy="296015"/>
          <wp:effectExtent l="0" t="0" r="3175" b="0"/>
          <wp:docPr id="21" name="Slika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Slika 21"/>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135754" cy="307630"/>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2022E47D" wp14:editId="1F959C7F">
          <wp:extent cx="291676" cy="208027"/>
          <wp:effectExtent l="0" t="0" r="0" b="1905"/>
          <wp:docPr id="22" name="Slika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Slika 22"/>
                  <pic:cNvPicPr>
                    <a:picLocks/>
                  </pic:cNvPicPr>
                </pic:nvPicPr>
                <pic:blipFill>
                  <a:blip r:embed="rId9">
                    <a:extLst>
                      <a:ext uri="{28A0092B-C50C-407E-A947-70E740481C1C}">
                        <a14:useLocalDpi xmlns:a14="http://schemas.microsoft.com/office/drawing/2010/main" val="0"/>
                      </a:ext>
                    </a:extLst>
                  </a:blip>
                  <a:stretch>
                    <a:fillRect/>
                  </a:stretch>
                </pic:blipFill>
                <pic:spPr bwMode="auto">
                  <a:xfrm>
                    <a:off x="0" y="0"/>
                    <a:ext cx="291676" cy="208027"/>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3B479D63" wp14:editId="456DA253">
          <wp:extent cx="484094" cy="132456"/>
          <wp:effectExtent l="0" t="0" r="0" b="1270"/>
          <wp:docPr id="24" name="Slika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41" cy="136628"/>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19F92F4F" wp14:editId="0798A56C">
          <wp:extent cx="456234" cy="100178"/>
          <wp:effectExtent l="0" t="0" r="1270" b="0"/>
          <wp:docPr id="23" name="Slika 23" descr="A red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Slika 23" descr="A red and white logo&#10;&#10;Description automatically generated with low confidence"/>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456234" cy="100178"/>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060ECACC" wp14:editId="0086AE2F">
          <wp:extent cx="425823" cy="95360"/>
          <wp:effectExtent l="0" t="0" r="0" b="0"/>
          <wp:docPr id="25" name="Slika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854" cy="96039"/>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49D4EBC8" wp14:editId="08664608">
          <wp:extent cx="578223" cy="93720"/>
          <wp:effectExtent l="0" t="0" r="0" b="1905"/>
          <wp:docPr id="26" name="Slika 2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Slika 26" descr="A picture containing text, clipart&#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381" cy="95042"/>
                  </a:xfrm>
                  <a:prstGeom prst="rect">
                    <a:avLst/>
                  </a:prstGeom>
                  <a:noFill/>
                  <a:ln>
                    <a:noFill/>
                  </a:ln>
                </pic:spPr>
              </pic:pic>
            </a:graphicData>
          </a:graphic>
        </wp:inline>
      </w:drawing>
    </w:r>
    <w:r w:rsidRPr="004A4D88">
      <w:rPr>
        <w:rFonts w:cs="Arial"/>
        <w:szCs w:val="14"/>
      </w:rPr>
      <w:drawing>
        <wp:inline distT="0" distB="0" distL="0" distR="0" wp14:anchorId="56994ED6" wp14:editId="52724ED8">
          <wp:extent cx="443753" cy="100876"/>
          <wp:effectExtent l="0" t="0" r="0" b="0"/>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59353" cy="104422"/>
                  </a:xfrm>
                  <a:prstGeom prst="rect">
                    <a:avLst/>
                  </a:prstGeom>
                </pic:spPr>
              </pic:pic>
            </a:graphicData>
          </a:graphic>
        </wp:inline>
      </w:drawing>
    </w:r>
  </w:p>
  <w:p w14:paraId="577A058E" w14:textId="43603832" w:rsidR="00CF6F33" w:rsidRPr="004A4D88" w:rsidRDefault="00B422EC" w:rsidP="00992A11">
    <w:pPr>
      <w:pStyle w:val="Footer"/>
      <w:rPr>
        <w:noProof w:val="0"/>
      </w:rPr>
    </w:pPr>
    <w:r w:rsidRPr="004A4D88">
      <w:rPr>
        <w:noProof w:val="0"/>
      </w:rPr>
      <w:t>Page</w:t>
    </w:r>
    <w:r w:rsidR="00CF6F33" w:rsidRPr="004A4D88">
      <w:rPr>
        <w:noProof w:val="0"/>
      </w:rPr>
      <w:t xml:space="preserve"> </w:t>
    </w:r>
    <w:r w:rsidR="00CF6F33" w:rsidRPr="004A4D88">
      <w:rPr>
        <w:noProof w:val="0"/>
      </w:rPr>
      <w:fldChar w:fldCharType="begin"/>
    </w:r>
    <w:r w:rsidR="00CF6F33" w:rsidRPr="004A4D88">
      <w:rPr>
        <w:noProof w:val="0"/>
      </w:rPr>
      <w:instrText xml:space="preserve"> </w:instrText>
    </w:r>
    <w:r w:rsidR="00262C05" w:rsidRPr="004A4D88">
      <w:rPr>
        <w:noProof w:val="0"/>
      </w:rPr>
      <w:instrText>PAGE</w:instrText>
    </w:r>
    <w:r w:rsidR="00CF6F33" w:rsidRPr="004A4D88">
      <w:rPr>
        <w:noProof w:val="0"/>
      </w:rPr>
      <w:instrText xml:space="preserve">  \* Arabic  \* MERGEFORMAT </w:instrText>
    </w:r>
    <w:r w:rsidR="00CF6F33" w:rsidRPr="004A4D88">
      <w:rPr>
        <w:noProof w:val="0"/>
      </w:rPr>
      <w:fldChar w:fldCharType="separate"/>
    </w:r>
    <w:r w:rsidR="006A0A3C" w:rsidRPr="004A4D88">
      <w:rPr>
        <w:noProof w:val="0"/>
      </w:rPr>
      <w:t>1</w:t>
    </w:r>
    <w:r w:rsidR="00CF6F33" w:rsidRPr="004A4D88">
      <w:rPr>
        <w:noProof w:val="0"/>
      </w:rPr>
      <w:fldChar w:fldCharType="end"/>
    </w:r>
    <w:r w:rsidR="00CF6F33" w:rsidRPr="004A4D88">
      <w:rPr>
        <w:noProof w:val="0"/>
      </w:rPr>
      <w:t>/</w:t>
    </w:r>
    <w:r w:rsidR="00CF6F33" w:rsidRPr="004A4D88">
      <w:rPr>
        <w:noProof w:val="0"/>
      </w:rPr>
      <w:fldChar w:fldCharType="begin"/>
    </w:r>
    <w:r w:rsidR="00CF6F33" w:rsidRPr="004A4D88">
      <w:rPr>
        <w:noProof w:val="0"/>
      </w:rPr>
      <w:instrText xml:space="preserve"> </w:instrText>
    </w:r>
    <w:r w:rsidR="00262C05" w:rsidRPr="004A4D88">
      <w:rPr>
        <w:noProof w:val="0"/>
      </w:rPr>
      <w:instrText>NUMPAGES</w:instrText>
    </w:r>
    <w:r w:rsidR="00CF6F33" w:rsidRPr="004A4D88">
      <w:rPr>
        <w:noProof w:val="0"/>
      </w:rPr>
      <w:instrText xml:space="preserve">  \* Arabic  \* MERGEFORMAT </w:instrText>
    </w:r>
    <w:r w:rsidR="00CF6F33" w:rsidRPr="004A4D88">
      <w:rPr>
        <w:noProof w:val="0"/>
      </w:rPr>
      <w:fldChar w:fldCharType="separate"/>
    </w:r>
    <w:r w:rsidR="006A0A3C" w:rsidRPr="004A4D88">
      <w:rPr>
        <w:noProof w:val="0"/>
      </w:rPr>
      <w:t>1</w:t>
    </w:r>
    <w:r w:rsidR="00CF6F33" w:rsidRPr="004A4D88">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53D0" w14:textId="77777777" w:rsidR="00E06A02" w:rsidRPr="004A4D88" w:rsidRDefault="00E06A02">
      <w:r w:rsidRPr="004A4D88">
        <w:separator/>
      </w:r>
    </w:p>
  </w:footnote>
  <w:footnote w:type="continuationSeparator" w:id="0">
    <w:p w14:paraId="51E6E0BA" w14:textId="77777777" w:rsidR="00E06A02" w:rsidRPr="004A4D88" w:rsidRDefault="00E06A02">
      <w:r w:rsidRPr="004A4D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Pr="004A4D8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0AB757A6" w:rsidR="00CF6F33" w:rsidRPr="00023CB5" w:rsidRDefault="0059722C" w:rsidP="00E23EC8">
    <w:pPr>
      <w:pStyle w:val="Header"/>
      <w:ind w:right="-510"/>
      <w:rPr>
        <w:lang w:val="sr-Latn-RS"/>
      </w:rPr>
    </w:pPr>
    <w:r w:rsidRPr="004A4D88">
      <w:rPr>
        <w:noProof/>
      </w:rPr>
      <w:drawing>
        <wp:anchor distT="0" distB="0" distL="114300" distR="114300" simplePos="0" relativeHeight="25166131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4A4D88">
      <w:rPr>
        <w:noProof/>
      </w:rPr>
      <mc:AlternateContent>
        <mc:Choice Requires="wpg">
          <w:drawing>
            <wp:anchor distT="0" distB="0" distL="114300" distR="114300" simplePos="0" relativeHeight="25165312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1F761919" id="Group 16" o:spid="_x0000_s1026" style="position:absolute;margin-left:14.2pt;margin-top:297.7pt;width:14.15pt;height:297.65pt;z-index:25165312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3677DB" w:rsidRPr="004A4D88">
      <w:t xml:space="preserve">             </w:t>
    </w:r>
    <w:r w:rsidR="00994BED">
      <w:rPr>
        <w:lang w:val="sr-Latn-CS"/>
      </w:rPr>
      <w:t>Saopšenje za javnost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2F323A8E"/>
    <w:multiLevelType w:val="hybridMultilevel"/>
    <w:tmpl w:val="5274880E"/>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start w:val="1"/>
      <w:numFmt w:val="bullet"/>
      <w:lvlText w:val=""/>
      <w:lvlJc w:val="left"/>
      <w:pPr>
        <w:ind w:left="1800" w:hanging="360"/>
      </w:pPr>
      <w:rPr>
        <w:rFonts w:ascii="Wingdings" w:hAnsi="Wingdings" w:hint="default"/>
      </w:rPr>
    </w:lvl>
    <w:lvl w:ilvl="3" w:tplc="0C000001">
      <w:start w:val="1"/>
      <w:numFmt w:val="bullet"/>
      <w:lvlText w:val=""/>
      <w:lvlJc w:val="left"/>
      <w:pPr>
        <w:ind w:left="2520" w:hanging="360"/>
      </w:pPr>
      <w:rPr>
        <w:rFonts w:ascii="Symbol" w:hAnsi="Symbol" w:hint="default"/>
      </w:rPr>
    </w:lvl>
    <w:lvl w:ilvl="4" w:tplc="0C000003">
      <w:start w:val="1"/>
      <w:numFmt w:val="bullet"/>
      <w:lvlText w:val="o"/>
      <w:lvlJc w:val="left"/>
      <w:pPr>
        <w:ind w:left="3240" w:hanging="360"/>
      </w:pPr>
      <w:rPr>
        <w:rFonts w:ascii="Courier New" w:hAnsi="Courier New" w:cs="Courier New" w:hint="default"/>
      </w:rPr>
    </w:lvl>
    <w:lvl w:ilvl="5" w:tplc="0C000005">
      <w:start w:val="1"/>
      <w:numFmt w:val="bullet"/>
      <w:lvlText w:val=""/>
      <w:lvlJc w:val="left"/>
      <w:pPr>
        <w:ind w:left="3960" w:hanging="360"/>
      </w:pPr>
      <w:rPr>
        <w:rFonts w:ascii="Wingdings" w:hAnsi="Wingdings" w:hint="default"/>
      </w:rPr>
    </w:lvl>
    <w:lvl w:ilvl="6" w:tplc="0C000001">
      <w:start w:val="1"/>
      <w:numFmt w:val="bullet"/>
      <w:lvlText w:val=""/>
      <w:lvlJc w:val="left"/>
      <w:pPr>
        <w:ind w:left="4680" w:hanging="360"/>
      </w:pPr>
      <w:rPr>
        <w:rFonts w:ascii="Symbol" w:hAnsi="Symbol" w:hint="default"/>
      </w:rPr>
    </w:lvl>
    <w:lvl w:ilvl="7" w:tplc="0C000003">
      <w:start w:val="1"/>
      <w:numFmt w:val="bullet"/>
      <w:lvlText w:val="o"/>
      <w:lvlJc w:val="left"/>
      <w:pPr>
        <w:ind w:left="5400" w:hanging="360"/>
      </w:pPr>
      <w:rPr>
        <w:rFonts w:ascii="Courier New" w:hAnsi="Courier New" w:cs="Courier New" w:hint="default"/>
      </w:rPr>
    </w:lvl>
    <w:lvl w:ilvl="8" w:tplc="0C000005">
      <w:start w:val="1"/>
      <w:numFmt w:val="bullet"/>
      <w:lvlText w:val=""/>
      <w:lvlJc w:val="left"/>
      <w:pPr>
        <w:ind w:left="6120" w:hanging="360"/>
      </w:pPr>
      <w:rPr>
        <w:rFonts w:ascii="Wingdings" w:hAnsi="Wingdings" w:hint="default"/>
      </w:rPr>
    </w:lvl>
  </w:abstractNum>
  <w:abstractNum w:abstractNumId="4"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szCs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7"/>
  </w:num>
  <w:num w:numId="4" w16cid:durableId="1658344630">
    <w:abstractNumId w:val="5"/>
  </w:num>
  <w:num w:numId="5" w16cid:durableId="2132553883">
    <w:abstractNumId w:val="2"/>
  </w:num>
  <w:num w:numId="6" w16cid:durableId="545726518">
    <w:abstractNumId w:val="6"/>
  </w:num>
  <w:num w:numId="7" w16cid:durableId="1506360347">
    <w:abstractNumId w:val="3"/>
  </w:num>
  <w:num w:numId="8" w16cid:durableId="2070614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1">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45D"/>
    <w:rsid w:val="00000839"/>
    <w:rsid w:val="00002603"/>
    <w:rsid w:val="00002AA4"/>
    <w:rsid w:val="00002EEB"/>
    <w:rsid w:val="00005267"/>
    <w:rsid w:val="00006346"/>
    <w:rsid w:val="00012056"/>
    <w:rsid w:val="00012DD9"/>
    <w:rsid w:val="00014C13"/>
    <w:rsid w:val="00021802"/>
    <w:rsid w:val="00021C67"/>
    <w:rsid w:val="00023CB5"/>
    <w:rsid w:val="00024CDD"/>
    <w:rsid w:val="00024E25"/>
    <w:rsid w:val="0002545E"/>
    <w:rsid w:val="00030557"/>
    <w:rsid w:val="00030F51"/>
    <w:rsid w:val="0003148C"/>
    <w:rsid w:val="00031C01"/>
    <w:rsid w:val="00035409"/>
    <w:rsid w:val="00035A84"/>
    <w:rsid w:val="00037B37"/>
    <w:rsid w:val="00040CC9"/>
    <w:rsid w:val="00051E86"/>
    <w:rsid w:val="00051EF2"/>
    <w:rsid w:val="0005557A"/>
    <w:rsid w:val="000575F9"/>
    <w:rsid w:val="00060184"/>
    <w:rsid w:val="000616AE"/>
    <w:rsid w:val="000618FC"/>
    <w:rsid w:val="0006344D"/>
    <w:rsid w:val="00063D42"/>
    <w:rsid w:val="00065FB7"/>
    <w:rsid w:val="00067071"/>
    <w:rsid w:val="0007030D"/>
    <w:rsid w:val="000722E8"/>
    <w:rsid w:val="000756FD"/>
    <w:rsid w:val="00076E42"/>
    <w:rsid w:val="000777FC"/>
    <w:rsid w:val="00077CA6"/>
    <w:rsid w:val="00080D10"/>
    <w:rsid w:val="000826CE"/>
    <w:rsid w:val="0008357F"/>
    <w:rsid w:val="000928A7"/>
    <w:rsid w:val="00092D14"/>
    <w:rsid w:val="00093C21"/>
    <w:rsid w:val="00094046"/>
    <w:rsid w:val="00094A10"/>
    <w:rsid w:val="000953A4"/>
    <w:rsid w:val="000A33AF"/>
    <w:rsid w:val="000A3D1A"/>
    <w:rsid w:val="000A41E0"/>
    <w:rsid w:val="000A5F26"/>
    <w:rsid w:val="000B09A1"/>
    <w:rsid w:val="000B28C4"/>
    <w:rsid w:val="000B3549"/>
    <w:rsid w:val="000B3814"/>
    <w:rsid w:val="000B3AE3"/>
    <w:rsid w:val="000B695A"/>
    <w:rsid w:val="000C0A12"/>
    <w:rsid w:val="000C210A"/>
    <w:rsid w:val="000C4A2F"/>
    <w:rsid w:val="000C56DD"/>
    <w:rsid w:val="000C571F"/>
    <w:rsid w:val="000D03DC"/>
    <w:rsid w:val="000D1672"/>
    <w:rsid w:val="000D5FDB"/>
    <w:rsid w:val="000E0483"/>
    <w:rsid w:val="000E2F62"/>
    <w:rsid w:val="000E38ED"/>
    <w:rsid w:val="000E48C7"/>
    <w:rsid w:val="000E4C54"/>
    <w:rsid w:val="000E7F24"/>
    <w:rsid w:val="000F03BE"/>
    <w:rsid w:val="000F1757"/>
    <w:rsid w:val="000F175E"/>
    <w:rsid w:val="000F225B"/>
    <w:rsid w:val="000F38DD"/>
    <w:rsid w:val="000F7FAF"/>
    <w:rsid w:val="00101B7B"/>
    <w:rsid w:val="001036C7"/>
    <w:rsid w:val="00105975"/>
    <w:rsid w:val="00110CF2"/>
    <w:rsid w:val="00111C28"/>
    <w:rsid w:val="00111F4D"/>
    <w:rsid w:val="00112A28"/>
    <w:rsid w:val="00114A3B"/>
    <w:rsid w:val="00115230"/>
    <w:rsid w:val="00115B5F"/>
    <w:rsid w:val="001162B4"/>
    <w:rsid w:val="00117022"/>
    <w:rsid w:val="00117E06"/>
    <w:rsid w:val="001217FC"/>
    <w:rsid w:val="00122CBC"/>
    <w:rsid w:val="001252DD"/>
    <w:rsid w:val="00126D29"/>
    <w:rsid w:val="00126D4A"/>
    <w:rsid w:val="001312D5"/>
    <w:rsid w:val="00132DA9"/>
    <w:rsid w:val="0013305B"/>
    <w:rsid w:val="00133B2E"/>
    <w:rsid w:val="00133B99"/>
    <w:rsid w:val="00144264"/>
    <w:rsid w:val="001443BD"/>
    <w:rsid w:val="00145CE6"/>
    <w:rsid w:val="00147067"/>
    <w:rsid w:val="00151AD4"/>
    <w:rsid w:val="001577E9"/>
    <w:rsid w:val="0016138C"/>
    <w:rsid w:val="0017111B"/>
    <w:rsid w:val="001731CE"/>
    <w:rsid w:val="00180342"/>
    <w:rsid w:val="00185EFD"/>
    <w:rsid w:val="0019245D"/>
    <w:rsid w:val="00193FAB"/>
    <w:rsid w:val="0019419C"/>
    <w:rsid w:val="00195576"/>
    <w:rsid w:val="00195DED"/>
    <w:rsid w:val="001A3B00"/>
    <w:rsid w:val="001A69F7"/>
    <w:rsid w:val="001B222A"/>
    <w:rsid w:val="001B2435"/>
    <w:rsid w:val="001B32B3"/>
    <w:rsid w:val="001B7C20"/>
    <w:rsid w:val="001C0B32"/>
    <w:rsid w:val="001C139A"/>
    <w:rsid w:val="001C1932"/>
    <w:rsid w:val="001C1C91"/>
    <w:rsid w:val="001C25DF"/>
    <w:rsid w:val="001C4BE1"/>
    <w:rsid w:val="001C5986"/>
    <w:rsid w:val="001D0D98"/>
    <w:rsid w:val="001D31E8"/>
    <w:rsid w:val="001D3515"/>
    <w:rsid w:val="001D4477"/>
    <w:rsid w:val="001D7ADF"/>
    <w:rsid w:val="001E0F71"/>
    <w:rsid w:val="001E1937"/>
    <w:rsid w:val="001E3DE8"/>
    <w:rsid w:val="001E43C5"/>
    <w:rsid w:val="001E5718"/>
    <w:rsid w:val="001E6D05"/>
    <w:rsid w:val="001E6D92"/>
    <w:rsid w:val="001E7C28"/>
    <w:rsid w:val="001F0DB8"/>
    <w:rsid w:val="001F1BDF"/>
    <w:rsid w:val="001F7110"/>
    <w:rsid w:val="001F7E96"/>
    <w:rsid w:val="00202284"/>
    <w:rsid w:val="002036E8"/>
    <w:rsid w:val="002041DB"/>
    <w:rsid w:val="00205696"/>
    <w:rsid w:val="002071BE"/>
    <w:rsid w:val="00210627"/>
    <w:rsid w:val="00210AB8"/>
    <w:rsid w:val="00211389"/>
    <w:rsid w:val="00212488"/>
    <w:rsid w:val="00214E93"/>
    <w:rsid w:val="002176F3"/>
    <w:rsid w:val="00220628"/>
    <w:rsid w:val="00221D25"/>
    <w:rsid w:val="00225BCA"/>
    <w:rsid w:val="002304D2"/>
    <w:rsid w:val="00231424"/>
    <w:rsid w:val="00234ABD"/>
    <w:rsid w:val="00236E2A"/>
    <w:rsid w:val="0023769B"/>
    <w:rsid w:val="00237F62"/>
    <w:rsid w:val="00241D65"/>
    <w:rsid w:val="00245376"/>
    <w:rsid w:val="0024586A"/>
    <w:rsid w:val="00250A37"/>
    <w:rsid w:val="00251485"/>
    <w:rsid w:val="00251B00"/>
    <w:rsid w:val="00256F0C"/>
    <w:rsid w:val="00261CA2"/>
    <w:rsid w:val="00262C05"/>
    <w:rsid w:val="00262C0D"/>
    <w:rsid w:val="002706DA"/>
    <w:rsid w:val="00273803"/>
    <w:rsid w:val="00277836"/>
    <w:rsid w:val="00281D14"/>
    <w:rsid w:val="00282C13"/>
    <w:rsid w:val="002840D3"/>
    <w:rsid w:val="00286B76"/>
    <w:rsid w:val="00286BB1"/>
    <w:rsid w:val="002949F2"/>
    <w:rsid w:val="0029579F"/>
    <w:rsid w:val="002A0DF7"/>
    <w:rsid w:val="002A1260"/>
    <w:rsid w:val="002A2975"/>
    <w:rsid w:val="002A593A"/>
    <w:rsid w:val="002A5B95"/>
    <w:rsid w:val="002A60E0"/>
    <w:rsid w:val="002A66AA"/>
    <w:rsid w:val="002A6C28"/>
    <w:rsid w:val="002B7CD3"/>
    <w:rsid w:val="002C1344"/>
    <w:rsid w:val="002C252E"/>
    <w:rsid w:val="002C2B03"/>
    <w:rsid w:val="002C2C83"/>
    <w:rsid w:val="002C6773"/>
    <w:rsid w:val="002D0B88"/>
    <w:rsid w:val="002D2A3D"/>
    <w:rsid w:val="002D4867"/>
    <w:rsid w:val="002D4EFF"/>
    <w:rsid w:val="002E0B17"/>
    <w:rsid w:val="002E4FFB"/>
    <w:rsid w:val="002E7710"/>
    <w:rsid w:val="002E781F"/>
    <w:rsid w:val="002E7DED"/>
    <w:rsid w:val="002F23B2"/>
    <w:rsid w:val="002F5C20"/>
    <w:rsid w:val="002F7E11"/>
    <w:rsid w:val="00302BC1"/>
    <w:rsid w:val="00304087"/>
    <w:rsid w:val="003075DB"/>
    <w:rsid w:val="0031084A"/>
    <w:rsid w:val="00310ACD"/>
    <w:rsid w:val="003111A8"/>
    <w:rsid w:val="00312603"/>
    <w:rsid w:val="0031379F"/>
    <w:rsid w:val="00313AFB"/>
    <w:rsid w:val="003146DF"/>
    <w:rsid w:val="00320A26"/>
    <w:rsid w:val="00320AA7"/>
    <w:rsid w:val="00321344"/>
    <w:rsid w:val="00321C7C"/>
    <w:rsid w:val="00331D58"/>
    <w:rsid w:val="0033451C"/>
    <w:rsid w:val="0033627C"/>
    <w:rsid w:val="00336854"/>
    <w:rsid w:val="0034015C"/>
    <w:rsid w:val="00342FB7"/>
    <w:rsid w:val="00343372"/>
    <w:rsid w:val="003442F4"/>
    <w:rsid w:val="00350310"/>
    <w:rsid w:val="00352B8E"/>
    <w:rsid w:val="00353705"/>
    <w:rsid w:val="00355638"/>
    <w:rsid w:val="003559F6"/>
    <w:rsid w:val="003562E8"/>
    <w:rsid w:val="003603D1"/>
    <w:rsid w:val="0036357D"/>
    <w:rsid w:val="003649BC"/>
    <w:rsid w:val="00365E44"/>
    <w:rsid w:val="003661EA"/>
    <w:rsid w:val="003677DB"/>
    <w:rsid w:val="00367AA1"/>
    <w:rsid w:val="00372E36"/>
    <w:rsid w:val="00373911"/>
    <w:rsid w:val="00376EE9"/>
    <w:rsid w:val="00377CBB"/>
    <w:rsid w:val="00377DD9"/>
    <w:rsid w:val="00385185"/>
    <w:rsid w:val="0038555C"/>
    <w:rsid w:val="003877B6"/>
    <w:rsid w:val="00392BDA"/>
    <w:rsid w:val="00393887"/>
    <w:rsid w:val="00394ADC"/>
    <w:rsid w:val="00394C6B"/>
    <w:rsid w:val="00397E0A"/>
    <w:rsid w:val="003A1117"/>
    <w:rsid w:val="003A4E62"/>
    <w:rsid w:val="003B0FDE"/>
    <w:rsid w:val="003B1069"/>
    <w:rsid w:val="003B390A"/>
    <w:rsid w:val="003B426A"/>
    <w:rsid w:val="003B4F93"/>
    <w:rsid w:val="003B624E"/>
    <w:rsid w:val="003C15DE"/>
    <w:rsid w:val="003C2DB2"/>
    <w:rsid w:val="003C394C"/>
    <w:rsid w:val="003C4EB2"/>
    <w:rsid w:val="003C781B"/>
    <w:rsid w:val="003C7A22"/>
    <w:rsid w:val="003C7A9D"/>
    <w:rsid w:val="003C7AF6"/>
    <w:rsid w:val="003D12F7"/>
    <w:rsid w:val="003D217E"/>
    <w:rsid w:val="003D3A5A"/>
    <w:rsid w:val="003D6B4F"/>
    <w:rsid w:val="003D7F1E"/>
    <w:rsid w:val="003E1840"/>
    <w:rsid w:val="003E27B6"/>
    <w:rsid w:val="003E294E"/>
    <w:rsid w:val="003E50B0"/>
    <w:rsid w:val="003F116B"/>
    <w:rsid w:val="003F1AF3"/>
    <w:rsid w:val="003F4AB0"/>
    <w:rsid w:val="003F4D8D"/>
    <w:rsid w:val="003F66FD"/>
    <w:rsid w:val="003F7A45"/>
    <w:rsid w:val="0040204E"/>
    <w:rsid w:val="00402368"/>
    <w:rsid w:val="00406D82"/>
    <w:rsid w:val="00407B69"/>
    <w:rsid w:val="00412186"/>
    <w:rsid w:val="00413553"/>
    <w:rsid w:val="00416B42"/>
    <w:rsid w:val="00417363"/>
    <w:rsid w:val="00420B94"/>
    <w:rsid w:val="004268B7"/>
    <w:rsid w:val="004313E7"/>
    <w:rsid w:val="0044088F"/>
    <w:rsid w:val="00444A59"/>
    <w:rsid w:val="00445633"/>
    <w:rsid w:val="0044763B"/>
    <w:rsid w:val="0045102A"/>
    <w:rsid w:val="00451F34"/>
    <w:rsid w:val="0046094B"/>
    <w:rsid w:val="004609C8"/>
    <w:rsid w:val="004615DA"/>
    <w:rsid w:val="004629B3"/>
    <w:rsid w:val="0046376E"/>
    <w:rsid w:val="004651F3"/>
    <w:rsid w:val="0046690F"/>
    <w:rsid w:val="004720EE"/>
    <w:rsid w:val="00472661"/>
    <w:rsid w:val="00472FEC"/>
    <w:rsid w:val="00483074"/>
    <w:rsid w:val="00484C04"/>
    <w:rsid w:val="00485277"/>
    <w:rsid w:val="00490A03"/>
    <w:rsid w:val="00493327"/>
    <w:rsid w:val="00494DBE"/>
    <w:rsid w:val="00495CE6"/>
    <w:rsid w:val="004A252F"/>
    <w:rsid w:val="004A281F"/>
    <w:rsid w:val="004A323C"/>
    <w:rsid w:val="004A4D88"/>
    <w:rsid w:val="004B4617"/>
    <w:rsid w:val="004B54E8"/>
    <w:rsid w:val="004B5769"/>
    <w:rsid w:val="004C4FEB"/>
    <w:rsid w:val="004C59B3"/>
    <w:rsid w:val="004C6B79"/>
    <w:rsid w:val="004D059B"/>
    <w:rsid w:val="004D4CB6"/>
    <w:rsid w:val="004E0870"/>
    <w:rsid w:val="004E3341"/>
    <w:rsid w:val="004F10C1"/>
    <w:rsid w:val="004F1CAE"/>
    <w:rsid w:val="004F1EE0"/>
    <w:rsid w:val="004F2AA6"/>
    <w:rsid w:val="004F7377"/>
    <w:rsid w:val="00501F73"/>
    <w:rsid w:val="00502E62"/>
    <w:rsid w:val="00504452"/>
    <w:rsid w:val="005060A3"/>
    <w:rsid w:val="005069C1"/>
    <w:rsid w:val="00506B8A"/>
    <w:rsid w:val="005102DE"/>
    <w:rsid w:val="0052025E"/>
    <w:rsid w:val="0052212B"/>
    <w:rsid w:val="00522185"/>
    <w:rsid w:val="0052725A"/>
    <w:rsid w:val="00531B98"/>
    <w:rsid w:val="00534B46"/>
    <w:rsid w:val="00536745"/>
    <w:rsid w:val="00540358"/>
    <w:rsid w:val="005405BC"/>
    <w:rsid w:val="00540D47"/>
    <w:rsid w:val="00541B47"/>
    <w:rsid w:val="0054285F"/>
    <w:rsid w:val="00542F3A"/>
    <w:rsid w:val="00544C1B"/>
    <w:rsid w:val="00546C13"/>
    <w:rsid w:val="00550864"/>
    <w:rsid w:val="005508CA"/>
    <w:rsid w:val="0055110C"/>
    <w:rsid w:val="0055190B"/>
    <w:rsid w:val="00554FE2"/>
    <w:rsid w:val="0055571E"/>
    <w:rsid w:val="00556F67"/>
    <w:rsid w:val="00571747"/>
    <w:rsid w:val="00573613"/>
    <w:rsid w:val="005833F0"/>
    <w:rsid w:val="005839A0"/>
    <w:rsid w:val="00586CAF"/>
    <w:rsid w:val="005873E9"/>
    <w:rsid w:val="00590C3A"/>
    <w:rsid w:val="00591180"/>
    <w:rsid w:val="00595131"/>
    <w:rsid w:val="0059722C"/>
    <w:rsid w:val="00597D07"/>
    <w:rsid w:val="005A3846"/>
    <w:rsid w:val="005A48C1"/>
    <w:rsid w:val="005A7341"/>
    <w:rsid w:val="005A7F82"/>
    <w:rsid w:val="005B1747"/>
    <w:rsid w:val="005B1F0C"/>
    <w:rsid w:val="005B6A58"/>
    <w:rsid w:val="005C40C7"/>
    <w:rsid w:val="005C6004"/>
    <w:rsid w:val="005C7112"/>
    <w:rsid w:val="005C7B2F"/>
    <w:rsid w:val="005D0561"/>
    <w:rsid w:val="005D0AD9"/>
    <w:rsid w:val="005D2125"/>
    <w:rsid w:val="005D22F6"/>
    <w:rsid w:val="005D5E67"/>
    <w:rsid w:val="005D6746"/>
    <w:rsid w:val="005E0C30"/>
    <w:rsid w:val="005E69D9"/>
    <w:rsid w:val="005F27F4"/>
    <w:rsid w:val="005F3202"/>
    <w:rsid w:val="005F3239"/>
    <w:rsid w:val="005F6567"/>
    <w:rsid w:val="005F65E7"/>
    <w:rsid w:val="00607256"/>
    <w:rsid w:val="00612832"/>
    <w:rsid w:val="006144B1"/>
    <w:rsid w:val="0062054E"/>
    <w:rsid w:val="006207EA"/>
    <w:rsid w:val="0062206B"/>
    <w:rsid w:val="0062403D"/>
    <w:rsid w:val="006335F1"/>
    <w:rsid w:val="006345B6"/>
    <w:rsid w:val="00635462"/>
    <w:rsid w:val="00635712"/>
    <w:rsid w:val="00643D8A"/>
    <w:rsid w:val="00644548"/>
    <w:rsid w:val="006448C4"/>
    <w:rsid w:val="006461D2"/>
    <w:rsid w:val="00647CC9"/>
    <w:rsid w:val="006513EB"/>
    <w:rsid w:val="00652142"/>
    <w:rsid w:val="00652229"/>
    <w:rsid w:val="00652793"/>
    <w:rsid w:val="00652D7A"/>
    <w:rsid w:val="00660432"/>
    <w:rsid w:val="006626CA"/>
    <w:rsid w:val="00663487"/>
    <w:rsid w:val="00666F24"/>
    <w:rsid w:val="00672382"/>
    <w:rsid w:val="006734AD"/>
    <w:rsid w:val="00674768"/>
    <w:rsid w:val="00682377"/>
    <w:rsid w:val="00682643"/>
    <w:rsid w:val="00682EB9"/>
    <w:rsid w:val="00683132"/>
    <w:rsid w:val="0068441A"/>
    <w:rsid w:val="00685B49"/>
    <w:rsid w:val="00690B19"/>
    <w:rsid w:val="00695188"/>
    <w:rsid w:val="006960E2"/>
    <w:rsid w:val="00697634"/>
    <w:rsid w:val="006A0A3C"/>
    <w:rsid w:val="006A1552"/>
    <w:rsid w:val="006A66C8"/>
    <w:rsid w:val="006A6CA0"/>
    <w:rsid w:val="006A7536"/>
    <w:rsid w:val="006A75BF"/>
    <w:rsid w:val="006A79F0"/>
    <w:rsid w:val="006B47EE"/>
    <w:rsid w:val="006B499F"/>
    <w:rsid w:val="006B78B0"/>
    <w:rsid w:val="006C22C4"/>
    <w:rsid w:val="006C297C"/>
    <w:rsid w:val="006C7F51"/>
    <w:rsid w:val="006D4996"/>
    <w:rsid w:val="006D54AB"/>
    <w:rsid w:val="006D6DE5"/>
    <w:rsid w:val="006E3006"/>
    <w:rsid w:val="006E5032"/>
    <w:rsid w:val="006E5BDA"/>
    <w:rsid w:val="006E6542"/>
    <w:rsid w:val="006F0FC7"/>
    <w:rsid w:val="006F39A9"/>
    <w:rsid w:val="006F4F04"/>
    <w:rsid w:val="006F670F"/>
    <w:rsid w:val="007011C3"/>
    <w:rsid w:val="00701DEB"/>
    <w:rsid w:val="0070213E"/>
    <w:rsid w:val="00703272"/>
    <w:rsid w:val="00704695"/>
    <w:rsid w:val="00705F1A"/>
    <w:rsid w:val="0070733C"/>
    <w:rsid w:val="00710BDC"/>
    <w:rsid w:val="00710C5D"/>
    <w:rsid w:val="0071348C"/>
    <w:rsid w:val="00713FC3"/>
    <w:rsid w:val="00717273"/>
    <w:rsid w:val="007175CD"/>
    <w:rsid w:val="00720FD4"/>
    <w:rsid w:val="00724AF2"/>
    <w:rsid w:val="00725721"/>
    <w:rsid w:val="0073096C"/>
    <w:rsid w:val="00730E79"/>
    <w:rsid w:val="00732F8B"/>
    <w:rsid w:val="00740C61"/>
    <w:rsid w:val="007420BD"/>
    <w:rsid w:val="00742398"/>
    <w:rsid w:val="00745581"/>
    <w:rsid w:val="007500B6"/>
    <w:rsid w:val="007507B5"/>
    <w:rsid w:val="0075091D"/>
    <w:rsid w:val="00752414"/>
    <w:rsid w:val="00753A24"/>
    <w:rsid w:val="007564AE"/>
    <w:rsid w:val="00760572"/>
    <w:rsid w:val="007605E4"/>
    <w:rsid w:val="00762569"/>
    <w:rsid w:val="00763650"/>
    <w:rsid w:val="007653AE"/>
    <w:rsid w:val="00765B5B"/>
    <w:rsid w:val="00766D9A"/>
    <w:rsid w:val="00770797"/>
    <w:rsid w:val="00772188"/>
    <w:rsid w:val="007733D7"/>
    <w:rsid w:val="007739CE"/>
    <w:rsid w:val="0077478A"/>
    <w:rsid w:val="00777135"/>
    <w:rsid w:val="007813D0"/>
    <w:rsid w:val="007838B5"/>
    <w:rsid w:val="00784119"/>
    <w:rsid w:val="00785993"/>
    <w:rsid w:val="007866E2"/>
    <w:rsid w:val="00786BA3"/>
    <w:rsid w:val="00787230"/>
    <w:rsid w:val="00790F04"/>
    <w:rsid w:val="0079202F"/>
    <w:rsid w:val="00792EBC"/>
    <w:rsid w:val="00795AF2"/>
    <w:rsid w:val="0079733C"/>
    <w:rsid w:val="007A1FBA"/>
    <w:rsid w:val="007A2AAD"/>
    <w:rsid w:val="007A3386"/>
    <w:rsid w:val="007A4432"/>
    <w:rsid w:val="007A596B"/>
    <w:rsid w:val="007A784E"/>
    <w:rsid w:val="007B22AF"/>
    <w:rsid w:val="007B499C"/>
    <w:rsid w:val="007B4D4B"/>
    <w:rsid w:val="007D04BF"/>
    <w:rsid w:val="007D2A02"/>
    <w:rsid w:val="007D3984"/>
    <w:rsid w:val="007D6EEC"/>
    <w:rsid w:val="007E6EA1"/>
    <w:rsid w:val="007F0F63"/>
    <w:rsid w:val="007F14CB"/>
    <w:rsid w:val="007F2B1E"/>
    <w:rsid w:val="007F62B4"/>
    <w:rsid w:val="007F76A6"/>
    <w:rsid w:val="00800DC4"/>
    <w:rsid w:val="00801517"/>
    <w:rsid w:val="008017B8"/>
    <w:rsid w:val="008129FA"/>
    <w:rsid w:val="00813362"/>
    <w:rsid w:val="00815A66"/>
    <w:rsid w:val="00817AE8"/>
    <w:rsid w:val="00817DE8"/>
    <w:rsid w:val="00820AD7"/>
    <w:rsid w:val="00821597"/>
    <w:rsid w:val="0082259F"/>
    <w:rsid w:val="008229F5"/>
    <w:rsid w:val="00822D7A"/>
    <w:rsid w:val="0082503B"/>
    <w:rsid w:val="00826754"/>
    <w:rsid w:val="0082699A"/>
    <w:rsid w:val="00827CEF"/>
    <w:rsid w:val="008337CE"/>
    <w:rsid w:val="00833CEB"/>
    <w:rsid w:val="0083451D"/>
    <w:rsid w:val="00836B50"/>
    <w:rsid w:val="008370E8"/>
    <w:rsid w:val="00837181"/>
    <w:rsid w:val="008372D2"/>
    <w:rsid w:val="008377BC"/>
    <w:rsid w:val="00840BB9"/>
    <w:rsid w:val="0084356D"/>
    <w:rsid w:val="00844C17"/>
    <w:rsid w:val="00847726"/>
    <w:rsid w:val="00852511"/>
    <w:rsid w:val="00855B23"/>
    <w:rsid w:val="008612D8"/>
    <w:rsid w:val="008614F1"/>
    <w:rsid w:val="00863531"/>
    <w:rsid w:val="008639B3"/>
    <w:rsid w:val="00863C1A"/>
    <w:rsid w:val="00870D19"/>
    <w:rsid w:val="0087136A"/>
    <w:rsid w:val="0087142D"/>
    <w:rsid w:val="00872749"/>
    <w:rsid w:val="00872786"/>
    <w:rsid w:val="0087336C"/>
    <w:rsid w:val="00873956"/>
    <w:rsid w:val="00874906"/>
    <w:rsid w:val="0087762B"/>
    <w:rsid w:val="008801AB"/>
    <w:rsid w:val="00880D68"/>
    <w:rsid w:val="00880E1B"/>
    <w:rsid w:val="00880E72"/>
    <w:rsid w:val="008825EE"/>
    <w:rsid w:val="00884A6F"/>
    <w:rsid w:val="00885500"/>
    <w:rsid w:val="0088596E"/>
    <w:rsid w:val="00886515"/>
    <w:rsid w:val="008865D8"/>
    <w:rsid w:val="0089534D"/>
    <w:rsid w:val="0089796A"/>
    <w:rsid w:val="008A2375"/>
    <w:rsid w:val="008A58C0"/>
    <w:rsid w:val="008B1457"/>
    <w:rsid w:val="008B61F1"/>
    <w:rsid w:val="008B66C6"/>
    <w:rsid w:val="008B7FF0"/>
    <w:rsid w:val="008D02B2"/>
    <w:rsid w:val="008D146C"/>
    <w:rsid w:val="008D23C1"/>
    <w:rsid w:val="008D6D93"/>
    <w:rsid w:val="008D7594"/>
    <w:rsid w:val="008D76C5"/>
    <w:rsid w:val="008E0AFA"/>
    <w:rsid w:val="008E3A0F"/>
    <w:rsid w:val="008E52A1"/>
    <w:rsid w:val="008E5DEB"/>
    <w:rsid w:val="008E75D3"/>
    <w:rsid w:val="008F125E"/>
    <w:rsid w:val="008F4D2F"/>
    <w:rsid w:val="008F754E"/>
    <w:rsid w:val="00906292"/>
    <w:rsid w:val="009076AF"/>
    <w:rsid w:val="00912BB2"/>
    <w:rsid w:val="00917162"/>
    <w:rsid w:val="00917487"/>
    <w:rsid w:val="009251CC"/>
    <w:rsid w:val="0092714E"/>
    <w:rsid w:val="00931934"/>
    <w:rsid w:val="00933EC4"/>
    <w:rsid w:val="00933F2E"/>
    <w:rsid w:val="009358B0"/>
    <w:rsid w:val="00942002"/>
    <w:rsid w:val="00946FE9"/>
    <w:rsid w:val="00947885"/>
    <w:rsid w:val="00951AB1"/>
    <w:rsid w:val="00952168"/>
    <w:rsid w:val="009527FE"/>
    <w:rsid w:val="00953307"/>
    <w:rsid w:val="00953DEA"/>
    <w:rsid w:val="00955F0A"/>
    <w:rsid w:val="009561B6"/>
    <w:rsid w:val="00961242"/>
    <w:rsid w:val="009632D8"/>
    <w:rsid w:val="009709AB"/>
    <w:rsid w:val="009739A0"/>
    <w:rsid w:val="00973F0E"/>
    <w:rsid w:val="00974F84"/>
    <w:rsid w:val="009767C7"/>
    <w:rsid w:val="009827BF"/>
    <w:rsid w:val="00983B46"/>
    <w:rsid w:val="0098579A"/>
    <w:rsid w:val="009873B7"/>
    <w:rsid w:val="0099008E"/>
    <w:rsid w:val="0099195A"/>
    <w:rsid w:val="00992A11"/>
    <w:rsid w:val="00994681"/>
    <w:rsid w:val="0099486A"/>
    <w:rsid w:val="00994BED"/>
    <w:rsid w:val="00995EE2"/>
    <w:rsid w:val="009A0E26"/>
    <w:rsid w:val="009A16EC"/>
    <w:rsid w:val="009A4567"/>
    <w:rsid w:val="009A5B03"/>
    <w:rsid w:val="009B0C54"/>
    <w:rsid w:val="009B1249"/>
    <w:rsid w:val="009B29B7"/>
    <w:rsid w:val="009B3B37"/>
    <w:rsid w:val="009B4272"/>
    <w:rsid w:val="009B684F"/>
    <w:rsid w:val="009B7D1F"/>
    <w:rsid w:val="009C088E"/>
    <w:rsid w:val="009C2DEB"/>
    <w:rsid w:val="009C312D"/>
    <w:rsid w:val="009C4D35"/>
    <w:rsid w:val="009C6DD0"/>
    <w:rsid w:val="009D1522"/>
    <w:rsid w:val="009D24D1"/>
    <w:rsid w:val="009D35B2"/>
    <w:rsid w:val="009D588B"/>
    <w:rsid w:val="009D7252"/>
    <w:rsid w:val="009E0169"/>
    <w:rsid w:val="009E5AF2"/>
    <w:rsid w:val="009E5EB4"/>
    <w:rsid w:val="009E7413"/>
    <w:rsid w:val="009F06FB"/>
    <w:rsid w:val="009F5432"/>
    <w:rsid w:val="009F5B39"/>
    <w:rsid w:val="00A02C3A"/>
    <w:rsid w:val="00A044D6"/>
    <w:rsid w:val="00A04ADB"/>
    <w:rsid w:val="00A072BD"/>
    <w:rsid w:val="00A07945"/>
    <w:rsid w:val="00A11E0F"/>
    <w:rsid w:val="00A12A31"/>
    <w:rsid w:val="00A1301E"/>
    <w:rsid w:val="00A14EB1"/>
    <w:rsid w:val="00A17E4D"/>
    <w:rsid w:val="00A2202E"/>
    <w:rsid w:val="00A22D91"/>
    <w:rsid w:val="00A23264"/>
    <w:rsid w:val="00A2386C"/>
    <w:rsid w:val="00A24446"/>
    <w:rsid w:val="00A26CB6"/>
    <w:rsid w:val="00A26D40"/>
    <w:rsid w:val="00A31B3D"/>
    <w:rsid w:val="00A323EB"/>
    <w:rsid w:val="00A32607"/>
    <w:rsid w:val="00A32F82"/>
    <w:rsid w:val="00A32F8B"/>
    <w:rsid w:val="00A3756F"/>
    <w:rsid w:val="00A377EF"/>
    <w:rsid w:val="00A42D6F"/>
    <w:rsid w:val="00A4373E"/>
    <w:rsid w:val="00A456F1"/>
    <w:rsid w:val="00A45A62"/>
    <w:rsid w:val="00A46743"/>
    <w:rsid w:val="00A50ACF"/>
    <w:rsid w:val="00A5420E"/>
    <w:rsid w:val="00A542FF"/>
    <w:rsid w:val="00A54AC5"/>
    <w:rsid w:val="00A55DC3"/>
    <w:rsid w:val="00A56D41"/>
    <w:rsid w:val="00A60D01"/>
    <w:rsid w:val="00A61353"/>
    <w:rsid w:val="00A664D2"/>
    <w:rsid w:val="00A66DB1"/>
    <w:rsid w:val="00A67A92"/>
    <w:rsid w:val="00A7332D"/>
    <w:rsid w:val="00A82F2E"/>
    <w:rsid w:val="00A843DA"/>
    <w:rsid w:val="00A87870"/>
    <w:rsid w:val="00A91A70"/>
    <w:rsid w:val="00A97055"/>
    <w:rsid w:val="00A97970"/>
    <w:rsid w:val="00AA0FA9"/>
    <w:rsid w:val="00AA16C5"/>
    <w:rsid w:val="00AA1B85"/>
    <w:rsid w:val="00AA61CA"/>
    <w:rsid w:val="00AB1CB6"/>
    <w:rsid w:val="00AB1D9A"/>
    <w:rsid w:val="00AB1FB3"/>
    <w:rsid w:val="00AC315F"/>
    <w:rsid w:val="00AC381E"/>
    <w:rsid w:val="00AC6C63"/>
    <w:rsid w:val="00AC7BB4"/>
    <w:rsid w:val="00AC7E79"/>
    <w:rsid w:val="00AD19A1"/>
    <w:rsid w:val="00AD44FE"/>
    <w:rsid w:val="00AD66BE"/>
    <w:rsid w:val="00AE3EC5"/>
    <w:rsid w:val="00AE49F1"/>
    <w:rsid w:val="00AE5B5B"/>
    <w:rsid w:val="00AE60A9"/>
    <w:rsid w:val="00AE6C65"/>
    <w:rsid w:val="00AE7E27"/>
    <w:rsid w:val="00AF333E"/>
    <w:rsid w:val="00AF3948"/>
    <w:rsid w:val="00AF3E33"/>
    <w:rsid w:val="00AF60CB"/>
    <w:rsid w:val="00B00663"/>
    <w:rsid w:val="00B03738"/>
    <w:rsid w:val="00B05343"/>
    <w:rsid w:val="00B05CCA"/>
    <w:rsid w:val="00B12CE6"/>
    <w:rsid w:val="00B1346C"/>
    <w:rsid w:val="00B14271"/>
    <w:rsid w:val="00B14C02"/>
    <w:rsid w:val="00B16270"/>
    <w:rsid w:val="00B22398"/>
    <w:rsid w:val="00B23D14"/>
    <w:rsid w:val="00B2685D"/>
    <w:rsid w:val="00B30351"/>
    <w:rsid w:val="00B33C2A"/>
    <w:rsid w:val="00B34E47"/>
    <w:rsid w:val="00B372EB"/>
    <w:rsid w:val="00B41DF5"/>
    <w:rsid w:val="00B422EC"/>
    <w:rsid w:val="00B42B1B"/>
    <w:rsid w:val="00B47541"/>
    <w:rsid w:val="00B66B08"/>
    <w:rsid w:val="00B726D4"/>
    <w:rsid w:val="00B740D9"/>
    <w:rsid w:val="00B752CA"/>
    <w:rsid w:val="00B77A77"/>
    <w:rsid w:val="00B8214F"/>
    <w:rsid w:val="00B86A4F"/>
    <w:rsid w:val="00B86E0E"/>
    <w:rsid w:val="00B93035"/>
    <w:rsid w:val="00B9337E"/>
    <w:rsid w:val="00B94EA3"/>
    <w:rsid w:val="00B958E8"/>
    <w:rsid w:val="00B95B03"/>
    <w:rsid w:val="00B97E4A"/>
    <w:rsid w:val="00BA09B2"/>
    <w:rsid w:val="00BA5B46"/>
    <w:rsid w:val="00BA66F9"/>
    <w:rsid w:val="00BA7408"/>
    <w:rsid w:val="00BB5D0B"/>
    <w:rsid w:val="00BC0995"/>
    <w:rsid w:val="00BC0BB8"/>
    <w:rsid w:val="00BC2CA5"/>
    <w:rsid w:val="00BC3B59"/>
    <w:rsid w:val="00BC3F24"/>
    <w:rsid w:val="00BD1E02"/>
    <w:rsid w:val="00BD749B"/>
    <w:rsid w:val="00BE1802"/>
    <w:rsid w:val="00BE425A"/>
    <w:rsid w:val="00BE5C7C"/>
    <w:rsid w:val="00BE6226"/>
    <w:rsid w:val="00BE793A"/>
    <w:rsid w:val="00BF0281"/>
    <w:rsid w:val="00BF2AFF"/>
    <w:rsid w:val="00BF2B82"/>
    <w:rsid w:val="00BF3625"/>
    <w:rsid w:val="00BF398D"/>
    <w:rsid w:val="00BF432A"/>
    <w:rsid w:val="00BF4709"/>
    <w:rsid w:val="00BF4CD4"/>
    <w:rsid w:val="00BF56E6"/>
    <w:rsid w:val="00BF6E82"/>
    <w:rsid w:val="00BF73FE"/>
    <w:rsid w:val="00C060C7"/>
    <w:rsid w:val="00C10764"/>
    <w:rsid w:val="00C17E58"/>
    <w:rsid w:val="00C24C17"/>
    <w:rsid w:val="00C258B8"/>
    <w:rsid w:val="00C279B5"/>
    <w:rsid w:val="00C33020"/>
    <w:rsid w:val="00C36C83"/>
    <w:rsid w:val="00C3758F"/>
    <w:rsid w:val="00C37CF3"/>
    <w:rsid w:val="00C400BE"/>
    <w:rsid w:val="00C40B88"/>
    <w:rsid w:val="00C41EF2"/>
    <w:rsid w:val="00C42C93"/>
    <w:rsid w:val="00C43854"/>
    <w:rsid w:val="00C43D0E"/>
    <w:rsid w:val="00C45768"/>
    <w:rsid w:val="00C45799"/>
    <w:rsid w:val="00C47D87"/>
    <w:rsid w:val="00C5376E"/>
    <w:rsid w:val="00C53839"/>
    <w:rsid w:val="00C53C5E"/>
    <w:rsid w:val="00C639B4"/>
    <w:rsid w:val="00C72243"/>
    <w:rsid w:val="00C74364"/>
    <w:rsid w:val="00C770A3"/>
    <w:rsid w:val="00C808A6"/>
    <w:rsid w:val="00C81208"/>
    <w:rsid w:val="00C85058"/>
    <w:rsid w:val="00C85229"/>
    <w:rsid w:val="00C95572"/>
    <w:rsid w:val="00C96190"/>
    <w:rsid w:val="00C97091"/>
    <w:rsid w:val="00C97260"/>
    <w:rsid w:val="00C976E0"/>
    <w:rsid w:val="00CA1952"/>
    <w:rsid w:val="00CA2001"/>
    <w:rsid w:val="00CA2F84"/>
    <w:rsid w:val="00CA68F5"/>
    <w:rsid w:val="00CB4419"/>
    <w:rsid w:val="00CB5B6C"/>
    <w:rsid w:val="00CC052E"/>
    <w:rsid w:val="00CC5F7A"/>
    <w:rsid w:val="00CC6631"/>
    <w:rsid w:val="00CC7766"/>
    <w:rsid w:val="00CD16BE"/>
    <w:rsid w:val="00CD21B0"/>
    <w:rsid w:val="00CD4616"/>
    <w:rsid w:val="00CD47AC"/>
    <w:rsid w:val="00CD56AF"/>
    <w:rsid w:val="00CD5BEE"/>
    <w:rsid w:val="00CE1D02"/>
    <w:rsid w:val="00CE1E98"/>
    <w:rsid w:val="00CE33D5"/>
    <w:rsid w:val="00CE59E0"/>
    <w:rsid w:val="00CF5D37"/>
    <w:rsid w:val="00CF6F33"/>
    <w:rsid w:val="00CF7429"/>
    <w:rsid w:val="00D01821"/>
    <w:rsid w:val="00D02248"/>
    <w:rsid w:val="00D02D40"/>
    <w:rsid w:val="00D063B8"/>
    <w:rsid w:val="00D06825"/>
    <w:rsid w:val="00D12660"/>
    <w:rsid w:val="00D13506"/>
    <w:rsid w:val="00D13FDE"/>
    <w:rsid w:val="00D15FC7"/>
    <w:rsid w:val="00D1660E"/>
    <w:rsid w:val="00D17255"/>
    <w:rsid w:val="00D17E3B"/>
    <w:rsid w:val="00D21C53"/>
    <w:rsid w:val="00D23C09"/>
    <w:rsid w:val="00D23CED"/>
    <w:rsid w:val="00D24BD2"/>
    <w:rsid w:val="00D2530B"/>
    <w:rsid w:val="00D2573D"/>
    <w:rsid w:val="00D260A2"/>
    <w:rsid w:val="00D30CC6"/>
    <w:rsid w:val="00D31D33"/>
    <w:rsid w:val="00D3260C"/>
    <w:rsid w:val="00D35790"/>
    <w:rsid w:val="00D359FD"/>
    <w:rsid w:val="00D35A5D"/>
    <w:rsid w:val="00D3714B"/>
    <w:rsid w:val="00D37800"/>
    <w:rsid w:val="00D517AA"/>
    <w:rsid w:val="00D5653B"/>
    <w:rsid w:val="00D61AB1"/>
    <w:rsid w:val="00D62EF1"/>
    <w:rsid w:val="00D6309D"/>
    <w:rsid w:val="00D639D4"/>
    <w:rsid w:val="00D644CA"/>
    <w:rsid w:val="00D65F87"/>
    <w:rsid w:val="00D66436"/>
    <w:rsid w:val="00D66FC2"/>
    <w:rsid w:val="00D72698"/>
    <w:rsid w:val="00D76C7E"/>
    <w:rsid w:val="00D771DE"/>
    <w:rsid w:val="00D7776D"/>
    <w:rsid w:val="00D7776E"/>
    <w:rsid w:val="00D80434"/>
    <w:rsid w:val="00D8097D"/>
    <w:rsid w:val="00D82DAE"/>
    <w:rsid w:val="00D859F1"/>
    <w:rsid w:val="00D90DD8"/>
    <w:rsid w:val="00D9293F"/>
    <w:rsid w:val="00D93598"/>
    <w:rsid w:val="00D94496"/>
    <w:rsid w:val="00D96D4C"/>
    <w:rsid w:val="00DA1E18"/>
    <w:rsid w:val="00DA2009"/>
    <w:rsid w:val="00DA47B4"/>
    <w:rsid w:val="00DA4F5D"/>
    <w:rsid w:val="00DB05B1"/>
    <w:rsid w:val="00DB5A79"/>
    <w:rsid w:val="00DC074E"/>
    <w:rsid w:val="00DC2465"/>
    <w:rsid w:val="00DC4699"/>
    <w:rsid w:val="00DD25BE"/>
    <w:rsid w:val="00DD2754"/>
    <w:rsid w:val="00DD2A7D"/>
    <w:rsid w:val="00DD4B21"/>
    <w:rsid w:val="00DD512E"/>
    <w:rsid w:val="00DE1177"/>
    <w:rsid w:val="00DE2CEA"/>
    <w:rsid w:val="00DE6A3C"/>
    <w:rsid w:val="00DE74F4"/>
    <w:rsid w:val="00DE7F97"/>
    <w:rsid w:val="00DF1010"/>
    <w:rsid w:val="00DF5AEA"/>
    <w:rsid w:val="00DF63F6"/>
    <w:rsid w:val="00E00D3A"/>
    <w:rsid w:val="00E0405C"/>
    <w:rsid w:val="00E06A02"/>
    <w:rsid w:val="00E0798B"/>
    <w:rsid w:val="00E13747"/>
    <w:rsid w:val="00E13D0D"/>
    <w:rsid w:val="00E21061"/>
    <w:rsid w:val="00E21086"/>
    <w:rsid w:val="00E226BA"/>
    <w:rsid w:val="00E23EC8"/>
    <w:rsid w:val="00E25AEA"/>
    <w:rsid w:val="00E279A9"/>
    <w:rsid w:val="00E30DEF"/>
    <w:rsid w:val="00E30ED2"/>
    <w:rsid w:val="00E31276"/>
    <w:rsid w:val="00E32B4E"/>
    <w:rsid w:val="00E35D07"/>
    <w:rsid w:val="00E36A91"/>
    <w:rsid w:val="00E36E4A"/>
    <w:rsid w:val="00E37EFF"/>
    <w:rsid w:val="00E37F70"/>
    <w:rsid w:val="00E40EBE"/>
    <w:rsid w:val="00E40F13"/>
    <w:rsid w:val="00E446C1"/>
    <w:rsid w:val="00E44DA4"/>
    <w:rsid w:val="00E45C00"/>
    <w:rsid w:val="00E50AED"/>
    <w:rsid w:val="00E51425"/>
    <w:rsid w:val="00E56D23"/>
    <w:rsid w:val="00E63FD9"/>
    <w:rsid w:val="00E66123"/>
    <w:rsid w:val="00E7125A"/>
    <w:rsid w:val="00E74BF6"/>
    <w:rsid w:val="00E75659"/>
    <w:rsid w:val="00E758B6"/>
    <w:rsid w:val="00E758B9"/>
    <w:rsid w:val="00E75F0B"/>
    <w:rsid w:val="00E766FA"/>
    <w:rsid w:val="00E77AF7"/>
    <w:rsid w:val="00E77D19"/>
    <w:rsid w:val="00E81731"/>
    <w:rsid w:val="00E81D4A"/>
    <w:rsid w:val="00E849E9"/>
    <w:rsid w:val="00E85569"/>
    <w:rsid w:val="00E856AF"/>
    <w:rsid w:val="00E85EEC"/>
    <w:rsid w:val="00E862DE"/>
    <w:rsid w:val="00E86B83"/>
    <w:rsid w:val="00E87C64"/>
    <w:rsid w:val="00E90F64"/>
    <w:rsid w:val="00E93A01"/>
    <w:rsid w:val="00E93B98"/>
    <w:rsid w:val="00E93FF8"/>
    <w:rsid w:val="00E962F0"/>
    <w:rsid w:val="00E96ABF"/>
    <w:rsid w:val="00E96EAF"/>
    <w:rsid w:val="00E974A7"/>
    <w:rsid w:val="00EA05EE"/>
    <w:rsid w:val="00EA1752"/>
    <w:rsid w:val="00EA5A89"/>
    <w:rsid w:val="00EA5BDB"/>
    <w:rsid w:val="00EA6FD4"/>
    <w:rsid w:val="00EB0163"/>
    <w:rsid w:val="00EB46D9"/>
    <w:rsid w:val="00EB78B0"/>
    <w:rsid w:val="00EB7FB0"/>
    <w:rsid w:val="00EC142D"/>
    <w:rsid w:val="00EC1E16"/>
    <w:rsid w:val="00EC464E"/>
    <w:rsid w:val="00ED0024"/>
    <w:rsid w:val="00ED0D8E"/>
    <w:rsid w:val="00ED0F85"/>
    <w:rsid w:val="00ED2B5C"/>
    <w:rsid w:val="00ED3269"/>
    <w:rsid w:val="00ED5740"/>
    <w:rsid w:val="00ED6300"/>
    <w:rsid w:val="00ED6E28"/>
    <w:rsid w:val="00EE1A8C"/>
    <w:rsid w:val="00EE4643"/>
    <w:rsid w:val="00EE54AD"/>
    <w:rsid w:val="00EF1330"/>
    <w:rsid w:val="00EF15FF"/>
    <w:rsid w:val="00EF7111"/>
    <w:rsid w:val="00EF7D1A"/>
    <w:rsid w:val="00F0398A"/>
    <w:rsid w:val="00F0448F"/>
    <w:rsid w:val="00F0716C"/>
    <w:rsid w:val="00F10EC3"/>
    <w:rsid w:val="00F16397"/>
    <w:rsid w:val="00F17DF4"/>
    <w:rsid w:val="00F17FD1"/>
    <w:rsid w:val="00F24496"/>
    <w:rsid w:val="00F270E9"/>
    <w:rsid w:val="00F275C0"/>
    <w:rsid w:val="00F346B6"/>
    <w:rsid w:val="00F36145"/>
    <w:rsid w:val="00F3761F"/>
    <w:rsid w:val="00F37BDD"/>
    <w:rsid w:val="00F41503"/>
    <w:rsid w:val="00F42BCF"/>
    <w:rsid w:val="00F42E98"/>
    <w:rsid w:val="00F43557"/>
    <w:rsid w:val="00F466C8"/>
    <w:rsid w:val="00F469A9"/>
    <w:rsid w:val="00F50B46"/>
    <w:rsid w:val="00F50D1F"/>
    <w:rsid w:val="00F557EE"/>
    <w:rsid w:val="00F559BB"/>
    <w:rsid w:val="00F5617A"/>
    <w:rsid w:val="00F56BF9"/>
    <w:rsid w:val="00F6203E"/>
    <w:rsid w:val="00F635FC"/>
    <w:rsid w:val="00F63D03"/>
    <w:rsid w:val="00F65E2F"/>
    <w:rsid w:val="00F67DF1"/>
    <w:rsid w:val="00F710C1"/>
    <w:rsid w:val="00F71BB9"/>
    <w:rsid w:val="00F732B5"/>
    <w:rsid w:val="00F735CB"/>
    <w:rsid w:val="00F7360E"/>
    <w:rsid w:val="00F77ADD"/>
    <w:rsid w:val="00F8309B"/>
    <w:rsid w:val="00F833C9"/>
    <w:rsid w:val="00F8365A"/>
    <w:rsid w:val="00F859F0"/>
    <w:rsid w:val="00F86B95"/>
    <w:rsid w:val="00F90064"/>
    <w:rsid w:val="00F96AFD"/>
    <w:rsid w:val="00F96FFB"/>
    <w:rsid w:val="00FA1398"/>
    <w:rsid w:val="00FA2E19"/>
    <w:rsid w:val="00FA697F"/>
    <w:rsid w:val="00FB0BBD"/>
    <w:rsid w:val="00FB3223"/>
    <w:rsid w:val="00FB3B3D"/>
    <w:rsid w:val="00FB5521"/>
    <w:rsid w:val="00FB5D20"/>
    <w:rsid w:val="00FB610D"/>
    <w:rsid w:val="00FB6444"/>
    <w:rsid w:val="00FC2138"/>
    <w:rsid w:val="00FC2AED"/>
    <w:rsid w:val="00FC427A"/>
    <w:rsid w:val="00FC4477"/>
    <w:rsid w:val="00FC46FB"/>
    <w:rsid w:val="00FC49B4"/>
    <w:rsid w:val="00FC51B7"/>
    <w:rsid w:val="00FC78AF"/>
    <w:rsid w:val="00FD0734"/>
    <w:rsid w:val="00FD0A38"/>
    <w:rsid w:val="00FD2BD3"/>
    <w:rsid w:val="00FD4316"/>
    <w:rsid w:val="00FD4CCA"/>
    <w:rsid w:val="00FE0A16"/>
    <w:rsid w:val="00FE2A9E"/>
    <w:rsid w:val="00FF41E5"/>
    <w:rsid w:val="00FF4D76"/>
    <w:rsid w:val="00FF7707"/>
    <w:rsid w:val="4F15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lang w:val="sr-Cyrl-RS"/>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customStyle="1" w:styleId="He01Flietext">
    <w:name w:val="_He_01_Fließtext"/>
    <w:qFormat/>
    <w:rsid w:val="00D35A5D"/>
    <w:pPr>
      <w:spacing w:after="160"/>
    </w:pPr>
    <w:rPr>
      <w:rFonts w:eastAsiaTheme="minorHAnsi" w:cstheme="minorBidi"/>
      <w:sz w:val="22"/>
      <w:szCs w:val="22"/>
      <w:lang w:val="en-GB"/>
    </w:rPr>
  </w:style>
  <w:style w:type="paragraph" w:customStyle="1" w:styleId="elementtoproof">
    <w:name w:val="elementtoproof"/>
    <w:basedOn w:val="Normal"/>
    <w:rsid w:val="000C571F"/>
    <w:pPr>
      <w:spacing w:line="240" w:lineRule="auto"/>
      <w:jc w:val="left"/>
    </w:pPr>
    <w:rPr>
      <w:rFonts w:ascii="Aptos" w:eastAsiaTheme="minorHAnsi" w:hAnsi="Aptos" w:cs="Aptos"/>
      <w:sz w:val="24"/>
    </w:rPr>
  </w:style>
  <w:style w:type="paragraph" w:styleId="Revision">
    <w:name w:val="Revision"/>
    <w:hidden/>
    <w:uiPriority w:val="62"/>
    <w:unhideWhenUsed/>
    <w:rsid w:val="000A5F26"/>
    <w:rPr>
      <w:sz w:val="22"/>
    </w:rPr>
  </w:style>
  <w:style w:type="paragraph" w:styleId="ListParagraph">
    <w:name w:val="List Paragraph"/>
    <w:basedOn w:val="Normal"/>
    <w:uiPriority w:val="34"/>
    <w:qFormat/>
    <w:rsid w:val="005B1747"/>
    <w:pPr>
      <w:spacing w:after="160"/>
      <w:ind w:left="720"/>
      <w:contextualSpacing/>
      <w:jc w:val="left"/>
    </w:pPr>
    <w:rPr>
      <w:rFonts w:asciiTheme="minorHAnsi" w:eastAsiaTheme="minorHAnsi" w:hAnsiTheme="minorHAnsi" w:cstheme="minorBidi"/>
      <w:kern w:val="2"/>
      <w:sz w:val="24"/>
      <w14:ligatures w14:val="standardContextual"/>
    </w:rPr>
  </w:style>
  <w:style w:type="paragraph" w:customStyle="1" w:styleId="He04Funote">
    <w:name w:val="_He_04_Fußnote"/>
    <w:next w:val="Normal"/>
    <w:qFormat/>
    <w:rsid w:val="00766D9A"/>
    <w:pPr>
      <w:tabs>
        <w:tab w:val="left" w:pos="85"/>
      </w:tabs>
      <w:spacing w:line="256" w:lineRule="auto"/>
      <w:ind w:left="85" w:hanging="85"/>
    </w:pPr>
    <w:rPr>
      <w:rFonts w:eastAsiaTheme="minorHAnsi" w:cstheme="minorBidi"/>
      <w:sz w:val="15"/>
      <w:szCs w:val="22"/>
      <w:lang w:val="sr-S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904">
      <w:bodyDiv w:val="1"/>
      <w:marLeft w:val="0"/>
      <w:marRight w:val="0"/>
      <w:marTop w:val="0"/>
      <w:marBottom w:val="0"/>
      <w:divBdr>
        <w:top w:val="none" w:sz="0" w:space="0" w:color="auto"/>
        <w:left w:val="none" w:sz="0" w:space="0" w:color="auto"/>
        <w:bottom w:val="none" w:sz="0" w:space="0" w:color="auto"/>
        <w:right w:val="none" w:sz="0" w:space="0" w:color="auto"/>
      </w:divBdr>
    </w:div>
    <w:div w:id="92752231">
      <w:bodyDiv w:val="1"/>
      <w:marLeft w:val="0"/>
      <w:marRight w:val="0"/>
      <w:marTop w:val="0"/>
      <w:marBottom w:val="0"/>
      <w:divBdr>
        <w:top w:val="none" w:sz="0" w:space="0" w:color="auto"/>
        <w:left w:val="none" w:sz="0" w:space="0" w:color="auto"/>
        <w:bottom w:val="none" w:sz="0" w:space="0" w:color="auto"/>
        <w:right w:val="none" w:sz="0" w:space="0" w:color="auto"/>
      </w:divBdr>
    </w:div>
    <w:div w:id="135491013">
      <w:bodyDiv w:val="1"/>
      <w:marLeft w:val="0"/>
      <w:marRight w:val="0"/>
      <w:marTop w:val="0"/>
      <w:marBottom w:val="0"/>
      <w:divBdr>
        <w:top w:val="none" w:sz="0" w:space="0" w:color="auto"/>
        <w:left w:val="none" w:sz="0" w:space="0" w:color="auto"/>
        <w:bottom w:val="none" w:sz="0" w:space="0" w:color="auto"/>
        <w:right w:val="none" w:sz="0" w:space="0" w:color="auto"/>
      </w:divBdr>
    </w:div>
    <w:div w:id="337385325">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28246519">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669558036">
      <w:bodyDiv w:val="1"/>
      <w:marLeft w:val="0"/>
      <w:marRight w:val="0"/>
      <w:marTop w:val="0"/>
      <w:marBottom w:val="0"/>
      <w:divBdr>
        <w:top w:val="none" w:sz="0" w:space="0" w:color="auto"/>
        <w:left w:val="none" w:sz="0" w:space="0" w:color="auto"/>
        <w:bottom w:val="none" w:sz="0" w:space="0" w:color="auto"/>
        <w:right w:val="none" w:sz="0" w:space="0" w:color="auto"/>
      </w:divBdr>
    </w:div>
    <w:div w:id="2113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jpeg"/><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13.jpe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jpg"/><Relationship Id="rId5" Type="http://schemas.openxmlformats.org/officeDocument/2006/relationships/image" Target="media/image6.jp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jpg"/><Relationship Id="rId14" Type="http://schemas.openxmlformats.org/officeDocument/2006/relationships/image" Target="media/image15.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4" ma:contentTypeDescription="Create a new document." ma:contentTypeScope="" ma:versionID="740759dcc756b535b886bc83cab63dca">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e7a5252705ee4648513340c11cabaa77"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4E6216-0BF2-40EA-B08E-DFC3503F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8</Pages>
  <Words>2895</Words>
  <Characters>16932</Characters>
  <Application>Microsoft Office Word</Application>
  <DocSecurity>2</DocSecurity>
  <Lines>141</Lines>
  <Paragraphs>39</Paragraphs>
  <ScaleCrop>false</ScaleCrop>
  <HeadingPairs>
    <vt:vector size="2" baseType="variant">
      <vt:variant>
        <vt:lpstr>Title</vt:lpstr>
      </vt:variant>
      <vt:variant>
        <vt:i4>1</vt:i4>
      </vt:variant>
    </vt:vector>
  </HeadingPairs>
  <TitlesOfParts>
    <vt:vector size="1" baseType="lpstr">
      <vt:lpstr>Pressemitteilung</vt:lpstr>
    </vt:vector>
  </TitlesOfParts>
  <Company>Henkel AG &amp; Co. KGaA</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Ana Krezic (Ext)</cp:lastModifiedBy>
  <cp:revision>277</cp:revision>
  <cp:lastPrinted>2016-11-16T01:11:00Z</cp:lastPrinted>
  <dcterms:created xsi:type="dcterms:W3CDTF">2025-11-03T09:23:00Z</dcterms:created>
  <dcterms:modified xsi:type="dcterms:W3CDTF">2026-03-12T11:50:00Z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