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47FCC687" w:rsidR="005742B4" w:rsidRPr="005716B4" w:rsidRDefault="00656C16">
      <w:pPr>
        <w:pStyle w:val="MonthDayYear"/>
        <w:rPr>
          <w:lang w:val="cs-CZ"/>
        </w:rPr>
      </w:pPr>
      <w:r w:rsidRPr="005716B4">
        <w:rPr>
          <w:lang w:val="cs-CZ"/>
        </w:rPr>
        <w:t>24</w:t>
      </w:r>
      <w:r w:rsidR="004D74B9" w:rsidRPr="005716B4">
        <w:rPr>
          <w:lang w:val="cs-CZ"/>
        </w:rPr>
        <w:t xml:space="preserve">. </w:t>
      </w:r>
      <w:r w:rsidRPr="005716B4">
        <w:rPr>
          <w:lang w:val="cs-CZ"/>
        </w:rPr>
        <w:t>únor</w:t>
      </w:r>
      <w:r w:rsidR="007D354B" w:rsidRPr="005716B4">
        <w:rPr>
          <w:lang w:val="cs-CZ"/>
        </w:rPr>
        <w:t xml:space="preserve"> 202</w:t>
      </w:r>
      <w:r w:rsidRPr="005716B4">
        <w:rPr>
          <w:lang w:val="cs-CZ"/>
        </w:rPr>
        <w:t>6</w:t>
      </w:r>
    </w:p>
    <w:p w14:paraId="3C8213A2" w14:textId="77777777" w:rsidR="002C33C6" w:rsidRPr="005716B4" w:rsidRDefault="002C33C6" w:rsidP="0003352D">
      <w:pPr>
        <w:rPr>
          <w:lang w:val="cs-CZ"/>
        </w:rPr>
      </w:pPr>
      <w:r w:rsidRPr="005716B4">
        <w:rPr>
          <w:lang w:val="cs-CZ"/>
        </w:rPr>
        <w:t>Přísnější regulace, vyšší očekávání: řešení pro nový standard udržitelnosti</w:t>
      </w:r>
    </w:p>
    <w:p w14:paraId="31A8A1AE" w14:textId="77777777" w:rsidR="002C33C6" w:rsidRPr="005716B4" w:rsidRDefault="002C33C6" w:rsidP="0003352D">
      <w:pPr>
        <w:rPr>
          <w:lang w:val="cs-CZ"/>
        </w:rPr>
      </w:pPr>
    </w:p>
    <w:p w14:paraId="6BC95365" w14:textId="5DC3B2D5" w:rsidR="0003352D" w:rsidRPr="005716B4" w:rsidRDefault="00A13217" w:rsidP="0003352D">
      <w:pPr>
        <w:rPr>
          <w:rStyle w:val="Headline"/>
          <w:lang w:val="cs-CZ"/>
        </w:rPr>
      </w:pPr>
      <w:r w:rsidRPr="005716B4">
        <w:rPr>
          <w:rStyle w:val="Headline"/>
          <w:lang w:val="cs-CZ"/>
        </w:rPr>
        <w:t xml:space="preserve">Lepší </w:t>
      </w:r>
      <w:proofErr w:type="spellStart"/>
      <w:r w:rsidRPr="005716B4">
        <w:rPr>
          <w:rStyle w:val="Headline"/>
          <w:lang w:val="cs-CZ"/>
        </w:rPr>
        <w:t>cirkularita</w:t>
      </w:r>
      <w:proofErr w:type="spellEnd"/>
      <w:r w:rsidRPr="005716B4">
        <w:rPr>
          <w:rStyle w:val="Headline"/>
          <w:lang w:val="cs-CZ"/>
        </w:rPr>
        <w:t xml:space="preserve"> a snižování CO₂: udržitelná obalová řešení společnosti </w:t>
      </w:r>
      <w:proofErr w:type="spellStart"/>
      <w:r w:rsidRPr="005716B4">
        <w:rPr>
          <w:rStyle w:val="Headline"/>
          <w:lang w:val="cs-CZ"/>
        </w:rPr>
        <w:t>Henkel</w:t>
      </w:r>
      <w:proofErr w:type="spellEnd"/>
      <w:r w:rsidRPr="005716B4">
        <w:rPr>
          <w:rStyle w:val="Headline"/>
          <w:lang w:val="cs-CZ"/>
        </w:rPr>
        <w:t xml:space="preserve"> na veletrhu </w:t>
      </w:r>
      <w:proofErr w:type="spellStart"/>
      <w:r w:rsidRPr="005716B4">
        <w:rPr>
          <w:rStyle w:val="Headline"/>
          <w:lang w:val="cs-CZ"/>
        </w:rPr>
        <w:t>Interpack</w:t>
      </w:r>
      <w:proofErr w:type="spellEnd"/>
    </w:p>
    <w:p w14:paraId="25914181" w14:textId="77777777" w:rsidR="0003352D" w:rsidRPr="005716B4" w:rsidRDefault="0003352D" w:rsidP="0003352D">
      <w:pPr>
        <w:rPr>
          <w:lang w:val="cs-CZ"/>
        </w:rPr>
      </w:pPr>
    </w:p>
    <w:p w14:paraId="60DC8761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color w:val="F42300"/>
          <w:sz w:val="22"/>
          <w:szCs w:val="22"/>
          <w:lang w:val="cs-CZ"/>
        </w:rPr>
      </w:pPr>
      <w:r w:rsidRPr="005716B4">
        <w:rPr>
          <w:rFonts w:ascii="Segoe UI" w:hAnsi="Segoe UI" w:cs="Segoe UI"/>
          <w:sz w:val="22"/>
          <w:szCs w:val="22"/>
          <w:lang w:val="cs-CZ"/>
        </w:rPr>
        <w:t xml:space="preserve">Düsseldorf – Od 7. do 13. května představí obchodní divize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Adhesive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Technologies společnosti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své komplexní portfolio lepidel a povrchových technologií pro udržitelný design obalů na veletrhu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Interpack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>, na stánku D45 v hale 10. Pozornost se soustředí na řešení, která splňují náročné požadavky na výkon a zároveň pomáhají snižovat emise CO₂, zlepšovat recyklovatelnost a zajistit soulad s nařízením EU o obalech a obalových odpadech (PPWR).</w:t>
      </w:r>
    </w:p>
    <w:p w14:paraId="07426C48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</w:p>
    <w:p w14:paraId="1A40CA0B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5716B4">
        <w:rPr>
          <w:rFonts w:ascii="Segoe UI" w:hAnsi="Segoe UI" w:cs="Segoe UI"/>
          <w:sz w:val="22"/>
          <w:szCs w:val="22"/>
          <w:lang w:val="cs-CZ"/>
        </w:rPr>
        <w:t xml:space="preserve">S minimálně 20procentním snížením uhlíkové stopy společnost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na příkladu lepidla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Technomelt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Supra 130 Cool demonstruje, jak lze výrazně zvýšit udržitelnost osvědčených produktů. Optimalizace tohoto tavného lepidla, které má široké využití při lepení kartonových obalů, tácků a skládacích krabic, je výsledkem úzké spolupráce s dodavateli, kteří postupně nahrazují fosilní suroviny obnovitelnými alternativami, ale také energeticky efektivnějších výrobních procesů. Další lepidla ze stávajícího portfolia se nyní dále vyvíjejí s cílem umožnit inovativní a udržitelnější produktové úpravy.</w:t>
      </w:r>
    </w:p>
    <w:p w14:paraId="4293D134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3BCD7D20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5716B4">
        <w:rPr>
          <w:rFonts w:ascii="Segoe UI" w:hAnsi="Segoe UI" w:cs="Segoe UI"/>
          <w:sz w:val="22"/>
          <w:szCs w:val="22"/>
          <w:lang w:val="cs-CZ"/>
        </w:rPr>
        <w:t xml:space="preserve">„Řešení jako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Technomelt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Supra 130 Cool jasně ukazují, jak lze zlepšovat udržitelnost etablovaných produktů a zároveň zachovat jejich vysokou kvalitu,“ říká Dr. Kathrin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Heinová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, viceprezidentka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Consumer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Goods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Adhesives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EIMEA ve společnosti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>. „Naše ambice je jasná: chceme posouvat udržitelnost na všech úrovních – od zodpovědného získávání surovin až po technologie, které pomáhají našim zákazníkům dosahovat jejich vlastních cílů v oblasti udržitelnosti a efektivity.</w:t>
      </w:r>
      <w:r w:rsidRPr="005716B4">
        <w:rPr>
          <w:rFonts w:ascii="Segoe UI" w:hAnsi="Segoe UI" w:cs="Segoe UI"/>
          <w:sz w:val="22"/>
          <w:szCs w:val="22"/>
          <w:rtl/>
          <w:lang w:val="cs-CZ"/>
        </w:rPr>
        <w:t>“</w:t>
      </w:r>
    </w:p>
    <w:p w14:paraId="5546082B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</w:p>
    <w:p w14:paraId="7AB447C3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  <w:r w:rsidRPr="005716B4">
        <w:rPr>
          <w:rFonts w:ascii="Segoe UI" w:hAnsi="Segoe UI" w:cs="Segoe UI"/>
          <w:b/>
          <w:bCs/>
          <w:sz w:val="22"/>
          <w:szCs w:val="22"/>
          <w:lang w:val="cs-CZ"/>
        </w:rPr>
        <w:t>Více výkonu, méně uhlíku, maximální bezpečnost: posílení udržitelných laminátů pro obaly</w:t>
      </w:r>
    </w:p>
    <w:p w14:paraId="7132047D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  <w:r w:rsidRPr="005716B4">
        <w:rPr>
          <w:rFonts w:ascii="Segoe UI" w:hAnsi="Segoe UI" w:cs="Segoe UI"/>
          <w:sz w:val="22"/>
          <w:szCs w:val="22"/>
          <w:lang w:val="cs-CZ"/>
        </w:rPr>
        <w:t xml:space="preserve">V oblasti flexibilních obalů představuje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systém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Loctite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Liofol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LA 7837 / LA 6265,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bezrozpouštědlové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lepidlo určené pro aplikace vystavené vysokému tepelnému zatížení – například opětovně uzavíratelné pytlíky na krmivo pro zvířata, produkty do mikrovlnek </w:t>
      </w:r>
      <w:r w:rsidRPr="005716B4">
        <w:rPr>
          <w:rFonts w:ascii="Segoe UI" w:hAnsi="Segoe UI" w:cs="Segoe UI"/>
          <w:sz w:val="22"/>
          <w:szCs w:val="22"/>
          <w:lang w:val="cs-CZ"/>
        </w:rPr>
        <w:lastRenderedPageBreak/>
        <w:t xml:space="preserve">nebo farmaceutické obaly. Jelikož odpadá energeticky náročná fáze sušení, spotřeba energie i související emise se výrazně snižují. Zároveň systém splňuje veškeré požadavky na bezpečnost, zpracování a dlouhodobou kvalitu. Je kompatibilní s tradičními i moderními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polyolefinovými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lamináty, čímž podporuje přechod výrobců na materiály, které budou odpovídat připravovaným regulačním požadavkům.</w:t>
      </w:r>
    </w:p>
    <w:p w14:paraId="26E32AF8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</w:p>
    <w:p w14:paraId="73F433CC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  <w:r w:rsidRPr="005716B4">
        <w:rPr>
          <w:rFonts w:ascii="Segoe UI" w:hAnsi="Segoe UI" w:cs="Segoe UI"/>
          <w:b/>
          <w:bCs/>
          <w:sz w:val="22"/>
          <w:szCs w:val="22"/>
          <w:lang w:val="cs-CZ"/>
        </w:rPr>
        <w:t>Od řešení k certifikaci: obaly v souladu s evropským nařízením PPWR</w:t>
      </w:r>
    </w:p>
    <w:p w14:paraId="7A7412CA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5716B4">
        <w:rPr>
          <w:rFonts w:ascii="Segoe UI" w:hAnsi="Segoe UI" w:cs="Segoe UI"/>
          <w:sz w:val="22"/>
          <w:szCs w:val="22"/>
          <w:lang w:val="cs-CZ"/>
        </w:rPr>
        <w:t xml:space="preserve">Klíčovou otázkou je, jak navrhovat </w:t>
      </w:r>
      <w:proofErr w:type="gramStart"/>
      <w:r w:rsidRPr="005716B4">
        <w:rPr>
          <w:rFonts w:ascii="Segoe UI" w:hAnsi="Segoe UI" w:cs="Segoe UI"/>
          <w:sz w:val="22"/>
          <w:szCs w:val="22"/>
          <w:lang w:val="cs-CZ"/>
        </w:rPr>
        <w:t>obaly</w:t>
      </w:r>
      <w:proofErr w:type="gramEnd"/>
      <w:r w:rsidRPr="005716B4">
        <w:rPr>
          <w:rFonts w:ascii="Segoe UI" w:hAnsi="Segoe UI" w:cs="Segoe UI"/>
          <w:sz w:val="22"/>
          <w:szCs w:val="22"/>
          <w:lang w:val="cs-CZ"/>
        </w:rPr>
        <w:t xml:space="preserve"> tak, aby byly recyklovatelné v souladu s požadavky nařízení PPWR.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představuje technologie povrchové úpravy, které umožňují obalům z vláken dosahovat požadovaných bariérových vlastností – například odolnosti vůči vodě, vlhkosti, olejům a tukům – a zároveň zajistit těsnicí vlastnosti a kompatibilitu s etablovanými recyklačními procesy výrobků z papíru. Takto se mohou obaly vyrobené z vláknitých materiálů stát udržitelnější alternativou k běžným plastovým obalům.</w:t>
      </w:r>
    </w:p>
    <w:p w14:paraId="5201CEFC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2A6E8046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5716B4">
        <w:rPr>
          <w:rFonts w:ascii="Segoe UI" w:hAnsi="Segoe UI" w:cs="Segoe UI"/>
          <w:sz w:val="22"/>
          <w:szCs w:val="22"/>
          <w:lang w:val="cs-CZ"/>
        </w:rPr>
        <w:t xml:space="preserve">Kromě toho centrum pro posuzování recyklovatelnosti obalů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Packaging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Recyclability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Assessment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Center („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Packaging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Recyclab</w:t>
      </w:r>
      <w:proofErr w:type="spellEnd"/>
      <w:r w:rsidRPr="005716B4">
        <w:rPr>
          <w:rFonts w:ascii="Segoe UI" w:hAnsi="Segoe UI" w:cs="Segoe UI"/>
          <w:sz w:val="22"/>
          <w:szCs w:val="22"/>
          <w:rtl/>
          <w:lang w:val="cs-CZ"/>
        </w:rPr>
        <w:t>“</w:t>
      </w:r>
      <w:r w:rsidRPr="005716B4">
        <w:rPr>
          <w:rFonts w:ascii="Segoe UI" w:hAnsi="Segoe UI" w:cs="Segoe UI"/>
          <w:sz w:val="22"/>
          <w:szCs w:val="22"/>
          <w:lang w:val="cs-CZ"/>
        </w:rPr>
        <w:t xml:space="preserve">) v Düsseldorfu nabízí testování podle protokolu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Cepi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/4evergreen a metodiky CHI – včetně certifikace nezávislými a soudními znalci z Institutu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cyclos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>-HTP (CHI). Výrobci tak mohou získat spolehlivé výsledky o souladu svých obalů s nařízením PPWR již během jejich vývoje.</w:t>
      </w:r>
    </w:p>
    <w:p w14:paraId="6C3BD864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4EE961CC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  <w:r w:rsidRPr="005716B4">
        <w:rPr>
          <w:rFonts w:ascii="Segoe UI" w:hAnsi="Segoe UI" w:cs="Segoe UI"/>
          <w:b/>
          <w:bCs/>
          <w:sz w:val="22"/>
          <w:szCs w:val="22"/>
          <w:lang w:val="cs-CZ"/>
        </w:rPr>
        <w:t>Silné spoje, inteligentní logistika: když automatizace zrychluje e-</w:t>
      </w:r>
      <w:proofErr w:type="spellStart"/>
      <w:r w:rsidRPr="005716B4">
        <w:rPr>
          <w:rFonts w:ascii="Segoe UI" w:hAnsi="Segoe UI" w:cs="Segoe UI"/>
          <w:b/>
          <w:bCs/>
          <w:sz w:val="22"/>
          <w:szCs w:val="22"/>
          <w:lang w:val="cs-CZ"/>
        </w:rPr>
        <w:t>commerce</w:t>
      </w:r>
      <w:proofErr w:type="spellEnd"/>
    </w:p>
    <w:p w14:paraId="6A59B77B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5716B4">
        <w:rPr>
          <w:rFonts w:ascii="Segoe UI" w:hAnsi="Segoe UI" w:cs="Segoe UI"/>
          <w:sz w:val="22"/>
          <w:szCs w:val="22"/>
          <w:lang w:val="cs-CZ"/>
        </w:rPr>
        <w:t xml:space="preserve">Kromě flexibilních a papírových aplikací představuje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také řešení pro rychle rostoucí sektor e-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commerce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. Jelikož obaly pro přepravu zásilek procházejí stále častěji automatizovanými systémy, roste význam vysoce výkonného lepení. Portfolio 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Technomelt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 xml:space="preserve"> E-COM nabízí tavná lepidla speciálně určená pro výrobu krabicových obalů na míru, která se používají v obalových systémech on-</w:t>
      </w:r>
      <w:proofErr w:type="spellStart"/>
      <w:r w:rsidRPr="005716B4">
        <w:rPr>
          <w:rFonts w:ascii="Segoe UI" w:hAnsi="Segoe UI" w:cs="Segoe UI"/>
          <w:sz w:val="22"/>
          <w:szCs w:val="22"/>
          <w:lang w:val="cs-CZ"/>
        </w:rPr>
        <w:t>demand</w:t>
      </w:r>
      <w:proofErr w:type="spellEnd"/>
      <w:r w:rsidRPr="005716B4">
        <w:rPr>
          <w:rFonts w:ascii="Segoe UI" w:hAnsi="Segoe UI" w:cs="Segoe UI"/>
          <w:sz w:val="22"/>
          <w:szCs w:val="22"/>
          <w:lang w:val="cs-CZ"/>
        </w:rPr>
        <w:t>. Tyto technologie výrazně zvyšují produktivitu – automaticky lze zpracovat až 1 000 krabic za hodinu. Zároveň podporují koncepty optimalizovaných obalů, které snižují spotřebu materiálu, objem přepravy a tím i emise CO₂.</w:t>
      </w:r>
    </w:p>
    <w:p w14:paraId="0EE0EADD" w14:textId="77777777" w:rsidR="005716B4" w:rsidRPr="005716B4" w:rsidRDefault="005716B4" w:rsidP="005716B4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54C7E2E7" w14:textId="659ED974" w:rsidR="00613F5D" w:rsidRPr="005716B4" w:rsidRDefault="005716B4" w:rsidP="005716B4">
      <w:pPr>
        <w:jc w:val="left"/>
        <w:rPr>
          <w:rStyle w:val="Headline"/>
          <w:sz w:val="40"/>
          <w:szCs w:val="40"/>
          <w:lang w:val="cs-CZ"/>
        </w:rPr>
      </w:pPr>
      <w:r w:rsidRPr="005716B4">
        <w:rPr>
          <w:lang w:val="cs-CZ"/>
        </w:rPr>
        <w:t xml:space="preserve">„Jsme ve fázi zásadní transformace obalového průmyslu,“ říká </w:t>
      </w:r>
      <w:proofErr w:type="spellStart"/>
      <w:r w:rsidRPr="005716B4">
        <w:rPr>
          <w:lang w:val="cs-CZ"/>
        </w:rPr>
        <w:t>Dirk</w:t>
      </w:r>
      <w:proofErr w:type="spellEnd"/>
      <w:r w:rsidRPr="005716B4">
        <w:rPr>
          <w:lang w:val="cs-CZ"/>
        </w:rPr>
        <w:t xml:space="preserve"> Martin, vedoucí </w:t>
      </w:r>
      <w:proofErr w:type="spellStart"/>
      <w:r w:rsidRPr="005716B4">
        <w:rPr>
          <w:lang w:val="cs-CZ"/>
        </w:rPr>
        <w:t>Packaging</w:t>
      </w:r>
      <w:proofErr w:type="spellEnd"/>
      <w:r w:rsidRPr="005716B4">
        <w:rPr>
          <w:lang w:val="cs-CZ"/>
        </w:rPr>
        <w:t xml:space="preserve"> </w:t>
      </w:r>
      <w:proofErr w:type="spellStart"/>
      <w:r w:rsidRPr="005716B4">
        <w:rPr>
          <w:lang w:val="cs-CZ"/>
        </w:rPr>
        <w:t>Adhesives</w:t>
      </w:r>
      <w:proofErr w:type="spellEnd"/>
      <w:r w:rsidRPr="005716B4">
        <w:rPr>
          <w:lang w:val="cs-CZ"/>
        </w:rPr>
        <w:t xml:space="preserve"> </w:t>
      </w:r>
      <w:proofErr w:type="spellStart"/>
      <w:r w:rsidRPr="005716B4">
        <w:rPr>
          <w:lang w:val="cs-CZ"/>
        </w:rPr>
        <w:t>Europe</w:t>
      </w:r>
      <w:proofErr w:type="spellEnd"/>
      <w:r w:rsidRPr="005716B4">
        <w:rPr>
          <w:lang w:val="cs-CZ"/>
        </w:rPr>
        <w:t xml:space="preserve"> ve společnosti </w:t>
      </w:r>
      <w:proofErr w:type="spellStart"/>
      <w:r w:rsidRPr="005716B4">
        <w:rPr>
          <w:lang w:val="cs-CZ"/>
        </w:rPr>
        <w:t>Henkel</w:t>
      </w:r>
      <w:proofErr w:type="spellEnd"/>
      <w:r w:rsidRPr="005716B4">
        <w:rPr>
          <w:lang w:val="cs-CZ"/>
        </w:rPr>
        <w:t xml:space="preserve">. „Naším úkolem je komplexně podporovat zákazníky v jejich růstu našimi produkty, které prokázaly svou výkonnost při použití v reálných podmínkách a zároveň umožňují udržitelnější řešení podložená odbornými poznatky napříč celým hodnotovým řetězcem.“ Návštěvníci veletrhu </w:t>
      </w:r>
      <w:proofErr w:type="spellStart"/>
      <w:r w:rsidRPr="005716B4">
        <w:rPr>
          <w:lang w:val="cs-CZ"/>
        </w:rPr>
        <w:t>Interpack</w:t>
      </w:r>
      <w:proofErr w:type="spellEnd"/>
      <w:r w:rsidRPr="005716B4">
        <w:rPr>
          <w:lang w:val="cs-CZ"/>
        </w:rPr>
        <w:t xml:space="preserve"> v Düsseldorfu mohou konkrétní aplikace zhlédnout přímo na stánku společnosti </w:t>
      </w:r>
      <w:proofErr w:type="spellStart"/>
      <w:r w:rsidRPr="005716B4">
        <w:rPr>
          <w:lang w:val="cs-CZ"/>
        </w:rPr>
        <w:t>Henkel</w:t>
      </w:r>
      <w:proofErr w:type="spellEnd"/>
      <w:r w:rsidRPr="005716B4">
        <w:rPr>
          <w:lang w:val="cs-CZ"/>
        </w:rPr>
        <w:t>.</w:t>
      </w:r>
    </w:p>
    <w:p w14:paraId="7178C33E" w14:textId="77777777" w:rsidR="00F75919" w:rsidRPr="005716B4" w:rsidRDefault="00F75919" w:rsidP="002F7A23">
      <w:pPr>
        <w:rPr>
          <w:rStyle w:val="Headline"/>
          <w:lang w:val="cs-CZ"/>
        </w:rPr>
      </w:pPr>
    </w:p>
    <w:p w14:paraId="7DD4D096" w14:textId="77777777" w:rsidR="00F75919" w:rsidRPr="005716B4" w:rsidRDefault="00F75919" w:rsidP="002F7A23">
      <w:pPr>
        <w:rPr>
          <w:rStyle w:val="Headline"/>
          <w:lang w:val="cs-CZ"/>
        </w:rPr>
      </w:pPr>
    </w:p>
    <w:p w14:paraId="76CCC920" w14:textId="40E72074" w:rsidR="005D6168" w:rsidRPr="005716B4" w:rsidRDefault="005D6168" w:rsidP="002F7A23">
      <w:pPr>
        <w:rPr>
          <w:b/>
          <w:bCs/>
          <w:sz w:val="18"/>
          <w:szCs w:val="18"/>
          <w:lang w:val="cs-CZ" w:bidi="bo-CN"/>
        </w:rPr>
      </w:pPr>
      <w:r w:rsidRPr="005716B4">
        <w:rPr>
          <w:b/>
          <w:bCs/>
          <w:sz w:val="18"/>
          <w:szCs w:val="18"/>
          <w:lang w:val="cs-CZ" w:bidi="bo-CN"/>
        </w:rPr>
        <w:t xml:space="preserve">O společnosti </w:t>
      </w:r>
      <w:proofErr w:type="spellStart"/>
      <w:r w:rsidRPr="005716B4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427BE0B0" w:rsidR="005D6168" w:rsidRPr="005716B4" w:rsidRDefault="005D6168" w:rsidP="002F7A23">
      <w:pPr>
        <w:rPr>
          <w:sz w:val="18"/>
          <w:szCs w:val="18"/>
          <w:lang w:val="cs-CZ" w:bidi="bo-CN"/>
        </w:rPr>
      </w:pPr>
      <w:r w:rsidRPr="005716B4">
        <w:rPr>
          <w:sz w:val="18"/>
          <w:szCs w:val="18"/>
          <w:lang w:val="cs-CZ" w:bidi="bo-CN"/>
        </w:rPr>
        <w:t xml:space="preserve">Díky svým značkám, inovacím a technologiím je společnost </w:t>
      </w:r>
      <w:proofErr w:type="spellStart"/>
      <w:r w:rsidRPr="005716B4">
        <w:rPr>
          <w:sz w:val="18"/>
          <w:szCs w:val="18"/>
          <w:lang w:val="cs-CZ" w:bidi="bo-CN"/>
        </w:rPr>
        <w:t>Henkel</w:t>
      </w:r>
      <w:proofErr w:type="spellEnd"/>
      <w:r w:rsidRPr="005716B4">
        <w:rPr>
          <w:sz w:val="18"/>
          <w:szCs w:val="18"/>
          <w:lang w:val="cs-CZ" w:bidi="bo-CN"/>
        </w:rPr>
        <w:t xml:space="preserve"> světovým lídrem na trzích s průmyslovým a spotřebním zbožím. Obchodní divize </w:t>
      </w:r>
      <w:proofErr w:type="spellStart"/>
      <w:r w:rsidRPr="005716B4">
        <w:rPr>
          <w:sz w:val="18"/>
          <w:szCs w:val="18"/>
          <w:lang w:val="cs-CZ" w:bidi="bo-CN"/>
        </w:rPr>
        <w:t>Adhesive</w:t>
      </w:r>
      <w:proofErr w:type="spellEnd"/>
      <w:r w:rsidRPr="005716B4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 w:rsidRPr="005716B4">
        <w:rPr>
          <w:sz w:val="18"/>
          <w:szCs w:val="18"/>
          <w:lang w:val="cs-CZ" w:bidi="bo-CN"/>
        </w:rPr>
        <w:t>, tmely</w:t>
      </w:r>
      <w:r w:rsidRPr="005716B4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5716B4">
        <w:rPr>
          <w:sz w:val="18"/>
          <w:szCs w:val="18"/>
          <w:lang w:val="cs-CZ" w:bidi="bo-CN"/>
        </w:rPr>
        <w:t>Consumer</w:t>
      </w:r>
      <w:proofErr w:type="spellEnd"/>
      <w:r w:rsidRPr="005716B4">
        <w:rPr>
          <w:sz w:val="18"/>
          <w:szCs w:val="18"/>
          <w:lang w:val="cs-CZ" w:bidi="bo-CN"/>
        </w:rPr>
        <w:t xml:space="preserve"> </w:t>
      </w:r>
      <w:proofErr w:type="spellStart"/>
      <w:r w:rsidRPr="005716B4">
        <w:rPr>
          <w:sz w:val="18"/>
          <w:szCs w:val="18"/>
          <w:lang w:val="cs-CZ" w:bidi="bo-CN"/>
        </w:rPr>
        <w:t>Brands</w:t>
      </w:r>
      <w:proofErr w:type="spellEnd"/>
      <w:r w:rsidRPr="005716B4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5716B4">
        <w:rPr>
          <w:sz w:val="18"/>
          <w:szCs w:val="18"/>
          <w:lang w:val="cs-CZ" w:bidi="bo-CN"/>
        </w:rPr>
        <w:t>Loctite</w:t>
      </w:r>
      <w:proofErr w:type="spellEnd"/>
      <w:r w:rsidRPr="005716B4">
        <w:rPr>
          <w:sz w:val="18"/>
          <w:szCs w:val="18"/>
          <w:lang w:val="cs-CZ" w:bidi="bo-CN"/>
        </w:rPr>
        <w:t xml:space="preserve">, </w:t>
      </w:r>
      <w:proofErr w:type="spellStart"/>
      <w:r w:rsidRPr="005716B4">
        <w:rPr>
          <w:sz w:val="18"/>
          <w:szCs w:val="18"/>
          <w:lang w:val="cs-CZ" w:bidi="bo-CN"/>
        </w:rPr>
        <w:t>Persil</w:t>
      </w:r>
      <w:proofErr w:type="spellEnd"/>
      <w:r w:rsidRPr="005716B4">
        <w:rPr>
          <w:sz w:val="18"/>
          <w:szCs w:val="18"/>
          <w:lang w:val="cs-CZ" w:bidi="bo-CN"/>
        </w:rPr>
        <w:t xml:space="preserve"> a </w:t>
      </w:r>
      <w:proofErr w:type="spellStart"/>
      <w:r w:rsidRPr="005716B4">
        <w:rPr>
          <w:sz w:val="18"/>
          <w:szCs w:val="18"/>
          <w:lang w:val="cs-CZ" w:bidi="bo-CN"/>
        </w:rPr>
        <w:t>Schwarzkopf</w:t>
      </w:r>
      <w:proofErr w:type="spellEnd"/>
      <w:r w:rsidRPr="005716B4">
        <w:rPr>
          <w:sz w:val="18"/>
          <w:szCs w:val="18"/>
          <w:lang w:val="cs-CZ" w:bidi="bo-CN"/>
        </w:rPr>
        <w:t>. Ve finančním roce 202</w:t>
      </w:r>
      <w:r w:rsidR="00EA588A" w:rsidRPr="005716B4">
        <w:rPr>
          <w:sz w:val="18"/>
          <w:szCs w:val="18"/>
          <w:lang w:val="cs-CZ" w:bidi="bo-CN"/>
        </w:rPr>
        <w:t>4</w:t>
      </w:r>
      <w:r w:rsidRPr="005716B4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5716B4">
        <w:rPr>
          <w:sz w:val="18"/>
          <w:szCs w:val="18"/>
          <w:lang w:val="cs-CZ" w:bidi="bo-CN"/>
        </w:rPr>
        <w:t>Henkel</w:t>
      </w:r>
      <w:proofErr w:type="spellEnd"/>
      <w:r w:rsidRPr="005716B4">
        <w:rPr>
          <w:sz w:val="18"/>
          <w:szCs w:val="18"/>
          <w:lang w:val="cs-CZ" w:bidi="bo-CN"/>
        </w:rPr>
        <w:t xml:space="preserve"> obrat ve výši přes 2</w:t>
      </w:r>
      <w:r w:rsidR="00A07BEE" w:rsidRPr="005716B4">
        <w:rPr>
          <w:sz w:val="18"/>
          <w:szCs w:val="18"/>
          <w:lang w:val="cs-CZ" w:bidi="bo-CN"/>
        </w:rPr>
        <w:t>1,</w:t>
      </w:r>
      <w:r w:rsidR="00C23AAF" w:rsidRPr="005716B4">
        <w:rPr>
          <w:sz w:val="18"/>
          <w:szCs w:val="18"/>
          <w:lang w:val="cs-CZ" w:bidi="bo-CN"/>
        </w:rPr>
        <w:t>6</w:t>
      </w:r>
      <w:r w:rsidRPr="005716B4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 w:rsidRPr="005716B4">
        <w:rPr>
          <w:sz w:val="18"/>
          <w:szCs w:val="18"/>
          <w:lang w:val="cs-CZ" w:bidi="bo-CN"/>
        </w:rPr>
        <w:t>3</w:t>
      </w:r>
      <w:r w:rsidRPr="005716B4">
        <w:rPr>
          <w:sz w:val="18"/>
          <w:szCs w:val="18"/>
          <w:lang w:val="cs-CZ" w:bidi="bo-CN"/>
        </w:rPr>
        <w:t>,</w:t>
      </w:r>
      <w:r w:rsidR="005D14CA" w:rsidRPr="005716B4">
        <w:rPr>
          <w:sz w:val="18"/>
          <w:szCs w:val="18"/>
          <w:lang w:val="cs-CZ" w:bidi="bo-CN"/>
        </w:rPr>
        <w:t>1</w:t>
      </w:r>
      <w:r w:rsidRPr="005716B4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5716B4">
        <w:rPr>
          <w:sz w:val="18"/>
          <w:szCs w:val="18"/>
          <w:lang w:val="cs-CZ" w:bidi="bo-CN"/>
        </w:rPr>
        <w:t>Henkel</w:t>
      </w:r>
      <w:proofErr w:type="spellEnd"/>
      <w:r w:rsidRPr="005716B4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5716B4">
        <w:rPr>
          <w:sz w:val="18"/>
          <w:szCs w:val="18"/>
          <w:lang w:val="cs-CZ" w:bidi="bo-CN"/>
        </w:rPr>
        <w:t>Henkel</w:t>
      </w:r>
      <w:proofErr w:type="spellEnd"/>
      <w:r w:rsidRPr="005716B4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5716B4">
        <w:rPr>
          <w:sz w:val="18"/>
          <w:szCs w:val="18"/>
          <w:lang w:val="cs-CZ" w:bidi="bo-CN"/>
        </w:rPr>
        <w:t>Henkel</w:t>
      </w:r>
      <w:proofErr w:type="spellEnd"/>
      <w:r w:rsidRPr="005716B4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 w:rsidRPr="005716B4">
        <w:rPr>
          <w:sz w:val="18"/>
          <w:szCs w:val="18"/>
          <w:lang w:val="cs-CZ" w:bidi="bo-CN"/>
        </w:rPr>
        <w:t>4</w:t>
      </w:r>
      <w:r w:rsidR="007B5526" w:rsidRPr="005716B4">
        <w:rPr>
          <w:sz w:val="18"/>
          <w:szCs w:val="18"/>
          <w:lang w:val="cs-CZ" w:bidi="bo-CN"/>
        </w:rPr>
        <w:t>7</w:t>
      </w:r>
      <w:r w:rsidRPr="005716B4">
        <w:rPr>
          <w:sz w:val="18"/>
          <w:szCs w:val="18"/>
          <w:lang w:val="cs-CZ" w:bidi="bo-CN"/>
        </w:rPr>
        <w:t xml:space="preserve"> 000 zaměstnanců, již spojuje silná firemní kultura, společné hodnoty a společné poslání: „</w:t>
      </w:r>
      <w:proofErr w:type="spellStart"/>
      <w:r w:rsidRPr="005716B4">
        <w:rPr>
          <w:sz w:val="18"/>
          <w:szCs w:val="18"/>
          <w:lang w:val="cs-CZ" w:bidi="bo-CN"/>
        </w:rPr>
        <w:t>Pioneers</w:t>
      </w:r>
      <w:proofErr w:type="spellEnd"/>
      <w:r w:rsidRPr="005716B4">
        <w:rPr>
          <w:sz w:val="18"/>
          <w:szCs w:val="18"/>
          <w:lang w:val="cs-CZ" w:bidi="bo-CN"/>
        </w:rPr>
        <w:t xml:space="preserve"> </w:t>
      </w:r>
      <w:proofErr w:type="spellStart"/>
      <w:r w:rsidRPr="005716B4">
        <w:rPr>
          <w:sz w:val="18"/>
          <w:szCs w:val="18"/>
          <w:lang w:val="cs-CZ" w:bidi="bo-CN"/>
        </w:rPr>
        <w:t>at</w:t>
      </w:r>
      <w:proofErr w:type="spellEnd"/>
      <w:r w:rsidRPr="005716B4">
        <w:rPr>
          <w:sz w:val="18"/>
          <w:szCs w:val="18"/>
          <w:lang w:val="cs-CZ" w:bidi="bo-CN"/>
        </w:rPr>
        <w:t xml:space="preserve"> </w:t>
      </w:r>
      <w:proofErr w:type="spellStart"/>
      <w:r w:rsidRPr="005716B4">
        <w:rPr>
          <w:sz w:val="18"/>
          <w:szCs w:val="18"/>
          <w:lang w:val="cs-CZ" w:bidi="bo-CN"/>
        </w:rPr>
        <w:t>heart</w:t>
      </w:r>
      <w:proofErr w:type="spellEnd"/>
      <w:r w:rsidRPr="005716B4">
        <w:rPr>
          <w:sz w:val="18"/>
          <w:szCs w:val="18"/>
          <w:lang w:val="cs-CZ" w:bidi="bo-CN"/>
        </w:rPr>
        <w:t xml:space="preserve"> </w:t>
      </w:r>
      <w:proofErr w:type="spellStart"/>
      <w:r w:rsidRPr="005716B4">
        <w:rPr>
          <w:sz w:val="18"/>
          <w:szCs w:val="18"/>
          <w:lang w:val="cs-CZ" w:bidi="bo-CN"/>
        </w:rPr>
        <w:t>for</w:t>
      </w:r>
      <w:proofErr w:type="spellEnd"/>
      <w:r w:rsidRPr="005716B4">
        <w:rPr>
          <w:sz w:val="18"/>
          <w:szCs w:val="18"/>
          <w:lang w:val="cs-CZ" w:bidi="bo-CN"/>
        </w:rPr>
        <w:t xml:space="preserve"> </w:t>
      </w:r>
      <w:proofErr w:type="spellStart"/>
      <w:r w:rsidRPr="005716B4">
        <w:rPr>
          <w:sz w:val="18"/>
          <w:szCs w:val="18"/>
          <w:lang w:val="cs-CZ" w:bidi="bo-CN"/>
        </w:rPr>
        <w:t>the</w:t>
      </w:r>
      <w:proofErr w:type="spellEnd"/>
      <w:r w:rsidRPr="005716B4">
        <w:rPr>
          <w:sz w:val="18"/>
          <w:szCs w:val="18"/>
          <w:lang w:val="cs-CZ" w:bidi="bo-CN"/>
        </w:rPr>
        <w:t xml:space="preserve"> </w:t>
      </w:r>
      <w:proofErr w:type="spellStart"/>
      <w:r w:rsidRPr="005716B4">
        <w:rPr>
          <w:sz w:val="18"/>
          <w:szCs w:val="18"/>
          <w:lang w:val="cs-CZ" w:bidi="bo-CN"/>
        </w:rPr>
        <w:t>good</w:t>
      </w:r>
      <w:proofErr w:type="spellEnd"/>
      <w:r w:rsidRPr="005716B4">
        <w:rPr>
          <w:sz w:val="18"/>
          <w:szCs w:val="18"/>
          <w:lang w:val="cs-CZ" w:bidi="bo-CN"/>
        </w:rPr>
        <w:t xml:space="preserve"> </w:t>
      </w:r>
      <w:proofErr w:type="spellStart"/>
      <w:r w:rsidRPr="005716B4">
        <w:rPr>
          <w:sz w:val="18"/>
          <w:szCs w:val="18"/>
          <w:lang w:val="cs-CZ" w:bidi="bo-CN"/>
        </w:rPr>
        <w:t>of</w:t>
      </w:r>
      <w:proofErr w:type="spellEnd"/>
      <w:r w:rsidRPr="005716B4">
        <w:rPr>
          <w:sz w:val="18"/>
          <w:szCs w:val="18"/>
          <w:lang w:val="cs-CZ" w:bidi="bo-CN"/>
        </w:rPr>
        <w:t xml:space="preserve"> </w:t>
      </w:r>
      <w:proofErr w:type="spellStart"/>
      <w:r w:rsidRPr="005716B4">
        <w:rPr>
          <w:sz w:val="18"/>
          <w:szCs w:val="18"/>
          <w:lang w:val="cs-CZ" w:bidi="bo-CN"/>
        </w:rPr>
        <w:t>generations</w:t>
      </w:r>
      <w:proofErr w:type="spellEnd"/>
      <w:r w:rsidRPr="005716B4">
        <w:rPr>
          <w:sz w:val="18"/>
          <w:szCs w:val="18"/>
          <w:lang w:val="cs-CZ" w:bidi="bo-CN"/>
        </w:rPr>
        <w:t xml:space="preserve">“. Více informací najdete na stránkách </w:t>
      </w:r>
      <w:hyperlink r:id="rId10" w:history="1">
        <w:r w:rsidR="00A070EE" w:rsidRPr="005716B4">
          <w:rPr>
            <w:rStyle w:val="Hypertextovprepojenie"/>
            <w:sz w:val="18"/>
            <w:szCs w:val="18"/>
            <w:lang w:val="cs-CZ" w:bidi="bo-CN"/>
          </w:rPr>
          <w:t>www.henkel.com</w:t>
        </w:r>
      </w:hyperlink>
      <w:r w:rsidR="00A070EE" w:rsidRPr="005716B4">
        <w:rPr>
          <w:sz w:val="18"/>
          <w:szCs w:val="18"/>
          <w:lang w:val="cs-CZ" w:bidi="bo-CN"/>
        </w:rPr>
        <w:t>.</w:t>
      </w:r>
      <w:r w:rsidRPr="005716B4">
        <w:rPr>
          <w:sz w:val="18"/>
          <w:szCs w:val="18"/>
          <w:lang w:val="cs-CZ" w:bidi="bo-CN"/>
        </w:rPr>
        <w:t xml:space="preserve"> </w:t>
      </w:r>
    </w:p>
    <w:p w14:paraId="4F4668BC" w14:textId="77777777" w:rsidR="005D6168" w:rsidRPr="005716B4" w:rsidRDefault="005D6168" w:rsidP="002F7A23">
      <w:pPr>
        <w:rPr>
          <w:rFonts w:asciiTheme="majorHAnsi" w:hAnsiTheme="majorHAnsi" w:cstheme="majorHAnsi"/>
          <w:sz w:val="18"/>
          <w:szCs w:val="18"/>
          <w:lang w:val="cs-CZ"/>
        </w:rPr>
      </w:pPr>
    </w:p>
    <w:p w14:paraId="5010685E" w14:textId="77777777" w:rsidR="003B16A3" w:rsidRPr="005716B4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5716B4" w:rsidRDefault="00A110E3" w:rsidP="00A110E3">
      <w:pPr>
        <w:rPr>
          <w:rStyle w:val="AboutandContactHeadline"/>
          <w:lang w:val="cs-CZ"/>
        </w:rPr>
      </w:pPr>
      <w:r w:rsidRPr="005716B4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5716B4" w:rsidRDefault="00A110E3" w:rsidP="00A110E3">
      <w:pPr>
        <w:rPr>
          <w:rStyle w:val="AboutandContactHeadline"/>
          <w:b w:val="0"/>
          <w:bCs w:val="0"/>
          <w:lang w:val="cs-CZ"/>
        </w:rPr>
      </w:pPr>
      <w:r w:rsidRPr="005716B4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5716B4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5716B4">
        <w:rPr>
          <w:rStyle w:val="AboutandContactHeadline"/>
          <w:b w:val="0"/>
          <w:bCs w:val="0"/>
          <w:lang w:val="cs-CZ"/>
        </w:rPr>
        <w:tab/>
      </w:r>
      <w:r w:rsidRPr="005716B4">
        <w:rPr>
          <w:rStyle w:val="AboutandContactHeadline"/>
          <w:b w:val="0"/>
          <w:bCs w:val="0"/>
          <w:lang w:val="cs-CZ"/>
        </w:rPr>
        <w:tab/>
      </w:r>
      <w:r w:rsidRPr="005716B4">
        <w:rPr>
          <w:rStyle w:val="AboutandContactHeadline"/>
          <w:b w:val="0"/>
          <w:bCs w:val="0"/>
          <w:lang w:val="cs-CZ"/>
        </w:rPr>
        <w:tab/>
      </w:r>
      <w:r w:rsidRPr="005716B4">
        <w:rPr>
          <w:rStyle w:val="AboutandContactHeadline"/>
          <w:b w:val="0"/>
          <w:bCs w:val="0"/>
          <w:lang w:val="cs-CZ"/>
        </w:rPr>
        <w:tab/>
      </w:r>
      <w:r w:rsidRPr="005716B4">
        <w:rPr>
          <w:rStyle w:val="AboutandContactHeadline"/>
          <w:b w:val="0"/>
          <w:bCs w:val="0"/>
          <w:lang w:val="cs-CZ"/>
        </w:rPr>
        <w:tab/>
      </w:r>
      <w:r w:rsidRPr="005716B4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Pr="005716B4" w:rsidRDefault="00A110E3" w:rsidP="00A110E3">
      <w:pPr>
        <w:rPr>
          <w:rStyle w:val="AboutandContactHeadline"/>
          <w:b w:val="0"/>
          <w:bCs w:val="0"/>
          <w:lang w:val="cs-CZ"/>
        </w:rPr>
      </w:pPr>
      <w:r w:rsidRPr="005716B4">
        <w:rPr>
          <w:rStyle w:val="AboutandContactHeadline"/>
          <w:b w:val="0"/>
          <w:bCs w:val="0"/>
          <w:lang w:val="cs-CZ"/>
        </w:rPr>
        <w:t>Ředitelka korporátní komunikace</w:t>
      </w:r>
      <w:r w:rsidR="00AF0067" w:rsidRPr="005716B4">
        <w:rPr>
          <w:rStyle w:val="AboutandContactHeadline"/>
          <w:b w:val="0"/>
          <w:bCs w:val="0"/>
          <w:lang w:val="cs-CZ"/>
        </w:rPr>
        <w:t xml:space="preserve"> CEE</w:t>
      </w:r>
      <w:r w:rsidRPr="005716B4">
        <w:rPr>
          <w:rStyle w:val="AboutandContactHeadline"/>
          <w:b w:val="0"/>
          <w:bCs w:val="0"/>
          <w:lang w:val="cs-CZ"/>
        </w:rPr>
        <w:tab/>
      </w:r>
      <w:r w:rsidRPr="005716B4">
        <w:rPr>
          <w:rStyle w:val="AboutandContactHeadline"/>
          <w:b w:val="0"/>
          <w:bCs w:val="0"/>
          <w:lang w:val="cs-CZ"/>
        </w:rPr>
        <w:tab/>
      </w:r>
      <w:r w:rsidRPr="005716B4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5716B4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5716B4" w:rsidRDefault="00A110E3" w:rsidP="00A110E3">
      <w:pPr>
        <w:rPr>
          <w:rStyle w:val="AboutandContactHeadline"/>
          <w:b w:val="0"/>
          <w:bCs w:val="0"/>
          <w:lang w:val="cs-CZ"/>
        </w:rPr>
      </w:pPr>
      <w:r w:rsidRPr="005716B4">
        <w:rPr>
          <w:rStyle w:val="AboutandContactHeadline"/>
          <w:b w:val="0"/>
          <w:bCs w:val="0"/>
          <w:lang w:val="cs-CZ"/>
        </w:rPr>
        <w:t>Telef</w:t>
      </w:r>
      <w:r w:rsidR="00A070EE" w:rsidRPr="005716B4">
        <w:rPr>
          <w:rStyle w:val="AboutandContactHeadline"/>
          <w:b w:val="0"/>
          <w:bCs w:val="0"/>
          <w:lang w:val="cs-CZ"/>
        </w:rPr>
        <w:t>o</w:t>
      </w:r>
      <w:r w:rsidRPr="005716B4">
        <w:rPr>
          <w:rStyle w:val="AboutandContactHeadline"/>
          <w:b w:val="0"/>
          <w:bCs w:val="0"/>
          <w:lang w:val="cs-CZ"/>
        </w:rPr>
        <w:t>n: +421 917 160 597</w:t>
      </w:r>
      <w:r w:rsidRPr="005716B4">
        <w:rPr>
          <w:rStyle w:val="AboutandContactHeadline"/>
          <w:b w:val="0"/>
          <w:bCs w:val="0"/>
          <w:lang w:val="cs-CZ"/>
        </w:rPr>
        <w:tab/>
      </w:r>
      <w:r w:rsidRPr="005716B4">
        <w:rPr>
          <w:rStyle w:val="AboutandContactHeadline"/>
          <w:b w:val="0"/>
          <w:bCs w:val="0"/>
          <w:lang w:val="cs-CZ"/>
        </w:rPr>
        <w:tab/>
      </w:r>
      <w:r w:rsidRPr="005716B4">
        <w:rPr>
          <w:rStyle w:val="AboutandContactHeadline"/>
          <w:b w:val="0"/>
          <w:bCs w:val="0"/>
          <w:lang w:val="cs-CZ"/>
        </w:rPr>
        <w:tab/>
      </w:r>
    </w:p>
    <w:p w14:paraId="628BCDA9" w14:textId="3BEED3D2" w:rsidR="00A110E3" w:rsidRPr="005716B4" w:rsidRDefault="00A110E3" w:rsidP="00A110E3">
      <w:pPr>
        <w:rPr>
          <w:rStyle w:val="AboutandContactHeadline"/>
          <w:b w:val="0"/>
          <w:bCs w:val="0"/>
          <w:lang w:val="cs-CZ"/>
        </w:rPr>
      </w:pPr>
      <w:r w:rsidRPr="005716B4">
        <w:rPr>
          <w:rStyle w:val="AboutandContactHeadline"/>
          <w:b w:val="0"/>
          <w:bCs w:val="0"/>
          <w:lang w:val="cs-CZ"/>
        </w:rPr>
        <w:t xml:space="preserve">E-mail: </w:t>
      </w:r>
      <w:hyperlink r:id="rId11" w:history="1">
        <w:r w:rsidRPr="005716B4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p w14:paraId="51AA2505" w14:textId="39C6A2F7" w:rsidR="005742B4" w:rsidRPr="005716B4" w:rsidRDefault="005742B4" w:rsidP="00A110E3">
      <w:pPr>
        <w:rPr>
          <w:lang w:val="cs-CZ"/>
        </w:rPr>
      </w:pPr>
    </w:p>
    <w:sectPr w:rsidR="005742B4" w:rsidRPr="005716B4">
      <w:footerReference w:type="default" r:id="rId12"/>
      <w:headerReference w:type="first" r:id="rId13"/>
      <w:footerReference w:type="first" r:id="rId14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0FD0" w14:textId="77777777" w:rsidR="00E039D7" w:rsidRDefault="00E039D7">
      <w:pPr>
        <w:spacing w:line="240" w:lineRule="auto"/>
      </w:pPr>
      <w:r>
        <w:separator/>
      </w:r>
    </w:p>
  </w:endnote>
  <w:endnote w:type="continuationSeparator" w:id="0">
    <w:p w14:paraId="4622C780" w14:textId="77777777" w:rsidR="00E039D7" w:rsidRDefault="00E039D7">
      <w:pPr>
        <w:spacing w:line="240" w:lineRule="auto"/>
      </w:pPr>
      <w:r>
        <w:continuationSeparator/>
      </w:r>
    </w:p>
  </w:endnote>
  <w:endnote w:type="continuationNotice" w:id="1">
    <w:p w14:paraId="705968ED" w14:textId="77777777" w:rsidR="00E039D7" w:rsidRDefault="00E039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r w:rsidR="00031201">
      <w:fldChar w:fldCharType="begin"/>
    </w:r>
    <w:r w:rsidR="00031201">
      <w:instrText xml:space="preserve"> NUMPAGES </w:instrText>
    </w:r>
    <w:r w:rsidR="00031201">
      <w:fldChar w:fldCharType="separate"/>
    </w:r>
    <w:r w:rsidR="00031201">
      <w:rPr>
        <w:noProof/>
      </w:rPr>
      <w:t>2</w:t>
    </w:r>
    <w:r w:rsidR="0003120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r w:rsidR="00031201">
      <w:fldChar w:fldCharType="begin"/>
    </w:r>
    <w:r w:rsidR="00031201">
      <w:instrText xml:space="preserve"> NUMPAGES </w:instrText>
    </w:r>
    <w:r w:rsidR="00031201">
      <w:fldChar w:fldCharType="separate"/>
    </w:r>
    <w:r w:rsidR="00031201">
      <w:rPr>
        <w:noProof/>
      </w:rPr>
      <w:t>1</w:t>
    </w:r>
    <w:r w:rsidR="0003120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273B" w14:textId="77777777" w:rsidR="00E039D7" w:rsidRDefault="00E039D7">
      <w:pPr>
        <w:spacing w:line="240" w:lineRule="auto"/>
      </w:pPr>
      <w:r>
        <w:separator/>
      </w:r>
    </w:p>
  </w:footnote>
  <w:footnote w:type="continuationSeparator" w:id="0">
    <w:p w14:paraId="207D2A7E" w14:textId="77777777" w:rsidR="00E039D7" w:rsidRDefault="00E039D7">
      <w:pPr>
        <w:spacing w:line="240" w:lineRule="auto"/>
      </w:pPr>
      <w:r>
        <w:continuationSeparator/>
      </w:r>
    </w:p>
  </w:footnote>
  <w:footnote w:type="continuationNotice" w:id="1">
    <w:p w14:paraId="6A64F0D6" w14:textId="77777777" w:rsidR="00E039D7" w:rsidRDefault="00E039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4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3"/>
  </w:num>
  <w:num w:numId="5" w16cid:durableId="157512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4BC"/>
    <w:rsid w:val="00057BCB"/>
    <w:rsid w:val="000824CC"/>
    <w:rsid w:val="000C27F2"/>
    <w:rsid w:val="000C2EDF"/>
    <w:rsid w:val="000C68C2"/>
    <w:rsid w:val="000C708A"/>
    <w:rsid w:val="001127CC"/>
    <w:rsid w:val="001166FA"/>
    <w:rsid w:val="001210EA"/>
    <w:rsid w:val="001633A4"/>
    <w:rsid w:val="001815FA"/>
    <w:rsid w:val="001C2600"/>
    <w:rsid w:val="002056C6"/>
    <w:rsid w:val="002267FB"/>
    <w:rsid w:val="0024668B"/>
    <w:rsid w:val="00251645"/>
    <w:rsid w:val="002570B7"/>
    <w:rsid w:val="002606AC"/>
    <w:rsid w:val="00262DEE"/>
    <w:rsid w:val="002632F8"/>
    <w:rsid w:val="00284F28"/>
    <w:rsid w:val="00292775"/>
    <w:rsid w:val="002971C7"/>
    <w:rsid w:val="002B374E"/>
    <w:rsid w:val="002C33C6"/>
    <w:rsid w:val="002C7B7A"/>
    <w:rsid w:val="002D16D1"/>
    <w:rsid w:val="002D2EB4"/>
    <w:rsid w:val="002E2580"/>
    <w:rsid w:val="002E6F4F"/>
    <w:rsid w:val="002F40A5"/>
    <w:rsid w:val="002F7A23"/>
    <w:rsid w:val="00302C24"/>
    <w:rsid w:val="0031251D"/>
    <w:rsid w:val="00380FD9"/>
    <w:rsid w:val="00391172"/>
    <w:rsid w:val="003B16A3"/>
    <w:rsid w:val="003B176A"/>
    <w:rsid w:val="003F0A3E"/>
    <w:rsid w:val="00401E7C"/>
    <w:rsid w:val="004234CC"/>
    <w:rsid w:val="004436A5"/>
    <w:rsid w:val="00444954"/>
    <w:rsid w:val="0044732E"/>
    <w:rsid w:val="00452BD0"/>
    <w:rsid w:val="00475F5B"/>
    <w:rsid w:val="004860A9"/>
    <w:rsid w:val="004867EE"/>
    <w:rsid w:val="0049634D"/>
    <w:rsid w:val="004A51B7"/>
    <w:rsid w:val="004D3C26"/>
    <w:rsid w:val="004D74B9"/>
    <w:rsid w:val="004E0C3C"/>
    <w:rsid w:val="00510511"/>
    <w:rsid w:val="00530DB3"/>
    <w:rsid w:val="00547AEC"/>
    <w:rsid w:val="005548CC"/>
    <w:rsid w:val="00562E09"/>
    <w:rsid w:val="005716B4"/>
    <w:rsid w:val="005742B4"/>
    <w:rsid w:val="00576D32"/>
    <w:rsid w:val="005805AE"/>
    <w:rsid w:val="005B2D59"/>
    <w:rsid w:val="005B6D31"/>
    <w:rsid w:val="005D14CA"/>
    <w:rsid w:val="005D6168"/>
    <w:rsid w:val="005D7314"/>
    <w:rsid w:val="00613F5D"/>
    <w:rsid w:val="006325A8"/>
    <w:rsid w:val="00656C16"/>
    <w:rsid w:val="006628C7"/>
    <w:rsid w:val="00671D41"/>
    <w:rsid w:val="00685597"/>
    <w:rsid w:val="0069283E"/>
    <w:rsid w:val="006B2F83"/>
    <w:rsid w:val="00703800"/>
    <w:rsid w:val="007120A4"/>
    <w:rsid w:val="007374D9"/>
    <w:rsid w:val="00751DC7"/>
    <w:rsid w:val="00752E89"/>
    <w:rsid w:val="00756362"/>
    <w:rsid w:val="00766B15"/>
    <w:rsid w:val="00781845"/>
    <w:rsid w:val="00785EB6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85E"/>
    <w:rsid w:val="008213CE"/>
    <w:rsid w:val="00826F3B"/>
    <w:rsid w:val="00855268"/>
    <w:rsid w:val="008615FA"/>
    <w:rsid w:val="00894159"/>
    <w:rsid w:val="00894ACA"/>
    <w:rsid w:val="008A000B"/>
    <w:rsid w:val="008C1B92"/>
    <w:rsid w:val="008E58B1"/>
    <w:rsid w:val="00923F3E"/>
    <w:rsid w:val="009724C8"/>
    <w:rsid w:val="0097379C"/>
    <w:rsid w:val="00983543"/>
    <w:rsid w:val="009838CB"/>
    <w:rsid w:val="00983FDF"/>
    <w:rsid w:val="0099764C"/>
    <w:rsid w:val="009A3DB0"/>
    <w:rsid w:val="009D6F6D"/>
    <w:rsid w:val="009D7E04"/>
    <w:rsid w:val="00A070EE"/>
    <w:rsid w:val="00A07BEE"/>
    <w:rsid w:val="00A110E3"/>
    <w:rsid w:val="00A13217"/>
    <w:rsid w:val="00A22F73"/>
    <w:rsid w:val="00A41924"/>
    <w:rsid w:val="00A61100"/>
    <w:rsid w:val="00A823E6"/>
    <w:rsid w:val="00A8423C"/>
    <w:rsid w:val="00AB4F3A"/>
    <w:rsid w:val="00AD21A6"/>
    <w:rsid w:val="00AF0067"/>
    <w:rsid w:val="00B01C48"/>
    <w:rsid w:val="00B215A2"/>
    <w:rsid w:val="00B32931"/>
    <w:rsid w:val="00B36A15"/>
    <w:rsid w:val="00B92287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B8C"/>
    <w:rsid w:val="00CA5EA5"/>
    <w:rsid w:val="00CC371B"/>
    <w:rsid w:val="00CC4B03"/>
    <w:rsid w:val="00CF616E"/>
    <w:rsid w:val="00D30341"/>
    <w:rsid w:val="00D50214"/>
    <w:rsid w:val="00D737FF"/>
    <w:rsid w:val="00D93517"/>
    <w:rsid w:val="00DB288F"/>
    <w:rsid w:val="00DC71AB"/>
    <w:rsid w:val="00DC71B1"/>
    <w:rsid w:val="00DE2E50"/>
    <w:rsid w:val="00E032E7"/>
    <w:rsid w:val="00E039D7"/>
    <w:rsid w:val="00E101EA"/>
    <w:rsid w:val="00E13823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F1677B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rsid w:val="005716B4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esamecom-my.sharepoint.com/personal/allitadmin_seesame_com/Documents/shares/clients/Henkel%20-%20Corporate/2026/Media%20Relations/TS%20preklady/03%20marec/Cold%20seal%20Loctite%20SK%20CZ/zuzana.kanuchova@henke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nke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Dominika Gurová</cp:lastModifiedBy>
  <cp:revision>7</cp:revision>
  <dcterms:created xsi:type="dcterms:W3CDTF">2026-03-12T08:58:00Z</dcterms:created>
  <dcterms:modified xsi:type="dcterms:W3CDTF">2026-03-12T09:08:00Z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