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F416" w14:textId="06A35750" w:rsidR="00975446" w:rsidRPr="00A52969" w:rsidRDefault="00976AC7">
      <w:pPr>
        <w:pStyle w:val="MonthDayYear"/>
        <w:tabs>
          <w:tab w:val="left" w:pos="7371"/>
        </w:tabs>
        <w:rPr>
          <w:lang w:eastAsia="zh-CN"/>
        </w:rPr>
      </w:pPr>
      <w:proofErr w:type="gramStart"/>
      <w:r w:rsidRPr="00A52969">
        <w:rPr>
          <w:lang w:eastAsia="zh-TW"/>
        </w:rPr>
        <w:t>2026</w:t>
      </w:r>
      <w:r w:rsidRPr="00A52969">
        <w:rPr>
          <w:rFonts w:hint="eastAsia"/>
          <w:lang w:eastAsia="zh-TW"/>
        </w:rPr>
        <w:t>年</w:t>
      </w:r>
      <w:r w:rsidRPr="00A52969">
        <w:rPr>
          <w:lang w:eastAsia="zh-TW"/>
        </w:rPr>
        <w:t>3</w:t>
      </w:r>
      <w:r w:rsidRPr="00A52969">
        <w:rPr>
          <w:rFonts w:hint="eastAsia"/>
          <w:lang w:eastAsia="zh-TW"/>
        </w:rPr>
        <w:t>月</w:t>
      </w:r>
      <w:r w:rsidRPr="00A52969">
        <w:rPr>
          <w:lang w:eastAsia="zh-TW"/>
        </w:rPr>
        <w:t>11</w:t>
      </w:r>
      <w:r w:rsidRPr="00A52969">
        <w:rPr>
          <w:rFonts w:hint="eastAsia"/>
          <w:lang w:eastAsia="zh-TW"/>
        </w:rPr>
        <w:t>日</w:t>
      </w:r>
      <w:proofErr w:type="gramEnd"/>
    </w:p>
    <w:p w14:paraId="7D24E4CD" w14:textId="57AE19EA" w:rsidR="00975446" w:rsidRPr="00A52969" w:rsidRDefault="00976AC7">
      <w:pPr>
        <w:pStyle w:val="Topline"/>
        <w:spacing w:after="240"/>
        <w:jc w:val="left"/>
        <w:rPr>
          <w:rFonts w:asciiTheme="majorHAnsi" w:hAnsiTheme="majorHAnsi" w:cstheme="majorHAnsi"/>
          <w:lang w:eastAsia="zh-CN"/>
        </w:rPr>
      </w:pPr>
      <w:bookmarkStart w:id="0" w:name="_Hlk190695874"/>
      <w:r w:rsidRPr="00A52969">
        <w:rPr>
          <w:rFonts w:hint="eastAsia"/>
          <w:lang w:eastAsia="zh-TW"/>
        </w:rPr>
        <w:t>漢高公佈</w:t>
      </w:r>
      <w:r w:rsidRPr="00A52969">
        <w:rPr>
          <w:lang w:eastAsia="zh-TW"/>
        </w:rPr>
        <w:t>2025</w:t>
      </w:r>
      <w:r w:rsidRPr="00A52969">
        <w:rPr>
          <w:rFonts w:hint="eastAsia"/>
          <w:lang w:eastAsia="zh-TW"/>
        </w:rPr>
        <w:t>財年業績表現：擬進一步提高股息</w:t>
      </w:r>
    </w:p>
    <w:bookmarkEnd w:id="0"/>
    <w:p w14:paraId="12A92EE7" w14:textId="39B70F70" w:rsidR="00975446" w:rsidRPr="00A52969" w:rsidRDefault="00976AC7">
      <w:pPr>
        <w:jc w:val="left"/>
        <w:rPr>
          <w:rStyle w:val="Headline"/>
          <w:rFonts w:ascii="宋体" w:hAnsi="宋体"/>
          <w:sz w:val="30"/>
          <w:szCs w:val="30"/>
          <w:lang w:eastAsia="zh-CN"/>
        </w:rPr>
      </w:pPr>
      <w:r w:rsidRPr="00A52969">
        <w:rPr>
          <w:rStyle w:val="Headline"/>
          <w:rFonts w:ascii="宋体" w:hAnsi="宋体" w:cs="微软雅黑" w:hint="eastAsia"/>
          <w:sz w:val="30"/>
          <w:szCs w:val="30"/>
          <w:lang w:eastAsia="zh-TW"/>
        </w:rPr>
        <w:t>漢</w:t>
      </w:r>
      <w:r w:rsidRPr="00A52969">
        <w:rPr>
          <w:rStyle w:val="Headline"/>
          <w:rFonts w:ascii="宋体" w:hAnsi="宋体" w:cs="MS Gothic" w:hint="eastAsia"/>
          <w:sz w:val="30"/>
          <w:szCs w:val="30"/>
          <w:lang w:eastAsia="zh-TW"/>
        </w:rPr>
        <w:t>高</w:t>
      </w:r>
      <w:r w:rsidRPr="00A52969">
        <w:rPr>
          <w:rStyle w:val="Headline"/>
          <w:rFonts w:ascii="宋体" w:hAnsi="宋体"/>
          <w:sz w:val="30"/>
          <w:szCs w:val="30"/>
          <w:lang w:eastAsia="zh-TW"/>
        </w:rPr>
        <w:t>2025</w:t>
      </w:r>
      <w:r w:rsidRPr="00A52969">
        <w:rPr>
          <w:rStyle w:val="Headline"/>
          <w:rFonts w:ascii="宋体" w:hAnsi="宋体" w:hint="eastAsia"/>
          <w:sz w:val="30"/>
          <w:szCs w:val="30"/>
          <w:lang w:eastAsia="zh-TW"/>
        </w:rPr>
        <w:t>年</w:t>
      </w:r>
      <w:r w:rsidRPr="00A52969">
        <w:rPr>
          <w:rStyle w:val="Headline"/>
          <w:rFonts w:ascii="宋体" w:hAnsi="宋体" w:cs="微软雅黑" w:hint="eastAsia"/>
          <w:sz w:val="30"/>
          <w:szCs w:val="30"/>
          <w:lang w:eastAsia="zh-TW"/>
        </w:rPr>
        <w:t>實現</w:t>
      </w:r>
      <w:r w:rsidRPr="00A52969">
        <w:rPr>
          <w:rStyle w:val="Headline"/>
          <w:rFonts w:ascii="宋体" w:hAnsi="宋体" w:cs="MS Gothic" w:hint="eastAsia"/>
          <w:sz w:val="30"/>
          <w:szCs w:val="30"/>
          <w:lang w:eastAsia="zh-TW"/>
        </w:rPr>
        <w:t>有機</w:t>
      </w:r>
      <w:r w:rsidRPr="00A52969">
        <w:rPr>
          <w:rStyle w:val="Headline"/>
          <w:rFonts w:ascii="宋体" w:hAnsi="宋体" w:cs="微软雅黑" w:hint="eastAsia"/>
          <w:sz w:val="30"/>
          <w:szCs w:val="30"/>
          <w:lang w:eastAsia="zh-TW"/>
        </w:rPr>
        <w:t>銷</w:t>
      </w:r>
      <w:r w:rsidRPr="00A52969">
        <w:rPr>
          <w:rStyle w:val="Headline"/>
          <w:rFonts w:ascii="宋体" w:hAnsi="宋体" w:cs="MS Gothic" w:hint="eastAsia"/>
          <w:sz w:val="30"/>
          <w:szCs w:val="30"/>
          <w:lang w:eastAsia="zh-TW"/>
        </w:rPr>
        <w:t>售</w:t>
      </w:r>
      <w:r w:rsidRPr="00A52969">
        <w:rPr>
          <w:rStyle w:val="Headline"/>
          <w:rFonts w:ascii="宋体" w:hAnsi="宋体" w:cs="微软雅黑" w:hint="eastAsia"/>
          <w:sz w:val="30"/>
          <w:szCs w:val="30"/>
          <w:lang w:eastAsia="zh-TW"/>
        </w:rPr>
        <w:t>額</w:t>
      </w:r>
      <w:r w:rsidRPr="00A52969">
        <w:rPr>
          <w:rStyle w:val="Headline"/>
          <w:rFonts w:ascii="宋体" w:hAnsi="宋体" w:cs="MS Gothic" w:hint="eastAsia"/>
          <w:sz w:val="30"/>
          <w:szCs w:val="30"/>
          <w:lang w:eastAsia="zh-TW"/>
        </w:rPr>
        <w:t>增</w:t>
      </w:r>
      <w:r w:rsidRPr="00A52969">
        <w:rPr>
          <w:rStyle w:val="Headline"/>
          <w:rFonts w:ascii="宋体" w:hAnsi="宋体" w:cs="微软雅黑" w:hint="eastAsia"/>
          <w:sz w:val="30"/>
          <w:szCs w:val="30"/>
          <w:lang w:eastAsia="zh-TW"/>
        </w:rPr>
        <w:t>長</w:t>
      </w:r>
      <w:r w:rsidRPr="00A52969">
        <w:rPr>
          <w:rStyle w:val="Headline"/>
          <w:rFonts w:ascii="宋体" w:hAnsi="宋体" w:cs="MS Gothic" w:hint="eastAsia"/>
          <w:sz w:val="30"/>
          <w:szCs w:val="30"/>
          <w:lang w:eastAsia="zh-TW"/>
        </w:rPr>
        <w:t>，</w:t>
      </w:r>
      <w:r w:rsidRPr="00A52969">
        <w:rPr>
          <w:rStyle w:val="Headline"/>
          <w:rFonts w:ascii="宋体" w:hAnsi="宋体" w:cs="微软雅黑" w:hint="eastAsia"/>
          <w:sz w:val="30"/>
          <w:szCs w:val="30"/>
          <w:lang w:eastAsia="zh-TW"/>
        </w:rPr>
        <w:t>創</w:t>
      </w:r>
      <w:r w:rsidRPr="00A52969">
        <w:rPr>
          <w:rStyle w:val="Headline"/>
          <w:rFonts w:ascii="宋体" w:hAnsi="宋体" w:cs="MS Gothic" w:hint="eastAsia"/>
          <w:sz w:val="30"/>
          <w:szCs w:val="30"/>
          <w:lang w:eastAsia="zh-TW"/>
        </w:rPr>
        <w:t>新與增效雙</w:t>
      </w:r>
      <w:r w:rsidRPr="00A52969">
        <w:rPr>
          <w:rStyle w:val="Headline"/>
          <w:rFonts w:ascii="宋体" w:hAnsi="宋体" w:cs="微软雅黑" w:hint="eastAsia"/>
          <w:sz w:val="30"/>
          <w:szCs w:val="30"/>
          <w:lang w:eastAsia="zh-TW"/>
        </w:rPr>
        <w:t>輪驅動</w:t>
      </w:r>
      <w:r w:rsidRPr="00A52969">
        <w:rPr>
          <w:rStyle w:val="Headline"/>
          <w:rFonts w:ascii="宋体" w:hAnsi="宋体" w:cs="MS Gothic" w:hint="eastAsia"/>
          <w:sz w:val="30"/>
          <w:szCs w:val="30"/>
          <w:lang w:eastAsia="zh-TW"/>
        </w:rPr>
        <w:t>盈利提升</w:t>
      </w:r>
    </w:p>
    <w:p w14:paraId="7F791D7E" w14:textId="77777777" w:rsidR="00975446" w:rsidRPr="00A52969" w:rsidRDefault="00975446">
      <w:pPr>
        <w:spacing w:line="240" w:lineRule="auto"/>
        <w:jc w:val="left"/>
        <w:rPr>
          <w:sz w:val="16"/>
          <w:szCs w:val="16"/>
          <w:lang w:eastAsia="zh-CN"/>
        </w:rPr>
      </w:pPr>
    </w:p>
    <w:p w14:paraId="56CFF1FE" w14:textId="03726DF7" w:rsidR="00975446" w:rsidRPr="00A52969" w:rsidRDefault="00976AC7">
      <w:pPr>
        <w:pStyle w:val="ListParagraph"/>
        <w:numPr>
          <w:ilvl w:val="0"/>
          <w:numId w:val="2"/>
        </w:numPr>
        <w:spacing w:after="80"/>
        <w:ind w:left="357" w:right="-108" w:hanging="357"/>
        <w:contextualSpacing w:val="0"/>
        <w:jc w:val="left"/>
        <w:rPr>
          <w:rFonts w:asciiTheme="majorHAnsi" w:hAnsiTheme="majorHAnsi" w:cstheme="majorHAnsi"/>
          <w:b/>
          <w:szCs w:val="22"/>
        </w:rPr>
      </w:pPr>
      <w:bookmarkStart w:id="1" w:name="_Hlk64363173"/>
      <w:bookmarkStart w:id="2" w:name="_Hlk43712519"/>
      <w:r w:rsidRPr="00A52969">
        <w:rPr>
          <w:rFonts w:asciiTheme="majorHAnsi" w:hAnsiTheme="majorHAnsi" w:cstheme="majorHAnsi"/>
          <w:b/>
          <w:szCs w:val="22"/>
          <w:lang w:eastAsia="zh-TW"/>
        </w:rPr>
        <w:t>2025</w:t>
      </w:r>
      <w:r w:rsidRPr="00A52969">
        <w:rPr>
          <w:rFonts w:asciiTheme="majorHAnsi" w:hAnsiTheme="majorHAnsi" w:cstheme="majorHAnsi" w:hint="eastAsia"/>
          <w:b/>
          <w:szCs w:val="22"/>
          <w:lang w:eastAsia="zh-TW"/>
        </w:rPr>
        <w:t>財年業績表現穩健</w:t>
      </w:r>
    </w:p>
    <w:bookmarkEnd w:id="1"/>
    <w:bookmarkEnd w:id="2"/>
    <w:p w14:paraId="0CDB92E7" w14:textId="2D1DB104" w:rsidR="00975446" w:rsidRPr="00A52969" w:rsidRDefault="00976AC7">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TW"/>
        </w:rPr>
        <w:t>銷售額：</w:t>
      </w:r>
      <w:r w:rsidRPr="00A52969">
        <w:rPr>
          <w:rFonts w:asciiTheme="majorHAnsi" w:hAnsiTheme="majorHAnsi" w:cstheme="majorHAnsi"/>
          <w:b/>
          <w:szCs w:val="22"/>
          <w:lang w:eastAsia="zh-TW"/>
        </w:rPr>
        <w:t>205</w:t>
      </w:r>
      <w:r w:rsidRPr="00A52969">
        <w:rPr>
          <w:rFonts w:asciiTheme="majorHAnsi" w:hAnsiTheme="majorHAnsi" w:cstheme="majorHAnsi" w:hint="eastAsia"/>
          <w:b/>
          <w:szCs w:val="22"/>
          <w:lang w:eastAsia="zh-TW"/>
        </w:rPr>
        <w:t>億歐元，有機增長</w:t>
      </w:r>
      <w:r w:rsidRPr="00A52969">
        <w:rPr>
          <w:rFonts w:asciiTheme="majorHAnsi" w:hAnsiTheme="majorHAnsi" w:cstheme="majorHAnsi"/>
          <w:b/>
          <w:szCs w:val="22"/>
          <w:lang w:eastAsia="zh-TW"/>
        </w:rPr>
        <w:t>0.9%</w:t>
      </w:r>
    </w:p>
    <w:p w14:paraId="23AA2D0A" w14:textId="029CA645" w:rsidR="00975446" w:rsidRPr="00A52969" w:rsidRDefault="00976AC7">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TW"/>
        </w:rPr>
        <w:t>營業利潤（息稅前利潤）</w:t>
      </w:r>
      <w:r w:rsidRPr="00A52969">
        <w:rPr>
          <w:rFonts w:asciiTheme="majorHAnsi" w:hAnsiTheme="majorHAnsi" w:cstheme="majorHAnsi"/>
          <w:b/>
          <w:szCs w:val="22"/>
          <w:lang w:eastAsia="zh-TW"/>
        </w:rPr>
        <w:t>*</w:t>
      </w:r>
      <w:r w:rsidRPr="00A52969">
        <w:rPr>
          <w:rFonts w:asciiTheme="majorHAnsi" w:hAnsiTheme="majorHAnsi" w:cstheme="majorHAnsi" w:hint="eastAsia"/>
          <w:b/>
          <w:szCs w:val="22"/>
          <w:lang w:eastAsia="zh-TW"/>
        </w:rPr>
        <w:t>：</w:t>
      </w:r>
      <w:r w:rsidRPr="00A52969">
        <w:rPr>
          <w:rFonts w:asciiTheme="majorHAnsi" w:hAnsiTheme="majorHAnsi" w:cstheme="majorHAnsi"/>
          <w:b/>
          <w:szCs w:val="22"/>
          <w:lang w:eastAsia="zh-TW"/>
        </w:rPr>
        <w:t>30</w:t>
      </w:r>
      <w:r w:rsidRPr="00A52969">
        <w:rPr>
          <w:rFonts w:asciiTheme="majorHAnsi" w:hAnsiTheme="majorHAnsi" w:cstheme="majorHAnsi" w:hint="eastAsia"/>
          <w:b/>
          <w:szCs w:val="22"/>
          <w:lang w:eastAsia="zh-TW"/>
        </w:rPr>
        <w:t>億歐元，受顯著負面匯率影響，略低於上年水準</w:t>
      </w:r>
    </w:p>
    <w:p w14:paraId="434B4CB4" w14:textId="47EAAAC9" w:rsidR="00975446" w:rsidRPr="00A52969" w:rsidRDefault="00976AC7">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TW"/>
        </w:rPr>
        <w:t>息稅前利潤率</w:t>
      </w:r>
      <w:r w:rsidRPr="00A52969">
        <w:rPr>
          <w:rFonts w:asciiTheme="majorHAnsi" w:hAnsiTheme="majorHAnsi" w:cstheme="majorHAnsi"/>
          <w:b/>
          <w:szCs w:val="22"/>
          <w:lang w:eastAsia="zh-TW"/>
        </w:rPr>
        <w:t>*</w:t>
      </w:r>
      <w:r w:rsidRPr="00A52969">
        <w:rPr>
          <w:rFonts w:asciiTheme="majorHAnsi" w:hAnsiTheme="majorHAnsi" w:cstheme="majorHAnsi" w:hint="eastAsia"/>
          <w:b/>
          <w:szCs w:val="22"/>
          <w:lang w:eastAsia="zh-TW"/>
        </w:rPr>
        <w:t>：</w:t>
      </w:r>
      <w:r w:rsidRPr="00A52969">
        <w:rPr>
          <w:rFonts w:asciiTheme="majorHAnsi" w:hAnsiTheme="majorHAnsi" w:cstheme="majorHAnsi"/>
          <w:b/>
          <w:szCs w:val="22"/>
          <w:lang w:eastAsia="zh-TW"/>
        </w:rPr>
        <w:t>14.8%</w:t>
      </w:r>
      <w:r w:rsidRPr="00A52969">
        <w:rPr>
          <w:rFonts w:asciiTheme="majorHAnsi" w:hAnsiTheme="majorHAnsi" w:cstheme="majorHAnsi" w:hint="eastAsia"/>
          <w:b/>
          <w:szCs w:val="22"/>
          <w:lang w:eastAsia="zh-TW"/>
        </w:rPr>
        <w:t>，提升</w:t>
      </w:r>
      <w:r w:rsidRPr="00A52969">
        <w:rPr>
          <w:rFonts w:asciiTheme="majorHAnsi" w:hAnsiTheme="majorHAnsi" w:cstheme="majorHAnsi"/>
          <w:b/>
          <w:szCs w:val="22"/>
          <w:lang w:eastAsia="zh-TW"/>
        </w:rPr>
        <w:t>50</w:t>
      </w:r>
      <w:r w:rsidRPr="00A52969">
        <w:rPr>
          <w:rFonts w:asciiTheme="majorHAnsi" w:hAnsiTheme="majorHAnsi" w:cstheme="majorHAnsi" w:hint="eastAsia"/>
          <w:b/>
          <w:szCs w:val="22"/>
          <w:lang w:eastAsia="zh-TW"/>
        </w:rPr>
        <w:t>個基點</w:t>
      </w:r>
    </w:p>
    <w:p w14:paraId="039E3629" w14:textId="7B67E8B5" w:rsidR="00975446" w:rsidRPr="00A52969" w:rsidRDefault="00976AC7">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TW"/>
        </w:rPr>
        <w:t>優先股每股收益（</w:t>
      </w:r>
      <w:r w:rsidRPr="00A52969">
        <w:rPr>
          <w:rFonts w:asciiTheme="majorHAnsi" w:hAnsiTheme="majorHAnsi" w:cstheme="majorHAnsi"/>
          <w:b/>
          <w:szCs w:val="22"/>
          <w:lang w:eastAsia="zh-TW"/>
        </w:rPr>
        <w:t>EPS</w:t>
      </w:r>
      <w:r w:rsidRPr="00A52969">
        <w:rPr>
          <w:rFonts w:asciiTheme="majorHAnsi" w:hAnsiTheme="majorHAnsi" w:cstheme="majorHAnsi" w:hint="eastAsia"/>
          <w:b/>
          <w:szCs w:val="22"/>
          <w:lang w:eastAsia="zh-TW"/>
        </w:rPr>
        <w:t>）</w:t>
      </w:r>
      <w:r w:rsidRPr="00A52969">
        <w:rPr>
          <w:rFonts w:asciiTheme="majorHAnsi" w:hAnsiTheme="majorHAnsi" w:cstheme="majorHAnsi"/>
          <w:b/>
          <w:szCs w:val="22"/>
          <w:lang w:eastAsia="zh-TW"/>
        </w:rPr>
        <w:t>*</w:t>
      </w:r>
      <w:r w:rsidRPr="00A52969">
        <w:rPr>
          <w:rFonts w:asciiTheme="majorHAnsi" w:hAnsiTheme="majorHAnsi" w:cstheme="majorHAnsi" w:hint="eastAsia"/>
          <w:b/>
          <w:szCs w:val="22"/>
          <w:lang w:eastAsia="zh-TW"/>
        </w:rPr>
        <w:t>：</w:t>
      </w:r>
      <w:r w:rsidRPr="00A52969">
        <w:rPr>
          <w:rFonts w:asciiTheme="majorHAnsi" w:hAnsiTheme="majorHAnsi" w:cstheme="majorHAnsi"/>
          <w:b/>
          <w:szCs w:val="22"/>
          <w:lang w:eastAsia="zh-TW"/>
        </w:rPr>
        <w:t>5.33</w:t>
      </w:r>
      <w:r w:rsidRPr="00A52969">
        <w:rPr>
          <w:rFonts w:asciiTheme="majorHAnsi" w:hAnsiTheme="majorHAnsi" w:cstheme="majorHAnsi" w:hint="eastAsia"/>
          <w:b/>
          <w:szCs w:val="22"/>
          <w:lang w:eastAsia="zh-TW"/>
        </w:rPr>
        <w:t>歐元，按固定匯率計算增長</w:t>
      </w:r>
      <w:r w:rsidRPr="00A52969">
        <w:rPr>
          <w:rFonts w:asciiTheme="majorHAnsi" w:hAnsiTheme="majorHAnsi" w:cstheme="majorHAnsi"/>
          <w:b/>
          <w:szCs w:val="22"/>
          <w:lang w:eastAsia="zh-TW"/>
        </w:rPr>
        <w:t>4.7%</w:t>
      </w:r>
    </w:p>
    <w:p w14:paraId="2C5EE915" w14:textId="1F638BCD" w:rsidR="00975446" w:rsidRPr="00A52969" w:rsidRDefault="00976AC7">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TW"/>
        </w:rPr>
        <w:t>自由現金流充足，</w:t>
      </w:r>
      <w:r>
        <w:rPr>
          <w:rFonts w:asciiTheme="majorHAnsi" w:hAnsiTheme="majorHAnsi" w:cstheme="majorHAnsi" w:hint="eastAsia"/>
          <w:b/>
          <w:szCs w:val="22"/>
          <w:lang w:eastAsia="zh-TW"/>
        </w:rPr>
        <w:t>約</w:t>
      </w:r>
      <w:r w:rsidRPr="00A52969">
        <w:rPr>
          <w:rFonts w:asciiTheme="majorHAnsi" w:hAnsiTheme="majorHAnsi" w:cstheme="majorHAnsi"/>
          <w:b/>
          <w:szCs w:val="22"/>
          <w:lang w:eastAsia="zh-TW"/>
        </w:rPr>
        <w:t>19</w:t>
      </w:r>
      <w:r w:rsidRPr="00A52969">
        <w:rPr>
          <w:rFonts w:asciiTheme="majorHAnsi" w:hAnsiTheme="majorHAnsi" w:cstheme="majorHAnsi" w:hint="eastAsia"/>
          <w:b/>
          <w:szCs w:val="22"/>
          <w:lang w:eastAsia="zh-TW"/>
        </w:rPr>
        <w:t>億歐元</w:t>
      </w:r>
    </w:p>
    <w:p w14:paraId="29E882CF" w14:textId="47B1EAA0" w:rsidR="00561841" w:rsidRPr="00561841" w:rsidRDefault="00976AC7" w:rsidP="00561841">
      <w:pPr>
        <w:pStyle w:val="ListParagraph"/>
        <w:numPr>
          <w:ilvl w:val="0"/>
          <w:numId w:val="2"/>
        </w:numPr>
        <w:rPr>
          <w:rFonts w:asciiTheme="majorHAnsi" w:hAnsiTheme="majorHAnsi" w:cstheme="majorHAnsi"/>
          <w:b/>
          <w:szCs w:val="22"/>
          <w:lang w:eastAsia="zh-CN"/>
        </w:rPr>
      </w:pPr>
      <w:r w:rsidRPr="00561841">
        <w:rPr>
          <w:rFonts w:asciiTheme="majorHAnsi" w:hAnsiTheme="majorHAnsi" w:cstheme="majorHAnsi" w:hint="eastAsia"/>
          <w:b/>
          <w:szCs w:val="22"/>
          <w:lang w:eastAsia="zh-TW"/>
        </w:rPr>
        <w:t>擬將優先股每股股息提高</w:t>
      </w:r>
      <w:r w:rsidRPr="00561841">
        <w:rPr>
          <w:rFonts w:asciiTheme="majorHAnsi" w:hAnsiTheme="majorHAnsi" w:cstheme="majorHAnsi"/>
          <w:b/>
          <w:szCs w:val="22"/>
          <w:lang w:eastAsia="zh-TW"/>
        </w:rPr>
        <w:t>1.5%</w:t>
      </w:r>
      <w:r w:rsidRPr="00561841">
        <w:rPr>
          <w:rFonts w:asciiTheme="majorHAnsi" w:hAnsiTheme="majorHAnsi" w:cstheme="majorHAnsi" w:hint="eastAsia"/>
          <w:b/>
          <w:szCs w:val="22"/>
          <w:lang w:eastAsia="zh-TW"/>
        </w:rPr>
        <w:t>至</w:t>
      </w:r>
      <w:r w:rsidRPr="00561841">
        <w:rPr>
          <w:rFonts w:asciiTheme="majorHAnsi" w:hAnsiTheme="majorHAnsi" w:cstheme="majorHAnsi"/>
          <w:b/>
          <w:szCs w:val="22"/>
          <w:lang w:eastAsia="zh-TW"/>
        </w:rPr>
        <w:t>2.07</w:t>
      </w:r>
      <w:r w:rsidRPr="00561841">
        <w:rPr>
          <w:rFonts w:asciiTheme="majorHAnsi" w:hAnsiTheme="majorHAnsi" w:cstheme="majorHAnsi" w:hint="eastAsia"/>
          <w:b/>
          <w:szCs w:val="22"/>
          <w:lang w:eastAsia="zh-TW"/>
        </w:rPr>
        <w:t>歐元</w:t>
      </w:r>
    </w:p>
    <w:p w14:paraId="322F94B6" w14:textId="26E1B2BA" w:rsidR="00975446" w:rsidRPr="00A52969" w:rsidRDefault="00976AC7">
      <w:pPr>
        <w:numPr>
          <w:ilvl w:val="0"/>
          <w:numId w:val="2"/>
        </w:numPr>
        <w:spacing w:after="80"/>
        <w:ind w:left="357" w:right="-108" w:hanging="357"/>
        <w:jc w:val="left"/>
        <w:rPr>
          <w:rFonts w:asciiTheme="majorHAnsi" w:hAnsiTheme="majorHAnsi" w:cstheme="majorHAnsi"/>
          <w:b/>
          <w:szCs w:val="22"/>
          <w:lang w:eastAsia="zh-CN"/>
        </w:rPr>
      </w:pPr>
      <w:r w:rsidRPr="00A52969">
        <w:rPr>
          <w:rFonts w:asciiTheme="majorHAnsi" w:hAnsiTheme="majorHAnsi" w:cstheme="majorHAnsi" w:hint="eastAsia"/>
          <w:b/>
          <w:szCs w:val="22"/>
          <w:lang w:eastAsia="zh-TW"/>
        </w:rPr>
        <w:t>進一步加快實施目標性增長議程</w:t>
      </w:r>
    </w:p>
    <w:p w14:paraId="5D496A5A" w14:textId="7730C504" w:rsidR="00975446" w:rsidRPr="00A52969" w:rsidRDefault="00976AC7">
      <w:pPr>
        <w:pStyle w:val="ListParagraph"/>
        <w:numPr>
          <w:ilvl w:val="1"/>
          <w:numId w:val="2"/>
        </w:numPr>
        <w:ind w:left="709" w:hanging="283"/>
        <w:rPr>
          <w:rFonts w:asciiTheme="majorHAnsi" w:hAnsiTheme="majorHAnsi" w:cstheme="majorHAnsi"/>
          <w:b/>
          <w:szCs w:val="22"/>
          <w:lang w:eastAsia="zh-CN"/>
        </w:rPr>
      </w:pPr>
      <w:bookmarkStart w:id="3" w:name="_Hlk157433806"/>
      <w:r w:rsidRPr="00A52969">
        <w:rPr>
          <w:rFonts w:asciiTheme="majorHAnsi" w:hAnsiTheme="majorHAnsi" w:cstheme="majorHAnsi" w:hint="eastAsia"/>
          <w:b/>
          <w:szCs w:val="22"/>
          <w:lang w:eastAsia="zh-TW"/>
        </w:rPr>
        <w:t>消費品業務整合提前完成</w:t>
      </w:r>
    </w:p>
    <w:bookmarkEnd w:id="3"/>
    <w:p w14:paraId="66E0B478" w14:textId="041854B9" w:rsidR="00975446" w:rsidRPr="00A52969" w:rsidRDefault="00976AC7">
      <w:pPr>
        <w:pStyle w:val="ListParagraph"/>
        <w:numPr>
          <w:ilvl w:val="1"/>
          <w:numId w:val="2"/>
        </w:numPr>
        <w:spacing w:after="80" w:line="266" w:lineRule="auto"/>
        <w:ind w:left="709"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TW"/>
        </w:rPr>
        <w:t>兩大業務部門近期收購進一步釋放增長潛力</w:t>
      </w:r>
    </w:p>
    <w:p w14:paraId="0592ABB3" w14:textId="06392860" w:rsidR="00975446" w:rsidRPr="00A52969" w:rsidRDefault="00976AC7">
      <w:pPr>
        <w:numPr>
          <w:ilvl w:val="0"/>
          <w:numId w:val="2"/>
        </w:numPr>
        <w:spacing w:after="80"/>
        <w:ind w:left="357" w:right="-108" w:hanging="357"/>
        <w:jc w:val="left"/>
        <w:rPr>
          <w:rFonts w:asciiTheme="majorHAnsi" w:hAnsiTheme="majorHAnsi" w:cstheme="majorHAnsi"/>
          <w:b/>
          <w:szCs w:val="22"/>
          <w:lang w:eastAsia="zh-CN"/>
        </w:rPr>
      </w:pPr>
      <w:r w:rsidRPr="00A52969">
        <w:rPr>
          <w:rFonts w:asciiTheme="majorHAnsi" w:hAnsiTheme="majorHAnsi" w:cstheme="majorHAnsi"/>
          <w:b/>
          <w:szCs w:val="22"/>
          <w:lang w:eastAsia="zh-TW"/>
        </w:rPr>
        <w:t>2026</w:t>
      </w:r>
      <w:r w:rsidRPr="00A52969">
        <w:rPr>
          <w:rFonts w:asciiTheme="majorHAnsi" w:hAnsiTheme="majorHAnsi" w:cstheme="majorHAnsi" w:hint="eastAsia"/>
          <w:b/>
          <w:szCs w:val="22"/>
          <w:lang w:eastAsia="zh-TW"/>
        </w:rPr>
        <w:t>財年展望：有望進一步實現營收和利潤增長</w:t>
      </w:r>
    </w:p>
    <w:p w14:paraId="142E92E2" w14:textId="469EE5EB" w:rsidR="00975446" w:rsidRPr="00A52969" w:rsidRDefault="00976AC7">
      <w:pPr>
        <w:pStyle w:val="ListParagraph"/>
        <w:numPr>
          <w:ilvl w:val="1"/>
          <w:numId w:val="2"/>
        </w:numPr>
        <w:spacing w:after="80" w:line="266" w:lineRule="auto"/>
        <w:ind w:left="567" w:right="-108" w:hanging="283"/>
        <w:contextualSpacing w:val="0"/>
        <w:jc w:val="left"/>
        <w:rPr>
          <w:rFonts w:asciiTheme="majorHAnsi" w:hAnsiTheme="majorHAnsi" w:cstheme="majorHAnsi"/>
          <w:b/>
          <w:szCs w:val="22"/>
        </w:rPr>
      </w:pPr>
      <w:r w:rsidRPr="00A52969">
        <w:rPr>
          <w:rFonts w:asciiTheme="majorHAnsi" w:hAnsiTheme="majorHAnsi" w:cstheme="majorHAnsi" w:hint="eastAsia"/>
          <w:b/>
          <w:szCs w:val="22"/>
          <w:lang w:eastAsia="zh-TW"/>
        </w:rPr>
        <w:t>有機銷售額增長：</w:t>
      </w:r>
      <w:r w:rsidRPr="00A52969">
        <w:rPr>
          <w:rFonts w:asciiTheme="majorHAnsi" w:hAnsiTheme="majorHAnsi" w:cstheme="majorHAnsi"/>
          <w:b/>
          <w:szCs w:val="22"/>
          <w:lang w:eastAsia="zh-TW"/>
        </w:rPr>
        <w:t>1.0% - 3.0%</w:t>
      </w:r>
    </w:p>
    <w:p w14:paraId="0DA0866C" w14:textId="22AA50C8" w:rsidR="00975446" w:rsidRPr="00A52969" w:rsidRDefault="00976AC7">
      <w:pPr>
        <w:pStyle w:val="ListParagraph"/>
        <w:numPr>
          <w:ilvl w:val="1"/>
          <w:numId w:val="2"/>
        </w:numPr>
        <w:spacing w:after="80" w:line="266" w:lineRule="auto"/>
        <w:ind w:left="567" w:right="-108" w:hanging="283"/>
        <w:contextualSpacing w:val="0"/>
        <w:jc w:val="left"/>
        <w:rPr>
          <w:rFonts w:asciiTheme="majorHAnsi" w:hAnsiTheme="majorHAnsi" w:cstheme="majorHAnsi"/>
          <w:b/>
          <w:szCs w:val="22"/>
        </w:rPr>
      </w:pPr>
      <w:r w:rsidRPr="00A52969">
        <w:rPr>
          <w:rFonts w:asciiTheme="majorHAnsi" w:hAnsiTheme="majorHAnsi" w:cstheme="majorHAnsi" w:hint="eastAsia"/>
          <w:b/>
          <w:szCs w:val="22"/>
          <w:lang w:eastAsia="zh-TW"/>
        </w:rPr>
        <w:t>息稅前利潤率</w:t>
      </w:r>
      <w:r w:rsidRPr="00A52969">
        <w:rPr>
          <w:rFonts w:asciiTheme="majorHAnsi" w:hAnsiTheme="majorHAnsi" w:cstheme="majorHAnsi"/>
          <w:b/>
          <w:szCs w:val="22"/>
          <w:lang w:eastAsia="zh-TW"/>
        </w:rPr>
        <w:t>*</w:t>
      </w:r>
      <w:r w:rsidRPr="00A52969">
        <w:rPr>
          <w:rFonts w:asciiTheme="majorHAnsi" w:hAnsiTheme="majorHAnsi" w:cstheme="majorHAnsi" w:hint="eastAsia"/>
          <w:b/>
          <w:szCs w:val="22"/>
          <w:lang w:eastAsia="zh-TW"/>
        </w:rPr>
        <w:t>：</w:t>
      </w:r>
      <w:r w:rsidRPr="00A52969">
        <w:rPr>
          <w:rFonts w:asciiTheme="majorHAnsi" w:hAnsiTheme="majorHAnsi" w:cstheme="majorHAnsi"/>
          <w:b/>
          <w:szCs w:val="22"/>
          <w:lang w:eastAsia="zh-TW"/>
        </w:rPr>
        <w:t>14.5% - 16.0%</w:t>
      </w:r>
    </w:p>
    <w:p w14:paraId="700C520F" w14:textId="50747B6F" w:rsidR="00975446" w:rsidRPr="00A52969" w:rsidRDefault="00976AC7">
      <w:pPr>
        <w:pStyle w:val="ListParagraph"/>
        <w:numPr>
          <w:ilvl w:val="1"/>
          <w:numId w:val="2"/>
        </w:numPr>
        <w:spacing w:after="80" w:line="266" w:lineRule="auto"/>
        <w:ind w:left="567" w:right="-108" w:hanging="283"/>
        <w:contextualSpacing w:val="0"/>
        <w:jc w:val="left"/>
        <w:rPr>
          <w:rFonts w:asciiTheme="majorHAnsi" w:hAnsiTheme="majorHAnsi" w:cstheme="majorHAnsi"/>
          <w:b/>
          <w:szCs w:val="22"/>
          <w:lang w:eastAsia="zh-CN"/>
        </w:rPr>
      </w:pPr>
      <w:r w:rsidRPr="00A52969">
        <w:rPr>
          <w:rFonts w:asciiTheme="majorHAnsi" w:hAnsiTheme="majorHAnsi" w:cstheme="majorHAnsi" w:hint="eastAsia"/>
          <w:b/>
          <w:szCs w:val="22"/>
          <w:lang w:eastAsia="zh-TW"/>
        </w:rPr>
        <w:t>優先股每股收益（</w:t>
      </w:r>
      <w:r w:rsidRPr="00A52969">
        <w:rPr>
          <w:rFonts w:asciiTheme="majorHAnsi" w:hAnsiTheme="majorHAnsi" w:cstheme="majorHAnsi"/>
          <w:b/>
          <w:szCs w:val="22"/>
          <w:lang w:eastAsia="zh-TW"/>
        </w:rPr>
        <w:t>EPS</w:t>
      </w:r>
      <w:r w:rsidRPr="00A52969">
        <w:rPr>
          <w:rFonts w:asciiTheme="majorHAnsi" w:hAnsiTheme="majorHAnsi" w:cstheme="majorHAnsi" w:hint="eastAsia"/>
          <w:b/>
          <w:szCs w:val="22"/>
          <w:lang w:eastAsia="zh-TW"/>
        </w:rPr>
        <w:t>）</w:t>
      </w:r>
      <w:r w:rsidRPr="00A52969">
        <w:rPr>
          <w:rFonts w:asciiTheme="majorHAnsi" w:hAnsiTheme="majorHAnsi" w:cstheme="majorHAnsi"/>
          <w:b/>
          <w:szCs w:val="22"/>
          <w:lang w:eastAsia="zh-TW"/>
        </w:rPr>
        <w:t>*</w:t>
      </w:r>
      <w:r w:rsidRPr="00A52969">
        <w:rPr>
          <w:rFonts w:asciiTheme="majorHAnsi" w:hAnsiTheme="majorHAnsi" w:cstheme="majorHAnsi" w:hint="eastAsia"/>
          <w:b/>
          <w:szCs w:val="22"/>
          <w:lang w:eastAsia="zh-TW"/>
        </w:rPr>
        <w:t>：</w:t>
      </w:r>
      <w:r w:rsidRPr="00561841">
        <w:rPr>
          <w:rFonts w:asciiTheme="majorHAnsi" w:hAnsiTheme="majorHAnsi" w:cstheme="majorHAnsi" w:hint="eastAsia"/>
          <w:b/>
          <w:szCs w:val="22"/>
          <w:lang w:eastAsia="zh-TW"/>
        </w:rPr>
        <w:t>預計實現低至高個位數百分比的增長</w:t>
      </w:r>
      <w:r w:rsidRPr="00A52969">
        <w:rPr>
          <w:rFonts w:asciiTheme="majorHAnsi" w:hAnsiTheme="majorHAnsi" w:cstheme="majorHAnsi" w:hint="eastAsia"/>
          <w:b/>
          <w:szCs w:val="22"/>
          <w:lang w:eastAsia="zh-TW"/>
        </w:rPr>
        <w:t>（按固定匯率計算）</w:t>
      </w:r>
    </w:p>
    <w:p w14:paraId="23B50768" w14:textId="77777777" w:rsidR="00975446" w:rsidRPr="00A52969" w:rsidRDefault="00975446">
      <w:pPr>
        <w:rPr>
          <w:rFonts w:cs="Segoe UI"/>
          <w:b/>
          <w:bCs/>
          <w:szCs w:val="22"/>
          <w:lang w:eastAsia="zh-CN"/>
        </w:rPr>
      </w:pPr>
    </w:p>
    <w:p w14:paraId="1174E326" w14:textId="7BF4A48D" w:rsidR="00975446" w:rsidRPr="00A52969" w:rsidRDefault="00976AC7">
      <w:pPr>
        <w:rPr>
          <w:rFonts w:cs="Segoe UI"/>
          <w:b/>
          <w:bCs/>
          <w:szCs w:val="22"/>
          <w:lang w:eastAsia="zh-CN"/>
        </w:rPr>
      </w:pPr>
      <w:r w:rsidRPr="00A52969">
        <w:rPr>
          <w:rFonts w:hint="eastAsia"/>
          <w:b/>
          <w:lang w:eastAsia="zh-TW"/>
        </w:rPr>
        <w:t>杜塞爾多夫</w:t>
      </w:r>
      <w:r w:rsidRPr="00A52969">
        <w:rPr>
          <w:b/>
          <w:lang w:eastAsia="zh-TW"/>
        </w:rPr>
        <w:t xml:space="preserve"> </w:t>
      </w:r>
      <w:r w:rsidRPr="00A52969">
        <w:rPr>
          <w:rFonts w:hint="eastAsia"/>
          <w:b/>
          <w:lang w:eastAsia="zh-TW"/>
        </w:rPr>
        <w:t>–</w:t>
      </w:r>
      <w:r w:rsidRPr="00A52969">
        <w:rPr>
          <w:b/>
          <w:lang w:eastAsia="zh-TW"/>
        </w:rPr>
        <w:t xml:space="preserve"> 2025</w:t>
      </w:r>
      <w:r w:rsidRPr="00A52969">
        <w:rPr>
          <w:rFonts w:hint="eastAsia"/>
          <w:b/>
          <w:lang w:eastAsia="zh-TW"/>
        </w:rPr>
        <w:t>財年，面對溫和的全球經濟增長與複雜多變的地緣政治局勢，漢高整體表現穩健。集團全年銷售額</w:t>
      </w:r>
      <w:r w:rsidRPr="00A52969">
        <w:rPr>
          <w:rFonts w:cs="Segoe UI" w:hint="eastAsia"/>
          <w:b/>
          <w:bCs/>
          <w:szCs w:val="22"/>
          <w:lang w:eastAsia="zh-TW"/>
        </w:rPr>
        <w:t>約為</w:t>
      </w:r>
      <w:r w:rsidRPr="00A52969">
        <w:rPr>
          <w:rFonts w:cs="Segoe UI"/>
          <w:b/>
          <w:bCs/>
          <w:szCs w:val="22"/>
          <w:lang w:eastAsia="zh-TW"/>
        </w:rPr>
        <w:t>205</w:t>
      </w:r>
      <w:r w:rsidRPr="00A52969">
        <w:rPr>
          <w:rFonts w:cs="Segoe UI" w:hint="eastAsia"/>
          <w:b/>
          <w:bCs/>
          <w:szCs w:val="22"/>
          <w:lang w:eastAsia="zh-TW"/>
        </w:rPr>
        <w:t>億歐元，調整後息稅前利潤率提高</w:t>
      </w:r>
      <w:r w:rsidRPr="00A52969">
        <w:rPr>
          <w:rFonts w:cs="Segoe UI"/>
          <w:b/>
          <w:bCs/>
          <w:szCs w:val="22"/>
          <w:lang w:eastAsia="zh-TW"/>
        </w:rPr>
        <w:t>50</w:t>
      </w:r>
      <w:r w:rsidRPr="00A52969">
        <w:rPr>
          <w:rFonts w:cs="Segoe UI" w:hint="eastAsia"/>
          <w:b/>
          <w:bCs/>
          <w:szCs w:val="22"/>
          <w:lang w:eastAsia="zh-TW"/>
        </w:rPr>
        <w:t>個基點至</w:t>
      </w:r>
      <w:r w:rsidRPr="00A52969">
        <w:rPr>
          <w:rFonts w:cs="Segoe UI"/>
          <w:b/>
          <w:bCs/>
          <w:szCs w:val="22"/>
          <w:lang w:eastAsia="zh-TW"/>
        </w:rPr>
        <w:t>14.8%</w:t>
      </w:r>
      <w:r w:rsidRPr="00A52969">
        <w:rPr>
          <w:rFonts w:cs="Segoe UI" w:hint="eastAsia"/>
          <w:b/>
          <w:bCs/>
          <w:szCs w:val="22"/>
          <w:lang w:eastAsia="zh-TW"/>
        </w:rPr>
        <w:t>。按固定匯率計算，調整後每股優先股收益增長</w:t>
      </w:r>
      <w:r w:rsidRPr="00A52969">
        <w:rPr>
          <w:rFonts w:cs="Segoe UI"/>
          <w:b/>
          <w:bCs/>
          <w:szCs w:val="22"/>
          <w:lang w:eastAsia="zh-TW"/>
        </w:rPr>
        <w:t>4.7%</w:t>
      </w:r>
      <w:r w:rsidRPr="00A52969">
        <w:rPr>
          <w:rFonts w:cs="Segoe UI" w:hint="eastAsia"/>
          <w:b/>
          <w:bCs/>
          <w:szCs w:val="22"/>
          <w:lang w:eastAsia="zh-TW"/>
        </w:rPr>
        <w:t>。</w:t>
      </w:r>
    </w:p>
    <w:p w14:paraId="4C3AE7AB" w14:textId="77777777" w:rsidR="00975446" w:rsidRPr="00A52969" w:rsidRDefault="00975446">
      <w:pPr>
        <w:rPr>
          <w:rFonts w:cs="Segoe UI"/>
          <w:b/>
          <w:bCs/>
          <w:szCs w:val="22"/>
          <w:lang w:eastAsia="zh-CN"/>
        </w:rPr>
      </w:pPr>
      <w:bookmarkStart w:id="4" w:name="_Hlk190074952"/>
    </w:p>
    <w:bookmarkEnd w:id="4"/>
    <w:p w14:paraId="603388C9" w14:textId="03C73DAE" w:rsidR="00975446" w:rsidRPr="00A52969" w:rsidRDefault="00976AC7">
      <w:pPr>
        <w:rPr>
          <w:rFonts w:cs="Segoe UI"/>
          <w:b/>
          <w:bCs/>
          <w:szCs w:val="22"/>
          <w:lang w:eastAsia="zh-TW"/>
        </w:rPr>
      </w:pPr>
      <w:r w:rsidRPr="00A52969">
        <w:rPr>
          <w:rFonts w:hint="eastAsia"/>
          <w:b/>
          <w:lang w:eastAsia="zh-TW"/>
        </w:rPr>
        <w:t>漢高首席執行官卡斯滕·諾貝爾（</w:t>
      </w:r>
      <w:r w:rsidRPr="00A52969">
        <w:rPr>
          <w:b/>
          <w:lang w:eastAsia="zh-TW"/>
        </w:rPr>
        <w:t>Carsten Knobel</w:t>
      </w:r>
      <w:r w:rsidRPr="00A52969">
        <w:rPr>
          <w:rFonts w:hint="eastAsia"/>
          <w:b/>
          <w:lang w:eastAsia="zh-TW"/>
        </w:rPr>
        <w:t>）表示</w:t>
      </w:r>
      <w:r w:rsidRPr="00A52969">
        <w:rPr>
          <w:rFonts w:cs="Segoe UI" w:hint="eastAsia"/>
          <w:b/>
          <w:bCs/>
          <w:szCs w:val="22"/>
          <w:lang w:eastAsia="zh-TW"/>
        </w:rPr>
        <w:t>：“</w:t>
      </w:r>
      <w:r w:rsidRPr="00561841">
        <w:rPr>
          <w:rFonts w:cs="Segoe UI" w:hint="eastAsia"/>
          <w:b/>
          <w:bCs/>
          <w:szCs w:val="22"/>
          <w:lang w:eastAsia="zh-TW"/>
        </w:rPr>
        <w:t>我們所處的經營環境一直並將繼續面臨重大挑戰，包括</w:t>
      </w:r>
      <w:r w:rsidRPr="00F211EC">
        <w:rPr>
          <w:rFonts w:cs="Segoe UI" w:hint="eastAsia"/>
          <w:b/>
          <w:bCs/>
          <w:szCs w:val="22"/>
          <w:lang w:eastAsia="zh-TW"/>
        </w:rPr>
        <w:t>國際衝突</w:t>
      </w:r>
      <w:r w:rsidRPr="00561841">
        <w:rPr>
          <w:rFonts w:cs="Segoe UI" w:hint="eastAsia"/>
          <w:b/>
          <w:bCs/>
          <w:szCs w:val="22"/>
          <w:lang w:eastAsia="zh-TW"/>
        </w:rPr>
        <w:t>、全球多地的地緣政治緊張，以及廣泛的貿易與關稅摩擦。</w:t>
      </w:r>
      <w:r>
        <w:rPr>
          <w:rFonts w:cs="Segoe UI" w:hint="eastAsia"/>
          <w:b/>
          <w:bCs/>
          <w:szCs w:val="22"/>
          <w:lang w:eastAsia="zh-TW"/>
        </w:rPr>
        <w:t>這些</w:t>
      </w:r>
      <w:r w:rsidRPr="00A52969">
        <w:rPr>
          <w:rFonts w:cs="Segoe UI" w:hint="eastAsia"/>
          <w:b/>
          <w:bCs/>
          <w:szCs w:val="22"/>
          <w:lang w:eastAsia="zh-TW"/>
        </w:rPr>
        <w:t>不確定性持續抑制消費信心與工業需求，而</w:t>
      </w:r>
      <w:r w:rsidRPr="00A52969">
        <w:rPr>
          <w:rFonts w:cs="Segoe UI"/>
          <w:b/>
          <w:bCs/>
          <w:szCs w:val="22"/>
          <w:lang w:eastAsia="zh-TW"/>
        </w:rPr>
        <w:t>2</w:t>
      </w:r>
      <w:r w:rsidRPr="00A52969">
        <w:rPr>
          <w:rFonts w:cs="Segoe UI" w:hint="eastAsia"/>
          <w:b/>
          <w:bCs/>
          <w:szCs w:val="22"/>
          <w:lang w:eastAsia="zh-TW"/>
        </w:rPr>
        <w:t>月底</w:t>
      </w:r>
      <w:r>
        <w:rPr>
          <w:rFonts w:cs="Segoe UI" w:hint="eastAsia"/>
          <w:b/>
          <w:bCs/>
          <w:szCs w:val="22"/>
          <w:lang w:eastAsia="zh-TW"/>
        </w:rPr>
        <w:t>中東局勢的影響</w:t>
      </w:r>
      <w:r w:rsidRPr="00A52969">
        <w:rPr>
          <w:rFonts w:cs="Segoe UI" w:hint="eastAsia"/>
          <w:b/>
          <w:bCs/>
          <w:szCs w:val="22"/>
          <w:lang w:eastAsia="zh-TW"/>
        </w:rPr>
        <w:t>更使風險顯著加劇。”</w:t>
      </w:r>
      <w:r w:rsidRPr="00A52969">
        <w:rPr>
          <w:rFonts w:hint="eastAsia"/>
          <w:b/>
          <w:lang w:eastAsia="zh-TW"/>
        </w:rPr>
        <w:t>卡斯滕·諾貝爾繼續說道：</w:t>
      </w:r>
      <w:r w:rsidRPr="00A52969">
        <w:rPr>
          <w:rFonts w:cs="Segoe UI" w:hint="eastAsia"/>
          <w:b/>
          <w:bCs/>
          <w:szCs w:val="22"/>
          <w:lang w:eastAsia="zh-TW"/>
        </w:rPr>
        <w:t>“儘管</w:t>
      </w:r>
      <w:r>
        <w:rPr>
          <w:rFonts w:cs="Segoe UI" w:hint="eastAsia"/>
          <w:b/>
          <w:bCs/>
          <w:szCs w:val="22"/>
          <w:lang w:eastAsia="zh-TW"/>
        </w:rPr>
        <w:t>經濟</w:t>
      </w:r>
      <w:r w:rsidRPr="00A52969">
        <w:rPr>
          <w:rFonts w:cs="Segoe UI" w:hint="eastAsia"/>
          <w:b/>
          <w:bCs/>
          <w:szCs w:val="22"/>
          <w:lang w:eastAsia="zh-TW"/>
        </w:rPr>
        <w:t>環境持續嚴峻，漢高在</w:t>
      </w:r>
      <w:r w:rsidRPr="00A52969">
        <w:rPr>
          <w:rFonts w:cs="Segoe UI"/>
          <w:b/>
          <w:bCs/>
          <w:szCs w:val="22"/>
          <w:lang w:eastAsia="zh-TW"/>
        </w:rPr>
        <w:t>2025</w:t>
      </w:r>
      <w:r w:rsidRPr="00A52969">
        <w:rPr>
          <w:rFonts w:cs="Segoe UI" w:hint="eastAsia"/>
          <w:b/>
          <w:bCs/>
          <w:szCs w:val="22"/>
          <w:lang w:eastAsia="zh-TW"/>
        </w:rPr>
        <w:t>年仍穩步前行。我們不僅達</w:t>
      </w:r>
      <w:r w:rsidRPr="00A52969">
        <w:rPr>
          <w:rFonts w:cs="Segoe UI" w:hint="eastAsia"/>
          <w:b/>
          <w:bCs/>
          <w:szCs w:val="22"/>
          <w:lang w:eastAsia="zh-TW"/>
        </w:rPr>
        <w:lastRenderedPageBreak/>
        <w:t>成並超越關鍵目標，更</w:t>
      </w:r>
      <w:r>
        <w:rPr>
          <w:rFonts w:cs="Segoe UI" w:hint="eastAsia"/>
          <w:b/>
          <w:bCs/>
          <w:szCs w:val="22"/>
          <w:lang w:eastAsia="zh-TW"/>
        </w:rPr>
        <w:t>推動公司</w:t>
      </w:r>
      <w:r w:rsidRPr="00A52969">
        <w:rPr>
          <w:rFonts w:cs="Segoe UI" w:hint="eastAsia"/>
          <w:b/>
          <w:bCs/>
          <w:szCs w:val="22"/>
          <w:lang w:eastAsia="zh-TW"/>
        </w:rPr>
        <w:t>轉型，實現銷售額有機增長</w:t>
      </w:r>
      <w:r>
        <w:rPr>
          <w:rFonts w:cs="Segoe UI" w:hint="eastAsia"/>
          <w:b/>
          <w:bCs/>
          <w:szCs w:val="22"/>
          <w:lang w:eastAsia="zh-TW"/>
        </w:rPr>
        <w:t>並</w:t>
      </w:r>
      <w:r w:rsidRPr="00A52969">
        <w:rPr>
          <w:rFonts w:cs="Segoe UI" w:hint="eastAsia"/>
          <w:b/>
          <w:bCs/>
          <w:szCs w:val="22"/>
          <w:lang w:eastAsia="zh-TW"/>
        </w:rPr>
        <w:t>顯著提升</w:t>
      </w:r>
      <w:r>
        <w:rPr>
          <w:rFonts w:cs="Segoe UI" w:hint="eastAsia"/>
          <w:b/>
          <w:bCs/>
          <w:szCs w:val="22"/>
          <w:lang w:eastAsia="zh-TW"/>
        </w:rPr>
        <w:t>了</w:t>
      </w:r>
      <w:r w:rsidRPr="00A52969">
        <w:rPr>
          <w:rFonts w:cs="Segoe UI" w:hint="eastAsia"/>
          <w:b/>
          <w:bCs/>
          <w:szCs w:val="22"/>
          <w:lang w:eastAsia="zh-TW"/>
        </w:rPr>
        <w:t>盈利能力。為回饋股東共用發展成果，</w:t>
      </w:r>
      <w:r>
        <w:rPr>
          <w:rFonts w:cs="Segoe UI" w:hint="eastAsia"/>
          <w:b/>
          <w:bCs/>
          <w:szCs w:val="22"/>
          <w:lang w:eastAsia="zh-TW"/>
        </w:rPr>
        <w:t>我們將</w:t>
      </w:r>
      <w:r w:rsidRPr="00A52969">
        <w:rPr>
          <w:rFonts w:cs="Segoe UI" w:hint="eastAsia"/>
          <w:b/>
          <w:bCs/>
          <w:szCs w:val="22"/>
          <w:lang w:eastAsia="zh-TW"/>
        </w:rPr>
        <w:t>提議股息上調</w:t>
      </w:r>
      <w:r w:rsidRPr="00A52969">
        <w:rPr>
          <w:rFonts w:cs="Segoe UI"/>
          <w:b/>
          <w:bCs/>
          <w:szCs w:val="22"/>
          <w:lang w:eastAsia="zh-TW"/>
        </w:rPr>
        <w:t>1.5%</w:t>
      </w:r>
      <w:r w:rsidRPr="00A52969">
        <w:rPr>
          <w:rFonts w:cs="Segoe UI" w:hint="eastAsia"/>
          <w:b/>
          <w:bCs/>
          <w:szCs w:val="22"/>
          <w:lang w:eastAsia="zh-TW"/>
        </w:rPr>
        <w:t>。”</w:t>
      </w:r>
    </w:p>
    <w:p w14:paraId="341367D4" w14:textId="77777777" w:rsidR="00975446" w:rsidRPr="00A52969" w:rsidRDefault="00975446">
      <w:pPr>
        <w:rPr>
          <w:rFonts w:cs="Segoe UI"/>
          <w:b/>
          <w:bCs/>
          <w:szCs w:val="22"/>
          <w:lang w:eastAsia="zh-TW"/>
        </w:rPr>
      </w:pPr>
      <w:bookmarkStart w:id="5" w:name="_Hlk190777016"/>
    </w:p>
    <w:bookmarkEnd w:id="5"/>
    <w:p w14:paraId="27467D71" w14:textId="0889D675" w:rsidR="00975446" w:rsidRPr="00A52969" w:rsidRDefault="00976AC7">
      <w:pPr>
        <w:spacing w:after="120"/>
        <w:rPr>
          <w:rFonts w:cs="Segoe UI"/>
          <w:b/>
          <w:bCs/>
          <w:szCs w:val="22"/>
          <w:lang w:eastAsia="zh-CN"/>
        </w:rPr>
      </w:pPr>
      <w:r w:rsidRPr="00A52969">
        <w:rPr>
          <w:rFonts w:hint="eastAsia"/>
          <w:b/>
          <w:lang w:eastAsia="zh-TW"/>
        </w:rPr>
        <w:t>卡斯滕·諾貝爾還總結道：“</w:t>
      </w:r>
      <w:r w:rsidRPr="00F4126E">
        <w:rPr>
          <w:rFonts w:cs="Segoe UI" w:hint="eastAsia"/>
          <w:b/>
          <w:bCs/>
          <w:szCs w:val="22"/>
          <w:lang w:eastAsia="zh-TW"/>
        </w:rPr>
        <w:t>通過持續的創新、降本增效以及高利潤領域的強勁表現，我們在粘合劑技術與消費品牌兩大業務部門均實現了有機增長並進一步提升了盈利能力。</w:t>
      </w:r>
      <w:r w:rsidRPr="00A52969">
        <w:rPr>
          <w:rFonts w:cs="Segoe UI" w:hint="eastAsia"/>
          <w:b/>
          <w:bCs/>
          <w:szCs w:val="22"/>
          <w:lang w:eastAsia="zh-TW"/>
        </w:rPr>
        <w:t>其中，</w:t>
      </w:r>
      <w:r w:rsidRPr="00F4126E">
        <w:rPr>
          <w:rFonts w:cs="Segoe UI" w:hint="eastAsia"/>
          <w:b/>
          <w:bCs/>
          <w:szCs w:val="22"/>
          <w:lang w:eastAsia="zh-TW"/>
        </w:rPr>
        <w:t>得益於整合的完成、持續節約成本以及產品組合優化帶來的價值提升。</w:t>
      </w:r>
      <w:r w:rsidRPr="00A52969">
        <w:rPr>
          <w:rFonts w:cs="Segoe UI" w:hint="eastAsia"/>
          <w:b/>
          <w:bCs/>
          <w:szCs w:val="22"/>
          <w:lang w:eastAsia="zh-TW"/>
        </w:rPr>
        <w:t>與此同時，我們持續加碼兩大業務部門的未來佈局，聚焦品牌強化、創新研發、可持續發展及數位化轉型。過去三個月內，我們在兩大部門達成</w:t>
      </w:r>
      <w:r>
        <w:rPr>
          <w:rFonts w:cs="Segoe UI" w:hint="eastAsia"/>
          <w:b/>
          <w:bCs/>
          <w:szCs w:val="22"/>
          <w:lang w:eastAsia="zh-TW"/>
        </w:rPr>
        <w:t>總銷售額約</w:t>
      </w:r>
      <w:r>
        <w:rPr>
          <w:rFonts w:cs="Segoe UI"/>
          <w:b/>
          <w:bCs/>
          <w:szCs w:val="22"/>
          <w:lang w:eastAsia="zh-TW"/>
        </w:rPr>
        <w:t>12</w:t>
      </w:r>
      <w:r>
        <w:rPr>
          <w:rFonts w:cs="Segoe UI" w:hint="eastAsia"/>
          <w:b/>
          <w:bCs/>
          <w:szCs w:val="22"/>
          <w:lang w:eastAsia="zh-TW"/>
        </w:rPr>
        <w:t>億歐元的</w:t>
      </w:r>
      <w:r w:rsidRPr="00A52969">
        <w:rPr>
          <w:rFonts w:cs="Segoe UI" w:hint="eastAsia"/>
          <w:b/>
          <w:bCs/>
          <w:szCs w:val="22"/>
          <w:lang w:eastAsia="zh-TW"/>
        </w:rPr>
        <w:t>收購協定，旨在進一步夯實業務基礎並拓展增長潛力。</w:t>
      </w:r>
      <w:r w:rsidRPr="00A52969">
        <w:rPr>
          <w:rFonts w:cs="Segoe UI"/>
          <w:b/>
          <w:bCs/>
          <w:szCs w:val="22"/>
          <w:lang w:eastAsia="zh-TW"/>
        </w:rPr>
        <w:t>2025</w:t>
      </w:r>
      <w:r w:rsidRPr="00A52969">
        <w:rPr>
          <w:rFonts w:cs="Segoe UI" w:hint="eastAsia"/>
          <w:b/>
          <w:bCs/>
          <w:szCs w:val="22"/>
          <w:lang w:eastAsia="zh-TW"/>
        </w:rPr>
        <w:t>年的業績有力印證了我們可持續</w:t>
      </w:r>
      <w:r>
        <w:rPr>
          <w:rFonts w:cs="Segoe UI" w:hint="eastAsia"/>
          <w:b/>
          <w:bCs/>
          <w:szCs w:val="22"/>
          <w:lang w:eastAsia="zh-TW"/>
        </w:rPr>
        <w:t>的目標性增長</w:t>
      </w:r>
      <w:r w:rsidRPr="00A52969">
        <w:rPr>
          <w:rFonts w:cs="Segoe UI" w:hint="eastAsia"/>
          <w:b/>
          <w:bCs/>
          <w:szCs w:val="22"/>
          <w:lang w:eastAsia="zh-TW"/>
        </w:rPr>
        <w:t>戰略行之有效，為公司長遠發展奠定了堅實基礎。展望</w:t>
      </w:r>
      <w:r w:rsidRPr="00A52969">
        <w:rPr>
          <w:rFonts w:cs="Segoe UI"/>
          <w:b/>
          <w:bCs/>
          <w:szCs w:val="22"/>
          <w:lang w:eastAsia="zh-TW"/>
        </w:rPr>
        <w:t>2026</w:t>
      </w:r>
      <w:r w:rsidRPr="00A52969">
        <w:rPr>
          <w:rFonts w:cs="Segoe UI" w:hint="eastAsia"/>
          <w:b/>
          <w:bCs/>
          <w:szCs w:val="22"/>
          <w:lang w:eastAsia="zh-TW"/>
        </w:rPr>
        <w:t>財年，儘管</w:t>
      </w:r>
      <w:r>
        <w:rPr>
          <w:rFonts w:cs="Segoe UI" w:hint="eastAsia"/>
          <w:b/>
          <w:bCs/>
          <w:szCs w:val="22"/>
          <w:lang w:eastAsia="zh-TW"/>
        </w:rPr>
        <w:t>年初可能增長較為平緩</w:t>
      </w:r>
      <w:r w:rsidRPr="00A52969">
        <w:rPr>
          <w:rFonts w:cs="Segoe UI" w:hint="eastAsia"/>
          <w:b/>
          <w:bCs/>
          <w:szCs w:val="22"/>
          <w:lang w:eastAsia="zh-TW"/>
        </w:rPr>
        <w:t>，但我們預期銷售額與收益</w:t>
      </w:r>
      <w:r>
        <w:rPr>
          <w:rFonts w:cs="Segoe UI" w:hint="eastAsia"/>
          <w:b/>
          <w:bCs/>
          <w:szCs w:val="22"/>
          <w:lang w:eastAsia="zh-TW"/>
        </w:rPr>
        <w:t>仍</w:t>
      </w:r>
      <w:r w:rsidRPr="00A52969">
        <w:rPr>
          <w:rFonts w:cs="Segoe UI" w:hint="eastAsia"/>
          <w:b/>
          <w:bCs/>
          <w:szCs w:val="22"/>
          <w:lang w:eastAsia="zh-TW"/>
        </w:rPr>
        <w:t>將</w:t>
      </w:r>
      <w:r>
        <w:rPr>
          <w:rFonts w:cs="Segoe UI" w:hint="eastAsia"/>
          <w:b/>
          <w:bCs/>
          <w:szCs w:val="22"/>
          <w:lang w:eastAsia="zh-TW"/>
        </w:rPr>
        <w:t>繼續</w:t>
      </w:r>
      <w:r w:rsidRPr="00A52969">
        <w:rPr>
          <w:rFonts w:cs="Segoe UI" w:hint="eastAsia"/>
          <w:b/>
          <w:bCs/>
          <w:szCs w:val="22"/>
          <w:lang w:eastAsia="zh-TW"/>
        </w:rPr>
        <w:t>增長。在此，我要向全體員工致以誠摯謝意：正是憑藉卓越的團隊協作與</w:t>
      </w:r>
      <w:r>
        <w:rPr>
          <w:rFonts w:cs="Segoe UI" w:hint="eastAsia"/>
          <w:b/>
          <w:bCs/>
          <w:szCs w:val="22"/>
          <w:lang w:eastAsia="zh-TW"/>
        </w:rPr>
        <w:t>非凡投入</w:t>
      </w:r>
      <w:r w:rsidRPr="00A52969">
        <w:rPr>
          <w:rFonts w:cs="Segoe UI" w:hint="eastAsia"/>
          <w:b/>
          <w:bCs/>
          <w:szCs w:val="22"/>
          <w:lang w:eastAsia="zh-TW"/>
        </w:rPr>
        <w:t>，我們才得以在充滿挑戰的環境中再次</w:t>
      </w:r>
      <w:r>
        <w:rPr>
          <w:rFonts w:cs="Segoe UI" w:hint="eastAsia"/>
          <w:b/>
          <w:bCs/>
          <w:szCs w:val="22"/>
          <w:lang w:eastAsia="zh-TW"/>
        </w:rPr>
        <w:t>成功</w:t>
      </w:r>
      <w:r w:rsidRPr="00A52969">
        <w:rPr>
          <w:rFonts w:cs="Segoe UI" w:hint="eastAsia"/>
          <w:b/>
          <w:bCs/>
          <w:szCs w:val="22"/>
          <w:lang w:eastAsia="zh-TW"/>
        </w:rPr>
        <w:t>引領公司前行。</w:t>
      </w:r>
      <w:r w:rsidRPr="00A52969">
        <w:rPr>
          <w:rFonts w:hint="eastAsia"/>
          <w:b/>
          <w:lang w:eastAsia="zh-TW"/>
        </w:rPr>
        <w:t>”</w:t>
      </w:r>
    </w:p>
    <w:p w14:paraId="03C49786" w14:textId="77777777" w:rsidR="009A4332" w:rsidRDefault="009A4332">
      <w:pPr>
        <w:spacing w:after="120"/>
        <w:jc w:val="left"/>
        <w:rPr>
          <w:b/>
          <w:lang w:eastAsia="zh-CN"/>
        </w:rPr>
      </w:pPr>
    </w:p>
    <w:p w14:paraId="564722C1" w14:textId="117C9045" w:rsidR="00975446" w:rsidRPr="00A52969" w:rsidRDefault="00976AC7">
      <w:pPr>
        <w:spacing w:after="120"/>
        <w:jc w:val="left"/>
        <w:rPr>
          <w:rFonts w:cs="Segoe UI"/>
          <w:b/>
          <w:szCs w:val="22"/>
          <w:lang w:eastAsia="zh-CN"/>
        </w:rPr>
      </w:pPr>
      <w:r w:rsidRPr="00A52969">
        <w:rPr>
          <w:b/>
          <w:lang w:eastAsia="zh-TW"/>
        </w:rPr>
        <w:t>2025</w:t>
      </w:r>
      <w:r w:rsidRPr="00A52969">
        <w:rPr>
          <w:rFonts w:hint="eastAsia"/>
          <w:b/>
          <w:lang w:eastAsia="zh-TW"/>
        </w:rPr>
        <w:t>財年集團銷售額及盈利表現</w:t>
      </w:r>
    </w:p>
    <w:p w14:paraId="4D1C7EFA" w14:textId="650A21EE" w:rsidR="00975446" w:rsidRPr="00A52969" w:rsidRDefault="00976AC7">
      <w:pPr>
        <w:rPr>
          <w:rFonts w:cs="Segoe UI"/>
          <w:szCs w:val="22"/>
          <w:lang w:eastAsia="zh-TW"/>
        </w:rPr>
      </w:pPr>
      <w:r w:rsidRPr="00A52969">
        <w:rPr>
          <w:rFonts w:cs="Segoe UI" w:hint="eastAsia"/>
          <w:szCs w:val="22"/>
          <w:lang w:eastAsia="zh-TW"/>
        </w:rPr>
        <w:t>漢高集團</w:t>
      </w:r>
      <w:r w:rsidRPr="00A52969">
        <w:rPr>
          <w:rFonts w:cs="Segoe UI"/>
          <w:szCs w:val="22"/>
          <w:lang w:eastAsia="zh-TW"/>
        </w:rPr>
        <w:t>2025</w:t>
      </w:r>
      <w:r w:rsidRPr="00A52969">
        <w:rPr>
          <w:rFonts w:cs="Segoe UI" w:hint="eastAsia"/>
          <w:szCs w:val="22"/>
          <w:lang w:eastAsia="zh-TW"/>
        </w:rPr>
        <w:t>財年的</w:t>
      </w:r>
      <w:r w:rsidRPr="00A52969">
        <w:rPr>
          <w:rFonts w:cs="Segoe UI" w:hint="eastAsia"/>
          <w:b/>
          <w:bCs/>
          <w:szCs w:val="22"/>
          <w:lang w:eastAsia="zh-TW"/>
        </w:rPr>
        <w:t>銷售額</w:t>
      </w:r>
      <w:r w:rsidRPr="00A52969">
        <w:rPr>
          <w:rFonts w:cs="Segoe UI" w:hint="eastAsia"/>
          <w:szCs w:val="22"/>
          <w:lang w:eastAsia="zh-TW"/>
        </w:rPr>
        <w:t>達到</w:t>
      </w:r>
      <w:r w:rsidRPr="00A52969">
        <w:rPr>
          <w:lang w:eastAsia="zh-TW"/>
        </w:rPr>
        <w:t>204.95</w:t>
      </w:r>
      <w:r w:rsidRPr="00A52969">
        <w:rPr>
          <w:rFonts w:hint="eastAsia"/>
          <w:lang w:eastAsia="zh-TW"/>
        </w:rPr>
        <w:t>億</w:t>
      </w:r>
      <w:r w:rsidRPr="00A52969">
        <w:rPr>
          <w:rFonts w:cs="Segoe UI" w:hint="eastAsia"/>
          <w:szCs w:val="22"/>
          <w:lang w:eastAsia="zh-TW"/>
        </w:rPr>
        <w:t>歐元，</w:t>
      </w:r>
      <w:r>
        <w:rPr>
          <w:rFonts w:cs="Segoe UI" w:hint="eastAsia"/>
          <w:szCs w:val="22"/>
          <w:lang w:eastAsia="zh-TW"/>
        </w:rPr>
        <w:t>名義同比</w:t>
      </w:r>
      <w:r w:rsidRPr="00A52969">
        <w:rPr>
          <w:rFonts w:hint="eastAsia"/>
          <w:lang w:eastAsia="zh-TW"/>
        </w:rPr>
        <w:t>下降</w:t>
      </w:r>
      <w:r w:rsidRPr="00A52969">
        <w:rPr>
          <w:lang w:eastAsia="zh-TW"/>
        </w:rPr>
        <w:t xml:space="preserve"> </w:t>
      </w:r>
      <w:r w:rsidRPr="00A52969">
        <w:rPr>
          <w:rStyle w:val="Strong"/>
          <w:b w:val="0"/>
          <w:bCs w:val="0"/>
          <w:lang w:eastAsia="zh-TW"/>
        </w:rPr>
        <w:t>5.1%</w:t>
      </w:r>
      <w:r w:rsidRPr="00A52969">
        <w:rPr>
          <w:rFonts w:cs="Segoe UI" w:hint="eastAsia"/>
          <w:szCs w:val="22"/>
          <w:lang w:eastAsia="zh-TW"/>
        </w:rPr>
        <w:t>。匯率因素導致銷售額下滑</w:t>
      </w:r>
      <w:r w:rsidRPr="00A52969">
        <w:rPr>
          <w:rFonts w:cs="Segoe UI"/>
          <w:szCs w:val="22"/>
          <w:lang w:eastAsia="zh-TW"/>
        </w:rPr>
        <w:t>4.2%</w:t>
      </w:r>
      <w:r w:rsidRPr="00A52969">
        <w:rPr>
          <w:rFonts w:cs="Segoe UI" w:hint="eastAsia"/>
          <w:szCs w:val="22"/>
          <w:lang w:eastAsia="zh-TW"/>
        </w:rPr>
        <w:t>。對匯率因素進行調整後，銷售額下降幅度為</w:t>
      </w:r>
      <w:r w:rsidRPr="00A52969">
        <w:rPr>
          <w:rFonts w:cs="Segoe UI"/>
          <w:szCs w:val="22"/>
          <w:lang w:eastAsia="zh-TW"/>
        </w:rPr>
        <w:t>0.8%</w:t>
      </w:r>
      <w:r w:rsidRPr="00A52969">
        <w:rPr>
          <w:rFonts w:cs="Segoe UI" w:hint="eastAsia"/>
          <w:szCs w:val="22"/>
          <w:lang w:eastAsia="zh-TW"/>
        </w:rPr>
        <w:t>。收購</w:t>
      </w:r>
      <w:r w:rsidRPr="00A52969">
        <w:rPr>
          <w:rFonts w:cs="Segoe UI"/>
          <w:szCs w:val="22"/>
          <w:lang w:eastAsia="zh-TW"/>
        </w:rPr>
        <w:t>/</w:t>
      </w:r>
      <w:r w:rsidRPr="00A52969">
        <w:rPr>
          <w:rFonts w:cs="Segoe UI" w:hint="eastAsia"/>
          <w:szCs w:val="22"/>
          <w:lang w:eastAsia="zh-TW"/>
        </w:rPr>
        <w:t>撤資導致銷售額下降</w:t>
      </w:r>
      <w:r w:rsidRPr="00A52969">
        <w:rPr>
          <w:rFonts w:cs="Segoe UI"/>
          <w:szCs w:val="22"/>
          <w:lang w:eastAsia="zh-TW"/>
        </w:rPr>
        <w:t>1.7%</w:t>
      </w:r>
      <w:r w:rsidRPr="00A52969">
        <w:rPr>
          <w:rFonts w:cs="Segoe UI" w:hint="eastAsia"/>
          <w:szCs w:val="22"/>
          <w:lang w:eastAsia="zh-TW"/>
        </w:rPr>
        <w:t>，這主要是由於消費品牌業務部出售了其在北美的</w:t>
      </w:r>
      <w:r w:rsidRPr="00A52969">
        <w:rPr>
          <w:rFonts w:hint="eastAsia"/>
          <w:lang w:eastAsia="zh-TW"/>
        </w:rPr>
        <w:t>零售品牌業務</w:t>
      </w:r>
      <w:r w:rsidRPr="00A52969">
        <w:rPr>
          <w:rFonts w:cs="Segoe UI" w:hint="eastAsia"/>
          <w:szCs w:val="22"/>
          <w:lang w:eastAsia="zh-TW"/>
        </w:rPr>
        <w:t>。</w:t>
      </w:r>
      <w:r w:rsidRPr="00A52969">
        <w:rPr>
          <w:rFonts w:cs="Segoe UI" w:hint="eastAsia"/>
          <w:b/>
          <w:bCs/>
          <w:szCs w:val="22"/>
          <w:lang w:eastAsia="zh-TW"/>
        </w:rPr>
        <w:t>有機銷售額增長</w:t>
      </w:r>
      <w:r w:rsidRPr="00A52969">
        <w:rPr>
          <w:rFonts w:cs="Segoe UI" w:hint="eastAsia"/>
          <w:szCs w:val="22"/>
          <w:lang w:eastAsia="zh-TW"/>
        </w:rPr>
        <w:t>，即對匯率因素和收購</w:t>
      </w:r>
      <w:r w:rsidRPr="00A52969">
        <w:rPr>
          <w:rFonts w:cs="Segoe UI"/>
          <w:szCs w:val="22"/>
          <w:lang w:eastAsia="zh-TW"/>
        </w:rPr>
        <w:t>/</w:t>
      </w:r>
      <w:r w:rsidRPr="00A52969">
        <w:rPr>
          <w:rFonts w:cs="Segoe UI" w:hint="eastAsia"/>
          <w:szCs w:val="22"/>
          <w:lang w:eastAsia="zh-TW"/>
        </w:rPr>
        <w:t>撤資進行調整後的增長幅度為</w:t>
      </w:r>
      <w:r w:rsidRPr="00A52969">
        <w:rPr>
          <w:rFonts w:cs="Segoe UI"/>
          <w:szCs w:val="22"/>
          <w:lang w:eastAsia="zh-TW"/>
        </w:rPr>
        <w:t>0.9%</w:t>
      </w:r>
      <w:r w:rsidRPr="00A52969">
        <w:rPr>
          <w:rFonts w:cs="Segoe UI" w:hint="eastAsia"/>
          <w:szCs w:val="22"/>
          <w:lang w:eastAsia="zh-TW"/>
        </w:rPr>
        <w:t>。這</w:t>
      </w:r>
      <w:r>
        <w:rPr>
          <w:rFonts w:cs="Segoe UI" w:hint="eastAsia"/>
          <w:szCs w:val="22"/>
          <w:lang w:eastAsia="zh-TW"/>
        </w:rPr>
        <w:t>主要由</w:t>
      </w:r>
      <w:r w:rsidRPr="00A52969">
        <w:rPr>
          <w:rFonts w:cs="Segoe UI" w:hint="eastAsia"/>
          <w:szCs w:val="22"/>
          <w:lang w:eastAsia="zh-TW"/>
        </w:rPr>
        <w:t>價格增長</w:t>
      </w:r>
      <w:r>
        <w:rPr>
          <w:rFonts w:cs="Segoe UI" w:hint="eastAsia"/>
          <w:szCs w:val="22"/>
          <w:lang w:eastAsia="zh-TW"/>
        </w:rPr>
        <w:t>所驅動</w:t>
      </w:r>
      <w:r w:rsidRPr="00A52969">
        <w:rPr>
          <w:rFonts w:cs="Segoe UI" w:hint="eastAsia"/>
          <w:szCs w:val="22"/>
          <w:lang w:eastAsia="zh-TW"/>
        </w:rPr>
        <w:t>，</w:t>
      </w:r>
      <w:r w:rsidRPr="00A52969">
        <w:rPr>
          <w:rFonts w:hint="eastAsia"/>
          <w:lang w:eastAsia="zh-TW"/>
        </w:rPr>
        <w:t>而銷量與上年基本持平</w:t>
      </w:r>
      <w:r w:rsidRPr="00A52969">
        <w:rPr>
          <w:rFonts w:cs="Segoe UI" w:hint="eastAsia"/>
          <w:szCs w:val="22"/>
          <w:lang w:eastAsia="zh-TW"/>
        </w:rPr>
        <w:t>。</w:t>
      </w:r>
    </w:p>
    <w:p w14:paraId="59400C18" w14:textId="77777777" w:rsidR="00975446" w:rsidRPr="00A52969" w:rsidRDefault="00975446">
      <w:pPr>
        <w:rPr>
          <w:rFonts w:cs="Segoe UI"/>
          <w:szCs w:val="22"/>
          <w:lang w:eastAsia="zh-TW"/>
        </w:rPr>
      </w:pPr>
    </w:p>
    <w:p w14:paraId="35A24248" w14:textId="72E8F2B9" w:rsidR="00975446" w:rsidRPr="00A52969" w:rsidRDefault="00976AC7">
      <w:pPr>
        <w:rPr>
          <w:rFonts w:cs="Segoe UI"/>
          <w:szCs w:val="22"/>
          <w:lang w:eastAsia="zh-CN"/>
        </w:rPr>
      </w:pPr>
      <w:r w:rsidRPr="00A52969">
        <w:rPr>
          <w:rFonts w:hint="eastAsia"/>
          <w:b/>
          <w:bCs/>
          <w:lang w:eastAsia="zh-TW"/>
        </w:rPr>
        <w:t>粘合劑技術</w:t>
      </w:r>
      <w:r w:rsidRPr="00A52969">
        <w:rPr>
          <w:rFonts w:hint="eastAsia"/>
          <w:lang w:eastAsia="zh-TW"/>
        </w:rPr>
        <w:t>業務部的有機銷售額增長</w:t>
      </w:r>
      <w:r w:rsidRPr="00A52969">
        <w:rPr>
          <w:lang w:eastAsia="zh-TW"/>
        </w:rPr>
        <w:t>1.5%</w:t>
      </w:r>
      <w:r w:rsidRPr="00A52969">
        <w:rPr>
          <w:rFonts w:hint="eastAsia"/>
          <w:lang w:eastAsia="zh-TW"/>
        </w:rPr>
        <w:t>，主要</w:t>
      </w:r>
      <w:r>
        <w:rPr>
          <w:rFonts w:hint="eastAsia"/>
          <w:lang w:eastAsia="zh-TW"/>
        </w:rPr>
        <w:t>由</w:t>
      </w:r>
      <w:r w:rsidRPr="00A52969">
        <w:rPr>
          <w:rFonts w:hint="eastAsia"/>
          <w:lang w:eastAsia="zh-TW"/>
        </w:rPr>
        <w:t>移動與電子業務</w:t>
      </w:r>
      <w:r>
        <w:rPr>
          <w:rFonts w:hint="eastAsia"/>
          <w:lang w:eastAsia="zh-TW"/>
        </w:rPr>
        <w:t>所</w:t>
      </w:r>
      <w:r w:rsidRPr="00A52969">
        <w:rPr>
          <w:rFonts w:hint="eastAsia"/>
          <w:lang w:eastAsia="zh-TW"/>
        </w:rPr>
        <w:t>推動。在美髮業務領域的主要推動下，</w:t>
      </w:r>
      <w:r w:rsidRPr="00A52969">
        <w:rPr>
          <w:rFonts w:hint="eastAsia"/>
          <w:b/>
          <w:bCs/>
          <w:lang w:eastAsia="zh-TW"/>
        </w:rPr>
        <w:t>消費品牌</w:t>
      </w:r>
      <w:r w:rsidRPr="00A52969">
        <w:rPr>
          <w:rFonts w:hint="eastAsia"/>
          <w:lang w:eastAsia="zh-TW"/>
        </w:rPr>
        <w:t>業務部實現了</w:t>
      </w:r>
      <w:r w:rsidRPr="00A52969">
        <w:rPr>
          <w:lang w:eastAsia="zh-TW"/>
        </w:rPr>
        <w:t>0.3%</w:t>
      </w:r>
      <w:r w:rsidRPr="00A52969">
        <w:rPr>
          <w:rFonts w:hint="eastAsia"/>
          <w:lang w:eastAsia="zh-TW"/>
        </w:rPr>
        <w:t>的有機銷售額增長。</w:t>
      </w:r>
    </w:p>
    <w:p w14:paraId="2CD584BF" w14:textId="77777777" w:rsidR="00975446" w:rsidRPr="00A52969" w:rsidRDefault="00975446">
      <w:pPr>
        <w:rPr>
          <w:rFonts w:cs="Segoe UI"/>
          <w:b/>
          <w:bCs/>
          <w:szCs w:val="22"/>
          <w:lang w:eastAsia="zh-CN"/>
        </w:rPr>
      </w:pPr>
    </w:p>
    <w:p w14:paraId="70C277EF" w14:textId="328AC08C" w:rsidR="00975446" w:rsidRPr="00A52969" w:rsidRDefault="00976AC7">
      <w:pPr>
        <w:rPr>
          <w:rFonts w:cs="Segoe UI"/>
          <w:szCs w:val="22"/>
          <w:lang w:eastAsia="zh-CN"/>
        </w:rPr>
      </w:pPr>
      <w:r w:rsidRPr="00A52969">
        <w:rPr>
          <w:rFonts w:hint="eastAsia"/>
          <w:b/>
          <w:bCs/>
          <w:lang w:eastAsia="zh-TW"/>
        </w:rPr>
        <w:t>調整後的營業利潤（調整後的息稅前利潤率）</w:t>
      </w:r>
      <w:r w:rsidRPr="00A52969">
        <w:rPr>
          <w:rFonts w:hint="eastAsia"/>
          <w:lang w:eastAsia="zh-TW"/>
        </w:rPr>
        <w:t>達到</w:t>
      </w:r>
      <w:r w:rsidRPr="00A52969">
        <w:rPr>
          <w:lang w:eastAsia="zh-TW"/>
        </w:rPr>
        <w:t>30.26</w:t>
      </w:r>
      <w:r w:rsidRPr="00A52969">
        <w:rPr>
          <w:rFonts w:hint="eastAsia"/>
          <w:lang w:eastAsia="zh-TW"/>
        </w:rPr>
        <w:t>億歐元</w:t>
      </w:r>
      <w:r>
        <w:rPr>
          <w:rFonts w:hint="eastAsia"/>
          <w:lang w:eastAsia="zh-TW"/>
        </w:rPr>
        <w:t>，</w:t>
      </w:r>
      <w:r w:rsidRPr="00A52969">
        <w:rPr>
          <w:rFonts w:hint="eastAsia"/>
          <w:lang w:eastAsia="zh-TW"/>
        </w:rPr>
        <w:t>低於</w:t>
      </w:r>
      <w:r>
        <w:rPr>
          <w:rFonts w:hint="eastAsia"/>
          <w:lang w:eastAsia="zh-TW"/>
        </w:rPr>
        <w:t>上</w:t>
      </w:r>
      <w:r w:rsidRPr="00A52969">
        <w:rPr>
          <w:rFonts w:hint="eastAsia"/>
          <w:lang w:eastAsia="zh-TW"/>
        </w:rPr>
        <w:t>年水準（</w:t>
      </w:r>
      <w:r w:rsidRPr="00A52969">
        <w:rPr>
          <w:lang w:eastAsia="zh-TW"/>
        </w:rPr>
        <w:t>2024</w:t>
      </w:r>
      <w:r w:rsidRPr="00A52969">
        <w:rPr>
          <w:rFonts w:hint="eastAsia"/>
          <w:lang w:eastAsia="zh-TW"/>
        </w:rPr>
        <w:t>年：</w:t>
      </w:r>
      <w:r w:rsidRPr="00A52969">
        <w:rPr>
          <w:lang w:eastAsia="zh-TW"/>
        </w:rPr>
        <w:t>30.89</w:t>
      </w:r>
      <w:r w:rsidRPr="00A52969">
        <w:rPr>
          <w:rFonts w:hint="eastAsia"/>
          <w:lang w:eastAsia="zh-TW"/>
        </w:rPr>
        <w:t>億歐元），</w:t>
      </w:r>
      <w:r w:rsidRPr="00A52969">
        <w:rPr>
          <w:rFonts w:cs="Segoe UI" w:hint="eastAsia"/>
          <w:shd w:val="clear" w:color="auto" w:fill="FFFFFF"/>
          <w:lang w:eastAsia="zh-TW"/>
        </w:rPr>
        <w:t>主要</w:t>
      </w:r>
      <w:r>
        <w:rPr>
          <w:rFonts w:cs="Segoe UI" w:hint="eastAsia"/>
          <w:shd w:val="clear" w:color="auto" w:fill="FFFFFF"/>
          <w:lang w:eastAsia="zh-TW"/>
        </w:rPr>
        <w:t>由</w:t>
      </w:r>
      <w:r w:rsidRPr="00A52969">
        <w:rPr>
          <w:rFonts w:cs="Segoe UI" w:hint="eastAsia"/>
          <w:shd w:val="clear" w:color="auto" w:fill="FFFFFF"/>
          <w:lang w:eastAsia="zh-TW"/>
        </w:rPr>
        <w:t>顯著的負面匯率影響所致。</w:t>
      </w:r>
    </w:p>
    <w:p w14:paraId="6F7FF53F" w14:textId="77777777" w:rsidR="00975446" w:rsidRPr="00A52969" w:rsidRDefault="00975446">
      <w:pPr>
        <w:rPr>
          <w:rFonts w:cs="Segoe UI"/>
          <w:szCs w:val="22"/>
          <w:lang w:eastAsia="zh-CN"/>
        </w:rPr>
      </w:pPr>
    </w:p>
    <w:p w14:paraId="12DD4A8F" w14:textId="701FA2A7" w:rsidR="00975446" w:rsidRPr="00A52969" w:rsidRDefault="00976AC7">
      <w:pPr>
        <w:rPr>
          <w:lang w:eastAsia="zh-CN"/>
        </w:rPr>
      </w:pPr>
      <w:r w:rsidRPr="00A52969">
        <w:rPr>
          <w:rFonts w:hint="eastAsia"/>
          <w:lang w:eastAsia="zh-TW"/>
        </w:rPr>
        <w:t>相比之下，</w:t>
      </w:r>
      <w:r w:rsidRPr="00A52969">
        <w:rPr>
          <w:rFonts w:hint="eastAsia"/>
          <w:b/>
          <w:bCs/>
          <w:lang w:eastAsia="zh-TW"/>
        </w:rPr>
        <w:t>調整後的銷售回報率（調整後的息稅前利潤率）</w:t>
      </w:r>
      <w:r w:rsidRPr="00A52969">
        <w:rPr>
          <w:rFonts w:hint="eastAsia"/>
          <w:lang w:eastAsia="zh-TW"/>
        </w:rPr>
        <w:t>在報告期內同比大幅增長</w:t>
      </w:r>
      <w:r w:rsidRPr="00A52969">
        <w:rPr>
          <w:rStyle w:val="Strong"/>
          <w:b w:val="0"/>
          <w:bCs w:val="0"/>
          <w:lang w:eastAsia="zh-TW"/>
        </w:rPr>
        <w:t>14.8%</w:t>
      </w:r>
      <w:r w:rsidRPr="00A52969">
        <w:rPr>
          <w:rFonts w:hint="eastAsia"/>
          <w:lang w:eastAsia="zh-TW"/>
        </w:rPr>
        <w:t>（</w:t>
      </w:r>
      <w:r w:rsidRPr="00A52969">
        <w:rPr>
          <w:lang w:eastAsia="zh-TW"/>
        </w:rPr>
        <w:t>2024</w:t>
      </w:r>
      <w:r w:rsidRPr="00A52969">
        <w:rPr>
          <w:rFonts w:hint="eastAsia"/>
          <w:lang w:eastAsia="zh-TW"/>
        </w:rPr>
        <w:t>年：</w:t>
      </w:r>
      <w:r w:rsidRPr="00A52969">
        <w:rPr>
          <w:lang w:eastAsia="zh-TW"/>
        </w:rPr>
        <w:t>14.3%</w:t>
      </w:r>
      <w:r w:rsidRPr="00A52969">
        <w:rPr>
          <w:rFonts w:hint="eastAsia"/>
          <w:lang w:eastAsia="zh-TW"/>
        </w:rPr>
        <w:t>）。</w:t>
      </w:r>
    </w:p>
    <w:p w14:paraId="4E81FBDB" w14:textId="77777777" w:rsidR="00975446" w:rsidRPr="00A52969" w:rsidRDefault="00975446">
      <w:pPr>
        <w:rPr>
          <w:rFonts w:cs="Segoe UI"/>
          <w:szCs w:val="22"/>
          <w:lang w:eastAsia="zh-CN"/>
        </w:rPr>
      </w:pPr>
    </w:p>
    <w:p w14:paraId="23FBEF80" w14:textId="0BD41E3E" w:rsidR="00975446" w:rsidRPr="00A52969" w:rsidRDefault="00976AC7">
      <w:pPr>
        <w:rPr>
          <w:rFonts w:cs="Segoe UI"/>
          <w:szCs w:val="22"/>
          <w:lang w:eastAsia="zh-TW"/>
        </w:rPr>
      </w:pPr>
      <w:bookmarkStart w:id="6" w:name="_Hlk190081485"/>
      <w:r w:rsidRPr="00A52969">
        <w:rPr>
          <w:rFonts w:hint="eastAsia"/>
          <w:b/>
          <w:bCs/>
          <w:lang w:eastAsia="zh-TW"/>
        </w:rPr>
        <w:t>調整後的優先股每股收益</w:t>
      </w:r>
      <w:r w:rsidRPr="00A52969">
        <w:rPr>
          <w:rFonts w:hint="eastAsia"/>
          <w:lang w:eastAsia="zh-TW"/>
        </w:rPr>
        <w:t>小幅下降</w:t>
      </w:r>
      <w:r w:rsidRPr="00A52969">
        <w:rPr>
          <w:lang w:eastAsia="zh-TW"/>
        </w:rPr>
        <w:t>0.6%</w:t>
      </w:r>
      <w:r w:rsidRPr="00A52969">
        <w:rPr>
          <w:rFonts w:hint="eastAsia"/>
          <w:lang w:eastAsia="zh-TW"/>
        </w:rPr>
        <w:t>至</w:t>
      </w:r>
      <w:r w:rsidRPr="00A52969">
        <w:rPr>
          <w:lang w:eastAsia="zh-TW"/>
        </w:rPr>
        <w:t>5.33</w:t>
      </w:r>
      <w:r w:rsidRPr="00A52969">
        <w:rPr>
          <w:rFonts w:hint="eastAsia"/>
          <w:lang w:eastAsia="zh-TW"/>
        </w:rPr>
        <w:t>歐元（</w:t>
      </w:r>
      <w:r w:rsidRPr="00A52969">
        <w:rPr>
          <w:lang w:eastAsia="zh-TW"/>
        </w:rPr>
        <w:t>2024</w:t>
      </w:r>
      <w:r w:rsidRPr="00A52969">
        <w:rPr>
          <w:rFonts w:hint="eastAsia"/>
          <w:lang w:eastAsia="zh-TW"/>
        </w:rPr>
        <w:t>年：</w:t>
      </w:r>
      <w:r w:rsidRPr="00A52969">
        <w:rPr>
          <w:lang w:eastAsia="zh-TW"/>
        </w:rPr>
        <w:t>5.36</w:t>
      </w:r>
      <w:r w:rsidRPr="00A52969">
        <w:rPr>
          <w:rFonts w:hint="eastAsia"/>
          <w:lang w:eastAsia="zh-TW"/>
        </w:rPr>
        <w:t>歐元）。按固定匯率計算，調整後的優先股每股收益增長</w:t>
      </w:r>
      <w:r w:rsidRPr="00A52969">
        <w:rPr>
          <w:lang w:eastAsia="zh-TW"/>
        </w:rPr>
        <w:t>4.7%</w:t>
      </w:r>
      <w:r w:rsidRPr="00A52969">
        <w:rPr>
          <w:rFonts w:hint="eastAsia"/>
          <w:lang w:eastAsia="zh-TW"/>
        </w:rPr>
        <w:t>。</w:t>
      </w:r>
    </w:p>
    <w:p w14:paraId="131FD041" w14:textId="77777777" w:rsidR="00975446" w:rsidRPr="00A52969" w:rsidRDefault="00975446">
      <w:pPr>
        <w:rPr>
          <w:rFonts w:cs="Segoe UI"/>
          <w:szCs w:val="22"/>
          <w:lang w:eastAsia="zh-TW"/>
        </w:rPr>
      </w:pPr>
    </w:p>
    <w:bookmarkEnd w:id="6"/>
    <w:p w14:paraId="76FAC75C" w14:textId="713BE10D" w:rsidR="00975446" w:rsidRPr="00A52969" w:rsidRDefault="00976AC7">
      <w:pPr>
        <w:rPr>
          <w:rFonts w:cs="Segoe UI"/>
          <w:szCs w:val="22"/>
          <w:lang w:eastAsia="zh-TW"/>
        </w:rPr>
      </w:pPr>
      <w:r w:rsidRPr="00A52969">
        <w:rPr>
          <w:rFonts w:hint="eastAsia"/>
          <w:b/>
          <w:bCs/>
          <w:lang w:eastAsia="zh-TW"/>
        </w:rPr>
        <w:t>淨營運資本</w:t>
      </w:r>
      <w:r w:rsidRPr="00A52969">
        <w:rPr>
          <w:rFonts w:hint="eastAsia"/>
          <w:lang w:eastAsia="zh-TW"/>
        </w:rPr>
        <w:t>占銷售額的</w:t>
      </w:r>
      <w:r w:rsidRPr="00A52969">
        <w:rPr>
          <w:lang w:eastAsia="zh-TW"/>
        </w:rPr>
        <w:t>3.8%</w:t>
      </w:r>
      <w:r w:rsidRPr="00A52969">
        <w:rPr>
          <w:rFonts w:hint="eastAsia"/>
          <w:lang w:eastAsia="zh-TW"/>
        </w:rPr>
        <w:t>，同比有所上升（</w:t>
      </w:r>
      <w:r w:rsidRPr="00A52969">
        <w:rPr>
          <w:lang w:eastAsia="zh-TW"/>
        </w:rPr>
        <w:t>2024</w:t>
      </w:r>
      <w:r w:rsidRPr="00A52969">
        <w:rPr>
          <w:rFonts w:hint="eastAsia"/>
          <w:lang w:eastAsia="zh-TW"/>
        </w:rPr>
        <w:t>年：</w:t>
      </w:r>
      <w:r w:rsidRPr="00A52969">
        <w:rPr>
          <w:lang w:eastAsia="zh-TW"/>
        </w:rPr>
        <w:t>3.0%</w:t>
      </w:r>
      <w:r w:rsidRPr="00A52969">
        <w:rPr>
          <w:rFonts w:hint="eastAsia"/>
          <w:lang w:eastAsia="zh-TW"/>
        </w:rPr>
        <w:t>）。</w:t>
      </w:r>
    </w:p>
    <w:p w14:paraId="0DBF1E4B" w14:textId="77777777" w:rsidR="00975446" w:rsidRPr="00A52969" w:rsidRDefault="00975446">
      <w:pPr>
        <w:rPr>
          <w:rFonts w:cs="Segoe UI"/>
          <w:szCs w:val="22"/>
          <w:lang w:eastAsia="zh-TW"/>
        </w:rPr>
      </w:pPr>
    </w:p>
    <w:p w14:paraId="47F13A65" w14:textId="7039FE6D" w:rsidR="00975446" w:rsidRPr="00A52969" w:rsidRDefault="00976AC7">
      <w:pPr>
        <w:rPr>
          <w:lang w:eastAsia="zh-CN"/>
        </w:rPr>
      </w:pPr>
      <w:bookmarkStart w:id="7" w:name="_Hlk190081658"/>
      <w:r w:rsidRPr="00A52969">
        <w:rPr>
          <w:rFonts w:hint="eastAsia"/>
          <w:b/>
          <w:bCs/>
          <w:lang w:eastAsia="zh-TW"/>
        </w:rPr>
        <w:t>自由現金流</w:t>
      </w:r>
      <w:r w:rsidRPr="00A52969">
        <w:rPr>
          <w:rFonts w:hint="eastAsia"/>
          <w:lang w:eastAsia="zh-TW"/>
        </w:rPr>
        <w:t>總計</w:t>
      </w:r>
      <w:r w:rsidRPr="00A52969">
        <w:rPr>
          <w:lang w:eastAsia="zh-TW"/>
        </w:rPr>
        <w:t>18.5</w:t>
      </w:r>
      <w:r w:rsidRPr="00A52969">
        <w:rPr>
          <w:rFonts w:hint="eastAsia"/>
          <w:lang w:eastAsia="zh-TW"/>
        </w:rPr>
        <w:t>億歐元，低於</w:t>
      </w:r>
      <w:r>
        <w:rPr>
          <w:rFonts w:hint="eastAsia"/>
          <w:lang w:eastAsia="zh-TW"/>
        </w:rPr>
        <w:t>上年</w:t>
      </w:r>
      <w:r w:rsidRPr="00A52969">
        <w:rPr>
          <w:rFonts w:hint="eastAsia"/>
          <w:lang w:eastAsia="zh-TW"/>
        </w:rPr>
        <w:t>水準（</w:t>
      </w:r>
      <w:r w:rsidRPr="00A52969">
        <w:rPr>
          <w:lang w:eastAsia="zh-TW"/>
        </w:rPr>
        <w:t>2024</w:t>
      </w:r>
      <w:r w:rsidRPr="00A52969">
        <w:rPr>
          <w:rFonts w:hint="eastAsia"/>
          <w:lang w:eastAsia="zh-TW"/>
        </w:rPr>
        <w:t>年：</w:t>
      </w:r>
      <w:r w:rsidRPr="00A52969">
        <w:rPr>
          <w:lang w:eastAsia="zh-TW"/>
        </w:rPr>
        <w:t>23.62</w:t>
      </w:r>
      <w:r w:rsidRPr="00A52969">
        <w:rPr>
          <w:rFonts w:hint="eastAsia"/>
          <w:lang w:eastAsia="zh-TW"/>
        </w:rPr>
        <w:t>億歐元），這一變化主要源於</w:t>
      </w:r>
      <w:r w:rsidRPr="00A52969">
        <w:rPr>
          <w:lang w:eastAsia="zh-TW"/>
        </w:rPr>
        <w:t xml:space="preserve"> </w:t>
      </w:r>
      <w:r w:rsidRPr="00A52969">
        <w:rPr>
          <w:rFonts w:hint="eastAsia"/>
          <w:lang w:eastAsia="zh-TW"/>
        </w:rPr>
        <w:t>淨營運資本的變動以及匯率換算帶來的影響。</w:t>
      </w:r>
    </w:p>
    <w:p w14:paraId="0C5A0D09" w14:textId="77777777" w:rsidR="00975446" w:rsidRPr="00A52969" w:rsidRDefault="00975446">
      <w:pPr>
        <w:rPr>
          <w:rFonts w:cs="Segoe UI"/>
          <w:szCs w:val="22"/>
          <w:lang w:eastAsia="zh-CN"/>
        </w:rPr>
      </w:pPr>
    </w:p>
    <w:bookmarkEnd w:id="7"/>
    <w:p w14:paraId="673C17D7" w14:textId="406488B3" w:rsidR="00975446" w:rsidRPr="00A52969" w:rsidRDefault="00976AC7">
      <w:pPr>
        <w:rPr>
          <w:rFonts w:cs="Segoe UI"/>
          <w:lang w:eastAsia="zh-CN"/>
        </w:rPr>
      </w:pPr>
      <w:r w:rsidRPr="00A52969">
        <w:rPr>
          <w:rFonts w:hint="eastAsia"/>
          <w:lang w:eastAsia="zh-TW"/>
        </w:rPr>
        <w:lastRenderedPageBreak/>
        <w:t>儘管</w:t>
      </w:r>
      <w:r>
        <w:rPr>
          <w:rFonts w:hint="eastAsia"/>
          <w:lang w:eastAsia="zh-TW"/>
        </w:rPr>
        <w:t>因</w:t>
      </w:r>
      <w:r w:rsidRPr="00A52969">
        <w:rPr>
          <w:rStyle w:val="Strong"/>
          <w:rFonts w:hint="eastAsia"/>
          <w:b w:val="0"/>
          <w:bCs w:val="0"/>
          <w:lang w:eastAsia="zh-TW"/>
        </w:rPr>
        <w:t>股息分紅</w:t>
      </w:r>
      <w:r w:rsidRPr="00A52969">
        <w:rPr>
          <w:rFonts w:hint="eastAsia"/>
          <w:lang w:eastAsia="zh-TW"/>
        </w:rPr>
        <w:t>和</w:t>
      </w:r>
      <w:r w:rsidRPr="00A52969">
        <w:rPr>
          <w:rStyle w:val="Strong"/>
          <w:rFonts w:hint="eastAsia"/>
          <w:b w:val="0"/>
          <w:bCs w:val="0"/>
          <w:lang w:eastAsia="zh-TW"/>
        </w:rPr>
        <w:t>股票回購計畫</w:t>
      </w:r>
      <w:r>
        <w:rPr>
          <w:rFonts w:hint="eastAsia"/>
          <w:lang w:eastAsia="zh-TW"/>
        </w:rPr>
        <w:t>產生</w:t>
      </w:r>
      <w:r w:rsidRPr="00A52969">
        <w:rPr>
          <w:rFonts w:hint="eastAsia"/>
          <w:lang w:eastAsia="zh-TW"/>
        </w:rPr>
        <w:t>現金支出，但</w:t>
      </w:r>
      <w:r w:rsidRPr="00A52969">
        <w:rPr>
          <w:rFonts w:hint="eastAsia"/>
          <w:b/>
          <w:bCs/>
          <w:lang w:eastAsia="zh-TW"/>
        </w:rPr>
        <w:t>淨財務狀況</w:t>
      </w:r>
      <w:r w:rsidRPr="00A52969">
        <w:rPr>
          <w:rFonts w:hint="eastAsia"/>
          <w:lang w:eastAsia="zh-TW"/>
        </w:rPr>
        <w:t>為</w:t>
      </w:r>
      <w:r w:rsidRPr="00A52969">
        <w:rPr>
          <w:rStyle w:val="Strong"/>
          <w:b w:val="0"/>
          <w:bCs w:val="0"/>
          <w:lang w:eastAsia="zh-TW"/>
        </w:rPr>
        <w:t>1.09</w:t>
      </w:r>
      <w:r w:rsidRPr="00A52969">
        <w:rPr>
          <w:rStyle w:val="Strong"/>
          <w:rFonts w:hint="eastAsia"/>
          <w:b w:val="0"/>
          <w:bCs w:val="0"/>
          <w:lang w:eastAsia="zh-TW"/>
        </w:rPr>
        <w:t>億歐元</w:t>
      </w:r>
      <w:r w:rsidRPr="00A52969">
        <w:rPr>
          <w:rFonts w:hint="eastAsia"/>
          <w:lang w:eastAsia="zh-TW"/>
        </w:rPr>
        <w:t>，高於</w:t>
      </w:r>
      <w:r>
        <w:rPr>
          <w:rFonts w:hint="eastAsia"/>
          <w:lang w:eastAsia="zh-TW"/>
        </w:rPr>
        <w:t>上年年末</w:t>
      </w:r>
      <w:r w:rsidRPr="00A52969">
        <w:rPr>
          <w:rFonts w:hint="eastAsia"/>
          <w:lang w:eastAsia="zh-TW"/>
        </w:rPr>
        <w:t>水準（</w:t>
      </w:r>
      <w:r w:rsidRPr="00A52969">
        <w:rPr>
          <w:lang w:eastAsia="zh-TW"/>
        </w:rPr>
        <w:t>2024</w:t>
      </w:r>
      <w:r w:rsidRPr="00A52969">
        <w:rPr>
          <w:rFonts w:hint="eastAsia"/>
          <w:lang w:eastAsia="zh-TW"/>
        </w:rPr>
        <w:t>年</w:t>
      </w:r>
      <w:r w:rsidRPr="00A52969">
        <w:rPr>
          <w:lang w:eastAsia="zh-TW"/>
        </w:rPr>
        <w:t>12</w:t>
      </w:r>
      <w:r w:rsidRPr="00A52969">
        <w:rPr>
          <w:rFonts w:hint="eastAsia"/>
          <w:lang w:eastAsia="zh-TW"/>
        </w:rPr>
        <w:t>月</w:t>
      </w:r>
      <w:r w:rsidRPr="00A52969">
        <w:rPr>
          <w:lang w:eastAsia="zh-TW"/>
        </w:rPr>
        <w:t>31</w:t>
      </w:r>
      <w:r w:rsidRPr="00A52969">
        <w:rPr>
          <w:rFonts w:hint="eastAsia"/>
          <w:lang w:eastAsia="zh-TW"/>
        </w:rPr>
        <w:t>日：</w:t>
      </w:r>
      <w:r w:rsidRPr="00A52969">
        <w:rPr>
          <w:lang w:eastAsia="zh-TW"/>
        </w:rPr>
        <w:t>-9300</w:t>
      </w:r>
      <w:r w:rsidRPr="00A52969">
        <w:rPr>
          <w:rFonts w:hint="eastAsia"/>
          <w:lang w:eastAsia="zh-TW"/>
        </w:rPr>
        <w:t>萬歐元）。</w:t>
      </w:r>
    </w:p>
    <w:p w14:paraId="076B8048" w14:textId="77777777" w:rsidR="00975446" w:rsidRPr="00A52969" w:rsidRDefault="00975446">
      <w:pPr>
        <w:rPr>
          <w:rFonts w:cs="Segoe UI"/>
          <w:lang w:eastAsia="zh-CN"/>
        </w:rPr>
      </w:pPr>
    </w:p>
    <w:p w14:paraId="1E2078AD" w14:textId="2480F2CA" w:rsidR="00975446" w:rsidRPr="00A52969" w:rsidRDefault="00976AC7">
      <w:pPr>
        <w:rPr>
          <w:rFonts w:cs="Segoe UI"/>
          <w:szCs w:val="22"/>
          <w:lang w:eastAsia="zh-TW"/>
        </w:rPr>
      </w:pPr>
      <w:r w:rsidRPr="00A52969">
        <w:rPr>
          <w:rFonts w:hint="eastAsia"/>
          <w:lang w:eastAsia="zh-TW"/>
        </w:rPr>
        <w:t>管理委員會、監事會和股東委員會將在</w:t>
      </w:r>
      <w:r w:rsidRPr="00A52969">
        <w:rPr>
          <w:lang w:eastAsia="zh-TW"/>
        </w:rPr>
        <w:t>2026</w:t>
      </w:r>
      <w:r w:rsidRPr="00A52969">
        <w:rPr>
          <w:rFonts w:hint="eastAsia"/>
          <w:lang w:eastAsia="zh-TW"/>
        </w:rPr>
        <w:t>年</w:t>
      </w:r>
      <w:r w:rsidRPr="00A52969">
        <w:rPr>
          <w:lang w:eastAsia="zh-TW"/>
        </w:rPr>
        <w:t>4</w:t>
      </w:r>
      <w:r w:rsidRPr="00A52969">
        <w:rPr>
          <w:rFonts w:hint="eastAsia"/>
          <w:lang w:eastAsia="zh-TW"/>
        </w:rPr>
        <w:t>月</w:t>
      </w:r>
      <w:r w:rsidRPr="00A52969">
        <w:rPr>
          <w:lang w:eastAsia="zh-TW"/>
        </w:rPr>
        <w:t>27</w:t>
      </w:r>
      <w:r w:rsidRPr="00A52969">
        <w:rPr>
          <w:rFonts w:hint="eastAsia"/>
          <w:lang w:eastAsia="zh-TW"/>
        </w:rPr>
        <w:t>日的年度股東大會上提議</w:t>
      </w:r>
      <w:r w:rsidRPr="00A52969">
        <w:rPr>
          <w:rFonts w:hint="eastAsia"/>
          <w:b/>
          <w:bCs/>
          <w:lang w:eastAsia="zh-TW"/>
        </w:rPr>
        <w:t>股息</w:t>
      </w:r>
      <w:r>
        <w:rPr>
          <w:rFonts w:hint="eastAsia"/>
          <w:lang w:eastAsia="zh-TW"/>
        </w:rPr>
        <w:t>在上年基礎上</w:t>
      </w:r>
      <w:r w:rsidRPr="00A52969">
        <w:rPr>
          <w:rFonts w:hint="eastAsia"/>
          <w:lang w:eastAsia="zh-TW"/>
        </w:rPr>
        <w:t>增加</w:t>
      </w:r>
      <w:r w:rsidRPr="00A52969">
        <w:rPr>
          <w:lang w:eastAsia="zh-TW"/>
        </w:rPr>
        <w:t>1.5%</w:t>
      </w:r>
      <w:r w:rsidRPr="00A52969">
        <w:rPr>
          <w:rFonts w:hint="eastAsia"/>
          <w:lang w:eastAsia="zh-TW"/>
        </w:rPr>
        <w:t>，即優先股每股</w:t>
      </w:r>
      <w:r w:rsidRPr="00A52969">
        <w:rPr>
          <w:lang w:eastAsia="zh-TW"/>
        </w:rPr>
        <w:t>2.07</w:t>
      </w:r>
      <w:r w:rsidRPr="00A52969">
        <w:rPr>
          <w:rFonts w:hint="eastAsia"/>
          <w:lang w:eastAsia="zh-TW"/>
        </w:rPr>
        <w:t>歐元，普通股每股</w:t>
      </w:r>
      <w:r w:rsidRPr="00A52969">
        <w:rPr>
          <w:lang w:eastAsia="zh-TW"/>
        </w:rPr>
        <w:t>2.05</w:t>
      </w:r>
      <w:r w:rsidRPr="00A52969">
        <w:rPr>
          <w:rFonts w:hint="eastAsia"/>
          <w:lang w:eastAsia="zh-TW"/>
        </w:rPr>
        <w:t>歐元。股息的增加得益于漢高集團上一財年的良好財務業績和雄厚的財務基礎。派息率保持不變，為</w:t>
      </w:r>
      <w:r w:rsidRPr="00A52969">
        <w:rPr>
          <w:lang w:eastAsia="zh-TW"/>
        </w:rPr>
        <w:t>37.9%</w:t>
      </w:r>
      <w:r w:rsidRPr="00A52969">
        <w:rPr>
          <w:rFonts w:hint="eastAsia"/>
          <w:lang w:eastAsia="zh-TW"/>
        </w:rPr>
        <w:t>，仍處於</w:t>
      </w:r>
      <w:r w:rsidRPr="00A52969">
        <w:rPr>
          <w:lang w:eastAsia="zh-TW"/>
        </w:rPr>
        <w:t>30%</w:t>
      </w:r>
      <w:r w:rsidRPr="00A52969">
        <w:rPr>
          <w:rFonts w:hint="eastAsia"/>
          <w:lang w:eastAsia="zh-TW"/>
        </w:rPr>
        <w:t>至</w:t>
      </w:r>
      <w:r w:rsidRPr="00A52969">
        <w:rPr>
          <w:lang w:eastAsia="zh-TW"/>
        </w:rPr>
        <w:t>40%</w:t>
      </w:r>
      <w:r w:rsidRPr="00A52969">
        <w:rPr>
          <w:rFonts w:hint="eastAsia"/>
          <w:lang w:eastAsia="zh-TW"/>
        </w:rPr>
        <w:t>的目標範圍之內。</w:t>
      </w:r>
    </w:p>
    <w:p w14:paraId="5EC240A4" w14:textId="69EE768C" w:rsidR="00975446" w:rsidRPr="00A52969" w:rsidRDefault="00975446">
      <w:pPr>
        <w:spacing w:line="240" w:lineRule="auto"/>
        <w:jc w:val="left"/>
        <w:rPr>
          <w:rFonts w:cs="Segoe UI"/>
          <w:b/>
          <w:bCs/>
          <w:szCs w:val="22"/>
          <w:lang w:eastAsia="de-DE"/>
        </w:rPr>
      </w:pPr>
    </w:p>
    <w:p w14:paraId="5D36AB78" w14:textId="124A6D12" w:rsidR="00975446" w:rsidRPr="00A52969" w:rsidRDefault="00976AC7">
      <w:pPr>
        <w:spacing w:after="120"/>
        <w:jc w:val="left"/>
        <w:rPr>
          <w:rFonts w:cs="Segoe UI"/>
          <w:b/>
          <w:bCs/>
          <w:szCs w:val="22"/>
          <w:lang w:eastAsia="de-DE"/>
        </w:rPr>
      </w:pPr>
      <w:r w:rsidRPr="00A52969">
        <w:rPr>
          <w:b/>
          <w:lang w:eastAsia="zh-TW"/>
        </w:rPr>
        <w:t>2025</w:t>
      </w:r>
      <w:r w:rsidRPr="00A52969">
        <w:rPr>
          <w:rFonts w:hint="eastAsia"/>
          <w:b/>
          <w:lang w:eastAsia="zh-TW"/>
        </w:rPr>
        <w:t>財年業務部門業績</w:t>
      </w:r>
    </w:p>
    <w:p w14:paraId="2A78F3BB" w14:textId="572D9616" w:rsidR="00975446" w:rsidRPr="00A52969" w:rsidRDefault="00976AC7">
      <w:pPr>
        <w:rPr>
          <w:lang w:eastAsia="zh-TW"/>
        </w:rPr>
      </w:pPr>
      <w:bookmarkStart w:id="8" w:name="OLE_LINK3"/>
      <w:r w:rsidRPr="00A52969">
        <w:rPr>
          <w:rFonts w:hint="eastAsia"/>
          <w:b/>
          <w:bCs/>
          <w:lang w:eastAsia="zh-TW"/>
        </w:rPr>
        <w:t>粘合劑技術</w:t>
      </w:r>
      <w:r w:rsidRPr="00A52969">
        <w:rPr>
          <w:rFonts w:hint="eastAsia"/>
          <w:lang w:eastAsia="zh-TW"/>
        </w:rPr>
        <w:t>業務部</w:t>
      </w:r>
      <w:r w:rsidRPr="00A52969">
        <w:rPr>
          <w:lang w:eastAsia="zh-TW"/>
        </w:rPr>
        <w:t>2025</w:t>
      </w:r>
      <w:r w:rsidRPr="00A52969">
        <w:rPr>
          <w:rFonts w:hint="eastAsia"/>
          <w:lang w:eastAsia="zh-TW"/>
        </w:rPr>
        <w:t>財年的總</w:t>
      </w:r>
      <w:r w:rsidRPr="00A52969">
        <w:rPr>
          <w:rFonts w:hint="eastAsia"/>
          <w:b/>
          <w:bCs/>
          <w:lang w:eastAsia="zh-TW"/>
        </w:rPr>
        <w:t>銷售額</w:t>
      </w:r>
      <w:r w:rsidRPr="00A52969">
        <w:rPr>
          <w:rFonts w:hint="eastAsia"/>
          <w:lang w:eastAsia="zh-TW"/>
        </w:rPr>
        <w:t>為</w:t>
      </w:r>
      <w:r w:rsidRPr="00A52969">
        <w:rPr>
          <w:lang w:eastAsia="zh-TW"/>
        </w:rPr>
        <w:t>106.67</w:t>
      </w:r>
      <w:r w:rsidRPr="00A52969">
        <w:rPr>
          <w:rFonts w:hint="eastAsia"/>
          <w:lang w:eastAsia="zh-TW"/>
        </w:rPr>
        <w:t>億歐元，同比名義下降</w:t>
      </w:r>
      <w:r w:rsidRPr="00A52969">
        <w:rPr>
          <w:lang w:eastAsia="zh-TW"/>
        </w:rPr>
        <w:t>2.8%</w:t>
      </w:r>
      <w:r w:rsidRPr="00A52969">
        <w:rPr>
          <w:rFonts w:hint="eastAsia"/>
          <w:lang w:eastAsia="zh-TW"/>
        </w:rPr>
        <w:t>。匯率因素造成</w:t>
      </w:r>
      <w:r w:rsidRPr="00A52969">
        <w:rPr>
          <w:lang w:eastAsia="zh-TW"/>
        </w:rPr>
        <w:t>4.1%</w:t>
      </w:r>
      <w:r w:rsidRPr="00A52969">
        <w:rPr>
          <w:rFonts w:hint="eastAsia"/>
          <w:lang w:eastAsia="zh-TW"/>
        </w:rPr>
        <w:t>的負面影響，收購</w:t>
      </w:r>
      <w:r w:rsidRPr="00A52969">
        <w:rPr>
          <w:lang w:eastAsia="zh-TW"/>
        </w:rPr>
        <w:t>/</w:t>
      </w:r>
      <w:r w:rsidRPr="00A52969">
        <w:rPr>
          <w:rFonts w:hint="eastAsia"/>
          <w:lang w:eastAsia="zh-TW"/>
        </w:rPr>
        <w:t>撤資也導致銷售額下降</w:t>
      </w:r>
      <w:r w:rsidRPr="00A52969">
        <w:rPr>
          <w:lang w:eastAsia="zh-TW"/>
        </w:rPr>
        <w:t>0.1%</w:t>
      </w:r>
      <w:r w:rsidRPr="00A52969">
        <w:rPr>
          <w:rFonts w:hint="eastAsia"/>
          <w:lang w:eastAsia="zh-TW"/>
        </w:rPr>
        <w:t>。</w:t>
      </w:r>
      <w:r w:rsidRPr="00A52969">
        <w:rPr>
          <w:rFonts w:hint="eastAsia"/>
          <w:b/>
          <w:bCs/>
          <w:lang w:eastAsia="zh-TW"/>
        </w:rPr>
        <w:t>有機銷售額</w:t>
      </w:r>
      <w:r w:rsidRPr="00A52969">
        <w:rPr>
          <w:rFonts w:hint="eastAsia"/>
          <w:lang w:eastAsia="zh-TW"/>
        </w:rPr>
        <w:t>增長</w:t>
      </w:r>
      <w:r w:rsidRPr="00A52969">
        <w:rPr>
          <w:lang w:eastAsia="zh-TW"/>
        </w:rPr>
        <w:t>1.5%</w:t>
      </w:r>
      <w:r w:rsidRPr="00A52969">
        <w:rPr>
          <w:rFonts w:hint="eastAsia"/>
          <w:lang w:eastAsia="zh-TW"/>
        </w:rPr>
        <w:t>，主要歸因於下半年因部分主要終端市場需求增加而帶來銷量的增長。價格也較上年呈現上行態勢。</w:t>
      </w:r>
      <w:r w:rsidRPr="00A52969">
        <w:rPr>
          <w:rFonts w:hint="eastAsia"/>
          <w:b/>
          <w:bCs/>
          <w:lang w:eastAsia="zh-TW"/>
        </w:rPr>
        <w:t>調整後的營業利潤</w:t>
      </w:r>
      <w:r w:rsidRPr="00A52969">
        <w:rPr>
          <w:rFonts w:hint="eastAsia"/>
          <w:lang w:eastAsia="zh-TW"/>
        </w:rPr>
        <w:t>為</w:t>
      </w:r>
      <w:r w:rsidRPr="00A52969">
        <w:rPr>
          <w:lang w:eastAsia="zh-TW"/>
        </w:rPr>
        <w:t>17.79</w:t>
      </w:r>
      <w:r w:rsidRPr="00A52969">
        <w:rPr>
          <w:rFonts w:hint="eastAsia"/>
          <w:lang w:eastAsia="zh-TW"/>
        </w:rPr>
        <w:t>億歐元，較上年略有下降。</w:t>
      </w:r>
      <w:r w:rsidRPr="00A52969">
        <w:rPr>
          <w:rStyle w:val="Strong"/>
          <w:rFonts w:hint="eastAsia"/>
          <w:b w:val="0"/>
          <w:bCs w:val="0"/>
          <w:lang w:eastAsia="zh-TW"/>
        </w:rPr>
        <w:t>毛利率</w:t>
      </w:r>
      <w:r w:rsidRPr="00A52969">
        <w:rPr>
          <w:rFonts w:hint="eastAsia"/>
          <w:lang w:eastAsia="zh-TW"/>
        </w:rPr>
        <w:t>維持在與</w:t>
      </w:r>
      <w:r>
        <w:rPr>
          <w:rFonts w:hint="eastAsia"/>
          <w:lang w:eastAsia="zh-TW"/>
        </w:rPr>
        <w:t>上年</w:t>
      </w:r>
      <w:r w:rsidRPr="00A52969">
        <w:rPr>
          <w:rFonts w:hint="eastAsia"/>
          <w:lang w:eastAsia="zh-TW"/>
        </w:rPr>
        <w:t>相同的</w:t>
      </w:r>
      <w:r w:rsidRPr="00A52969">
        <w:rPr>
          <w:rStyle w:val="Strong"/>
          <w:rFonts w:hint="eastAsia"/>
          <w:b w:val="0"/>
          <w:bCs w:val="0"/>
          <w:lang w:eastAsia="zh-TW"/>
        </w:rPr>
        <w:t>高水準</w:t>
      </w:r>
      <w:r w:rsidRPr="00A52969">
        <w:rPr>
          <w:rFonts w:hint="eastAsia"/>
          <w:b/>
          <w:bCs/>
          <w:lang w:eastAsia="zh-TW"/>
        </w:rPr>
        <w:t>。調整後的銷售回報率</w:t>
      </w:r>
      <w:r w:rsidRPr="00A52969">
        <w:rPr>
          <w:rFonts w:hint="eastAsia"/>
          <w:lang w:eastAsia="zh-TW"/>
        </w:rPr>
        <w:t>同比小幅提升</w:t>
      </w:r>
      <w:r>
        <w:rPr>
          <w:rFonts w:hint="eastAsia"/>
          <w:lang w:eastAsia="zh-TW"/>
        </w:rPr>
        <w:t>至</w:t>
      </w:r>
      <w:r w:rsidRPr="00A52969">
        <w:rPr>
          <w:lang w:eastAsia="zh-TW"/>
        </w:rPr>
        <w:t>16.7%</w:t>
      </w:r>
      <w:r w:rsidRPr="00A52969">
        <w:rPr>
          <w:rFonts w:hint="eastAsia"/>
          <w:lang w:eastAsia="zh-TW"/>
        </w:rPr>
        <w:t>。</w:t>
      </w:r>
    </w:p>
    <w:p w14:paraId="7D2B116A" w14:textId="77777777" w:rsidR="00975446" w:rsidRPr="00A52969" w:rsidRDefault="00975446">
      <w:pPr>
        <w:rPr>
          <w:rFonts w:cs="Segoe UI"/>
          <w:szCs w:val="22"/>
          <w:lang w:eastAsia="zh-TW"/>
        </w:rPr>
      </w:pPr>
    </w:p>
    <w:bookmarkEnd w:id="8"/>
    <w:p w14:paraId="7FAC4991" w14:textId="599D3813" w:rsidR="00975446" w:rsidRPr="00A52969" w:rsidRDefault="00976AC7">
      <w:pPr>
        <w:rPr>
          <w:lang w:eastAsia="zh-CN"/>
        </w:rPr>
      </w:pPr>
      <w:r w:rsidRPr="00A52969">
        <w:rPr>
          <w:rFonts w:hint="eastAsia"/>
          <w:b/>
          <w:bCs/>
          <w:lang w:eastAsia="zh-TW"/>
        </w:rPr>
        <w:t>消費品牌</w:t>
      </w:r>
      <w:r w:rsidRPr="00A52969">
        <w:rPr>
          <w:rFonts w:hint="eastAsia"/>
          <w:lang w:eastAsia="zh-TW"/>
        </w:rPr>
        <w:t>業務部</w:t>
      </w:r>
      <w:r w:rsidRPr="00A52969">
        <w:rPr>
          <w:lang w:eastAsia="zh-TW"/>
        </w:rPr>
        <w:t>2025</w:t>
      </w:r>
      <w:r w:rsidRPr="00A52969">
        <w:rPr>
          <w:rFonts w:hint="eastAsia"/>
          <w:lang w:eastAsia="zh-TW"/>
        </w:rPr>
        <w:t>財年的總</w:t>
      </w:r>
      <w:r w:rsidRPr="00A52969">
        <w:rPr>
          <w:rFonts w:hint="eastAsia"/>
          <w:b/>
          <w:bCs/>
          <w:lang w:eastAsia="zh-TW"/>
        </w:rPr>
        <w:t>銷售額</w:t>
      </w:r>
      <w:r w:rsidRPr="00A52969">
        <w:rPr>
          <w:rFonts w:hint="eastAsia"/>
          <w:lang w:eastAsia="zh-TW"/>
        </w:rPr>
        <w:t>為</w:t>
      </w:r>
      <w:r w:rsidRPr="00A52969">
        <w:rPr>
          <w:lang w:eastAsia="zh-TW"/>
        </w:rPr>
        <w:t>96.77</w:t>
      </w:r>
      <w:r w:rsidRPr="00A52969">
        <w:rPr>
          <w:rFonts w:hint="eastAsia"/>
          <w:lang w:eastAsia="zh-TW"/>
        </w:rPr>
        <w:t>億歐元，</w:t>
      </w:r>
      <w:r>
        <w:rPr>
          <w:rFonts w:hint="eastAsia"/>
          <w:lang w:eastAsia="zh-TW"/>
        </w:rPr>
        <w:t>同比</w:t>
      </w:r>
      <w:r w:rsidRPr="00A52969">
        <w:rPr>
          <w:rFonts w:hint="eastAsia"/>
          <w:lang w:eastAsia="zh-TW"/>
        </w:rPr>
        <w:t>名義下降</w:t>
      </w:r>
      <w:r w:rsidRPr="00A52969">
        <w:rPr>
          <w:lang w:eastAsia="zh-TW"/>
        </w:rPr>
        <w:t>7.5%</w:t>
      </w:r>
      <w:r w:rsidRPr="00A52969">
        <w:rPr>
          <w:rFonts w:hint="eastAsia"/>
          <w:lang w:eastAsia="zh-TW"/>
        </w:rPr>
        <w:t>。外匯因素導致銷售額下降</w:t>
      </w:r>
      <w:r w:rsidRPr="00A52969">
        <w:rPr>
          <w:lang w:eastAsia="zh-TW"/>
        </w:rPr>
        <w:t>4.4%</w:t>
      </w:r>
      <w:r w:rsidRPr="00A52969">
        <w:rPr>
          <w:rFonts w:hint="eastAsia"/>
          <w:lang w:eastAsia="zh-TW"/>
        </w:rPr>
        <w:t>。收購</w:t>
      </w:r>
      <w:r w:rsidRPr="00A52969">
        <w:rPr>
          <w:lang w:eastAsia="zh-TW"/>
        </w:rPr>
        <w:t>/</w:t>
      </w:r>
      <w:r w:rsidRPr="00A52969">
        <w:rPr>
          <w:rFonts w:hint="eastAsia"/>
          <w:lang w:eastAsia="zh-TW"/>
        </w:rPr>
        <w:t>撤資也導致銷售額下降</w:t>
      </w:r>
      <w:r w:rsidRPr="00A52969">
        <w:rPr>
          <w:lang w:eastAsia="zh-TW"/>
        </w:rPr>
        <w:t>3.4%</w:t>
      </w:r>
      <w:r w:rsidRPr="00A52969">
        <w:rPr>
          <w:rFonts w:hint="eastAsia"/>
          <w:lang w:eastAsia="zh-TW"/>
        </w:rPr>
        <w:t>，主要原因是</w:t>
      </w:r>
      <w:r w:rsidRPr="00A52969">
        <w:rPr>
          <w:lang w:eastAsia="zh-TW"/>
        </w:rPr>
        <w:t>2025</w:t>
      </w:r>
      <w:r w:rsidRPr="00A52969">
        <w:rPr>
          <w:rFonts w:hint="eastAsia"/>
          <w:lang w:eastAsia="zh-TW"/>
        </w:rPr>
        <w:t>年</w:t>
      </w:r>
      <w:r w:rsidRPr="00A52969">
        <w:rPr>
          <w:lang w:eastAsia="zh-TW"/>
        </w:rPr>
        <w:t>4</w:t>
      </w:r>
      <w:r w:rsidRPr="00A52969">
        <w:rPr>
          <w:rFonts w:hint="eastAsia"/>
          <w:lang w:eastAsia="zh-TW"/>
        </w:rPr>
        <w:t>月出售</w:t>
      </w:r>
      <w:r>
        <w:rPr>
          <w:rFonts w:hint="eastAsia"/>
          <w:lang w:eastAsia="zh-TW"/>
        </w:rPr>
        <w:t>了</w:t>
      </w:r>
      <w:r w:rsidRPr="00A52969">
        <w:rPr>
          <w:rFonts w:hint="eastAsia"/>
          <w:lang w:eastAsia="zh-TW"/>
        </w:rPr>
        <w:t>在北美地區的零售品牌業務。</w:t>
      </w:r>
      <w:r w:rsidRPr="00A52969">
        <w:rPr>
          <w:rFonts w:hint="eastAsia"/>
          <w:b/>
          <w:bCs/>
          <w:lang w:eastAsia="zh-TW"/>
        </w:rPr>
        <w:t>有機</w:t>
      </w:r>
      <w:r w:rsidRPr="00A52969">
        <w:rPr>
          <w:rFonts w:hint="eastAsia"/>
          <w:lang w:eastAsia="zh-TW"/>
        </w:rPr>
        <w:t>銷售額增長</w:t>
      </w:r>
      <w:r w:rsidRPr="00A52969">
        <w:rPr>
          <w:lang w:eastAsia="zh-TW"/>
        </w:rPr>
        <w:t>0.3%</w:t>
      </w:r>
      <w:r w:rsidRPr="00A52969">
        <w:rPr>
          <w:rFonts w:hint="eastAsia"/>
          <w:lang w:eastAsia="zh-TW"/>
        </w:rPr>
        <w:t>。主要得益於價格上漲，而銷量則略有下滑。</w:t>
      </w:r>
      <w:r w:rsidRPr="00A52969">
        <w:rPr>
          <w:rFonts w:hint="eastAsia"/>
          <w:b/>
          <w:bCs/>
          <w:lang w:eastAsia="zh-TW"/>
        </w:rPr>
        <w:t>調整後的營業利潤</w:t>
      </w:r>
      <w:r w:rsidRPr="00A52969">
        <w:rPr>
          <w:rFonts w:hint="eastAsia"/>
          <w:lang w:eastAsia="zh-TW"/>
        </w:rPr>
        <w:t>為</w:t>
      </w:r>
      <w:r w:rsidRPr="00A52969">
        <w:rPr>
          <w:lang w:eastAsia="zh-TW"/>
        </w:rPr>
        <w:t xml:space="preserve"> 14</w:t>
      </w:r>
      <w:r w:rsidRPr="00A52969">
        <w:rPr>
          <w:rFonts w:hint="eastAsia"/>
          <w:lang w:eastAsia="zh-TW"/>
        </w:rPr>
        <w:t>億歐元，與</w:t>
      </w:r>
      <w:r>
        <w:rPr>
          <w:rFonts w:hint="eastAsia"/>
          <w:lang w:eastAsia="zh-TW"/>
        </w:rPr>
        <w:t>上年</w:t>
      </w:r>
      <w:r w:rsidRPr="00A52969">
        <w:rPr>
          <w:rFonts w:hint="eastAsia"/>
          <w:lang w:eastAsia="zh-TW"/>
        </w:rPr>
        <w:t>基本持平。相比之下，</w:t>
      </w:r>
      <w:r w:rsidRPr="00A52969">
        <w:rPr>
          <w:rStyle w:val="Strong"/>
          <w:rFonts w:hint="eastAsia"/>
          <w:b w:val="0"/>
          <w:bCs w:val="0"/>
          <w:lang w:eastAsia="zh-TW"/>
        </w:rPr>
        <w:t>毛利率顯著提升</w:t>
      </w:r>
      <w:r w:rsidRPr="00A52969">
        <w:rPr>
          <w:rFonts w:hint="eastAsia"/>
          <w:b/>
          <w:bCs/>
          <w:lang w:eastAsia="zh-TW"/>
        </w:rPr>
        <w:t>。調整後的銷售回報率</w:t>
      </w:r>
      <w:r w:rsidRPr="00A52969">
        <w:rPr>
          <w:rFonts w:hint="eastAsia"/>
          <w:lang w:eastAsia="zh-TW"/>
        </w:rPr>
        <w:t>達</w:t>
      </w:r>
      <w:r w:rsidRPr="00A52969">
        <w:rPr>
          <w:lang w:eastAsia="zh-TW"/>
        </w:rPr>
        <w:t>14.5%</w:t>
      </w:r>
      <w:r w:rsidRPr="00A52969">
        <w:rPr>
          <w:rFonts w:hint="eastAsia"/>
          <w:lang w:eastAsia="zh-TW"/>
        </w:rPr>
        <w:t>，</w:t>
      </w:r>
      <w:r>
        <w:rPr>
          <w:rFonts w:hint="eastAsia"/>
          <w:lang w:eastAsia="zh-TW"/>
        </w:rPr>
        <w:t>同比</w:t>
      </w:r>
      <w:r w:rsidRPr="00A52969">
        <w:rPr>
          <w:rFonts w:hint="eastAsia"/>
          <w:lang w:eastAsia="zh-TW"/>
        </w:rPr>
        <w:t>顯著提高。</w:t>
      </w:r>
    </w:p>
    <w:p w14:paraId="0F8F43A1" w14:textId="77777777" w:rsidR="00975446" w:rsidRDefault="00975446">
      <w:pPr>
        <w:rPr>
          <w:rFonts w:cs="Segoe UI"/>
          <w:szCs w:val="22"/>
          <w:lang w:eastAsia="zh-CN"/>
        </w:rPr>
      </w:pPr>
    </w:p>
    <w:p w14:paraId="06222606" w14:textId="2C0F271A" w:rsidR="00975446" w:rsidRPr="00A52969" w:rsidRDefault="00976AC7">
      <w:pPr>
        <w:spacing w:after="120"/>
        <w:jc w:val="left"/>
        <w:rPr>
          <w:rFonts w:cs="Segoe UI"/>
          <w:b/>
          <w:bCs/>
          <w:szCs w:val="22"/>
          <w:lang w:eastAsia="de-DE"/>
        </w:rPr>
      </w:pPr>
      <w:r w:rsidRPr="00A52969">
        <w:rPr>
          <w:rFonts w:cs="Segoe UI"/>
          <w:b/>
          <w:bCs/>
          <w:szCs w:val="22"/>
          <w:lang w:eastAsia="zh-TW"/>
        </w:rPr>
        <w:t>2026</w:t>
      </w:r>
      <w:r w:rsidRPr="00A52969">
        <w:rPr>
          <w:rFonts w:cs="Segoe UI" w:hint="eastAsia"/>
          <w:b/>
          <w:bCs/>
          <w:szCs w:val="22"/>
          <w:lang w:eastAsia="zh-TW"/>
        </w:rPr>
        <w:t>財年展望</w:t>
      </w:r>
    </w:p>
    <w:p w14:paraId="53825706" w14:textId="41CCD717" w:rsidR="00975446" w:rsidRPr="00A52969" w:rsidRDefault="00976AC7">
      <w:pPr>
        <w:rPr>
          <w:rFonts w:cs="Segoe UI"/>
          <w:szCs w:val="22"/>
          <w:lang w:eastAsia="zh-TW"/>
        </w:rPr>
      </w:pPr>
      <w:r w:rsidRPr="00A52969">
        <w:rPr>
          <w:rFonts w:cs="Segoe UI" w:hint="eastAsia"/>
          <w:szCs w:val="22"/>
          <w:lang w:eastAsia="zh-TW"/>
        </w:rPr>
        <w:t>繼上一財年平穩增長的勢頭後，預計</w:t>
      </w:r>
      <w:r w:rsidRPr="00A52969">
        <w:rPr>
          <w:rFonts w:cs="Segoe UI"/>
          <w:szCs w:val="22"/>
          <w:lang w:eastAsia="zh-TW"/>
        </w:rPr>
        <w:t>2026</w:t>
      </w:r>
      <w:r w:rsidRPr="00A52969">
        <w:rPr>
          <w:rFonts w:cs="Segoe UI" w:hint="eastAsia"/>
          <w:szCs w:val="22"/>
          <w:lang w:eastAsia="zh-TW"/>
        </w:rPr>
        <w:t>年全球經濟產出將維持平緩的增長態勢。持續的地緣政治動盪與居高不下的通脹壓力，預計將繼續重塑全球經濟。在此背景下，預計工業需求，以及與漢高消費品業務相關領域的消費需求僅會實現適度增長。</w:t>
      </w:r>
    </w:p>
    <w:p w14:paraId="4A515D0B" w14:textId="77777777" w:rsidR="00975446" w:rsidRPr="00A52969" w:rsidRDefault="00975446">
      <w:pPr>
        <w:rPr>
          <w:rFonts w:cs="Segoe UI"/>
          <w:szCs w:val="22"/>
          <w:lang w:eastAsia="zh-TW"/>
        </w:rPr>
      </w:pPr>
    </w:p>
    <w:p w14:paraId="630FDFD8" w14:textId="792F1A82" w:rsidR="00975446" w:rsidRPr="00A52969" w:rsidRDefault="00976AC7">
      <w:pPr>
        <w:rPr>
          <w:rFonts w:cs="Segoe UI"/>
          <w:szCs w:val="22"/>
          <w:lang w:eastAsia="zh-CN"/>
        </w:rPr>
      </w:pPr>
      <w:r w:rsidRPr="00A52969">
        <w:rPr>
          <w:rFonts w:cs="Segoe UI" w:hint="eastAsia"/>
          <w:szCs w:val="22"/>
          <w:lang w:eastAsia="zh-TW"/>
        </w:rPr>
        <w:t>外匯銷售額的換算預計將產生低個位數百分比的負面效應。與</w:t>
      </w:r>
      <w:r w:rsidRPr="00A52969">
        <w:rPr>
          <w:rFonts w:cs="Segoe UI"/>
          <w:szCs w:val="22"/>
          <w:lang w:eastAsia="zh-TW"/>
        </w:rPr>
        <w:t>2025</w:t>
      </w:r>
      <w:r w:rsidRPr="00A52969">
        <w:rPr>
          <w:rFonts w:cs="Segoe UI" w:hint="eastAsia"/>
          <w:szCs w:val="22"/>
          <w:lang w:eastAsia="zh-TW"/>
        </w:rPr>
        <w:t>年的平均價格相比，直接原材料價格預計將出現低個位數百分比的上漲。</w:t>
      </w:r>
    </w:p>
    <w:p w14:paraId="730B602B" w14:textId="77777777" w:rsidR="00975446" w:rsidRPr="00A52969" w:rsidRDefault="00975446">
      <w:pPr>
        <w:rPr>
          <w:rFonts w:cs="Segoe UI"/>
          <w:lang w:eastAsia="zh-CN"/>
        </w:rPr>
      </w:pPr>
    </w:p>
    <w:p w14:paraId="2EB3F342" w14:textId="78B63D82" w:rsidR="00975446" w:rsidRPr="00A52969" w:rsidRDefault="00976AC7">
      <w:pPr>
        <w:rPr>
          <w:rFonts w:cs="Segoe UI"/>
          <w:szCs w:val="22"/>
          <w:lang w:eastAsia="zh-TW"/>
        </w:rPr>
      </w:pPr>
      <w:r w:rsidRPr="00A52969">
        <w:rPr>
          <w:rFonts w:cs="Segoe UI" w:hint="eastAsia"/>
          <w:szCs w:val="22"/>
          <w:lang w:eastAsia="zh-TW"/>
        </w:rPr>
        <w:t>考慮到這些假設條件，漢高預計</w:t>
      </w:r>
      <w:r w:rsidRPr="00A52969">
        <w:rPr>
          <w:rFonts w:cs="Segoe UI"/>
          <w:szCs w:val="22"/>
          <w:lang w:eastAsia="zh-TW"/>
        </w:rPr>
        <w:t>2026</w:t>
      </w:r>
      <w:r w:rsidRPr="00A52969">
        <w:rPr>
          <w:rFonts w:cs="Segoe UI" w:hint="eastAsia"/>
          <w:szCs w:val="22"/>
          <w:lang w:eastAsia="zh-TW"/>
        </w:rPr>
        <w:t>財年的</w:t>
      </w:r>
      <w:r w:rsidRPr="00A52969">
        <w:rPr>
          <w:rFonts w:cs="Segoe UI" w:hint="eastAsia"/>
          <w:b/>
          <w:szCs w:val="22"/>
          <w:lang w:eastAsia="zh-TW"/>
        </w:rPr>
        <w:t>有機銷售額增長</w:t>
      </w:r>
      <w:r w:rsidRPr="00A52969">
        <w:rPr>
          <w:rFonts w:cs="Segoe UI" w:hint="eastAsia"/>
          <w:szCs w:val="22"/>
          <w:lang w:eastAsia="zh-TW"/>
        </w:rPr>
        <w:t>幅度將在</w:t>
      </w:r>
      <w:r w:rsidRPr="00A52969">
        <w:rPr>
          <w:rFonts w:cs="Segoe UI"/>
          <w:szCs w:val="22"/>
          <w:lang w:eastAsia="zh-TW"/>
        </w:rPr>
        <w:t>1.0%</w:t>
      </w:r>
      <w:r w:rsidRPr="00A52969">
        <w:rPr>
          <w:rFonts w:cs="Segoe UI" w:hint="eastAsia"/>
          <w:szCs w:val="22"/>
          <w:lang w:eastAsia="zh-TW"/>
        </w:rPr>
        <w:t>至</w:t>
      </w:r>
      <w:r w:rsidRPr="00A52969">
        <w:rPr>
          <w:rFonts w:cs="Segoe UI"/>
          <w:szCs w:val="22"/>
          <w:lang w:eastAsia="zh-TW"/>
        </w:rPr>
        <w:t>3.0%</w:t>
      </w:r>
      <w:r w:rsidRPr="00A52969">
        <w:rPr>
          <w:rFonts w:cs="Segoe UI" w:hint="eastAsia"/>
          <w:szCs w:val="22"/>
          <w:lang w:eastAsia="zh-TW"/>
        </w:rPr>
        <w:t>範圍內。粘合劑技術業務部的有機增長預計為</w:t>
      </w:r>
      <w:r w:rsidRPr="00A52969">
        <w:rPr>
          <w:rFonts w:cs="Segoe UI"/>
          <w:szCs w:val="22"/>
          <w:lang w:eastAsia="zh-TW"/>
        </w:rPr>
        <w:t>1.0%</w:t>
      </w:r>
      <w:r w:rsidRPr="00A52969">
        <w:rPr>
          <w:rFonts w:cs="Segoe UI" w:hint="eastAsia"/>
          <w:szCs w:val="22"/>
          <w:lang w:eastAsia="zh-TW"/>
        </w:rPr>
        <w:t>至</w:t>
      </w:r>
      <w:r w:rsidRPr="00A52969">
        <w:rPr>
          <w:rFonts w:cs="Segoe UI"/>
          <w:szCs w:val="22"/>
          <w:lang w:eastAsia="zh-TW"/>
        </w:rPr>
        <w:t>3.0%</w:t>
      </w:r>
      <w:r w:rsidRPr="00A52969">
        <w:rPr>
          <w:rFonts w:cs="Segoe UI" w:hint="eastAsia"/>
          <w:szCs w:val="22"/>
          <w:lang w:eastAsia="zh-TW"/>
        </w:rPr>
        <w:t>，而消費品牌業務部預計在</w:t>
      </w:r>
      <w:r w:rsidRPr="00A52969">
        <w:rPr>
          <w:rFonts w:cs="Segoe UI"/>
          <w:szCs w:val="22"/>
          <w:lang w:eastAsia="zh-TW"/>
        </w:rPr>
        <w:t>0.5%</w:t>
      </w:r>
      <w:r w:rsidRPr="00A52969">
        <w:rPr>
          <w:rFonts w:cs="Segoe UI" w:hint="eastAsia"/>
          <w:szCs w:val="22"/>
          <w:lang w:eastAsia="zh-TW"/>
        </w:rPr>
        <w:t>至</w:t>
      </w:r>
      <w:r w:rsidRPr="00A52969">
        <w:rPr>
          <w:rFonts w:cs="Segoe UI"/>
          <w:szCs w:val="22"/>
          <w:lang w:eastAsia="zh-TW"/>
        </w:rPr>
        <w:t>2.5%</w:t>
      </w:r>
      <w:r w:rsidRPr="00A52969">
        <w:rPr>
          <w:rFonts w:cs="Segoe UI" w:hint="eastAsia"/>
          <w:szCs w:val="22"/>
          <w:lang w:eastAsia="zh-TW"/>
        </w:rPr>
        <w:t>之間。</w:t>
      </w:r>
      <w:r w:rsidRPr="00A52969">
        <w:rPr>
          <w:rFonts w:cs="Segoe UI" w:hint="eastAsia"/>
          <w:b/>
          <w:szCs w:val="22"/>
          <w:lang w:eastAsia="zh-TW"/>
        </w:rPr>
        <w:t>調整後的銷售回報率（調整後的息稅前利潤率）</w:t>
      </w:r>
      <w:r w:rsidRPr="00A52969">
        <w:rPr>
          <w:rFonts w:cs="Segoe UI" w:hint="eastAsia"/>
          <w:szCs w:val="22"/>
          <w:lang w:eastAsia="zh-TW"/>
        </w:rPr>
        <w:t>預計為</w:t>
      </w:r>
      <w:r w:rsidRPr="00A52969">
        <w:rPr>
          <w:rFonts w:cs="Segoe UI"/>
          <w:szCs w:val="22"/>
          <w:lang w:eastAsia="zh-TW"/>
        </w:rPr>
        <w:t>14.5%</w:t>
      </w:r>
      <w:r w:rsidRPr="00A52969">
        <w:rPr>
          <w:rFonts w:cs="Segoe UI" w:hint="eastAsia"/>
          <w:szCs w:val="22"/>
          <w:lang w:eastAsia="zh-TW"/>
        </w:rPr>
        <w:t>至</w:t>
      </w:r>
      <w:r w:rsidRPr="00A52969">
        <w:rPr>
          <w:rFonts w:cs="Segoe UI"/>
          <w:szCs w:val="22"/>
          <w:lang w:eastAsia="zh-TW"/>
        </w:rPr>
        <w:t>16.0%</w:t>
      </w:r>
      <w:r w:rsidRPr="00A52969">
        <w:rPr>
          <w:rFonts w:cs="Segoe UI" w:hint="eastAsia"/>
          <w:szCs w:val="22"/>
          <w:lang w:eastAsia="zh-TW"/>
        </w:rPr>
        <w:t>。粘合劑技術業務部調整後的銷售回報率預計為</w:t>
      </w:r>
      <w:r w:rsidRPr="00A52969">
        <w:rPr>
          <w:rFonts w:cs="Segoe UI"/>
          <w:szCs w:val="22"/>
          <w:lang w:eastAsia="zh-TW"/>
        </w:rPr>
        <w:t>16.5%</w:t>
      </w:r>
      <w:r w:rsidRPr="00A52969">
        <w:rPr>
          <w:rFonts w:cs="Segoe UI" w:hint="eastAsia"/>
          <w:szCs w:val="22"/>
          <w:lang w:eastAsia="zh-TW"/>
        </w:rPr>
        <w:t>至</w:t>
      </w:r>
      <w:r w:rsidRPr="00A52969">
        <w:rPr>
          <w:rFonts w:cs="Segoe UI"/>
          <w:szCs w:val="22"/>
          <w:lang w:eastAsia="zh-TW"/>
        </w:rPr>
        <w:t>18.0%</w:t>
      </w:r>
      <w:r w:rsidRPr="00A52969">
        <w:rPr>
          <w:rFonts w:cs="Segoe UI" w:hint="eastAsia"/>
          <w:szCs w:val="22"/>
          <w:lang w:eastAsia="zh-TW"/>
        </w:rPr>
        <w:t>，消費品牌業務部預計為</w:t>
      </w:r>
      <w:r w:rsidRPr="00A52969">
        <w:rPr>
          <w:rFonts w:cs="Segoe UI"/>
          <w:szCs w:val="22"/>
          <w:lang w:eastAsia="zh-TW"/>
        </w:rPr>
        <w:t>14.0%</w:t>
      </w:r>
      <w:r w:rsidRPr="00A52969">
        <w:rPr>
          <w:rFonts w:cs="Segoe UI" w:hint="eastAsia"/>
          <w:szCs w:val="22"/>
          <w:lang w:eastAsia="zh-TW"/>
        </w:rPr>
        <w:t>至</w:t>
      </w:r>
      <w:r w:rsidRPr="00A52969">
        <w:rPr>
          <w:rFonts w:cs="Segoe UI"/>
          <w:szCs w:val="22"/>
          <w:lang w:eastAsia="zh-TW"/>
        </w:rPr>
        <w:t>15.5%</w:t>
      </w:r>
      <w:r w:rsidRPr="00A52969">
        <w:rPr>
          <w:rFonts w:cs="Segoe UI" w:hint="eastAsia"/>
          <w:szCs w:val="22"/>
          <w:lang w:eastAsia="zh-TW"/>
        </w:rPr>
        <w:t>。按固定匯率計算的</w:t>
      </w:r>
      <w:r w:rsidRPr="00A52969">
        <w:rPr>
          <w:rFonts w:cs="Segoe UI" w:hint="eastAsia"/>
          <w:b/>
          <w:szCs w:val="22"/>
          <w:lang w:eastAsia="zh-TW"/>
        </w:rPr>
        <w:t>調整後優先股每股收益（</w:t>
      </w:r>
      <w:r w:rsidRPr="00A52969">
        <w:rPr>
          <w:rFonts w:cs="Segoe UI"/>
          <w:b/>
          <w:szCs w:val="22"/>
          <w:lang w:eastAsia="zh-TW"/>
        </w:rPr>
        <w:t>EPS</w:t>
      </w:r>
      <w:r w:rsidRPr="00A52969">
        <w:rPr>
          <w:rFonts w:cs="Segoe UI" w:hint="eastAsia"/>
          <w:b/>
          <w:szCs w:val="22"/>
          <w:lang w:eastAsia="zh-TW"/>
        </w:rPr>
        <w:t>）</w:t>
      </w:r>
      <w:r w:rsidRPr="00A52969">
        <w:rPr>
          <w:rFonts w:cs="Segoe UI" w:hint="eastAsia"/>
          <w:szCs w:val="22"/>
          <w:lang w:eastAsia="zh-TW"/>
        </w:rPr>
        <w:t>預計將以較低至較高個位元元數百分比的幅度增長。</w:t>
      </w:r>
    </w:p>
    <w:p w14:paraId="4887FFA5" w14:textId="77777777" w:rsidR="00975446" w:rsidRPr="00A52969" w:rsidRDefault="00975446">
      <w:pPr>
        <w:rPr>
          <w:rFonts w:cs="Segoe UI"/>
          <w:b/>
          <w:bCs/>
          <w:szCs w:val="22"/>
          <w:lang w:eastAsia="de-DE"/>
        </w:rPr>
      </w:pPr>
    </w:p>
    <w:p w14:paraId="24674086" w14:textId="1BF4D106" w:rsidR="00975446" w:rsidRPr="00A52969" w:rsidRDefault="00976AC7">
      <w:pPr>
        <w:spacing w:after="120"/>
        <w:jc w:val="left"/>
        <w:rPr>
          <w:rFonts w:cs="Segoe UI"/>
          <w:b/>
          <w:bCs/>
          <w:szCs w:val="22"/>
          <w:lang w:eastAsia="de-DE"/>
        </w:rPr>
      </w:pPr>
      <w:r w:rsidRPr="00A52969">
        <w:rPr>
          <w:rFonts w:cs="Segoe UI" w:hint="eastAsia"/>
          <w:b/>
          <w:bCs/>
          <w:szCs w:val="22"/>
          <w:lang w:eastAsia="zh-TW"/>
        </w:rPr>
        <w:t>轉型過程取得重大進展</w:t>
      </w:r>
    </w:p>
    <w:p w14:paraId="6549FDB0" w14:textId="767C00A3" w:rsidR="00975446" w:rsidRPr="00A52969" w:rsidRDefault="00976AC7">
      <w:pPr>
        <w:rPr>
          <w:rFonts w:cs="Segoe UI"/>
          <w:szCs w:val="22"/>
          <w:lang w:eastAsia="zh-TW"/>
        </w:rPr>
      </w:pPr>
      <w:r w:rsidRPr="00A52969">
        <w:rPr>
          <w:rFonts w:cs="Segoe UI" w:hint="eastAsia"/>
          <w:szCs w:val="22"/>
          <w:lang w:eastAsia="zh-TW"/>
        </w:rPr>
        <w:lastRenderedPageBreak/>
        <w:t>近年來，漢高在眾多領域都進行了深刻變革，並持續貫徹自己的目標性增長戰略議程。</w:t>
      </w:r>
      <w:r w:rsidRPr="007D0BE7">
        <w:rPr>
          <w:rFonts w:cs="Segoe UI" w:hint="eastAsia"/>
          <w:szCs w:val="22"/>
          <w:lang w:eastAsia="zh-TW"/>
        </w:rPr>
        <w:t>實現長期成功的關鍵在於</w:t>
      </w:r>
      <w:r w:rsidRPr="00A52969">
        <w:rPr>
          <w:rFonts w:cs="Segoe UI" w:hint="eastAsia"/>
          <w:szCs w:val="22"/>
          <w:lang w:eastAsia="zh-TW"/>
        </w:rPr>
        <w:t>持續</w:t>
      </w:r>
      <w:r>
        <w:rPr>
          <w:rFonts w:cs="Segoe UI" w:hint="eastAsia"/>
          <w:szCs w:val="22"/>
          <w:lang w:eastAsia="zh-TW"/>
        </w:rPr>
        <w:t>變革</w:t>
      </w:r>
      <w:r w:rsidRPr="00A52969">
        <w:rPr>
          <w:rFonts w:cs="Segoe UI" w:hint="eastAsia"/>
          <w:szCs w:val="22"/>
          <w:lang w:eastAsia="zh-TW"/>
        </w:rPr>
        <w:t>並主動引領</w:t>
      </w:r>
      <w:r>
        <w:rPr>
          <w:rFonts w:cs="Segoe UI" w:hint="eastAsia"/>
          <w:szCs w:val="22"/>
          <w:lang w:eastAsia="zh-TW"/>
        </w:rPr>
        <w:t>改變</w:t>
      </w:r>
      <w:r w:rsidRPr="00A52969">
        <w:rPr>
          <w:rFonts w:cs="Segoe UI" w:hint="eastAsia"/>
          <w:szCs w:val="22"/>
          <w:lang w:eastAsia="zh-TW"/>
        </w:rPr>
        <w:t>的意願。</w:t>
      </w:r>
    </w:p>
    <w:p w14:paraId="629647DD" w14:textId="77777777" w:rsidR="00975446" w:rsidRPr="00A52969" w:rsidRDefault="00975446">
      <w:pPr>
        <w:rPr>
          <w:rFonts w:cs="Segoe UI"/>
          <w:szCs w:val="22"/>
          <w:lang w:eastAsia="zh-TW"/>
        </w:rPr>
      </w:pPr>
    </w:p>
    <w:p w14:paraId="3A4FDDF3" w14:textId="675C1D91" w:rsidR="00975446" w:rsidRPr="00A52969" w:rsidRDefault="00976AC7">
      <w:pPr>
        <w:spacing w:after="120"/>
        <w:jc w:val="left"/>
        <w:rPr>
          <w:rFonts w:cs="Segoe UI"/>
          <w:b/>
          <w:bCs/>
          <w:szCs w:val="22"/>
          <w:lang w:eastAsia="de-DE"/>
        </w:rPr>
      </w:pPr>
      <w:r w:rsidRPr="00A52969">
        <w:rPr>
          <w:rFonts w:cs="Segoe UI" w:hint="eastAsia"/>
          <w:b/>
          <w:bCs/>
          <w:szCs w:val="22"/>
          <w:lang w:eastAsia="zh-TW"/>
        </w:rPr>
        <w:t>消費品牌業務部：合併</w:t>
      </w:r>
      <w:r>
        <w:rPr>
          <w:rFonts w:cs="Segoe UI" w:hint="eastAsia"/>
          <w:b/>
          <w:bCs/>
          <w:szCs w:val="22"/>
          <w:lang w:eastAsia="zh-TW"/>
        </w:rPr>
        <w:t>順利</w:t>
      </w:r>
      <w:r w:rsidRPr="00A52969">
        <w:rPr>
          <w:rFonts w:cs="Segoe UI" w:hint="eastAsia"/>
          <w:b/>
          <w:bCs/>
          <w:szCs w:val="22"/>
          <w:lang w:eastAsia="zh-TW"/>
        </w:rPr>
        <w:t>完成</w:t>
      </w:r>
    </w:p>
    <w:p w14:paraId="6CDB75DB" w14:textId="230E0E37" w:rsidR="00975446" w:rsidRPr="00A52969" w:rsidRDefault="00976AC7">
      <w:pPr>
        <w:rPr>
          <w:rFonts w:cs="Segoe UI"/>
          <w:szCs w:val="22"/>
          <w:lang w:eastAsia="zh-TW"/>
        </w:rPr>
      </w:pPr>
      <w:bookmarkStart w:id="9" w:name="_Hlk190100871"/>
      <w:r w:rsidRPr="00A52969">
        <w:rPr>
          <w:rFonts w:cs="Segoe UI" w:hint="eastAsia"/>
          <w:szCs w:val="22"/>
          <w:lang w:eastAsia="zh-TW"/>
        </w:rPr>
        <w:t>公司於</w:t>
      </w:r>
      <w:r w:rsidRPr="00A52969">
        <w:rPr>
          <w:rFonts w:cs="Segoe UI"/>
          <w:szCs w:val="22"/>
          <w:lang w:eastAsia="zh-TW"/>
        </w:rPr>
        <w:t>2022</w:t>
      </w:r>
      <w:r w:rsidRPr="00A52969">
        <w:rPr>
          <w:rFonts w:cs="Segoe UI" w:hint="eastAsia"/>
          <w:szCs w:val="22"/>
          <w:lang w:eastAsia="zh-TW"/>
        </w:rPr>
        <w:t>年初宣佈將消費品業務整合為</w:t>
      </w:r>
      <w:r w:rsidRPr="00A52969">
        <w:rPr>
          <w:rFonts w:cs="Segoe UI" w:hint="eastAsia"/>
          <w:b/>
          <w:szCs w:val="22"/>
          <w:lang w:eastAsia="zh-TW"/>
        </w:rPr>
        <w:t>消費品牌</w:t>
      </w:r>
      <w:r w:rsidRPr="00A52969">
        <w:rPr>
          <w:rFonts w:cs="Segoe UI" w:hint="eastAsia"/>
          <w:szCs w:val="22"/>
          <w:lang w:eastAsia="zh-TW"/>
        </w:rPr>
        <w:t>業務部，該項合併工作已於</w:t>
      </w:r>
      <w:r w:rsidRPr="00A52969">
        <w:rPr>
          <w:rFonts w:cs="Segoe UI"/>
          <w:szCs w:val="22"/>
          <w:lang w:eastAsia="zh-TW"/>
        </w:rPr>
        <w:t>2025</w:t>
      </w:r>
      <w:r w:rsidRPr="00A52969">
        <w:rPr>
          <w:rFonts w:cs="Segoe UI" w:hint="eastAsia"/>
          <w:szCs w:val="22"/>
          <w:lang w:eastAsia="zh-TW"/>
        </w:rPr>
        <w:t>財年末順利收官。總體而言，截至</w:t>
      </w:r>
      <w:r w:rsidRPr="00A52969">
        <w:rPr>
          <w:rFonts w:cs="Segoe UI"/>
          <w:szCs w:val="22"/>
          <w:lang w:eastAsia="zh-TW"/>
        </w:rPr>
        <w:t>2025</w:t>
      </w:r>
      <w:r w:rsidRPr="00A52969">
        <w:rPr>
          <w:rFonts w:cs="Segoe UI" w:hint="eastAsia"/>
          <w:szCs w:val="22"/>
          <w:lang w:eastAsia="zh-TW"/>
        </w:rPr>
        <w:t>財年底，公司已超額實現原定的</w:t>
      </w:r>
      <w:r w:rsidRPr="00A52969">
        <w:rPr>
          <w:rFonts w:cs="Segoe UI"/>
          <w:szCs w:val="22"/>
          <w:lang w:eastAsia="zh-TW"/>
        </w:rPr>
        <w:t>5.25</w:t>
      </w:r>
      <w:r w:rsidRPr="00A52969">
        <w:rPr>
          <w:rFonts w:cs="Segoe UI" w:hint="eastAsia"/>
          <w:szCs w:val="22"/>
          <w:lang w:eastAsia="zh-TW"/>
        </w:rPr>
        <w:t>億歐元年度成本節約目標。這也意味著消費品牌業務部的整合工作取得了圓滿成功，較原定計劃提前一年完成。</w:t>
      </w:r>
    </w:p>
    <w:p w14:paraId="3A4533D1" w14:textId="77777777" w:rsidR="00975446" w:rsidRPr="00A52969" w:rsidRDefault="00975446">
      <w:pPr>
        <w:rPr>
          <w:rFonts w:cs="Segoe UI"/>
          <w:szCs w:val="22"/>
          <w:lang w:eastAsia="de-DE"/>
        </w:rPr>
      </w:pPr>
    </w:p>
    <w:p w14:paraId="6B4669E0" w14:textId="5684ACAD" w:rsidR="00975446" w:rsidRPr="00A52969" w:rsidRDefault="00976AC7">
      <w:pPr>
        <w:rPr>
          <w:rFonts w:cs="Segoe UI"/>
          <w:szCs w:val="22"/>
          <w:lang w:eastAsia="zh-TW"/>
        </w:rPr>
      </w:pPr>
      <w:r w:rsidRPr="00A52969">
        <w:rPr>
          <w:rFonts w:cs="Segoe UI" w:hint="eastAsia"/>
          <w:szCs w:val="22"/>
          <w:lang w:eastAsia="zh-TW"/>
        </w:rPr>
        <w:t>與此同時，消費品牌業務部始終關注高毛利率</w:t>
      </w:r>
      <w:r>
        <w:rPr>
          <w:rFonts w:cs="Segoe UI" w:hint="eastAsia"/>
          <w:szCs w:val="22"/>
          <w:lang w:eastAsia="zh-TW"/>
        </w:rPr>
        <w:t>、且</w:t>
      </w:r>
      <w:r w:rsidRPr="00A52969">
        <w:rPr>
          <w:rFonts w:cs="Segoe UI" w:hint="eastAsia"/>
          <w:szCs w:val="22"/>
          <w:lang w:eastAsia="zh-TW"/>
        </w:rPr>
        <w:t>在市場和品類中</w:t>
      </w:r>
      <w:r>
        <w:rPr>
          <w:rFonts w:cs="Segoe UI" w:hint="eastAsia"/>
          <w:szCs w:val="22"/>
          <w:lang w:eastAsia="zh-TW"/>
        </w:rPr>
        <w:t>具有</w:t>
      </w:r>
      <w:r w:rsidRPr="00A52969">
        <w:rPr>
          <w:rFonts w:cs="Segoe UI" w:hint="eastAsia"/>
          <w:szCs w:val="22"/>
          <w:lang w:eastAsia="zh-TW"/>
        </w:rPr>
        <w:t>領先地位的強大品牌和業務。</w:t>
      </w:r>
      <w:r>
        <w:rPr>
          <w:rFonts w:cs="Segoe UI" w:hint="eastAsia"/>
          <w:szCs w:val="22"/>
          <w:lang w:eastAsia="zh-TW"/>
        </w:rPr>
        <w:t>該</w:t>
      </w:r>
      <w:r w:rsidRPr="00A52969">
        <w:rPr>
          <w:rFonts w:cs="Segoe UI" w:hint="eastAsia"/>
          <w:szCs w:val="22"/>
          <w:lang w:eastAsia="zh-TW"/>
        </w:rPr>
        <w:t>策略取得了顯著成效：</w:t>
      </w:r>
      <w:r w:rsidRPr="00F26E16">
        <w:rPr>
          <w:rFonts w:cs="Segoe UI"/>
          <w:szCs w:val="22"/>
          <w:lang w:eastAsia="zh-TW"/>
        </w:rPr>
        <w:t>2025</w:t>
      </w:r>
      <w:r w:rsidRPr="00F26E16">
        <w:rPr>
          <w:rFonts w:cs="Segoe UI" w:hint="eastAsia"/>
          <w:szCs w:val="22"/>
          <w:lang w:eastAsia="zh-TW"/>
        </w:rPr>
        <w:t>年消費品業務中排名前十的品牌合計貢獻近六成收入，</w:t>
      </w:r>
      <w:r>
        <w:rPr>
          <w:rFonts w:cs="Segoe UI" w:hint="eastAsia"/>
          <w:szCs w:val="22"/>
          <w:lang w:eastAsia="zh-TW"/>
        </w:rPr>
        <w:t>取</w:t>
      </w:r>
      <w:r w:rsidRPr="00F26E16">
        <w:rPr>
          <w:rFonts w:cs="Segoe UI" w:hint="eastAsia"/>
          <w:szCs w:val="22"/>
          <w:lang w:eastAsia="zh-TW"/>
        </w:rPr>
        <w:t>得</w:t>
      </w:r>
      <w:r>
        <w:rPr>
          <w:rFonts w:cs="Segoe UI" w:hint="eastAsia"/>
          <w:szCs w:val="22"/>
          <w:lang w:eastAsia="zh-TW"/>
        </w:rPr>
        <w:t>了</w:t>
      </w:r>
      <w:r w:rsidRPr="00F26E16">
        <w:rPr>
          <w:rFonts w:cs="Segoe UI" w:hint="eastAsia"/>
          <w:szCs w:val="22"/>
          <w:lang w:eastAsia="zh-TW"/>
        </w:rPr>
        <w:t>強勁的有機增長並實現銷量提升。</w:t>
      </w:r>
    </w:p>
    <w:bookmarkEnd w:id="9"/>
    <w:p w14:paraId="0758A174" w14:textId="77777777" w:rsidR="00975446" w:rsidRPr="00A52969" w:rsidRDefault="00975446">
      <w:pPr>
        <w:rPr>
          <w:rFonts w:cs="Segoe UI"/>
          <w:szCs w:val="22"/>
          <w:lang w:eastAsia="zh-TW"/>
        </w:rPr>
      </w:pPr>
    </w:p>
    <w:p w14:paraId="3C2565C8" w14:textId="1A2C1BCF" w:rsidR="00975446" w:rsidRPr="00A52969" w:rsidRDefault="00976AC7">
      <w:pPr>
        <w:rPr>
          <w:rFonts w:cs="Segoe UI"/>
          <w:szCs w:val="22"/>
          <w:lang w:eastAsia="zh-CN"/>
        </w:rPr>
      </w:pPr>
      <w:r w:rsidRPr="004F6A96">
        <w:rPr>
          <w:rFonts w:cs="Segoe UI" w:hint="eastAsia"/>
          <w:szCs w:val="22"/>
          <w:lang w:eastAsia="zh-TW"/>
        </w:rPr>
        <w:t>回顧</w:t>
      </w:r>
      <w:r>
        <w:rPr>
          <w:rFonts w:cs="Segoe UI" w:hint="eastAsia"/>
          <w:szCs w:val="22"/>
          <w:lang w:eastAsia="zh-TW"/>
        </w:rPr>
        <w:t>新業務部門成立</w:t>
      </w:r>
      <w:r w:rsidRPr="004F6A96">
        <w:rPr>
          <w:rFonts w:cs="Segoe UI" w:hint="eastAsia"/>
          <w:szCs w:val="22"/>
          <w:lang w:eastAsia="zh-TW"/>
        </w:rPr>
        <w:t>三年以來的</w:t>
      </w:r>
      <w:r>
        <w:rPr>
          <w:rFonts w:cs="Segoe UI" w:hint="eastAsia"/>
          <w:szCs w:val="22"/>
          <w:lang w:eastAsia="zh-TW"/>
        </w:rPr>
        <w:t>業績</w:t>
      </w:r>
      <w:r w:rsidRPr="004F6A96">
        <w:rPr>
          <w:rFonts w:cs="Segoe UI" w:hint="eastAsia"/>
          <w:szCs w:val="22"/>
          <w:lang w:eastAsia="zh-TW"/>
        </w:rPr>
        <w:t>表現，</w:t>
      </w:r>
      <w:r w:rsidRPr="00A52969">
        <w:rPr>
          <w:rFonts w:cs="Segoe UI" w:hint="eastAsia"/>
          <w:szCs w:val="22"/>
          <w:lang w:eastAsia="zh-TW"/>
        </w:rPr>
        <w:t>整合消費品業務的戰略重要性顯而易見。</w:t>
      </w:r>
      <w:r w:rsidRPr="00A52969">
        <w:rPr>
          <w:rFonts w:cs="Segoe UI"/>
          <w:szCs w:val="22"/>
          <w:lang w:eastAsia="zh-TW"/>
        </w:rPr>
        <w:t>2022</w:t>
      </w:r>
      <w:r w:rsidRPr="00A52969">
        <w:rPr>
          <w:rFonts w:cs="Segoe UI" w:hint="eastAsia"/>
          <w:szCs w:val="22"/>
          <w:lang w:eastAsia="zh-TW"/>
        </w:rPr>
        <w:t>財年，相關合併業務的調整後銷售回報率為</w:t>
      </w:r>
      <w:r w:rsidRPr="00A52969">
        <w:rPr>
          <w:rFonts w:cs="Segoe UI"/>
          <w:szCs w:val="22"/>
          <w:lang w:eastAsia="zh-TW"/>
        </w:rPr>
        <w:t>8.3%</w:t>
      </w:r>
      <w:r w:rsidRPr="00A52969">
        <w:rPr>
          <w:rFonts w:cs="Segoe UI" w:hint="eastAsia"/>
          <w:szCs w:val="22"/>
          <w:lang w:eastAsia="zh-TW"/>
        </w:rPr>
        <w:t>，而至</w:t>
      </w:r>
      <w:r w:rsidRPr="00A52969">
        <w:rPr>
          <w:rFonts w:cs="Segoe UI"/>
          <w:szCs w:val="22"/>
          <w:lang w:eastAsia="zh-TW"/>
        </w:rPr>
        <w:t>2025</w:t>
      </w:r>
      <w:r w:rsidRPr="00A52969">
        <w:rPr>
          <w:rFonts w:cs="Segoe UI" w:hint="eastAsia"/>
          <w:szCs w:val="22"/>
          <w:lang w:eastAsia="zh-TW"/>
        </w:rPr>
        <w:t>財年底，該指標已躍升至</w:t>
      </w:r>
      <w:r w:rsidRPr="00A52969">
        <w:rPr>
          <w:rFonts w:cs="Segoe UI"/>
          <w:szCs w:val="22"/>
          <w:lang w:eastAsia="zh-TW"/>
        </w:rPr>
        <w:t>14.5%</w:t>
      </w:r>
      <w:r w:rsidRPr="00A52969">
        <w:rPr>
          <w:rFonts w:cs="Segoe UI" w:hint="eastAsia"/>
          <w:szCs w:val="22"/>
          <w:lang w:eastAsia="zh-TW"/>
        </w:rPr>
        <w:t>。這意味著利潤率在三年內實現了</w:t>
      </w:r>
      <w:r w:rsidRPr="00A52969">
        <w:rPr>
          <w:rFonts w:cs="Segoe UI"/>
          <w:szCs w:val="22"/>
          <w:lang w:eastAsia="zh-TW"/>
        </w:rPr>
        <w:t>6.2</w:t>
      </w:r>
      <w:r w:rsidRPr="00A52969">
        <w:rPr>
          <w:rFonts w:cs="Segoe UI" w:hint="eastAsia"/>
          <w:szCs w:val="22"/>
          <w:lang w:eastAsia="zh-TW"/>
        </w:rPr>
        <w:t>個百分點的大幅提升</w:t>
      </w:r>
      <w:r>
        <w:rPr>
          <w:rFonts w:cs="Segoe UI" w:hint="eastAsia"/>
          <w:szCs w:val="22"/>
          <w:lang w:eastAsia="zh-TW"/>
        </w:rPr>
        <w:t>。</w:t>
      </w:r>
      <w:r w:rsidRPr="00A52969">
        <w:rPr>
          <w:rFonts w:cs="Segoe UI" w:hint="eastAsia"/>
          <w:szCs w:val="22"/>
          <w:lang w:eastAsia="zh-TW"/>
        </w:rPr>
        <w:t>在此期間，公司對該業務部旗下品牌建設及創新能力的投資亦在大幅加碼。</w:t>
      </w:r>
    </w:p>
    <w:p w14:paraId="01BE7D35" w14:textId="77777777" w:rsidR="00975446" w:rsidRPr="00A52969" w:rsidRDefault="00975446">
      <w:pPr>
        <w:spacing w:line="240" w:lineRule="auto"/>
        <w:jc w:val="left"/>
        <w:rPr>
          <w:rFonts w:cs="Segoe UI"/>
          <w:b/>
          <w:bCs/>
          <w:szCs w:val="22"/>
          <w:lang w:eastAsia="de-DE"/>
        </w:rPr>
      </w:pPr>
    </w:p>
    <w:p w14:paraId="20B5322F" w14:textId="0A81BC23" w:rsidR="008E1C3F" w:rsidRPr="00E21F5D" w:rsidRDefault="008E1C3F" w:rsidP="008E1C3F">
      <w:pPr>
        <w:spacing w:after="120"/>
        <w:rPr>
          <w:rFonts w:cs="Segoe UI"/>
          <w:b/>
          <w:bCs/>
          <w:szCs w:val="22"/>
          <w:lang w:eastAsia="de-DE"/>
        </w:rPr>
      </w:pPr>
      <w:r w:rsidRPr="00B37FD0">
        <w:rPr>
          <w:rFonts w:cs="Segoe UI" w:hint="eastAsia"/>
          <w:b/>
          <w:bCs/>
          <w:szCs w:val="22"/>
          <w:lang w:eastAsia="de-DE"/>
        </w:rPr>
        <w:t>持续落实战略议程</w:t>
      </w:r>
    </w:p>
    <w:p w14:paraId="7643CB0A" w14:textId="0FD98357" w:rsidR="00975446" w:rsidRPr="00A52969" w:rsidRDefault="00976AC7">
      <w:pPr>
        <w:autoSpaceDE w:val="0"/>
        <w:autoSpaceDN w:val="0"/>
        <w:adjustRightInd w:val="0"/>
        <w:rPr>
          <w:rFonts w:cs="Segoe UI"/>
          <w:bCs/>
          <w:szCs w:val="22"/>
          <w:lang w:eastAsia="zh-TW"/>
        </w:rPr>
      </w:pPr>
      <w:r w:rsidRPr="00A52969">
        <w:rPr>
          <w:rFonts w:cs="Segoe UI" w:hint="eastAsia"/>
          <w:bCs/>
          <w:szCs w:val="22"/>
          <w:lang w:eastAsia="zh-TW"/>
        </w:rPr>
        <w:t>在充滿挑戰的宏觀經濟和地緣政治環境</w:t>
      </w:r>
      <w:r>
        <w:rPr>
          <w:rFonts w:cs="Segoe UI" w:hint="eastAsia"/>
          <w:bCs/>
          <w:szCs w:val="22"/>
          <w:lang w:eastAsia="zh-TW"/>
        </w:rPr>
        <w:t>中</w:t>
      </w:r>
      <w:r w:rsidRPr="00A52969">
        <w:rPr>
          <w:rFonts w:cs="Segoe UI" w:hint="eastAsia"/>
          <w:bCs/>
          <w:szCs w:val="22"/>
          <w:lang w:eastAsia="zh-TW"/>
        </w:rPr>
        <w:t>，漢高在</w:t>
      </w:r>
      <w:r w:rsidRPr="00A52969">
        <w:rPr>
          <w:rFonts w:cs="Segoe UI"/>
          <w:bCs/>
          <w:szCs w:val="22"/>
          <w:lang w:eastAsia="zh-TW"/>
        </w:rPr>
        <w:t>2025</w:t>
      </w:r>
      <w:r w:rsidRPr="00A52969">
        <w:rPr>
          <w:rFonts w:cs="Segoe UI" w:hint="eastAsia"/>
          <w:bCs/>
          <w:szCs w:val="22"/>
          <w:lang w:eastAsia="zh-TW"/>
        </w:rPr>
        <w:t>財年繼續</w:t>
      </w:r>
      <w:r>
        <w:rPr>
          <w:rFonts w:cs="Segoe UI" w:hint="eastAsia"/>
          <w:bCs/>
          <w:szCs w:val="22"/>
          <w:lang w:eastAsia="zh-TW"/>
        </w:rPr>
        <w:t>落實</w:t>
      </w:r>
      <w:r w:rsidRPr="00A52969">
        <w:rPr>
          <w:rFonts w:cs="Segoe UI" w:hint="eastAsia"/>
          <w:bCs/>
          <w:szCs w:val="22"/>
          <w:lang w:eastAsia="zh-TW"/>
        </w:rPr>
        <w:t>戰略議程，並在各個領域取得了重要進展。公司進一步發展其業務和品牌組合，加強在創新、可持續發展和數位化領域的競爭優勢，優化業務流程，並加強企業文化。</w:t>
      </w:r>
    </w:p>
    <w:p w14:paraId="21D133AC" w14:textId="77777777" w:rsidR="00975446" w:rsidRPr="00A52969" w:rsidRDefault="00975446">
      <w:pPr>
        <w:autoSpaceDE w:val="0"/>
        <w:autoSpaceDN w:val="0"/>
        <w:adjustRightInd w:val="0"/>
        <w:rPr>
          <w:rFonts w:cs="Segoe UI"/>
          <w:bCs/>
          <w:szCs w:val="22"/>
          <w:lang w:eastAsia="zh-TW"/>
        </w:rPr>
      </w:pPr>
    </w:p>
    <w:p w14:paraId="3F36FEEE" w14:textId="032E04D4" w:rsidR="00975446" w:rsidRPr="00A52969" w:rsidRDefault="00976AC7">
      <w:pPr>
        <w:autoSpaceDE w:val="0"/>
        <w:autoSpaceDN w:val="0"/>
        <w:adjustRightInd w:val="0"/>
        <w:rPr>
          <w:rFonts w:cs="Segoe UI"/>
          <w:bCs/>
          <w:szCs w:val="22"/>
          <w:lang w:eastAsia="zh-TW"/>
        </w:rPr>
      </w:pPr>
      <w:r w:rsidRPr="00A52969">
        <w:rPr>
          <w:rFonts w:cs="Segoe UI" w:hint="eastAsia"/>
          <w:bCs/>
          <w:szCs w:val="22"/>
          <w:lang w:eastAsia="zh-TW"/>
        </w:rPr>
        <w:t>作為</w:t>
      </w:r>
      <w:r w:rsidRPr="00A52969">
        <w:rPr>
          <w:rFonts w:cs="Segoe UI" w:hint="eastAsia"/>
          <w:b/>
          <w:bCs/>
          <w:szCs w:val="22"/>
          <w:lang w:eastAsia="zh-TW"/>
        </w:rPr>
        <w:t>積極</w:t>
      </w:r>
      <w:r>
        <w:rPr>
          <w:rFonts w:cs="Segoe UI" w:hint="eastAsia"/>
          <w:b/>
          <w:bCs/>
          <w:szCs w:val="22"/>
          <w:lang w:eastAsia="zh-TW"/>
        </w:rPr>
        <w:t>業務</w:t>
      </w:r>
      <w:r w:rsidRPr="00A52969">
        <w:rPr>
          <w:rFonts w:cs="Segoe UI" w:hint="eastAsia"/>
          <w:b/>
          <w:bCs/>
          <w:szCs w:val="22"/>
          <w:lang w:eastAsia="zh-TW"/>
        </w:rPr>
        <w:t>組合管理</w:t>
      </w:r>
      <w:r w:rsidRPr="00A52969">
        <w:rPr>
          <w:rFonts w:cs="Segoe UI" w:hint="eastAsia"/>
          <w:bCs/>
          <w:szCs w:val="22"/>
          <w:lang w:eastAsia="zh-TW"/>
        </w:rPr>
        <w:t>的一部分，漢高通過終止或撤資以及收購業務，進一步優化和發展其</w:t>
      </w:r>
      <w:r>
        <w:rPr>
          <w:rFonts w:cs="Segoe UI" w:hint="eastAsia"/>
          <w:bCs/>
          <w:szCs w:val="22"/>
          <w:lang w:eastAsia="zh-TW"/>
        </w:rPr>
        <w:t>業務</w:t>
      </w:r>
      <w:r w:rsidRPr="00A52969">
        <w:rPr>
          <w:rFonts w:cs="Segoe UI" w:hint="eastAsia"/>
          <w:bCs/>
          <w:szCs w:val="22"/>
          <w:lang w:eastAsia="zh-TW"/>
        </w:rPr>
        <w:t>組合。隨著</w:t>
      </w:r>
      <w:r w:rsidRPr="00A52969">
        <w:rPr>
          <w:rFonts w:cs="Segoe UI"/>
          <w:bCs/>
          <w:szCs w:val="22"/>
          <w:lang w:eastAsia="zh-TW"/>
        </w:rPr>
        <w:t>2025</w:t>
      </w:r>
      <w:r w:rsidRPr="00A52969">
        <w:rPr>
          <w:rFonts w:cs="Segoe UI" w:hint="eastAsia"/>
          <w:bCs/>
          <w:szCs w:val="22"/>
          <w:lang w:eastAsia="zh-TW"/>
        </w:rPr>
        <w:t>年春季北美零售品牌業務的成功</w:t>
      </w:r>
      <w:r>
        <w:rPr>
          <w:rFonts w:cs="Segoe UI" w:hint="eastAsia"/>
          <w:bCs/>
          <w:szCs w:val="22"/>
          <w:lang w:eastAsia="zh-TW"/>
        </w:rPr>
        <w:t>剝離</w:t>
      </w:r>
      <w:r w:rsidRPr="00A52969">
        <w:rPr>
          <w:rFonts w:cs="Segoe UI" w:hint="eastAsia"/>
          <w:bCs/>
          <w:szCs w:val="22"/>
          <w:lang w:eastAsia="zh-TW"/>
        </w:rPr>
        <w:t>，漢高完成了</w:t>
      </w:r>
      <w:r w:rsidRPr="00123BF1">
        <w:rPr>
          <w:rFonts w:cs="Segoe UI" w:hint="eastAsia"/>
          <w:bCs/>
          <w:szCs w:val="22"/>
          <w:lang w:eastAsia="zh-TW"/>
        </w:rPr>
        <w:t>在消費品</w:t>
      </w:r>
      <w:r>
        <w:rPr>
          <w:rFonts w:cs="Segoe UI" w:hint="eastAsia"/>
          <w:bCs/>
          <w:szCs w:val="22"/>
          <w:lang w:eastAsia="zh-TW"/>
        </w:rPr>
        <w:t>業務</w:t>
      </w:r>
      <w:r w:rsidRPr="00123BF1">
        <w:rPr>
          <w:rFonts w:cs="Segoe UI" w:hint="eastAsia"/>
          <w:bCs/>
          <w:szCs w:val="22"/>
          <w:lang w:eastAsia="zh-TW"/>
        </w:rPr>
        <w:t>合併啟動之初</w:t>
      </w:r>
      <w:r w:rsidRPr="00A52969">
        <w:rPr>
          <w:rFonts w:cs="Segoe UI" w:hint="eastAsia"/>
          <w:bCs/>
          <w:szCs w:val="22"/>
          <w:lang w:eastAsia="zh-TW"/>
        </w:rPr>
        <w:t>宣佈的產品組合調整措施。自</w:t>
      </w:r>
      <w:r w:rsidRPr="00A52969">
        <w:rPr>
          <w:rFonts w:cs="Segoe UI"/>
          <w:bCs/>
          <w:szCs w:val="22"/>
          <w:lang w:eastAsia="zh-TW"/>
        </w:rPr>
        <w:t>2022</w:t>
      </w:r>
      <w:r w:rsidRPr="00A52969">
        <w:rPr>
          <w:rFonts w:cs="Segoe UI" w:hint="eastAsia"/>
          <w:bCs/>
          <w:szCs w:val="22"/>
          <w:lang w:eastAsia="zh-TW"/>
        </w:rPr>
        <w:t>年初以來，漢高出售或終止的品牌和業務的總銷售額略高於</w:t>
      </w:r>
      <w:r w:rsidRPr="00A52969">
        <w:rPr>
          <w:rFonts w:cs="Segoe UI"/>
          <w:bCs/>
          <w:szCs w:val="22"/>
          <w:lang w:eastAsia="zh-TW"/>
        </w:rPr>
        <w:t>10</w:t>
      </w:r>
      <w:r w:rsidRPr="00A52969">
        <w:rPr>
          <w:rFonts w:cs="Segoe UI" w:hint="eastAsia"/>
          <w:bCs/>
          <w:szCs w:val="22"/>
          <w:lang w:eastAsia="zh-TW"/>
        </w:rPr>
        <w:t>億歐元。</w:t>
      </w:r>
    </w:p>
    <w:p w14:paraId="3BDECB80" w14:textId="77777777" w:rsidR="00975446" w:rsidRPr="00A52969" w:rsidRDefault="00975446">
      <w:pPr>
        <w:autoSpaceDE w:val="0"/>
        <w:autoSpaceDN w:val="0"/>
        <w:adjustRightInd w:val="0"/>
        <w:rPr>
          <w:rFonts w:cs="Segoe UI"/>
          <w:bCs/>
          <w:szCs w:val="22"/>
          <w:lang w:eastAsia="zh-TW"/>
        </w:rPr>
      </w:pPr>
    </w:p>
    <w:p w14:paraId="27F5DA95" w14:textId="6811BB04" w:rsidR="00975446" w:rsidRPr="00A52969" w:rsidRDefault="00976AC7">
      <w:pPr>
        <w:autoSpaceDE w:val="0"/>
        <w:autoSpaceDN w:val="0"/>
        <w:adjustRightInd w:val="0"/>
        <w:rPr>
          <w:rFonts w:cs="Segoe UI"/>
          <w:bCs/>
          <w:szCs w:val="22"/>
          <w:lang w:eastAsia="zh-TW"/>
        </w:rPr>
      </w:pPr>
      <w:r w:rsidRPr="00A52969">
        <w:rPr>
          <w:rFonts w:cs="Segoe UI" w:hint="eastAsia"/>
          <w:bCs/>
          <w:szCs w:val="22"/>
          <w:lang w:eastAsia="zh-TW"/>
        </w:rPr>
        <w:t>通過有針對性的</w:t>
      </w:r>
      <w:r w:rsidRPr="00A52969">
        <w:rPr>
          <w:rFonts w:cs="Segoe UI" w:hint="eastAsia"/>
          <w:b/>
          <w:bCs/>
          <w:szCs w:val="22"/>
          <w:lang w:eastAsia="zh-TW"/>
        </w:rPr>
        <w:t>收購</w:t>
      </w:r>
      <w:r w:rsidRPr="00A52969">
        <w:rPr>
          <w:rFonts w:cs="Segoe UI" w:hint="eastAsia"/>
          <w:bCs/>
          <w:szCs w:val="22"/>
          <w:lang w:eastAsia="zh-TW"/>
        </w:rPr>
        <w:t>來擴充產品組合，也是漢高增長議程的重要組成部分。</w:t>
      </w:r>
      <w:r w:rsidRPr="00A52969">
        <w:rPr>
          <w:rFonts w:cs="Segoe UI"/>
          <w:bCs/>
          <w:szCs w:val="22"/>
          <w:lang w:eastAsia="zh-TW"/>
        </w:rPr>
        <w:t>2025</w:t>
      </w:r>
      <w:r w:rsidRPr="00A52969">
        <w:rPr>
          <w:rFonts w:cs="Segoe UI" w:hint="eastAsia"/>
          <w:bCs/>
          <w:szCs w:val="22"/>
          <w:lang w:eastAsia="zh-TW"/>
        </w:rPr>
        <w:t>年，漢高簽署了收購</w:t>
      </w:r>
      <w:r w:rsidRPr="00A52969">
        <w:rPr>
          <w:rFonts w:cs="Segoe UI"/>
          <w:bCs/>
          <w:szCs w:val="22"/>
          <w:lang w:eastAsia="zh-TW"/>
        </w:rPr>
        <w:t>ATP Adhesive Systems AG</w:t>
      </w:r>
      <w:r w:rsidRPr="00A52969">
        <w:rPr>
          <w:rFonts w:cs="Segoe UI" w:hint="eastAsia"/>
          <w:bCs/>
          <w:szCs w:val="22"/>
          <w:lang w:eastAsia="zh-TW"/>
        </w:rPr>
        <w:t>的協定。這家總部位於瑞士的公司是高性能水性特種膠帶的領先供應商，其產品服務於廣泛的終端市場，包括汽車、電子、醫療、建築以及圖文</w:t>
      </w:r>
      <w:r>
        <w:rPr>
          <w:rFonts w:cs="Segoe UI" w:hint="eastAsia"/>
          <w:bCs/>
          <w:szCs w:val="22"/>
          <w:lang w:eastAsia="zh-TW"/>
        </w:rPr>
        <w:t>應用</w:t>
      </w:r>
      <w:r w:rsidRPr="00A52969">
        <w:rPr>
          <w:rFonts w:cs="Segoe UI" w:hint="eastAsia"/>
          <w:bCs/>
          <w:szCs w:val="22"/>
          <w:lang w:eastAsia="zh-TW"/>
        </w:rPr>
        <w:t>行業。</w:t>
      </w:r>
      <w:r w:rsidRPr="00A52969">
        <w:rPr>
          <w:rFonts w:cs="Segoe UI"/>
          <w:bCs/>
          <w:szCs w:val="22"/>
          <w:lang w:eastAsia="zh-TW"/>
        </w:rPr>
        <w:t>ATP</w:t>
      </w:r>
      <w:r w:rsidRPr="00A52969">
        <w:rPr>
          <w:rFonts w:cs="Segoe UI" w:hint="eastAsia"/>
          <w:bCs/>
          <w:szCs w:val="22"/>
          <w:lang w:eastAsia="zh-TW"/>
        </w:rPr>
        <w:t>在北美和歐洲擁有強大的市場影響力，</w:t>
      </w:r>
      <w:r w:rsidRPr="00A52969">
        <w:rPr>
          <w:rFonts w:cs="Segoe UI"/>
          <w:bCs/>
          <w:szCs w:val="22"/>
          <w:lang w:eastAsia="zh-TW"/>
        </w:rPr>
        <w:t>2025</w:t>
      </w:r>
      <w:r w:rsidRPr="00A52969">
        <w:rPr>
          <w:rFonts w:cs="Segoe UI" w:hint="eastAsia"/>
          <w:bCs/>
          <w:szCs w:val="22"/>
          <w:lang w:eastAsia="zh-TW"/>
        </w:rPr>
        <w:t>財年實現了約</w:t>
      </w:r>
      <w:r w:rsidRPr="00A52969">
        <w:rPr>
          <w:rFonts w:cs="Segoe UI"/>
          <w:bCs/>
          <w:szCs w:val="22"/>
          <w:lang w:eastAsia="zh-TW"/>
        </w:rPr>
        <w:t>2.7</w:t>
      </w:r>
      <w:r w:rsidRPr="00A52969">
        <w:rPr>
          <w:rFonts w:cs="Segoe UI" w:hint="eastAsia"/>
          <w:bCs/>
          <w:szCs w:val="22"/>
          <w:lang w:eastAsia="zh-TW"/>
        </w:rPr>
        <w:t>億歐元的銷售額。</w:t>
      </w:r>
    </w:p>
    <w:p w14:paraId="1DCF5A6D" w14:textId="77777777" w:rsidR="00975446" w:rsidRPr="00A52969" w:rsidRDefault="00975446">
      <w:pPr>
        <w:autoSpaceDE w:val="0"/>
        <w:autoSpaceDN w:val="0"/>
        <w:adjustRightInd w:val="0"/>
        <w:rPr>
          <w:rFonts w:cs="Segoe UI"/>
          <w:bCs/>
          <w:szCs w:val="22"/>
          <w:lang w:eastAsia="zh-TW"/>
        </w:rPr>
      </w:pPr>
    </w:p>
    <w:p w14:paraId="692E62AE" w14:textId="33FBA40E" w:rsidR="00975446" w:rsidRPr="00A52969" w:rsidRDefault="00976AC7">
      <w:pPr>
        <w:autoSpaceDE w:val="0"/>
        <w:autoSpaceDN w:val="0"/>
        <w:adjustRightInd w:val="0"/>
        <w:rPr>
          <w:rFonts w:cs="Segoe UI"/>
          <w:bCs/>
          <w:szCs w:val="22"/>
          <w:lang w:eastAsia="zh-TW"/>
        </w:rPr>
      </w:pPr>
      <w:r w:rsidRPr="00A52969">
        <w:rPr>
          <w:rFonts w:cs="Segoe UI"/>
          <w:bCs/>
          <w:szCs w:val="22"/>
          <w:lang w:eastAsia="zh-TW"/>
        </w:rPr>
        <w:t>2026</w:t>
      </w:r>
      <w:r w:rsidRPr="00A52969">
        <w:rPr>
          <w:rFonts w:cs="Segoe UI" w:hint="eastAsia"/>
          <w:bCs/>
          <w:szCs w:val="22"/>
          <w:lang w:eastAsia="zh-TW"/>
        </w:rPr>
        <w:t>年</w:t>
      </w:r>
      <w:r w:rsidRPr="00A52969">
        <w:rPr>
          <w:rFonts w:cs="Segoe UI"/>
          <w:bCs/>
          <w:szCs w:val="22"/>
          <w:lang w:eastAsia="zh-TW"/>
        </w:rPr>
        <w:t>2</w:t>
      </w:r>
      <w:r w:rsidRPr="00A52969">
        <w:rPr>
          <w:rFonts w:cs="Segoe UI" w:hint="eastAsia"/>
          <w:bCs/>
          <w:szCs w:val="22"/>
          <w:lang w:eastAsia="zh-TW"/>
        </w:rPr>
        <w:t>月，漢高已同意收購總部位於荷蘭的</w:t>
      </w:r>
      <w:r w:rsidRPr="008E1C3F">
        <w:rPr>
          <w:rFonts w:cs="Segoe UI" w:hint="eastAsia"/>
          <w:bCs/>
          <w:szCs w:val="22"/>
          <w:lang w:eastAsia="zh-TW"/>
        </w:rPr>
        <w:t>斯塔爾</w:t>
      </w:r>
      <w:r w:rsidRPr="00A52969">
        <w:rPr>
          <w:rFonts w:cs="Segoe UI" w:hint="eastAsia"/>
          <w:bCs/>
          <w:szCs w:val="22"/>
          <w:lang w:eastAsia="zh-TW"/>
        </w:rPr>
        <w:t>集團</w:t>
      </w:r>
      <w:r>
        <w:rPr>
          <w:rFonts w:cs="Segoe UI" w:hint="eastAsia"/>
          <w:bCs/>
          <w:szCs w:val="22"/>
          <w:lang w:eastAsia="zh-TW"/>
        </w:rPr>
        <w:t>（</w:t>
      </w:r>
      <w:r w:rsidRPr="00A52969">
        <w:rPr>
          <w:rFonts w:cs="Segoe UI"/>
          <w:bCs/>
          <w:szCs w:val="22"/>
          <w:lang w:eastAsia="zh-TW"/>
        </w:rPr>
        <w:t>Stahl</w:t>
      </w:r>
      <w:r>
        <w:rPr>
          <w:rFonts w:cs="Segoe UI"/>
          <w:bCs/>
          <w:szCs w:val="22"/>
          <w:lang w:eastAsia="zh-TW"/>
        </w:rPr>
        <w:t xml:space="preserve"> Group</w:t>
      </w:r>
      <w:r>
        <w:rPr>
          <w:rFonts w:cs="Segoe UI" w:hint="eastAsia"/>
          <w:bCs/>
          <w:szCs w:val="22"/>
          <w:lang w:eastAsia="zh-TW"/>
        </w:rPr>
        <w:t>）</w:t>
      </w:r>
      <w:r w:rsidRPr="00A52969">
        <w:rPr>
          <w:rFonts w:cs="Segoe UI" w:hint="eastAsia"/>
          <w:bCs/>
          <w:szCs w:val="22"/>
          <w:lang w:eastAsia="zh-TW"/>
        </w:rPr>
        <w:t>。該公司</w:t>
      </w:r>
      <w:r>
        <w:rPr>
          <w:rFonts w:cs="Segoe UI" w:hint="eastAsia"/>
          <w:bCs/>
          <w:szCs w:val="22"/>
          <w:lang w:eastAsia="zh-TW"/>
        </w:rPr>
        <w:t>專注於全球</w:t>
      </w:r>
      <w:r w:rsidRPr="000F2A4E">
        <w:rPr>
          <w:rFonts w:cs="Segoe UI" w:hint="eastAsia"/>
          <w:bCs/>
          <w:szCs w:val="22"/>
          <w:lang w:eastAsia="zh-TW"/>
        </w:rPr>
        <w:t>柔性材料高性能特種塗層領域</w:t>
      </w:r>
      <w:r w:rsidRPr="00A52969">
        <w:rPr>
          <w:rFonts w:cs="Segoe UI" w:hint="eastAsia"/>
          <w:bCs/>
          <w:szCs w:val="22"/>
          <w:lang w:eastAsia="zh-TW"/>
        </w:rPr>
        <w:t>，為全球汽車、時尚和生活方式以及包裝市場的領先公司提供服務。</w:t>
      </w:r>
      <w:r w:rsidRPr="00A52969">
        <w:rPr>
          <w:rFonts w:cs="Segoe UI"/>
          <w:bCs/>
          <w:szCs w:val="22"/>
          <w:lang w:eastAsia="zh-TW"/>
        </w:rPr>
        <w:t>2025</w:t>
      </w:r>
      <w:r w:rsidRPr="00A52969">
        <w:rPr>
          <w:rFonts w:cs="Segoe UI" w:hint="eastAsia"/>
          <w:bCs/>
          <w:szCs w:val="22"/>
          <w:lang w:eastAsia="zh-TW"/>
        </w:rPr>
        <w:t>財年，</w:t>
      </w:r>
      <w:r w:rsidRPr="008E1C3F">
        <w:rPr>
          <w:rFonts w:cs="Segoe UI" w:hint="eastAsia"/>
          <w:bCs/>
          <w:szCs w:val="22"/>
          <w:lang w:eastAsia="zh-TW"/>
        </w:rPr>
        <w:t>斯塔爾</w:t>
      </w:r>
      <w:r w:rsidRPr="00A52969">
        <w:rPr>
          <w:rFonts w:cs="Segoe UI" w:hint="eastAsia"/>
          <w:bCs/>
          <w:szCs w:val="22"/>
          <w:lang w:eastAsia="zh-TW"/>
        </w:rPr>
        <w:t>集團的銷售額約為</w:t>
      </w:r>
      <w:r w:rsidRPr="00A52969">
        <w:rPr>
          <w:rFonts w:cs="Segoe UI"/>
          <w:bCs/>
          <w:szCs w:val="22"/>
          <w:lang w:eastAsia="zh-TW"/>
        </w:rPr>
        <w:t>7.25</w:t>
      </w:r>
      <w:r w:rsidRPr="00A52969">
        <w:rPr>
          <w:rFonts w:cs="Segoe UI" w:hint="eastAsia"/>
          <w:bCs/>
          <w:szCs w:val="22"/>
          <w:lang w:eastAsia="zh-TW"/>
        </w:rPr>
        <w:t>億歐元，</w:t>
      </w:r>
      <w:r>
        <w:rPr>
          <w:rFonts w:cs="Segoe UI" w:hint="eastAsia"/>
          <w:bCs/>
          <w:szCs w:val="22"/>
          <w:lang w:eastAsia="zh-TW"/>
        </w:rPr>
        <w:t>在全球各地區有均衡的市場</w:t>
      </w:r>
      <w:r w:rsidRPr="000F2A4E">
        <w:rPr>
          <w:rFonts w:cs="Segoe UI" w:hint="eastAsia"/>
          <w:bCs/>
          <w:szCs w:val="22"/>
          <w:lang w:eastAsia="zh-TW"/>
        </w:rPr>
        <w:t>佈局</w:t>
      </w:r>
      <w:r w:rsidRPr="00A52969">
        <w:rPr>
          <w:rFonts w:cs="Segoe UI" w:hint="eastAsia"/>
          <w:bCs/>
          <w:szCs w:val="22"/>
          <w:lang w:eastAsia="zh-TW"/>
        </w:rPr>
        <w:t>。</w:t>
      </w:r>
    </w:p>
    <w:p w14:paraId="338CAC71" w14:textId="77777777" w:rsidR="00975446" w:rsidRPr="00A52969" w:rsidRDefault="00975446">
      <w:pPr>
        <w:autoSpaceDE w:val="0"/>
        <w:autoSpaceDN w:val="0"/>
        <w:adjustRightInd w:val="0"/>
        <w:rPr>
          <w:rFonts w:cs="Segoe UI"/>
          <w:bCs/>
          <w:szCs w:val="22"/>
          <w:lang w:eastAsia="zh-TW"/>
        </w:rPr>
      </w:pPr>
    </w:p>
    <w:p w14:paraId="05D29687" w14:textId="47E9F74F" w:rsidR="00975446" w:rsidRPr="00A52969" w:rsidRDefault="00976AC7">
      <w:pPr>
        <w:autoSpaceDE w:val="0"/>
        <w:autoSpaceDN w:val="0"/>
        <w:adjustRightInd w:val="0"/>
        <w:rPr>
          <w:rFonts w:cs="Segoe UI"/>
          <w:bCs/>
          <w:szCs w:val="22"/>
          <w:lang w:eastAsia="zh-TW"/>
        </w:rPr>
      </w:pPr>
      <w:r w:rsidRPr="00A52969">
        <w:rPr>
          <w:rFonts w:cs="Segoe UI" w:hint="eastAsia"/>
          <w:bCs/>
          <w:szCs w:val="22"/>
          <w:lang w:eastAsia="zh-TW"/>
        </w:rPr>
        <w:t>此外，漢高在</w:t>
      </w:r>
      <w:r w:rsidRPr="00A52969">
        <w:rPr>
          <w:rFonts w:cs="Segoe UI"/>
          <w:bCs/>
          <w:szCs w:val="22"/>
          <w:lang w:eastAsia="zh-TW"/>
        </w:rPr>
        <w:t>3</w:t>
      </w:r>
      <w:r w:rsidRPr="00A52969">
        <w:rPr>
          <w:rFonts w:cs="Segoe UI" w:hint="eastAsia"/>
          <w:bCs/>
          <w:szCs w:val="22"/>
          <w:lang w:eastAsia="zh-TW"/>
        </w:rPr>
        <w:t>月初簽署了一項協定，收購北美護髮和造型</w:t>
      </w:r>
      <w:r>
        <w:rPr>
          <w:rFonts w:cs="Segoe UI" w:hint="eastAsia"/>
          <w:bCs/>
          <w:szCs w:val="22"/>
          <w:lang w:eastAsia="zh-TW"/>
        </w:rPr>
        <w:t>零售品類領先</w:t>
      </w:r>
      <w:r w:rsidRPr="00A52969">
        <w:rPr>
          <w:rFonts w:cs="Segoe UI" w:hint="eastAsia"/>
          <w:bCs/>
          <w:szCs w:val="22"/>
          <w:lang w:eastAsia="zh-TW"/>
        </w:rPr>
        <w:t>品牌之一</w:t>
      </w:r>
      <w:r>
        <w:rPr>
          <w:rFonts w:cs="Segoe UI" w:hint="eastAsia"/>
          <w:bCs/>
          <w:szCs w:val="22"/>
          <w:lang w:eastAsia="zh-TW"/>
        </w:rPr>
        <w:t>的</w:t>
      </w:r>
      <w:r w:rsidRPr="00A52969">
        <w:rPr>
          <w:rFonts w:cs="Segoe UI" w:hint="eastAsia"/>
          <w:bCs/>
          <w:szCs w:val="22"/>
          <w:lang w:eastAsia="zh-TW"/>
        </w:rPr>
        <w:t>“</w:t>
      </w:r>
      <w:r w:rsidRPr="00A52969">
        <w:rPr>
          <w:rFonts w:cs="Segoe UI"/>
          <w:bCs/>
          <w:szCs w:val="22"/>
          <w:lang w:eastAsia="zh-TW"/>
        </w:rPr>
        <w:t>Not Your Mother’s</w:t>
      </w:r>
      <w:r w:rsidRPr="00A52969">
        <w:rPr>
          <w:rFonts w:cs="Segoe UI" w:hint="eastAsia"/>
          <w:bCs/>
          <w:szCs w:val="22"/>
          <w:lang w:eastAsia="zh-TW"/>
        </w:rPr>
        <w:t>”。</w:t>
      </w:r>
      <w:r>
        <w:rPr>
          <w:rFonts w:cs="Segoe UI" w:hint="eastAsia"/>
          <w:bCs/>
          <w:szCs w:val="22"/>
          <w:lang w:eastAsia="zh-TW"/>
        </w:rPr>
        <w:t>此項收購</w:t>
      </w:r>
      <w:r w:rsidRPr="00E02318">
        <w:rPr>
          <w:rFonts w:cs="Segoe UI" w:hint="eastAsia"/>
          <w:bCs/>
          <w:szCs w:val="22"/>
          <w:lang w:eastAsia="zh-TW"/>
        </w:rPr>
        <w:t>將強化漢高在護髮這一消費品</w:t>
      </w:r>
      <w:r>
        <w:rPr>
          <w:rFonts w:cs="Segoe UI" w:hint="eastAsia"/>
          <w:bCs/>
          <w:szCs w:val="22"/>
          <w:lang w:eastAsia="zh-TW"/>
        </w:rPr>
        <w:t>牌業務部</w:t>
      </w:r>
      <w:r w:rsidRPr="00E02318">
        <w:rPr>
          <w:rFonts w:cs="Segoe UI" w:hint="eastAsia"/>
          <w:bCs/>
          <w:szCs w:val="22"/>
          <w:lang w:eastAsia="zh-TW"/>
        </w:rPr>
        <w:t>核心品類中的地位。</w:t>
      </w:r>
      <w:r w:rsidRPr="00A52969">
        <w:rPr>
          <w:rFonts w:cs="Segoe UI" w:hint="eastAsia"/>
          <w:bCs/>
          <w:szCs w:val="22"/>
          <w:lang w:eastAsia="zh-TW"/>
        </w:rPr>
        <w:t>“</w:t>
      </w:r>
      <w:r w:rsidRPr="00A52969">
        <w:rPr>
          <w:rFonts w:cs="Segoe UI"/>
          <w:bCs/>
          <w:szCs w:val="22"/>
          <w:lang w:eastAsia="zh-TW"/>
        </w:rPr>
        <w:t xml:space="preserve">Not </w:t>
      </w:r>
      <w:r w:rsidRPr="00A52969">
        <w:rPr>
          <w:rFonts w:cs="Segoe UI"/>
          <w:bCs/>
          <w:szCs w:val="22"/>
          <w:lang w:eastAsia="zh-TW"/>
        </w:rPr>
        <w:lastRenderedPageBreak/>
        <w:t>Your Mother’s</w:t>
      </w:r>
      <w:r w:rsidRPr="00A52969">
        <w:rPr>
          <w:rFonts w:cs="Segoe UI" w:hint="eastAsia"/>
          <w:bCs/>
          <w:szCs w:val="22"/>
          <w:lang w:eastAsia="zh-TW"/>
        </w:rPr>
        <w:t>”是一個成功且快速發展的品牌，</w:t>
      </w:r>
      <w:r>
        <w:rPr>
          <w:rFonts w:cs="Segoe UI" w:hint="eastAsia"/>
          <w:bCs/>
          <w:szCs w:val="22"/>
          <w:lang w:eastAsia="zh-TW"/>
        </w:rPr>
        <w:t>涵蓋</w:t>
      </w:r>
      <w:r w:rsidRPr="00A52969">
        <w:rPr>
          <w:rFonts w:cs="Segoe UI" w:hint="eastAsia"/>
          <w:bCs/>
          <w:szCs w:val="22"/>
          <w:lang w:eastAsia="zh-TW"/>
        </w:rPr>
        <w:t>洗髮水、護髮素、護理和</w:t>
      </w:r>
      <w:r>
        <w:rPr>
          <w:rFonts w:cs="Segoe UI" w:hint="eastAsia"/>
          <w:bCs/>
          <w:szCs w:val="22"/>
          <w:lang w:eastAsia="zh-TW"/>
        </w:rPr>
        <w:t>造型類</w:t>
      </w:r>
      <w:r w:rsidRPr="00A52969">
        <w:rPr>
          <w:rFonts w:cs="Segoe UI" w:hint="eastAsia"/>
          <w:bCs/>
          <w:szCs w:val="22"/>
          <w:lang w:eastAsia="zh-TW"/>
        </w:rPr>
        <w:t>產品。</w:t>
      </w:r>
      <w:r w:rsidRPr="00A52969">
        <w:rPr>
          <w:rFonts w:cs="Segoe UI"/>
          <w:bCs/>
          <w:szCs w:val="22"/>
          <w:lang w:eastAsia="zh-TW"/>
        </w:rPr>
        <w:t>2025</w:t>
      </w:r>
      <w:r w:rsidRPr="00A52969">
        <w:rPr>
          <w:rFonts w:cs="Segoe UI" w:hint="eastAsia"/>
          <w:bCs/>
          <w:szCs w:val="22"/>
          <w:lang w:eastAsia="zh-TW"/>
        </w:rPr>
        <w:t>財年，該品牌的銷售額約為</w:t>
      </w:r>
      <w:r w:rsidRPr="00A52969">
        <w:rPr>
          <w:rFonts w:cs="Segoe UI"/>
          <w:bCs/>
          <w:szCs w:val="22"/>
          <w:lang w:eastAsia="zh-TW"/>
        </w:rPr>
        <w:t>1.9</w:t>
      </w:r>
      <w:r w:rsidRPr="00A52969">
        <w:rPr>
          <w:rFonts w:cs="Segoe UI" w:hint="eastAsia"/>
          <w:bCs/>
          <w:szCs w:val="22"/>
          <w:lang w:eastAsia="zh-TW"/>
        </w:rPr>
        <w:t>億歐元，</w:t>
      </w:r>
      <w:r w:rsidRPr="00E02318">
        <w:rPr>
          <w:rFonts w:cs="Segoe UI" w:hint="eastAsia"/>
          <w:bCs/>
          <w:szCs w:val="22"/>
          <w:lang w:eastAsia="zh-TW"/>
        </w:rPr>
        <w:t>實現兩位數增長並保持較高盈利能力。</w:t>
      </w:r>
    </w:p>
    <w:p w14:paraId="7AE55C08" w14:textId="77777777" w:rsidR="00975446" w:rsidRPr="00A52969" w:rsidRDefault="00975446">
      <w:pPr>
        <w:autoSpaceDE w:val="0"/>
        <w:autoSpaceDN w:val="0"/>
        <w:adjustRightInd w:val="0"/>
        <w:rPr>
          <w:rFonts w:cs="Segoe UI"/>
          <w:bCs/>
          <w:szCs w:val="22"/>
          <w:lang w:eastAsia="zh-TW"/>
        </w:rPr>
      </w:pPr>
    </w:p>
    <w:p w14:paraId="00CCF282" w14:textId="17E5DD32" w:rsidR="00975446" w:rsidRPr="00A52969" w:rsidRDefault="00976AC7">
      <w:pPr>
        <w:pStyle w:val="Topline"/>
        <w:spacing w:before="0" w:after="0"/>
        <w:rPr>
          <w:lang w:eastAsia="zh-TW"/>
        </w:rPr>
      </w:pPr>
      <w:r w:rsidRPr="00A52969">
        <w:rPr>
          <w:rFonts w:hint="eastAsia"/>
          <w:lang w:eastAsia="zh-TW"/>
        </w:rPr>
        <w:t>近期交易尚待滿足常規交割條件及反壟斷審批</w:t>
      </w:r>
      <w:r>
        <w:rPr>
          <w:rFonts w:hint="eastAsia"/>
          <w:lang w:eastAsia="zh-TW"/>
        </w:rPr>
        <w:t>，</w:t>
      </w:r>
      <w:r w:rsidRPr="00A52969">
        <w:rPr>
          <w:rFonts w:hint="eastAsia"/>
          <w:lang w:eastAsia="zh-TW"/>
        </w:rPr>
        <w:t>預計將貢獻</w:t>
      </w:r>
      <w:r w:rsidRPr="00A52969">
        <w:rPr>
          <w:rFonts w:hint="eastAsia"/>
          <w:b/>
          <w:bCs/>
          <w:lang w:eastAsia="zh-TW"/>
        </w:rPr>
        <w:t>約</w:t>
      </w:r>
      <w:r w:rsidRPr="00A52969">
        <w:rPr>
          <w:b/>
          <w:bCs/>
          <w:lang w:eastAsia="zh-TW"/>
        </w:rPr>
        <w:t>12</w:t>
      </w:r>
      <w:r w:rsidRPr="00A52969">
        <w:rPr>
          <w:rFonts w:hint="eastAsia"/>
          <w:b/>
          <w:bCs/>
          <w:lang w:eastAsia="zh-TW"/>
        </w:rPr>
        <w:t>億歐元的</w:t>
      </w:r>
      <w:r>
        <w:rPr>
          <w:rFonts w:hint="eastAsia"/>
          <w:b/>
          <w:bCs/>
          <w:lang w:eastAsia="zh-TW"/>
        </w:rPr>
        <w:t>新增</w:t>
      </w:r>
      <w:r w:rsidRPr="00A52969">
        <w:rPr>
          <w:rFonts w:hint="eastAsia"/>
          <w:b/>
          <w:bCs/>
          <w:lang w:eastAsia="zh-TW"/>
        </w:rPr>
        <w:t>銷售額</w:t>
      </w:r>
      <w:r w:rsidRPr="00A52969">
        <w:rPr>
          <w:rFonts w:hint="eastAsia"/>
          <w:lang w:eastAsia="zh-TW"/>
        </w:rPr>
        <w:t>，並</w:t>
      </w:r>
      <w:r>
        <w:rPr>
          <w:rFonts w:hint="eastAsia"/>
          <w:lang w:eastAsia="zh-TW"/>
        </w:rPr>
        <w:t>為</w:t>
      </w:r>
      <w:r w:rsidRPr="009B4861">
        <w:rPr>
          <w:rFonts w:hint="eastAsia"/>
          <w:lang w:eastAsia="zh-TW"/>
        </w:rPr>
        <w:t>全球領先的粘合劑技術業務與消費品</w:t>
      </w:r>
      <w:r>
        <w:rPr>
          <w:rFonts w:hint="eastAsia"/>
          <w:lang w:eastAsia="zh-TW"/>
        </w:rPr>
        <w:t>牌</w:t>
      </w:r>
      <w:r w:rsidRPr="009B4861">
        <w:rPr>
          <w:rFonts w:hint="eastAsia"/>
          <w:lang w:eastAsia="zh-TW"/>
        </w:rPr>
        <w:t>業務</w:t>
      </w:r>
      <w:r w:rsidRPr="00194819">
        <w:rPr>
          <w:rFonts w:hint="eastAsia"/>
          <w:b/>
          <w:bCs/>
          <w:lang w:eastAsia="zh-TW"/>
        </w:rPr>
        <w:t>進一步提升增長潛力</w:t>
      </w:r>
      <w:r w:rsidRPr="009B4861">
        <w:rPr>
          <w:rFonts w:hint="eastAsia"/>
          <w:lang w:eastAsia="zh-TW"/>
        </w:rPr>
        <w:t>。</w:t>
      </w:r>
    </w:p>
    <w:p w14:paraId="51801554" w14:textId="77777777" w:rsidR="00975446" w:rsidRPr="00A52969" w:rsidRDefault="00975446">
      <w:pPr>
        <w:pStyle w:val="Topline"/>
        <w:spacing w:before="0" w:after="0"/>
        <w:rPr>
          <w:lang w:eastAsia="zh-TW"/>
        </w:rPr>
      </w:pPr>
    </w:p>
    <w:p w14:paraId="75904495" w14:textId="132BA316" w:rsidR="00975446" w:rsidRPr="00A52969" w:rsidRDefault="00976AC7">
      <w:pPr>
        <w:rPr>
          <w:rFonts w:cs="Segoe UI"/>
          <w:bCs/>
          <w:szCs w:val="22"/>
          <w:lang w:eastAsia="zh-TW"/>
        </w:rPr>
      </w:pPr>
      <w:bookmarkStart w:id="10" w:name="_Hlk190180076"/>
      <w:r w:rsidRPr="00A52969">
        <w:rPr>
          <w:rFonts w:cs="Segoe UI"/>
          <w:bCs/>
          <w:szCs w:val="22"/>
          <w:lang w:eastAsia="zh-TW"/>
        </w:rPr>
        <w:t>2025</w:t>
      </w:r>
      <w:r w:rsidRPr="00A52969">
        <w:rPr>
          <w:rFonts w:cs="Segoe UI" w:hint="eastAsia"/>
          <w:bCs/>
          <w:szCs w:val="22"/>
          <w:lang w:eastAsia="zh-TW"/>
        </w:rPr>
        <w:t>年，漢高回應重要趨勢，向市場推出眾多</w:t>
      </w:r>
      <w:r w:rsidRPr="00A52969">
        <w:rPr>
          <w:rFonts w:cs="Segoe UI" w:hint="eastAsia"/>
          <w:b/>
          <w:szCs w:val="22"/>
          <w:lang w:eastAsia="zh-TW"/>
        </w:rPr>
        <w:t>創新</w:t>
      </w:r>
      <w:r>
        <w:rPr>
          <w:rFonts w:cs="Segoe UI" w:hint="eastAsia"/>
          <w:b/>
          <w:szCs w:val="22"/>
          <w:lang w:eastAsia="zh-TW"/>
        </w:rPr>
        <w:t>成果</w:t>
      </w:r>
      <w:r w:rsidRPr="00A52969">
        <w:rPr>
          <w:rFonts w:cs="Segoe UI" w:hint="eastAsia"/>
          <w:bCs/>
          <w:szCs w:val="22"/>
          <w:lang w:eastAsia="zh-TW"/>
        </w:rPr>
        <w:t>，為客戶和消費者創造價值。在消費品市場，創新是差異化的關鍵成功因素。</w:t>
      </w:r>
      <w:r w:rsidRPr="0028709C">
        <w:rPr>
          <w:rFonts w:cs="Segoe UI" w:hint="eastAsia"/>
          <w:bCs/>
          <w:szCs w:val="22"/>
          <w:lang w:eastAsia="zh-TW"/>
        </w:rPr>
        <w:t>施華蔻全新</w:t>
      </w:r>
      <w:r w:rsidRPr="0028709C">
        <w:rPr>
          <w:rFonts w:cs="Segoe UI"/>
          <w:bCs/>
          <w:szCs w:val="22"/>
          <w:lang w:eastAsia="zh-TW"/>
        </w:rPr>
        <w:t>Creme Supreme</w:t>
      </w:r>
      <w:r w:rsidRPr="0028709C">
        <w:rPr>
          <w:rFonts w:cs="Segoe UI" w:hint="eastAsia"/>
          <w:bCs/>
          <w:szCs w:val="22"/>
          <w:lang w:eastAsia="zh-TW"/>
        </w:rPr>
        <w:t>染髮產品為例</w:t>
      </w:r>
      <w:r>
        <w:rPr>
          <w:rFonts w:cs="Segoe UI" w:hint="eastAsia"/>
          <w:bCs/>
          <w:szCs w:val="22"/>
          <w:lang w:eastAsia="zh-TW"/>
        </w:rPr>
        <w:t>，</w:t>
      </w:r>
      <w:r w:rsidRPr="00A52969">
        <w:rPr>
          <w:rFonts w:cs="Segoe UI" w:hint="eastAsia"/>
          <w:bCs/>
          <w:szCs w:val="22"/>
          <w:lang w:eastAsia="zh-TW"/>
        </w:rPr>
        <w:t>受專業沙龍應用的啟發，漢高開發了</w:t>
      </w:r>
      <w:r w:rsidRPr="00A52969">
        <w:rPr>
          <w:rFonts w:cs="Segoe UI"/>
          <w:bCs/>
          <w:szCs w:val="22"/>
          <w:lang w:eastAsia="zh-TW"/>
        </w:rPr>
        <w:t>Creme Supreme</w:t>
      </w:r>
      <w:r w:rsidRPr="00A52969">
        <w:rPr>
          <w:rFonts w:cs="Segoe UI" w:hint="eastAsia"/>
          <w:bCs/>
          <w:szCs w:val="22"/>
          <w:lang w:eastAsia="zh-TW"/>
        </w:rPr>
        <w:t>，通過</w:t>
      </w:r>
      <w:r w:rsidRPr="0028709C">
        <w:rPr>
          <w:rFonts w:cs="Segoe UI" w:hint="eastAsia"/>
          <w:bCs/>
          <w:szCs w:val="22"/>
          <w:lang w:eastAsia="zh-TW"/>
        </w:rPr>
        <w:t>微鍵合</w:t>
      </w:r>
      <w:r>
        <w:rPr>
          <w:rFonts w:cs="Segoe UI" w:hint="eastAsia"/>
          <w:bCs/>
          <w:szCs w:val="22"/>
          <w:lang w:eastAsia="zh-TW"/>
        </w:rPr>
        <w:t>技術</w:t>
      </w:r>
      <w:r w:rsidRPr="00A52969">
        <w:rPr>
          <w:rFonts w:cs="Segoe UI" w:hint="eastAsia"/>
          <w:bCs/>
          <w:szCs w:val="22"/>
          <w:lang w:eastAsia="zh-TW"/>
        </w:rPr>
        <w:t>強化和滋養頭髮結構。</w:t>
      </w:r>
      <w:r w:rsidRPr="0028709C">
        <w:rPr>
          <w:rFonts w:cs="Segoe UI" w:hint="eastAsia"/>
          <w:bCs/>
          <w:szCs w:val="22"/>
          <w:lang w:eastAsia="zh-TW"/>
        </w:rPr>
        <w:t>這些微鍵合更有效地將髮絲纖維緊密連接，並在髮絲周圍形成特殊保護層</w:t>
      </w:r>
      <w:r w:rsidRPr="00A52969">
        <w:rPr>
          <w:rFonts w:cs="Segoe UI" w:hint="eastAsia"/>
          <w:bCs/>
          <w:szCs w:val="22"/>
          <w:lang w:eastAsia="zh-TW"/>
        </w:rPr>
        <w:t>。</w:t>
      </w:r>
      <w:r w:rsidRPr="00F211EC">
        <w:rPr>
          <w:rFonts w:cs="Segoe UI" w:hint="eastAsia"/>
          <w:bCs/>
          <w:szCs w:val="22"/>
          <w:lang w:eastAsia="zh-TW"/>
        </w:rPr>
        <w:t>這一機制顯著減少斷發，緩解消費者染髮過程中的主要擔憂。</w:t>
      </w:r>
    </w:p>
    <w:p w14:paraId="3AA40A34" w14:textId="77777777" w:rsidR="00975446" w:rsidRPr="00A52969" w:rsidRDefault="00975446">
      <w:pPr>
        <w:rPr>
          <w:rFonts w:cs="Segoe UI"/>
          <w:bCs/>
          <w:szCs w:val="22"/>
          <w:lang w:eastAsia="zh-TW"/>
        </w:rPr>
      </w:pPr>
    </w:p>
    <w:p w14:paraId="20112FE2" w14:textId="09E583D3" w:rsidR="00975446" w:rsidRPr="00A52969" w:rsidRDefault="00976AC7">
      <w:pPr>
        <w:rPr>
          <w:rFonts w:cs="Segoe UI"/>
          <w:bCs/>
          <w:szCs w:val="22"/>
          <w:lang w:eastAsia="zh-TW"/>
        </w:rPr>
      </w:pPr>
      <w:r w:rsidRPr="00A52969">
        <w:rPr>
          <w:rFonts w:cs="Segoe UI" w:hint="eastAsia"/>
          <w:bCs/>
          <w:szCs w:val="22"/>
          <w:lang w:eastAsia="zh-TW"/>
        </w:rPr>
        <w:t>“</w:t>
      </w:r>
      <w:r w:rsidRPr="00A52969">
        <w:rPr>
          <w:rFonts w:cs="Segoe UI"/>
          <w:bCs/>
          <w:szCs w:val="22"/>
          <w:lang w:eastAsia="zh-TW"/>
        </w:rPr>
        <w:t>House of Hair</w:t>
      </w:r>
      <w:r w:rsidRPr="00A52969">
        <w:rPr>
          <w:rFonts w:cs="Segoe UI" w:hint="eastAsia"/>
          <w:bCs/>
          <w:szCs w:val="22"/>
          <w:lang w:eastAsia="zh-TW"/>
        </w:rPr>
        <w:t>”的</w:t>
      </w:r>
      <w:r>
        <w:rPr>
          <w:rFonts w:cs="Segoe UI" w:hint="eastAsia"/>
          <w:bCs/>
          <w:szCs w:val="22"/>
          <w:lang w:eastAsia="zh-TW"/>
        </w:rPr>
        <w:t>理念</w:t>
      </w:r>
      <w:r w:rsidRPr="00A52969">
        <w:rPr>
          <w:rFonts w:cs="Segoe UI" w:hint="eastAsia"/>
          <w:bCs/>
          <w:szCs w:val="22"/>
          <w:lang w:eastAsia="zh-TW"/>
        </w:rPr>
        <w:t>也</w:t>
      </w:r>
      <w:r>
        <w:rPr>
          <w:rFonts w:cs="Segoe UI" w:hint="eastAsia"/>
          <w:bCs/>
          <w:szCs w:val="22"/>
          <w:lang w:eastAsia="zh-TW"/>
        </w:rPr>
        <w:t>在美髮</w:t>
      </w:r>
      <w:r w:rsidRPr="004C2A17">
        <w:rPr>
          <w:rFonts w:cs="Segoe UI" w:hint="eastAsia"/>
          <w:bCs/>
          <w:szCs w:val="22"/>
          <w:lang w:eastAsia="zh-TW"/>
        </w:rPr>
        <w:t>品類的創新開發中發揮重要作用。</w:t>
      </w:r>
      <w:r w:rsidRPr="00A52969">
        <w:rPr>
          <w:rFonts w:cs="Segoe UI" w:hint="eastAsia"/>
          <w:bCs/>
          <w:szCs w:val="22"/>
          <w:lang w:eastAsia="zh-TW"/>
        </w:rPr>
        <w:t>自</w:t>
      </w:r>
      <w:r w:rsidRPr="00A52969">
        <w:rPr>
          <w:rFonts w:cs="Segoe UI"/>
          <w:bCs/>
          <w:szCs w:val="22"/>
          <w:lang w:eastAsia="zh-TW"/>
        </w:rPr>
        <w:t>2025</w:t>
      </w:r>
      <w:r w:rsidRPr="00A52969">
        <w:rPr>
          <w:rFonts w:cs="Segoe UI" w:hint="eastAsia"/>
          <w:bCs/>
          <w:szCs w:val="22"/>
          <w:lang w:eastAsia="zh-TW"/>
        </w:rPr>
        <w:t>年</w:t>
      </w:r>
      <w:r w:rsidRPr="00A52969">
        <w:rPr>
          <w:rFonts w:cs="Segoe UI"/>
          <w:bCs/>
          <w:szCs w:val="22"/>
          <w:lang w:eastAsia="zh-TW"/>
        </w:rPr>
        <w:t>3</w:t>
      </w:r>
      <w:r w:rsidRPr="00A52969">
        <w:rPr>
          <w:rFonts w:cs="Segoe UI" w:hint="eastAsia"/>
          <w:bCs/>
          <w:szCs w:val="22"/>
          <w:lang w:eastAsia="zh-TW"/>
        </w:rPr>
        <w:t>月以來，漢高已將其在</w:t>
      </w:r>
      <w:r w:rsidRPr="004C2A17">
        <w:rPr>
          <w:rFonts w:cs="Segoe UI" w:hint="eastAsia"/>
          <w:bCs/>
          <w:szCs w:val="22"/>
          <w:lang w:eastAsia="zh-TW"/>
        </w:rPr>
        <w:t>德國漢堡的</w:t>
      </w:r>
      <w:r>
        <w:rPr>
          <w:rFonts w:cs="Segoe UI" w:hint="eastAsia"/>
          <w:bCs/>
          <w:szCs w:val="22"/>
          <w:lang w:eastAsia="zh-TW"/>
        </w:rPr>
        <w:t>美髮</w:t>
      </w:r>
      <w:r w:rsidRPr="004C2A17">
        <w:rPr>
          <w:rFonts w:cs="Segoe UI" w:hint="eastAsia"/>
          <w:bCs/>
          <w:szCs w:val="22"/>
          <w:lang w:eastAsia="zh-TW"/>
        </w:rPr>
        <w:t>業務核心領域</w:t>
      </w:r>
      <w:r>
        <w:rPr>
          <w:rFonts w:cs="Segoe UI" w:hint="eastAsia"/>
          <w:bCs/>
          <w:szCs w:val="22"/>
          <w:lang w:eastAsia="zh-TW"/>
        </w:rPr>
        <w:t>整合在一起，包括</w:t>
      </w:r>
      <w:r w:rsidRPr="004C2A17">
        <w:rPr>
          <w:rFonts w:cs="Segoe UI" w:hint="eastAsia"/>
          <w:bCs/>
          <w:szCs w:val="22"/>
          <w:lang w:eastAsia="zh-TW"/>
        </w:rPr>
        <w:t>研發、測試沙龍、市場行銷及</w:t>
      </w:r>
      <w:r>
        <w:rPr>
          <w:rFonts w:cs="Segoe UI" w:hint="eastAsia"/>
          <w:bCs/>
          <w:szCs w:val="22"/>
          <w:lang w:eastAsia="zh-TW"/>
        </w:rPr>
        <w:t>發藝</w:t>
      </w:r>
      <w:r w:rsidRPr="004C2A17">
        <w:rPr>
          <w:rFonts w:cs="Segoe UI" w:hint="eastAsia"/>
          <w:bCs/>
          <w:szCs w:val="22"/>
          <w:lang w:eastAsia="zh-TW"/>
        </w:rPr>
        <w:t>學院</w:t>
      </w:r>
      <w:r>
        <w:rPr>
          <w:rFonts w:cs="Segoe UI" w:hint="eastAsia"/>
          <w:bCs/>
          <w:szCs w:val="22"/>
          <w:lang w:eastAsia="zh-TW"/>
        </w:rPr>
        <w:t>。</w:t>
      </w:r>
      <w:r w:rsidRPr="00A52969">
        <w:rPr>
          <w:rFonts w:cs="Segoe UI" w:hint="eastAsia"/>
          <w:bCs/>
          <w:szCs w:val="22"/>
          <w:lang w:eastAsia="zh-TW"/>
        </w:rPr>
        <w:t>在這裡，</w:t>
      </w:r>
      <w:r w:rsidRPr="00A52969">
        <w:rPr>
          <w:rFonts w:cs="Segoe UI"/>
          <w:bCs/>
          <w:szCs w:val="22"/>
          <w:lang w:eastAsia="zh-TW"/>
        </w:rPr>
        <w:t>300</w:t>
      </w:r>
      <w:r w:rsidRPr="00A52969">
        <w:rPr>
          <w:rFonts w:cs="Segoe UI" w:hint="eastAsia"/>
          <w:bCs/>
          <w:szCs w:val="22"/>
          <w:lang w:eastAsia="zh-TW"/>
        </w:rPr>
        <w:t>多名專家攜手合作開發創新產品。除了漢堡，</w:t>
      </w:r>
      <w:r w:rsidRPr="004C2A17">
        <w:rPr>
          <w:rFonts w:cs="Segoe UI" w:hint="eastAsia"/>
          <w:bCs/>
          <w:szCs w:val="22"/>
          <w:lang w:eastAsia="zh-TW"/>
        </w:rPr>
        <w:t>公司</w:t>
      </w:r>
      <w:r>
        <w:rPr>
          <w:rFonts w:cs="Segoe UI" w:hint="eastAsia"/>
          <w:bCs/>
          <w:szCs w:val="22"/>
          <w:lang w:eastAsia="zh-TW"/>
        </w:rPr>
        <w:t>將</w:t>
      </w:r>
      <w:r>
        <w:rPr>
          <w:rFonts w:cs="Segoe UI"/>
          <w:bCs/>
          <w:szCs w:val="22"/>
          <w:lang w:eastAsia="zh-TW"/>
        </w:rPr>
        <w:t>House of Hair</w:t>
      </w:r>
      <w:r>
        <w:rPr>
          <w:rFonts w:cs="Segoe UI" w:hint="eastAsia"/>
          <w:bCs/>
          <w:szCs w:val="22"/>
          <w:lang w:eastAsia="zh-TW"/>
        </w:rPr>
        <w:t>理念推廣至</w:t>
      </w:r>
      <w:r w:rsidRPr="004C2A17">
        <w:rPr>
          <w:rFonts w:cs="Segoe UI" w:hint="eastAsia"/>
          <w:bCs/>
          <w:szCs w:val="22"/>
          <w:lang w:eastAsia="zh-TW"/>
        </w:rPr>
        <w:t>洛杉磯、東京、上海及瓜達拉哈拉</w:t>
      </w:r>
      <w:r>
        <w:rPr>
          <w:rFonts w:cs="Segoe UI" w:hint="eastAsia"/>
          <w:bCs/>
          <w:szCs w:val="22"/>
          <w:lang w:eastAsia="zh-TW"/>
        </w:rPr>
        <w:t>。它們對於</w:t>
      </w:r>
      <w:r w:rsidRPr="00A52969">
        <w:rPr>
          <w:rFonts w:cs="Segoe UI" w:hint="eastAsia"/>
          <w:bCs/>
          <w:szCs w:val="22"/>
          <w:lang w:eastAsia="zh-TW"/>
        </w:rPr>
        <w:t>以客戶為導向的美髮產品開發</w:t>
      </w:r>
      <w:r>
        <w:rPr>
          <w:rFonts w:cs="Segoe UI" w:hint="eastAsia"/>
          <w:bCs/>
          <w:szCs w:val="22"/>
          <w:lang w:eastAsia="zh-TW"/>
        </w:rPr>
        <w:t>非常重要</w:t>
      </w:r>
      <w:r w:rsidRPr="00A52969">
        <w:rPr>
          <w:rFonts w:cs="Segoe UI" w:hint="eastAsia"/>
          <w:bCs/>
          <w:szCs w:val="22"/>
          <w:lang w:eastAsia="zh-TW"/>
        </w:rPr>
        <w:t>，專門解決</w:t>
      </w:r>
      <w:r>
        <w:rPr>
          <w:rFonts w:cs="Segoe UI" w:hint="eastAsia"/>
          <w:bCs/>
          <w:szCs w:val="22"/>
          <w:lang w:eastAsia="zh-TW"/>
        </w:rPr>
        <w:t>各個</w:t>
      </w:r>
      <w:r w:rsidRPr="00A52969">
        <w:rPr>
          <w:rFonts w:cs="Segoe UI" w:hint="eastAsia"/>
          <w:bCs/>
          <w:szCs w:val="22"/>
          <w:lang w:eastAsia="zh-TW"/>
        </w:rPr>
        <w:t>地區客戶的不同需求。</w:t>
      </w:r>
    </w:p>
    <w:p w14:paraId="4E66A254" w14:textId="77777777" w:rsidR="00975446" w:rsidRPr="00A52969" w:rsidRDefault="00975446">
      <w:pPr>
        <w:rPr>
          <w:rFonts w:cs="Segoe UI"/>
          <w:bCs/>
          <w:szCs w:val="22"/>
          <w:lang w:eastAsia="zh-TW"/>
        </w:rPr>
      </w:pPr>
    </w:p>
    <w:bookmarkEnd w:id="10"/>
    <w:p w14:paraId="6E18A05B" w14:textId="2CDB3C46" w:rsidR="00975446" w:rsidRPr="00A52969" w:rsidRDefault="00976AC7">
      <w:pPr>
        <w:rPr>
          <w:rFonts w:cs="Segoe UI"/>
          <w:bCs/>
          <w:szCs w:val="22"/>
          <w:lang w:eastAsia="zh-TW"/>
        </w:rPr>
      </w:pPr>
      <w:r w:rsidRPr="00A52969">
        <w:rPr>
          <w:rFonts w:cs="Segoe UI" w:hint="eastAsia"/>
          <w:bCs/>
          <w:szCs w:val="22"/>
          <w:lang w:eastAsia="zh-TW"/>
        </w:rPr>
        <w:t>創新也是粘合劑技術業務部的一個核心成功因素。為此，漢高持續加大投入，以鞏固其在全球競爭中的領先地位，其中關鍵舉措便是擴建頂尖的研發與創新中心網路。繼杜塞爾多夫、孟買和新澤西的</w:t>
      </w:r>
      <w:r>
        <w:rPr>
          <w:rFonts w:cs="Segoe UI" w:hint="eastAsia"/>
          <w:bCs/>
          <w:szCs w:val="22"/>
          <w:lang w:eastAsia="zh-TW"/>
        </w:rPr>
        <w:t>創新體驗中心</w:t>
      </w:r>
      <w:r w:rsidRPr="00A52969">
        <w:rPr>
          <w:rFonts w:cs="Segoe UI" w:hint="eastAsia"/>
          <w:bCs/>
          <w:szCs w:val="22"/>
          <w:lang w:eastAsia="zh-TW"/>
        </w:rPr>
        <w:t>之後，漢高於</w:t>
      </w:r>
      <w:r w:rsidRPr="00A52969">
        <w:rPr>
          <w:rFonts w:cs="Segoe UI"/>
          <w:bCs/>
          <w:szCs w:val="22"/>
          <w:lang w:eastAsia="zh-TW"/>
        </w:rPr>
        <w:t>2025</w:t>
      </w:r>
      <w:r w:rsidRPr="00A52969">
        <w:rPr>
          <w:rFonts w:cs="Segoe UI" w:hint="eastAsia"/>
          <w:bCs/>
          <w:szCs w:val="22"/>
          <w:lang w:eastAsia="zh-TW"/>
        </w:rPr>
        <w:t>年在上海落成全新的亞太區</w:t>
      </w:r>
      <w:r>
        <w:rPr>
          <w:rFonts w:cs="Segoe UI" w:hint="eastAsia"/>
          <w:bCs/>
          <w:szCs w:val="22"/>
          <w:lang w:eastAsia="zh-TW"/>
        </w:rPr>
        <w:t>創新體驗中心</w:t>
      </w:r>
      <w:r w:rsidRPr="00A52969">
        <w:rPr>
          <w:rFonts w:cs="Segoe UI" w:hint="eastAsia"/>
          <w:bCs/>
          <w:szCs w:val="22"/>
          <w:lang w:eastAsia="zh-TW"/>
        </w:rPr>
        <w:t>。該中心投資超</w:t>
      </w:r>
      <w:r w:rsidRPr="00A52969">
        <w:rPr>
          <w:rFonts w:cs="Segoe UI"/>
          <w:bCs/>
          <w:szCs w:val="22"/>
          <w:lang w:eastAsia="zh-TW"/>
        </w:rPr>
        <w:t>6000</w:t>
      </w:r>
      <w:r w:rsidRPr="00A52969">
        <w:rPr>
          <w:rFonts w:cs="Segoe UI" w:hint="eastAsia"/>
          <w:bCs/>
          <w:szCs w:val="22"/>
          <w:lang w:eastAsia="zh-TW"/>
        </w:rPr>
        <w:t>萬歐元，彙聚</w:t>
      </w:r>
      <w:r w:rsidRPr="00A52969">
        <w:rPr>
          <w:rFonts w:cs="Segoe UI"/>
          <w:bCs/>
          <w:szCs w:val="22"/>
          <w:lang w:eastAsia="zh-TW"/>
        </w:rPr>
        <w:t>500</w:t>
      </w:r>
      <w:r w:rsidRPr="00A52969">
        <w:rPr>
          <w:rFonts w:cs="Segoe UI" w:hint="eastAsia"/>
          <w:bCs/>
          <w:szCs w:val="22"/>
          <w:lang w:eastAsia="zh-TW"/>
        </w:rPr>
        <w:t>餘名研發專家，通過與跨行業客戶的深度協同，共同激發創新潛能。</w:t>
      </w:r>
    </w:p>
    <w:p w14:paraId="41CCAC68" w14:textId="77777777" w:rsidR="00975446" w:rsidRDefault="00975446">
      <w:pPr>
        <w:rPr>
          <w:rFonts w:cs="Segoe UI"/>
          <w:bCs/>
          <w:szCs w:val="22"/>
          <w:lang w:eastAsia="zh-TW"/>
        </w:rPr>
      </w:pPr>
    </w:p>
    <w:p w14:paraId="4F21C3E8" w14:textId="0C5171ED" w:rsidR="00975446" w:rsidRDefault="00447D97" w:rsidP="00447D97">
      <w:pPr>
        <w:rPr>
          <w:rFonts w:cs="Segoe UI"/>
          <w:szCs w:val="22"/>
          <w:lang w:eastAsia="zh-CN"/>
        </w:rPr>
      </w:pPr>
      <w:r w:rsidRPr="00447D97">
        <w:rPr>
          <w:rFonts w:cs="Segoe UI"/>
          <w:szCs w:val="22"/>
          <w:lang w:eastAsia="de-DE"/>
        </w:rPr>
        <w:t>漢高在永續發展方面的核心重點之一，仍是持續減少全價值鏈的碳排放。公司目標為</w:t>
      </w:r>
      <w:r w:rsidRPr="00447D97">
        <w:rPr>
          <w:rFonts w:cs="Segoe UI"/>
          <w:szCs w:val="22"/>
          <w:lang w:eastAsia="de-DE"/>
        </w:rPr>
        <w:t>2045</w:t>
      </w:r>
      <w:r w:rsidRPr="00447D97">
        <w:rPr>
          <w:rFonts w:cs="Segoe UI"/>
          <w:szCs w:val="22"/>
          <w:lang w:eastAsia="de-DE"/>
        </w:rPr>
        <w:t>年，將範圍</w:t>
      </w:r>
      <w:r w:rsidRPr="00447D97">
        <w:rPr>
          <w:rFonts w:cs="Segoe UI"/>
          <w:szCs w:val="22"/>
          <w:lang w:eastAsia="de-DE"/>
        </w:rPr>
        <w:t>1</w:t>
      </w:r>
      <w:r w:rsidRPr="00447D97">
        <w:rPr>
          <w:rFonts w:cs="Segoe UI"/>
          <w:szCs w:val="22"/>
          <w:lang w:eastAsia="de-DE"/>
        </w:rPr>
        <w:t>、範圍</w:t>
      </w:r>
      <w:r w:rsidRPr="00447D97">
        <w:rPr>
          <w:rFonts w:cs="Segoe UI"/>
          <w:szCs w:val="22"/>
          <w:lang w:eastAsia="de-DE"/>
        </w:rPr>
        <w:t>2</w:t>
      </w:r>
      <w:r w:rsidRPr="00447D97">
        <w:rPr>
          <w:rFonts w:cs="Segoe UI"/>
          <w:szCs w:val="22"/>
          <w:lang w:eastAsia="de-DE"/>
        </w:rPr>
        <w:t>及範圍</w:t>
      </w:r>
      <w:r w:rsidRPr="00447D97">
        <w:rPr>
          <w:rFonts w:cs="Segoe UI"/>
          <w:szCs w:val="22"/>
          <w:lang w:eastAsia="de-DE"/>
        </w:rPr>
        <w:t>3</w:t>
      </w:r>
      <w:r w:rsidRPr="00447D97">
        <w:rPr>
          <w:rFonts w:cs="Segoe UI"/>
          <w:szCs w:val="22"/>
          <w:lang w:eastAsia="de-DE"/>
        </w:rPr>
        <w:t>的溫室氣體絕對排放量較</w:t>
      </w:r>
      <w:r w:rsidRPr="00447D97">
        <w:rPr>
          <w:rFonts w:cs="Segoe UI"/>
          <w:szCs w:val="22"/>
          <w:lang w:eastAsia="de-DE"/>
        </w:rPr>
        <w:t>2021</w:t>
      </w:r>
      <w:r w:rsidRPr="00447D97">
        <w:rPr>
          <w:rFonts w:cs="Segoe UI"/>
          <w:szCs w:val="22"/>
          <w:lang w:eastAsia="de-DE"/>
        </w:rPr>
        <w:t>基準年減少</w:t>
      </w:r>
      <w:r w:rsidRPr="00447D97">
        <w:rPr>
          <w:rFonts w:cs="Segoe UI"/>
          <w:szCs w:val="22"/>
          <w:lang w:eastAsia="de-DE"/>
        </w:rPr>
        <w:t>90%</w:t>
      </w:r>
      <w:r w:rsidRPr="00447D97">
        <w:rPr>
          <w:rFonts w:cs="Segoe UI"/>
          <w:szCs w:val="22"/>
          <w:lang w:eastAsia="de-DE"/>
        </w:rPr>
        <w:t>，並由此達到淨零排放。過去一年</w:t>
      </w:r>
      <w:r w:rsidRPr="00447D97">
        <w:rPr>
          <w:rFonts w:cs="Segoe UI"/>
          <w:szCs w:val="22"/>
          <w:lang w:val="de-DE" w:eastAsia="de-DE"/>
        </w:rPr>
        <w:t>，</w:t>
      </w:r>
      <w:r w:rsidRPr="00447D97">
        <w:rPr>
          <w:rFonts w:cs="Segoe UI"/>
          <w:szCs w:val="22"/>
          <w:lang w:eastAsia="de-DE"/>
        </w:rPr>
        <w:t>該公司在三大排放範圍均取得進展</w:t>
      </w:r>
      <w:r w:rsidRPr="00447D97">
        <w:rPr>
          <w:rFonts w:cs="Segoe UI"/>
          <w:szCs w:val="22"/>
          <w:lang w:val="de-DE" w:eastAsia="de-DE"/>
        </w:rPr>
        <w:t>，</w:t>
      </w:r>
      <w:r w:rsidRPr="00447D97">
        <w:rPr>
          <w:rFonts w:cs="Segoe UI"/>
          <w:szCs w:val="22"/>
          <w:lang w:eastAsia="de-DE"/>
        </w:rPr>
        <w:t>自</w:t>
      </w:r>
      <w:r w:rsidRPr="00447D97">
        <w:rPr>
          <w:rFonts w:cs="Segoe UI"/>
          <w:szCs w:val="22"/>
          <w:lang w:val="de-DE" w:eastAsia="de-DE"/>
        </w:rPr>
        <w:t>2021</w:t>
      </w:r>
      <w:r w:rsidRPr="00447D97">
        <w:rPr>
          <w:rFonts w:cs="Segoe UI"/>
          <w:szCs w:val="22"/>
          <w:lang w:eastAsia="de-DE"/>
        </w:rPr>
        <w:t>基準年以來已實現</w:t>
      </w:r>
      <w:r w:rsidRPr="00447D97">
        <w:rPr>
          <w:rFonts w:cs="Segoe UI"/>
          <w:szCs w:val="22"/>
          <w:lang w:val="de-DE" w:eastAsia="de-DE"/>
        </w:rPr>
        <w:t>29%</w:t>
      </w:r>
      <w:r w:rsidRPr="00447D97">
        <w:rPr>
          <w:rFonts w:cs="Segoe UI"/>
          <w:szCs w:val="22"/>
          <w:lang w:eastAsia="de-DE"/>
        </w:rPr>
        <w:t>的減排。在永續供應鏈建設方面</w:t>
      </w:r>
      <w:r w:rsidRPr="00447D97">
        <w:rPr>
          <w:rFonts w:cs="Segoe UI"/>
          <w:szCs w:val="22"/>
          <w:lang w:val="de-DE" w:eastAsia="de-DE"/>
        </w:rPr>
        <w:t>，</w:t>
      </w:r>
      <w:r w:rsidRPr="00447D97">
        <w:rPr>
          <w:rFonts w:cs="Segoe UI"/>
          <w:szCs w:val="22"/>
          <w:lang w:eastAsia="de-DE"/>
        </w:rPr>
        <w:t>漢高同樣成效顯著。負責任地採購及通過認證的棕櫚基原料佔比已達</w:t>
      </w:r>
      <w:r w:rsidRPr="00447D97">
        <w:rPr>
          <w:rFonts w:cs="Segoe UI"/>
          <w:szCs w:val="22"/>
          <w:lang w:val="de-DE" w:eastAsia="de-DE"/>
        </w:rPr>
        <w:t>98%</w:t>
      </w:r>
      <w:r w:rsidRPr="00447D97">
        <w:rPr>
          <w:rFonts w:cs="Segoe UI"/>
          <w:szCs w:val="22"/>
          <w:lang w:eastAsia="de-DE"/>
        </w:rPr>
        <w:t>。本公司在國際公認的可持續發展評級中表現進一步提升。其中</w:t>
      </w:r>
      <w:r w:rsidRPr="00447D97">
        <w:rPr>
          <w:rFonts w:cs="Segoe UI"/>
          <w:szCs w:val="22"/>
          <w:lang w:val="de-DE" w:eastAsia="de-DE"/>
        </w:rPr>
        <w:t>，</w:t>
      </w:r>
      <w:r w:rsidRPr="00447D97">
        <w:rPr>
          <w:rFonts w:cs="Segoe UI"/>
          <w:szCs w:val="22"/>
          <w:lang w:eastAsia="de-DE"/>
        </w:rPr>
        <w:t>漢高在</w:t>
      </w:r>
      <w:r w:rsidRPr="00447D97">
        <w:rPr>
          <w:rFonts w:cs="Segoe UI"/>
          <w:szCs w:val="22"/>
          <w:lang w:val="de-DE" w:eastAsia="de-DE"/>
        </w:rPr>
        <w:t>2025</w:t>
      </w:r>
      <w:r w:rsidRPr="00447D97">
        <w:rPr>
          <w:rFonts w:cs="Segoe UI"/>
          <w:szCs w:val="22"/>
          <w:lang w:eastAsia="de-DE"/>
        </w:rPr>
        <w:t>年</w:t>
      </w:r>
      <w:r w:rsidRPr="00447D97">
        <w:rPr>
          <w:rFonts w:cs="Segoe UI"/>
          <w:szCs w:val="22"/>
          <w:lang w:val="de-DE" w:eastAsia="de-DE"/>
        </w:rPr>
        <w:t>CDP</w:t>
      </w:r>
      <w:r w:rsidRPr="00447D97">
        <w:rPr>
          <w:rFonts w:cs="Segoe UI"/>
          <w:szCs w:val="22"/>
          <w:lang w:eastAsia="de-DE"/>
        </w:rPr>
        <w:t>評估的氣候類別中首次獲得</w:t>
      </w:r>
      <w:r w:rsidRPr="00447D97">
        <w:rPr>
          <w:rFonts w:cs="Segoe UI"/>
          <w:szCs w:val="22"/>
          <w:lang w:val="de-DE" w:eastAsia="de-DE"/>
        </w:rPr>
        <w:t>A</w:t>
      </w:r>
      <w:r w:rsidRPr="00447D97">
        <w:rPr>
          <w:rFonts w:cs="Segoe UI"/>
          <w:szCs w:val="22"/>
          <w:lang w:eastAsia="de-DE"/>
        </w:rPr>
        <w:t>級評級。漢高亦在最新一輪</w:t>
      </w:r>
      <w:r w:rsidRPr="00447D97">
        <w:rPr>
          <w:rFonts w:cs="Segoe UI"/>
          <w:szCs w:val="22"/>
          <w:lang w:val="de-DE" w:eastAsia="de-DE"/>
        </w:rPr>
        <w:t>EcoVadis</w:t>
      </w:r>
      <w:r w:rsidRPr="00447D97">
        <w:rPr>
          <w:rFonts w:cs="Segoe UI"/>
          <w:szCs w:val="22"/>
          <w:lang w:eastAsia="de-DE"/>
        </w:rPr>
        <w:t>評估中表現精進</w:t>
      </w:r>
      <w:r w:rsidRPr="00447D97">
        <w:rPr>
          <w:rFonts w:cs="Segoe UI"/>
          <w:szCs w:val="22"/>
          <w:lang w:val="de-DE" w:eastAsia="de-DE"/>
        </w:rPr>
        <w:t>，</w:t>
      </w:r>
      <w:r w:rsidRPr="00447D97">
        <w:rPr>
          <w:rFonts w:cs="Segoe UI"/>
          <w:szCs w:val="22"/>
          <w:lang w:eastAsia="de-DE"/>
        </w:rPr>
        <w:t>再度獲得金牌評級。</w:t>
      </w:r>
      <w:r w:rsidRPr="00447D97">
        <w:rPr>
          <w:rFonts w:cs="Segoe UI"/>
          <w:szCs w:val="22"/>
          <w:lang w:val="de-DE" w:eastAsia="de-DE"/>
        </w:rPr>
        <w:t xml:space="preserve"> </w:t>
      </w:r>
      <w:r w:rsidRPr="00447D97">
        <w:rPr>
          <w:rFonts w:cs="Segoe UI"/>
          <w:szCs w:val="22"/>
          <w:lang w:eastAsia="de-DE"/>
        </w:rPr>
        <w:t>漢高在數位化領域也取得進一步進展。</w:t>
      </w:r>
      <w:r w:rsidRPr="00447D97">
        <w:rPr>
          <w:rFonts w:cs="Segoe UI"/>
          <w:szCs w:val="22"/>
          <w:lang w:val="de-DE" w:eastAsia="de-DE"/>
        </w:rPr>
        <w:t xml:space="preserve"> 2025</w:t>
      </w:r>
      <w:r w:rsidRPr="00447D97">
        <w:rPr>
          <w:rFonts w:cs="Segoe UI"/>
          <w:szCs w:val="22"/>
          <w:lang w:eastAsia="de-DE"/>
        </w:rPr>
        <w:t>年</w:t>
      </w:r>
      <w:r w:rsidRPr="00447D97">
        <w:rPr>
          <w:rFonts w:cs="Segoe UI"/>
          <w:szCs w:val="22"/>
          <w:lang w:val="de-DE" w:eastAsia="de-DE"/>
        </w:rPr>
        <w:t>，</w:t>
      </w:r>
      <w:r w:rsidRPr="00447D97">
        <w:rPr>
          <w:rFonts w:cs="Segoe UI"/>
          <w:szCs w:val="22"/>
          <w:lang w:eastAsia="de-DE"/>
        </w:rPr>
        <w:t>人工智慧</w:t>
      </w:r>
      <w:r w:rsidRPr="00447D97">
        <w:rPr>
          <w:rFonts w:cs="Segoe UI"/>
          <w:szCs w:val="22"/>
          <w:lang w:val="de-DE" w:eastAsia="de-DE"/>
        </w:rPr>
        <w:t>（</w:t>
      </w:r>
      <w:r w:rsidRPr="00447D97">
        <w:rPr>
          <w:rFonts w:cs="Segoe UI"/>
          <w:szCs w:val="22"/>
          <w:lang w:val="de-DE" w:eastAsia="de-DE"/>
        </w:rPr>
        <w:t>AI</w:t>
      </w:r>
      <w:r w:rsidRPr="00447D97">
        <w:rPr>
          <w:rFonts w:cs="Segoe UI"/>
          <w:szCs w:val="22"/>
          <w:lang w:val="de-DE" w:eastAsia="de-DE"/>
        </w:rPr>
        <w:t>）</w:t>
      </w:r>
      <w:r w:rsidRPr="00447D97">
        <w:rPr>
          <w:rFonts w:cs="Segoe UI"/>
          <w:szCs w:val="22"/>
          <w:lang w:eastAsia="de-DE"/>
        </w:rPr>
        <w:t>領域的快速發展是一個重要議題。人工智慧將對公司未來營運模式產生重大影響。漢高在工業及消費品兩大業務領域的眾多實際應用中落地人工智慧技術。</w:t>
      </w:r>
      <w:r w:rsidRPr="00447D97">
        <w:rPr>
          <w:rFonts w:cs="Segoe UI"/>
          <w:szCs w:val="22"/>
          <w:lang w:val="de-DE" w:eastAsia="de-DE"/>
        </w:rPr>
        <w:t xml:space="preserve"> 2025</w:t>
      </w:r>
      <w:r w:rsidRPr="00447D97">
        <w:rPr>
          <w:rFonts w:cs="Segoe UI"/>
          <w:szCs w:val="22"/>
          <w:lang w:eastAsia="de-DE"/>
        </w:rPr>
        <w:t>年</w:t>
      </w:r>
      <w:r w:rsidRPr="00447D97">
        <w:rPr>
          <w:rFonts w:cs="Segoe UI"/>
          <w:szCs w:val="22"/>
          <w:lang w:val="de-DE" w:eastAsia="de-DE"/>
        </w:rPr>
        <w:t>，</w:t>
      </w:r>
      <w:r w:rsidRPr="00447D97">
        <w:rPr>
          <w:rFonts w:cs="Segoe UI"/>
          <w:szCs w:val="22"/>
          <w:lang w:eastAsia="de-DE"/>
        </w:rPr>
        <w:t>漢高在德國推出首支由生成式人工智慧支援的電視廣告</w:t>
      </w:r>
      <w:r w:rsidRPr="00447D97">
        <w:rPr>
          <w:rFonts w:cs="Segoe UI"/>
          <w:szCs w:val="22"/>
          <w:lang w:val="de-DE" w:eastAsia="de-DE"/>
        </w:rPr>
        <w:t>，</w:t>
      </w:r>
      <w:r w:rsidRPr="00447D97">
        <w:rPr>
          <w:rFonts w:cs="Segoe UI"/>
          <w:szCs w:val="22"/>
          <w:lang w:eastAsia="de-DE"/>
        </w:rPr>
        <w:t>將寶瑩標誌性的「白小姐</w:t>
      </w:r>
      <w:r w:rsidRPr="00447D97">
        <w:rPr>
          <w:rFonts w:cs="Segoe UI"/>
          <w:szCs w:val="22"/>
          <w:lang w:val="de-DE" w:eastAsia="de-DE"/>
        </w:rPr>
        <w:t>（</w:t>
      </w:r>
      <w:r w:rsidRPr="00447D97">
        <w:rPr>
          <w:rFonts w:cs="Segoe UI"/>
          <w:szCs w:val="22"/>
          <w:lang w:val="de-DE" w:eastAsia="de-DE"/>
        </w:rPr>
        <w:t>White Lady</w:t>
      </w:r>
      <w:r w:rsidRPr="00447D97">
        <w:rPr>
          <w:rFonts w:cs="Segoe UI"/>
          <w:szCs w:val="22"/>
          <w:lang w:val="de-DE" w:eastAsia="de-DE"/>
        </w:rPr>
        <w:t>）</w:t>
      </w:r>
      <w:r w:rsidRPr="00447D97">
        <w:rPr>
          <w:rFonts w:cs="Segoe UI"/>
          <w:szCs w:val="22"/>
          <w:lang w:eastAsia="de-DE"/>
        </w:rPr>
        <w:t>」形象帶入全新時代。人工智慧也應用於黏合劑研發實驗室的流程自動化。在電池製造領域</w:t>
      </w:r>
      <w:r w:rsidRPr="00447D97">
        <w:rPr>
          <w:rFonts w:cs="Segoe UI"/>
          <w:szCs w:val="22"/>
          <w:lang w:val="de-DE" w:eastAsia="de-DE"/>
        </w:rPr>
        <w:t>，</w:t>
      </w:r>
      <w:r w:rsidRPr="00447D97">
        <w:rPr>
          <w:rFonts w:cs="Segoe UI"/>
          <w:szCs w:val="22"/>
          <w:lang w:eastAsia="de-DE"/>
        </w:rPr>
        <w:t>漢高運用人工智慧驅動的模擬技術與創新可解黏解決方案</w:t>
      </w:r>
      <w:r w:rsidRPr="00447D97">
        <w:rPr>
          <w:rFonts w:cs="Segoe UI"/>
          <w:szCs w:val="22"/>
          <w:lang w:val="de-DE" w:eastAsia="de-DE"/>
        </w:rPr>
        <w:t>，</w:t>
      </w:r>
      <w:r w:rsidRPr="00447D97">
        <w:rPr>
          <w:rFonts w:cs="Segoe UI"/>
          <w:szCs w:val="22"/>
          <w:lang w:eastAsia="de-DE"/>
        </w:rPr>
        <w:t>幫助客戶縮短研發週期、降低成本並優化效能。</w:t>
      </w:r>
      <w:r w:rsidRPr="00447D97">
        <w:rPr>
          <w:rFonts w:cs="Segoe UI"/>
          <w:szCs w:val="22"/>
          <w:lang w:val="de-DE" w:eastAsia="de-DE"/>
        </w:rPr>
        <w:t xml:space="preserve"> </w:t>
      </w:r>
      <w:r w:rsidRPr="00447D97">
        <w:rPr>
          <w:rFonts w:cs="Segoe UI"/>
          <w:szCs w:val="22"/>
          <w:lang w:eastAsia="de-DE"/>
        </w:rPr>
        <w:t>作為長期成長策略的一部分</w:t>
      </w:r>
      <w:r w:rsidRPr="00447D97">
        <w:rPr>
          <w:rFonts w:cs="Segoe UI"/>
          <w:szCs w:val="22"/>
          <w:lang w:val="de-DE" w:eastAsia="de-DE"/>
        </w:rPr>
        <w:t>，</w:t>
      </w:r>
      <w:r w:rsidRPr="00447D97">
        <w:rPr>
          <w:rFonts w:cs="Segoe UI"/>
          <w:szCs w:val="22"/>
          <w:lang w:eastAsia="de-DE"/>
        </w:rPr>
        <w:t>漢高持續推動業務部門適配動態市場需求與不斷變化的客戶期望</w:t>
      </w:r>
      <w:r w:rsidRPr="00447D97">
        <w:rPr>
          <w:rFonts w:cs="Segoe UI"/>
          <w:szCs w:val="22"/>
          <w:lang w:val="de-DE" w:eastAsia="de-DE"/>
        </w:rPr>
        <w:t>，</w:t>
      </w:r>
      <w:r w:rsidRPr="00447D97">
        <w:rPr>
          <w:rFonts w:cs="Segoe UI"/>
          <w:szCs w:val="22"/>
          <w:lang w:eastAsia="de-DE"/>
        </w:rPr>
        <w:t>打造面向未來的營運模式</w:t>
      </w:r>
      <w:r w:rsidRPr="00447D97">
        <w:rPr>
          <w:rFonts w:cs="Segoe UI"/>
          <w:szCs w:val="22"/>
          <w:lang w:val="de-DE" w:eastAsia="de-DE"/>
        </w:rPr>
        <w:t>，</w:t>
      </w:r>
      <w:r w:rsidRPr="00447D97">
        <w:rPr>
          <w:rFonts w:cs="Segoe UI"/>
          <w:szCs w:val="22"/>
          <w:lang w:eastAsia="de-DE"/>
        </w:rPr>
        <w:t>實現長期成功。</w:t>
      </w:r>
      <w:r w:rsidRPr="00447D97">
        <w:rPr>
          <w:rFonts w:cs="Segoe UI"/>
          <w:szCs w:val="22"/>
          <w:lang w:val="de-DE" w:eastAsia="de-DE"/>
        </w:rPr>
        <w:t xml:space="preserve"> 2025</w:t>
      </w:r>
      <w:r w:rsidRPr="00447D97">
        <w:rPr>
          <w:rFonts w:cs="Segoe UI"/>
          <w:szCs w:val="22"/>
          <w:lang w:eastAsia="de-DE"/>
        </w:rPr>
        <w:t>年</w:t>
      </w:r>
      <w:r w:rsidRPr="00447D97">
        <w:rPr>
          <w:rFonts w:cs="Segoe UI"/>
          <w:szCs w:val="22"/>
          <w:lang w:val="de-DE" w:eastAsia="de-DE"/>
        </w:rPr>
        <w:t>3</w:t>
      </w:r>
      <w:r w:rsidRPr="00447D97">
        <w:rPr>
          <w:rFonts w:cs="Segoe UI"/>
          <w:szCs w:val="22"/>
          <w:lang w:eastAsia="de-DE"/>
        </w:rPr>
        <w:t>月</w:t>
      </w:r>
      <w:r w:rsidRPr="00447D97">
        <w:rPr>
          <w:rFonts w:cs="Segoe UI"/>
          <w:szCs w:val="22"/>
          <w:lang w:val="de-DE" w:eastAsia="de-DE"/>
        </w:rPr>
        <w:t>，</w:t>
      </w:r>
      <w:r w:rsidRPr="00447D97">
        <w:rPr>
          <w:rFonts w:cs="Segoe UI"/>
          <w:szCs w:val="22"/>
          <w:lang w:eastAsia="de-DE"/>
        </w:rPr>
        <w:t>漢高宣布將評估在德國及若干選定國家為黏</w:t>
      </w:r>
      <w:r w:rsidRPr="00447D97">
        <w:rPr>
          <w:rFonts w:cs="Segoe UI"/>
          <w:szCs w:val="22"/>
          <w:lang w:eastAsia="de-DE"/>
        </w:rPr>
        <w:lastRenderedPageBreak/>
        <w:t>合劑技術與消費品牌兩大業務部門設立獨立法律實體的可能性。此措施亦與</w:t>
      </w:r>
      <w:r w:rsidRPr="00447D97">
        <w:rPr>
          <w:rFonts w:cs="Segoe UI"/>
          <w:szCs w:val="22"/>
          <w:lang w:val="de-DE" w:eastAsia="de-DE"/>
        </w:rPr>
        <w:t>SAP S/4HANA</w:t>
      </w:r>
      <w:r w:rsidRPr="00447D97">
        <w:rPr>
          <w:rFonts w:cs="Segoe UI"/>
          <w:szCs w:val="22"/>
          <w:lang w:eastAsia="de-DE"/>
        </w:rPr>
        <w:t>系統遷移準備工作相關。管理董事會已與相關監督機構深入討論並通過該提案。據此，漢高計畫第一步將在德國為兩大現有業務部門分別設立獨立法人主體。透過此舉，漢高旨在提升流程與架構的敏捷性，更能支持業務未來發展需求及集團成長議程。集團及其業務部門的策略與營運管理將維持不變。該提案將提交至</w:t>
      </w:r>
      <w:r w:rsidRPr="00447D97">
        <w:rPr>
          <w:rFonts w:cs="Segoe UI"/>
          <w:szCs w:val="22"/>
          <w:lang w:val="de-DE" w:eastAsia="de-DE"/>
        </w:rPr>
        <w:t>2026</w:t>
      </w:r>
      <w:r w:rsidRPr="00447D97">
        <w:rPr>
          <w:rFonts w:cs="Segoe UI"/>
          <w:szCs w:val="22"/>
          <w:lang w:eastAsia="de-DE"/>
        </w:rPr>
        <w:t>年年度股東大會</w:t>
      </w:r>
      <w:r w:rsidRPr="00447D97">
        <w:rPr>
          <w:rFonts w:cs="Segoe UI"/>
          <w:szCs w:val="22"/>
          <w:lang w:val="de-DE" w:eastAsia="de-DE"/>
        </w:rPr>
        <w:t>，</w:t>
      </w:r>
      <w:r w:rsidRPr="00447D97">
        <w:rPr>
          <w:rFonts w:cs="Segoe UI"/>
          <w:szCs w:val="22"/>
          <w:lang w:eastAsia="de-DE"/>
        </w:rPr>
        <w:t>由股東審議決議。</w:t>
      </w:r>
      <w:r w:rsidRPr="00447D97">
        <w:rPr>
          <w:rFonts w:cs="Segoe UI"/>
          <w:szCs w:val="22"/>
          <w:lang w:val="de-DE" w:eastAsia="de-DE"/>
        </w:rPr>
        <w:t xml:space="preserve"> </w:t>
      </w:r>
      <w:r w:rsidRPr="00447D97">
        <w:rPr>
          <w:rFonts w:cs="Segoe UI"/>
          <w:szCs w:val="22"/>
          <w:lang w:eastAsia="de-DE"/>
        </w:rPr>
        <w:t>深厚的企業文化</w:t>
      </w:r>
      <w:r w:rsidRPr="00447D97">
        <w:rPr>
          <w:rFonts w:cs="Segoe UI"/>
          <w:szCs w:val="22"/>
          <w:lang w:val="de-DE" w:eastAsia="de-DE"/>
        </w:rPr>
        <w:t>，</w:t>
      </w:r>
      <w:r w:rsidRPr="00447D97">
        <w:rPr>
          <w:rFonts w:cs="Segoe UI"/>
          <w:szCs w:val="22"/>
          <w:lang w:eastAsia="de-DE"/>
        </w:rPr>
        <w:t>是漢高實踐「目標成長議程」的堅實根基。這種文化以跨業務、跨地域、跨團隊的信任協同為核心，同時賦能員工主動擔當、共創價值，而這個文化核心也需要持續深耕與培育。為精準洞察員工心聲</w:t>
      </w:r>
      <w:r w:rsidRPr="00447D97">
        <w:rPr>
          <w:rFonts w:cs="Segoe UI"/>
          <w:szCs w:val="22"/>
          <w:lang w:val="de-DE" w:eastAsia="de-DE"/>
        </w:rPr>
        <w:t>，</w:t>
      </w:r>
      <w:r w:rsidRPr="00447D97">
        <w:rPr>
          <w:rFonts w:cs="Segoe UI"/>
          <w:szCs w:val="22"/>
          <w:lang w:eastAsia="de-DE"/>
        </w:rPr>
        <w:t>漢高已連續多年開展員工調查</w:t>
      </w:r>
      <w:r w:rsidRPr="00447D97">
        <w:rPr>
          <w:rFonts w:cs="Segoe UI"/>
          <w:szCs w:val="22"/>
          <w:lang w:val="de-DE" w:eastAsia="de-DE"/>
        </w:rPr>
        <w:t>，</w:t>
      </w:r>
      <w:r w:rsidRPr="00447D97">
        <w:rPr>
          <w:rFonts w:cs="Segoe UI"/>
          <w:szCs w:val="22"/>
          <w:lang w:eastAsia="de-DE"/>
        </w:rPr>
        <w:t>每月隨機抽取</w:t>
      </w:r>
      <w:r w:rsidRPr="00447D97">
        <w:rPr>
          <w:rFonts w:cs="Segoe UI"/>
          <w:szCs w:val="22"/>
          <w:lang w:val="de-DE" w:eastAsia="de-DE"/>
        </w:rPr>
        <w:t>5,000</w:t>
      </w:r>
      <w:r w:rsidRPr="00447D97">
        <w:rPr>
          <w:rFonts w:cs="Segoe UI"/>
          <w:szCs w:val="22"/>
          <w:lang w:eastAsia="de-DE"/>
        </w:rPr>
        <w:t>名員工參與匿名問卷。研究圍繞著協作效能、責任擔當、創新活力、多元包容</w:t>
      </w:r>
      <w:r w:rsidRPr="00447D97">
        <w:rPr>
          <w:rFonts w:cs="Segoe UI"/>
          <w:szCs w:val="22"/>
          <w:lang w:val="de-DE" w:eastAsia="de-DE"/>
        </w:rPr>
        <w:t>，</w:t>
      </w:r>
      <w:r w:rsidRPr="00447D97">
        <w:rPr>
          <w:rFonts w:cs="Segoe UI"/>
          <w:szCs w:val="22"/>
          <w:lang w:eastAsia="de-DE"/>
        </w:rPr>
        <w:t>以及員工對集團長期策略的認同度等核心議題</w:t>
      </w:r>
      <w:r w:rsidRPr="00447D97">
        <w:rPr>
          <w:rFonts w:cs="Segoe UI"/>
          <w:szCs w:val="22"/>
          <w:lang w:val="de-DE" w:eastAsia="de-DE"/>
        </w:rPr>
        <w:t>，</w:t>
      </w:r>
      <w:r w:rsidRPr="00447D97">
        <w:rPr>
          <w:rFonts w:cs="Segoe UI"/>
          <w:szCs w:val="22"/>
          <w:lang w:eastAsia="de-DE"/>
        </w:rPr>
        <w:t>挖掘了許多寶貴洞見。</w:t>
      </w:r>
      <w:r w:rsidRPr="00447D97">
        <w:rPr>
          <w:rFonts w:cs="Segoe UI"/>
          <w:szCs w:val="22"/>
          <w:lang w:val="de-DE" w:eastAsia="de-DE"/>
        </w:rPr>
        <w:t xml:space="preserve"> 2025</w:t>
      </w:r>
      <w:r w:rsidRPr="00447D97">
        <w:rPr>
          <w:rFonts w:cs="Segoe UI"/>
          <w:szCs w:val="22"/>
          <w:lang w:eastAsia="de-DE"/>
        </w:rPr>
        <w:t>年研究結果顯示</w:t>
      </w:r>
      <w:r w:rsidRPr="00447D97">
        <w:rPr>
          <w:rFonts w:cs="Segoe UI"/>
          <w:szCs w:val="22"/>
          <w:lang w:val="de-DE" w:eastAsia="de-DE"/>
        </w:rPr>
        <w:t>，</w:t>
      </w:r>
      <w:r w:rsidRPr="00447D97">
        <w:rPr>
          <w:rFonts w:cs="Segoe UI"/>
          <w:szCs w:val="22"/>
          <w:lang w:eastAsia="de-DE"/>
        </w:rPr>
        <w:t>漢高在上述領域均實現長足進步</w:t>
      </w:r>
      <w:r w:rsidRPr="00447D97">
        <w:rPr>
          <w:rFonts w:cs="Segoe UI"/>
          <w:szCs w:val="22"/>
          <w:lang w:val="de-DE" w:eastAsia="de-DE"/>
        </w:rPr>
        <w:t>，</w:t>
      </w:r>
      <w:r w:rsidRPr="00447D97">
        <w:rPr>
          <w:rFonts w:cs="Segoe UI"/>
          <w:szCs w:val="22"/>
          <w:lang w:eastAsia="de-DE"/>
        </w:rPr>
        <w:t>充分印證了近年來落地的各項舉措的成效顯著</w:t>
      </w:r>
      <w:r w:rsidRPr="00447D97">
        <w:rPr>
          <w:rFonts w:cs="Segoe UI"/>
          <w:szCs w:val="22"/>
          <w:lang w:val="de-DE" w:eastAsia="de-DE"/>
        </w:rPr>
        <w:t>，</w:t>
      </w:r>
      <w:r w:rsidRPr="00447D97">
        <w:rPr>
          <w:rFonts w:cs="Segoe UI"/>
          <w:szCs w:val="22"/>
          <w:lang w:eastAsia="de-DE"/>
        </w:rPr>
        <w:t>企業文化得到持續夯實和加強。</w:t>
      </w:r>
      <w:r w:rsidRPr="00447D97">
        <w:rPr>
          <w:rFonts w:cs="Segoe UI"/>
          <w:szCs w:val="22"/>
          <w:lang w:val="de-DE" w:eastAsia="de-DE"/>
        </w:rPr>
        <w:t xml:space="preserve"> </w:t>
      </w:r>
      <w:r w:rsidRPr="00447D97">
        <w:rPr>
          <w:rFonts w:cs="Segoe UI"/>
          <w:szCs w:val="22"/>
          <w:lang w:eastAsia="de-DE"/>
        </w:rPr>
        <w:t>漢高迎來</w:t>
      </w:r>
      <w:r w:rsidRPr="00447D97">
        <w:rPr>
          <w:rFonts w:cs="Segoe UI"/>
          <w:szCs w:val="22"/>
          <w:lang w:val="de-DE" w:eastAsia="de-DE"/>
        </w:rPr>
        <w:t>150</w:t>
      </w:r>
      <w:r w:rsidRPr="00447D97">
        <w:rPr>
          <w:rFonts w:cs="Segoe UI"/>
          <w:szCs w:val="22"/>
          <w:lang w:eastAsia="de-DE"/>
        </w:rPr>
        <w:t>週年輝煌歷程</w:t>
      </w:r>
      <w:r w:rsidRPr="00447D97">
        <w:rPr>
          <w:rFonts w:cs="Segoe UI"/>
          <w:szCs w:val="22"/>
          <w:lang w:val="de-DE" w:eastAsia="de-DE"/>
        </w:rPr>
        <w:t xml:space="preserve"> </w:t>
      </w:r>
      <w:r w:rsidRPr="00447D97">
        <w:rPr>
          <w:rFonts w:cs="Segoe UI"/>
          <w:szCs w:val="22"/>
          <w:lang w:eastAsia="de-DE"/>
        </w:rPr>
        <w:t>卡斯滕</w:t>
      </w:r>
      <w:r w:rsidRPr="00447D97">
        <w:rPr>
          <w:rFonts w:cs="Segoe UI"/>
          <w:szCs w:val="22"/>
          <w:lang w:val="de-DE" w:eastAsia="de-DE"/>
        </w:rPr>
        <w:t>·</w:t>
      </w:r>
      <w:r w:rsidRPr="00447D97">
        <w:rPr>
          <w:rFonts w:cs="Segoe UI"/>
          <w:szCs w:val="22"/>
          <w:lang w:eastAsia="de-DE"/>
        </w:rPr>
        <w:t>諾貝爾總結道</w:t>
      </w:r>
      <w:r w:rsidRPr="00447D97">
        <w:rPr>
          <w:rFonts w:cs="Segoe UI"/>
          <w:szCs w:val="22"/>
          <w:lang w:val="de-DE" w:eastAsia="de-DE"/>
        </w:rPr>
        <w:t>：</w:t>
      </w:r>
      <w:r w:rsidRPr="00447D97">
        <w:rPr>
          <w:rFonts w:cs="Segoe UI"/>
          <w:szCs w:val="22"/>
          <w:lang w:val="de-DE" w:eastAsia="de-DE"/>
        </w:rPr>
        <w:t>“2025</w:t>
      </w:r>
      <w:r w:rsidRPr="00447D97">
        <w:rPr>
          <w:rFonts w:cs="Segoe UI"/>
          <w:szCs w:val="22"/>
          <w:lang w:eastAsia="de-DE"/>
        </w:rPr>
        <w:t>年是成功的一年</w:t>
      </w:r>
      <w:r w:rsidRPr="00447D97">
        <w:rPr>
          <w:rFonts w:cs="Segoe UI"/>
          <w:szCs w:val="22"/>
          <w:lang w:val="de-DE" w:eastAsia="de-DE"/>
        </w:rPr>
        <w:t>，</w:t>
      </w:r>
      <w:r w:rsidRPr="00447D97">
        <w:rPr>
          <w:rFonts w:cs="Segoe UI"/>
          <w:szCs w:val="22"/>
          <w:lang w:eastAsia="de-DE"/>
        </w:rPr>
        <w:t>我們再度克服重大挑戰並取得顯著進展。我們在很大程度上達成了財務目標</w:t>
      </w:r>
      <w:r w:rsidRPr="00447D97">
        <w:rPr>
          <w:rFonts w:cs="Segoe UI"/>
          <w:szCs w:val="22"/>
          <w:lang w:val="de-DE" w:eastAsia="de-DE"/>
        </w:rPr>
        <w:t>，</w:t>
      </w:r>
      <w:r w:rsidRPr="00447D97">
        <w:rPr>
          <w:rFonts w:cs="Segoe UI"/>
          <w:szCs w:val="22"/>
          <w:lang w:eastAsia="de-DE"/>
        </w:rPr>
        <w:t>在所有戰略維度持續推進目標性增長議程</w:t>
      </w:r>
      <w:r w:rsidRPr="00447D97">
        <w:rPr>
          <w:rFonts w:cs="Segoe UI"/>
          <w:szCs w:val="22"/>
          <w:lang w:val="de-DE" w:eastAsia="de-DE"/>
        </w:rPr>
        <w:t>，</w:t>
      </w:r>
      <w:r w:rsidRPr="00447D97">
        <w:rPr>
          <w:rFonts w:cs="Segoe UI"/>
          <w:szCs w:val="22"/>
          <w:lang w:eastAsia="de-DE"/>
        </w:rPr>
        <w:t>並順利完成消費品業務的整合。我們正繼續沿著正確的方向邁進</w:t>
      </w:r>
      <w:r w:rsidRPr="00447D97">
        <w:rPr>
          <w:rFonts w:cs="Segoe UI"/>
          <w:szCs w:val="22"/>
          <w:lang w:val="de-DE" w:eastAsia="de-DE"/>
        </w:rPr>
        <w:t>，</w:t>
      </w:r>
      <w:r w:rsidRPr="00447D97">
        <w:rPr>
          <w:rFonts w:cs="Segoe UI"/>
          <w:szCs w:val="22"/>
          <w:lang w:eastAsia="de-DE"/>
        </w:rPr>
        <w:t>公司轉型已取得切實成果。</w:t>
      </w:r>
      <w:r w:rsidRPr="00447D97">
        <w:rPr>
          <w:rFonts w:cs="Segoe UI"/>
          <w:szCs w:val="22"/>
          <w:lang w:val="de-DE" w:eastAsia="de-DE"/>
        </w:rPr>
        <w:t xml:space="preserve">” </w:t>
      </w:r>
      <w:r w:rsidRPr="00447D97">
        <w:rPr>
          <w:rFonts w:cs="Segoe UI"/>
          <w:szCs w:val="22"/>
          <w:lang w:eastAsia="de-DE"/>
        </w:rPr>
        <w:t>卡斯滕</w:t>
      </w:r>
      <w:r w:rsidRPr="00447D97">
        <w:rPr>
          <w:rFonts w:ascii="微软雅黑" w:eastAsia="微软雅黑" w:hAnsi="微软雅黑" w:cs="微软雅黑" w:hint="eastAsia"/>
          <w:szCs w:val="22"/>
          <w:lang w:val="de-DE" w:eastAsia="de-DE"/>
        </w:rPr>
        <w:t>‧</w:t>
      </w:r>
      <w:r w:rsidRPr="00447D97">
        <w:rPr>
          <w:rFonts w:cs="Segoe UI"/>
          <w:szCs w:val="22"/>
          <w:lang w:eastAsia="de-DE"/>
        </w:rPr>
        <w:t>諾貝爾繼續表示</w:t>
      </w:r>
      <w:r w:rsidRPr="00447D97">
        <w:rPr>
          <w:rFonts w:cs="Segoe UI"/>
          <w:szCs w:val="22"/>
          <w:lang w:val="de-DE" w:eastAsia="de-DE"/>
        </w:rPr>
        <w:t>：</w:t>
      </w:r>
      <w:r w:rsidRPr="00447D97">
        <w:rPr>
          <w:rFonts w:cs="Segoe UI"/>
          <w:szCs w:val="22"/>
          <w:lang w:eastAsia="de-DE"/>
        </w:rPr>
        <w:t>「展望</w:t>
      </w:r>
      <w:r w:rsidRPr="00447D97">
        <w:rPr>
          <w:rFonts w:cs="Segoe UI"/>
          <w:szCs w:val="22"/>
          <w:lang w:val="de-DE" w:eastAsia="de-DE"/>
        </w:rPr>
        <w:t>2026</w:t>
      </w:r>
      <w:r w:rsidRPr="00447D97">
        <w:rPr>
          <w:rFonts w:cs="Segoe UI"/>
          <w:szCs w:val="22"/>
          <w:lang w:eastAsia="de-DE"/>
        </w:rPr>
        <w:t>年</w:t>
      </w:r>
      <w:r w:rsidRPr="00447D97">
        <w:rPr>
          <w:rFonts w:cs="Segoe UI"/>
          <w:szCs w:val="22"/>
          <w:lang w:val="de-DE" w:eastAsia="de-DE"/>
        </w:rPr>
        <w:t>，</w:t>
      </w:r>
      <w:r w:rsidRPr="00447D97">
        <w:rPr>
          <w:rFonts w:cs="Segoe UI"/>
          <w:szCs w:val="22"/>
          <w:lang w:eastAsia="de-DE"/>
        </w:rPr>
        <w:t>我們滿懷憧憬地迎來漢高成立</w:t>
      </w:r>
      <w:r w:rsidRPr="00447D97">
        <w:rPr>
          <w:rFonts w:cs="Segoe UI"/>
          <w:szCs w:val="22"/>
          <w:lang w:val="de-DE" w:eastAsia="de-DE"/>
        </w:rPr>
        <w:t>150</w:t>
      </w:r>
      <w:r w:rsidRPr="00447D97">
        <w:rPr>
          <w:rFonts w:cs="Segoe UI"/>
          <w:szCs w:val="22"/>
          <w:lang w:eastAsia="de-DE"/>
        </w:rPr>
        <w:t>週年的重要時刻。我們固然為百年傳承深感自豪</w:t>
      </w:r>
      <w:r w:rsidRPr="00447D97">
        <w:rPr>
          <w:rFonts w:cs="Segoe UI"/>
          <w:szCs w:val="22"/>
          <w:lang w:val="de-DE" w:eastAsia="de-DE"/>
        </w:rPr>
        <w:t>，</w:t>
      </w:r>
      <w:r w:rsidRPr="00447D97">
        <w:rPr>
          <w:rFonts w:cs="Segoe UI"/>
          <w:szCs w:val="22"/>
          <w:lang w:eastAsia="de-DE"/>
        </w:rPr>
        <w:t>但這絕非我們駐足不前的理由</w:t>
      </w:r>
      <w:r w:rsidRPr="00447D97">
        <w:rPr>
          <w:rFonts w:cs="Segoe UI"/>
          <w:szCs w:val="22"/>
          <w:lang w:val="de-DE" w:eastAsia="de-DE"/>
        </w:rPr>
        <w:t>，</w:t>
      </w:r>
      <w:r w:rsidRPr="00447D97">
        <w:rPr>
          <w:rFonts w:cs="Segoe UI"/>
          <w:szCs w:val="22"/>
          <w:lang w:eastAsia="de-DE"/>
        </w:rPr>
        <w:t>反而將成為我們砥礪前進的不竭動力。</w:t>
      </w:r>
      <w:r w:rsidRPr="00447D97">
        <w:rPr>
          <w:rFonts w:cs="Segoe UI"/>
          <w:szCs w:val="22"/>
          <w:lang w:val="de-DE" w:eastAsia="de-DE"/>
        </w:rPr>
        <w:t xml:space="preserve"> </w:t>
      </w:r>
      <w:r w:rsidRPr="00447D97">
        <w:rPr>
          <w:rFonts w:cs="Segoe UI"/>
          <w:szCs w:val="22"/>
          <w:lang w:eastAsia="de-DE"/>
        </w:rPr>
        <w:t>我們已然做好擁抱未來的準備</w:t>
      </w:r>
      <w:r w:rsidRPr="00447D97">
        <w:rPr>
          <w:rFonts w:cs="Segoe UI"/>
          <w:szCs w:val="22"/>
          <w:lang w:val="de-DE" w:eastAsia="de-DE"/>
        </w:rPr>
        <w:t>，</w:t>
      </w:r>
      <w:r w:rsidRPr="00447D97">
        <w:rPr>
          <w:rFonts w:cs="Segoe UI"/>
          <w:szCs w:val="22"/>
          <w:lang w:eastAsia="de-DE"/>
        </w:rPr>
        <w:t>將一如既往秉持先鋒精神</w:t>
      </w:r>
      <w:r w:rsidRPr="00447D97">
        <w:rPr>
          <w:rFonts w:cs="Segoe UI"/>
          <w:szCs w:val="22"/>
          <w:lang w:val="de-DE" w:eastAsia="de-DE"/>
        </w:rPr>
        <w:t>，</w:t>
      </w:r>
      <w:r w:rsidRPr="00447D97">
        <w:rPr>
          <w:rFonts w:cs="Segoe UI"/>
          <w:szCs w:val="22"/>
          <w:lang w:eastAsia="de-DE"/>
        </w:rPr>
        <w:t>為後代打造兼具前瞻性的產品與解決方案。</w:t>
      </w:r>
      <w:r w:rsidRPr="00447D97">
        <w:rPr>
          <w:rFonts w:cs="Segoe UI"/>
          <w:szCs w:val="22"/>
          <w:lang w:val="de-DE" w:eastAsia="de-DE"/>
        </w:rPr>
        <w:t xml:space="preserve"> </w:t>
      </w:r>
      <w:r w:rsidRPr="00447D97">
        <w:rPr>
          <w:rFonts w:cs="Segoe UI"/>
          <w:szCs w:val="22"/>
          <w:lang w:eastAsia="de-DE"/>
        </w:rPr>
        <w:t>at heart for the good of generations</w:t>
      </w:r>
      <w:r w:rsidRPr="00447D97">
        <w:rPr>
          <w:rFonts w:cs="Segoe UI"/>
          <w:szCs w:val="22"/>
          <w:lang w:eastAsia="de-DE"/>
        </w:rPr>
        <w:t>。</w:t>
      </w:r>
    </w:p>
    <w:p w14:paraId="1A051B9C" w14:textId="77777777" w:rsidR="00C42CF4" w:rsidRDefault="00C42CF4" w:rsidP="00447D97">
      <w:pPr>
        <w:rPr>
          <w:rFonts w:cs="Segoe UI"/>
          <w:szCs w:val="22"/>
          <w:lang w:eastAsia="zh-CN"/>
        </w:rPr>
      </w:pPr>
    </w:p>
    <w:p w14:paraId="2D27B72C" w14:textId="77777777" w:rsidR="00C42CF4" w:rsidRDefault="00C42CF4" w:rsidP="00447D97">
      <w:pPr>
        <w:rPr>
          <w:rFonts w:cs="Segoe UI"/>
          <w:szCs w:val="22"/>
          <w:lang w:eastAsia="zh-CN"/>
        </w:rPr>
      </w:pPr>
    </w:p>
    <w:p w14:paraId="36B7B675" w14:textId="58BAA897" w:rsidR="00C42CF4" w:rsidRPr="006E00F4" w:rsidRDefault="00C42CF4" w:rsidP="00C42CF4">
      <w:pPr>
        <w:rPr>
          <w:lang w:eastAsia="zh-CN"/>
        </w:rPr>
      </w:pPr>
      <w:r w:rsidRPr="006E00F4">
        <w:rPr>
          <w:sz w:val="12"/>
          <w:lang w:eastAsia="zh-TW"/>
        </w:rPr>
        <w:t>*</w:t>
      </w:r>
      <w:r w:rsidRPr="006E00F4">
        <w:rPr>
          <w:rFonts w:hint="eastAsia"/>
          <w:sz w:val="12"/>
          <w:lang w:eastAsia="zh-TW"/>
        </w:rPr>
        <w:t>對一次性費用和收入以及重組費用進行了調整。</w:t>
      </w:r>
    </w:p>
    <w:p w14:paraId="215AE2B3" w14:textId="77777777" w:rsidR="00C42CF4" w:rsidRDefault="00C42CF4" w:rsidP="00447D97">
      <w:pPr>
        <w:rPr>
          <w:rStyle w:val="Hyperlink"/>
          <w:color w:val="auto"/>
          <w:sz w:val="14"/>
          <w:szCs w:val="14"/>
          <w:u w:val="none"/>
          <w:lang w:eastAsia="zh-CN"/>
        </w:rPr>
      </w:pPr>
    </w:p>
    <w:p w14:paraId="0D634554" w14:textId="77777777" w:rsidR="00C42CF4" w:rsidRDefault="00C42CF4" w:rsidP="00447D97">
      <w:pPr>
        <w:rPr>
          <w:rStyle w:val="Hyperlink"/>
          <w:color w:val="auto"/>
          <w:sz w:val="14"/>
          <w:szCs w:val="14"/>
          <w:u w:val="none"/>
          <w:lang w:eastAsia="zh-CN"/>
        </w:rPr>
      </w:pPr>
    </w:p>
    <w:p w14:paraId="7D3CE6E1" w14:textId="77777777" w:rsidR="00C42CF4" w:rsidRDefault="00C42CF4" w:rsidP="00447D97">
      <w:pPr>
        <w:rPr>
          <w:rStyle w:val="Hyperlink"/>
          <w:color w:val="auto"/>
          <w:sz w:val="14"/>
          <w:szCs w:val="14"/>
          <w:u w:val="none"/>
          <w:lang w:eastAsia="zh-CN"/>
        </w:rPr>
      </w:pPr>
    </w:p>
    <w:p w14:paraId="4FBE1731" w14:textId="6CB78D9B" w:rsidR="008A40F1" w:rsidRDefault="008A40F1">
      <w:pPr>
        <w:spacing w:line="240" w:lineRule="auto"/>
        <w:jc w:val="left"/>
        <w:rPr>
          <w:rStyle w:val="Hyperlink"/>
          <w:color w:val="auto"/>
          <w:sz w:val="14"/>
          <w:szCs w:val="14"/>
          <w:u w:val="none"/>
          <w:lang w:eastAsia="zh-CN"/>
        </w:rPr>
      </w:pPr>
      <w:r>
        <w:rPr>
          <w:rStyle w:val="Hyperlink"/>
          <w:color w:val="auto"/>
          <w:sz w:val="14"/>
          <w:szCs w:val="14"/>
          <w:u w:val="none"/>
          <w:lang w:eastAsia="zh-CN"/>
        </w:rPr>
        <w:br w:type="page"/>
      </w:r>
    </w:p>
    <w:p w14:paraId="681F714D" w14:textId="522CD035" w:rsidR="008A40F1" w:rsidRPr="007B24F3" w:rsidRDefault="008A40F1" w:rsidP="008A40F1">
      <w:pPr>
        <w:rPr>
          <w:rStyle w:val="AboutandContactHeadline"/>
          <w:rFonts w:asciiTheme="majorHAnsi" w:hAnsiTheme="majorHAnsi" w:cstheme="majorHAnsi"/>
          <w:sz w:val="20"/>
          <w:szCs w:val="28"/>
          <w:lang w:eastAsia="zh-CN"/>
        </w:rPr>
      </w:pPr>
      <w:r w:rsidRPr="007B24F3">
        <w:rPr>
          <w:rStyle w:val="AboutandContactHeadline"/>
          <w:rFonts w:asciiTheme="majorHAnsi" w:hAnsiTheme="majorHAnsi" w:cstheme="majorHAnsi" w:hint="eastAsia"/>
          <w:sz w:val="20"/>
          <w:szCs w:val="28"/>
          <w:lang w:eastAsia="zh-TW"/>
        </w:rPr>
        <w:lastRenderedPageBreak/>
        <w:t>關於漢高</w:t>
      </w:r>
    </w:p>
    <w:p w14:paraId="194A7ED3" w14:textId="7946016C" w:rsidR="008A40F1" w:rsidRPr="007B24F3" w:rsidRDefault="008A40F1" w:rsidP="008A40F1">
      <w:pPr>
        <w:rPr>
          <w:rStyle w:val="AboutandContactBody"/>
          <w:rFonts w:asciiTheme="majorHAnsi" w:hAnsiTheme="majorHAnsi" w:cstheme="majorHAnsi"/>
          <w:sz w:val="20"/>
          <w:szCs w:val="28"/>
          <w:lang w:eastAsia="zh-CN"/>
        </w:rPr>
      </w:pPr>
      <w:r w:rsidRPr="007B24F3">
        <w:rPr>
          <w:rStyle w:val="AboutandContactBody"/>
          <w:rFonts w:asciiTheme="majorHAnsi" w:hAnsiTheme="majorHAnsi" w:cstheme="majorHAnsi" w:hint="eastAsia"/>
          <w:sz w:val="20"/>
          <w:szCs w:val="28"/>
          <w:lang w:eastAsia="zh-TW"/>
        </w:rPr>
        <w:t>漢高憑藉其品牌、創新和技術，在全球工業和消費品領域中擁有領先的市場地位。漢高粘合劑技術業務部是全球粘合劑、密封劑和功能性塗層市場的領導者。漢高消費品牌在各國市場和品類佔據領先地位，在洗滌劑及家用護理和美髮領域尤為突出。樂泰（</w:t>
      </w:r>
      <w:r w:rsidRPr="007B24F3">
        <w:rPr>
          <w:rStyle w:val="AboutandContactBody"/>
          <w:rFonts w:asciiTheme="majorHAnsi" w:hAnsiTheme="majorHAnsi" w:cstheme="majorHAnsi"/>
          <w:sz w:val="20"/>
          <w:szCs w:val="28"/>
          <w:lang w:eastAsia="zh-TW"/>
        </w:rPr>
        <w:t>Loctite</w:t>
      </w:r>
      <w:r w:rsidRPr="007B24F3">
        <w:rPr>
          <w:rStyle w:val="AboutandContactBody"/>
          <w:rFonts w:asciiTheme="majorHAnsi" w:hAnsiTheme="majorHAnsi" w:cstheme="majorHAnsi" w:hint="eastAsia"/>
          <w:sz w:val="20"/>
          <w:szCs w:val="28"/>
          <w:lang w:eastAsia="zh-TW"/>
        </w:rPr>
        <w:t>）、寶瑩（</w:t>
      </w:r>
      <w:r w:rsidRPr="007B24F3">
        <w:rPr>
          <w:rStyle w:val="AboutandContactBody"/>
          <w:rFonts w:asciiTheme="majorHAnsi" w:hAnsiTheme="majorHAnsi" w:cstheme="majorHAnsi"/>
          <w:sz w:val="20"/>
          <w:szCs w:val="28"/>
          <w:lang w:eastAsia="zh-TW"/>
        </w:rPr>
        <w:t xml:space="preserve"> Persil</w:t>
      </w:r>
      <w:r w:rsidRPr="007B24F3">
        <w:rPr>
          <w:rStyle w:val="AboutandContactBody"/>
          <w:rFonts w:asciiTheme="majorHAnsi" w:hAnsiTheme="majorHAnsi" w:cstheme="majorHAnsi" w:hint="eastAsia"/>
          <w:sz w:val="20"/>
          <w:szCs w:val="28"/>
          <w:lang w:eastAsia="zh-TW"/>
        </w:rPr>
        <w:t>）和施華蔻（</w:t>
      </w:r>
      <w:r w:rsidRPr="007B24F3">
        <w:rPr>
          <w:rStyle w:val="AboutandContactBody"/>
          <w:rFonts w:asciiTheme="majorHAnsi" w:hAnsiTheme="majorHAnsi" w:cstheme="majorHAnsi"/>
          <w:sz w:val="20"/>
          <w:szCs w:val="28"/>
          <w:lang w:eastAsia="zh-TW"/>
        </w:rPr>
        <w:t>Schwarzkopf</w:t>
      </w:r>
      <w:r w:rsidRPr="007B24F3">
        <w:rPr>
          <w:rStyle w:val="AboutandContactBody"/>
          <w:rFonts w:asciiTheme="majorHAnsi" w:hAnsiTheme="majorHAnsi" w:cstheme="majorHAnsi" w:hint="eastAsia"/>
          <w:sz w:val="20"/>
          <w:szCs w:val="28"/>
          <w:lang w:eastAsia="zh-TW"/>
        </w:rPr>
        <w:t>）是公司的三大核心品牌。</w:t>
      </w:r>
      <w:r w:rsidRPr="007B24F3">
        <w:rPr>
          <w:rStyle w:val="AboutandContactBody"/>
          <w:rFonts w:asciiTheme="majorHAnsi" w:hAnsiTheme="majorHAnsi" w:cstheme="majorHAnsi"/>
          <w:sz w:val="20"/>
          <w:szCs w:val="28"/>
          <w:lang w:eastAsia="zh-TW"/>
        </w:rPr>
        <w:t>202</w:t>
      </w:r>
      <w:r>
        <w:rPr>
          <w:rStyle w:val="AboutandContactBody"/>
          <w:rFonts w:asciiTheme="majorHAnsi" w:hAnsiTheme="majorHAnsi" w:cstheme="majorHAnsi"/>
          <w:sz w:val="20"/>
          <w:szCs w:val="28"/>
          <w:lang w:eastAsia="zh-TW"/>
        </w:rPr>
        <w:t>5</w:t>
      </w:r>
      <w:r w:rsidRPr="007B24F3">
        <w:rPr>
          <w:rStyle w:val="AboutandContactBody"/>
          <w:rFonts w:asciiTheme="majorHAnsi" w:hAnsiTheme="majorHAnsi" w:cstheme="majorHAnsi" w:hint="eastAsia"/>
          <w:sz w:val="20"/>
          <w:szCs w:val="28"/>
          <w:lang w:eastAsia="zh-TW"/>
        </w:rPr>
        <w:t>財年，漢高實現銷售額</w:t>
      </w:r>
      <w:r>
        <w:rPr>
          <w:rStyle w:val="AboutandContactBody"/>
          <w:rFonts w:asciiTheme="majorHAnsi" w:hAnsiTheme="majorHAnsi" w:cstheme="majorHAnsi" w:hint="eastAsia"/>
          <w:sz w:val="20"/>
          <w:szCs w:val="28"/>
          <w:lang w:eastAsia="zh-TW"/>
        </w:rPr>
        <w:t>約</w:t>
      </w:r>
      <w:r>
        <w:rPr>
          <w:rStyle w:val="AboutandContactBody"/>
          <w:rFonts w:asciiTheme="majorHAnsi" w:hAnsiTheme="majorHAnsi" w:cstheme="majorHAnsi"/>
          <w:sz w:val="20"/>
          <w:szCs w:val="28"/>
          <w:lang w:eastAsia="zh-TW"/>
        </w:rPr>
        <w:t>205</w:t>
      </w:r>
      <w:r w:rsidRPr="007B24F3">
        <w:rPr>
          <w:rStyle w:val="AboutandContactBody"/>
          <w:rFonts w:asciiTheme="majorHAnsi" w:hAnsiTheme="majorHAnsi" w:cstheme="majorHAnsi" w:hint="eastAsia"/>
          <w:sz w:val="20"/>
          <w:szCs w:val="28"/>
          <w:lang w:eastAsia="zh-TW"/>
        </w:rPr>
        <w:t>億歐元，調整後營業利潤約為</w:t>
      </w:r>
      <w:r>
        <w:rPr>
          <w:rStyle w:val="AboutandContactBody"/>
          <w:rFonts w:asciiTheme="majorHAnsi" w:hAnsiTheme="majorHAnsi" w:cstheme="majorHAnsi"/>
          <w:sz w:val="20"/>
          <w:szCs w:val="28"/>
          <w:lang w:eastAsia="zh-TW"/>
        </w:rPr>
        <w:t>30</w:t>
      </w:r>
      <w:r w:rsidRPr="007B24F3">
        <w:rPr>
          <w:rStyle w:val="AboutandContactBody"/>
          <w:rFonts w:asciiTheme="majorHAnsi" w:hAnsiTheme="majorHAnsi" w:cstheme="majorHAnsi" w:hint="eastAsia"/>
          <w:sz w:val="20"/>
          <w:szCs w:val="28"/>
          <w:lang w:eastAsia="zh-TW"/>
        </w:rPr>
        <w:t>億歐元。漢高的優先股已列入德國</w:t>
      </w:r>
      <w:r w:rsidRPr="007B24F3">
        <w:rPr>
          <w:rStyle w:val="AboutandContactBody"/>
          <w:rFonts w:asciiTheme="majorHAnsi" w:hAnsiTheme="majorHAnsi" w:cstheme="majorHAnsi"/>
          <w:sz w:val="20"/>
          <w:szCs w:val="28"/>
          <w:lang w:eastAsia="zh-TW"/>
        </w:rPr>
        <w:t>DAX</w:t>
      </w:r>
      <w:r w:rsidRPr="007B24F3">
        <w:rPr>
          <w:rStyle w:val="AboutandContactBody"/>
          <w:rFonts w:asciiTheme="majorHAnsi" w:hAnsiTheme="majorHAnsi" w:cstheme="majorHAnsi" w:hint="eastAsia"/>
          <w:sz w:val="20"/>
          <w:szCs w:val="28"/>
          <w:lang w:eastAsia="zh-TW"/>
        </w:rPr>
        <w:t>指數。可持續發展在漢高有著悠久的傳統，公司確立有明晰的可持續發展戰略和具體目標。成立于</w:t>
      </w:r>
      <w:r w:rsidRPr="007B24F3">
        <w:rPr>
          <w:rStyle w:val="AboutandContactBody"/>
          <w:rFonts w:asciiTheme="majorHAnsi" w:hAnsiTheme="majorHAnsi" w:cstheme="majorHAnsi"/>
          <w:sz w:val="20"/>
          <w:szCs w:val="28"/>
          <w:lang w:eastAsia="zh-TW"/>
        </w:rPr>
        <w:t>1876</w:t>
      </w:r>
      <w:r w:rsidRPr="007B24F3">
        <w:rPr>
          <w:rStyle w:val="AboutandContactBody"/>
          <w:rFonts w:asciiTheme="majorHAnsi" w:hAnsiTheme="majorHAnsi" w:cstheme="majorHAnsi" w:hint="eastAsia"/>
          <w:sz w:val="20"/>
          <w:szCs w:val="28"/>
          <w:lang w:eastAsia="zh-TW"/>
        </w:rPr>
        <w:t>年，漢高如今在全球範圍內約有</w:t>
      </w:r>
      <w:r w:rsidRPr="007B24F3">
        <w:rPr>
          <w:rStyle w:val="AboutandContactBody"/>
          <w:rFonts w:asciiTheme="majorHAnsi" w:hAnsiTheme="majorHAnsi" w:cstheme="majorHAnsi"/>
          <w:sz w:val="20"/>
          <w:szCs w:val="28"/>
          <w:lang w:eastAsia="zh-TW"/>
        </w:rPr>
        <w:t>4.</w:t>
      </w:r>
      <w:r>
        <w:rPr>
          <w:rStyle w:val="AboutandContactBody"/>
          <w:rFonts w:asciiTheme="majorHAnsi" w:hAnsiTheme="majorHAnsi" w:cstheme="majorHAnsi"/>
          <w:sz w:val="20"/>
          <w:szCs w:val="28"/>
          <w:lang w:eastAsia="zh-TW"/>
        </w:rPr>
        <w:t>7</w:t>
      </w:r>
      <w:r w:rsidRPr="007B24F3">
        <w:rPr>
          <w:rStyle w:val="AboutandContactBody"/>
          <w:rFonts w:asciiTheme="majorHAnsi" w:hAnsiTheme="majorHAnsi" w:cstheme="majorHAnsi" w:hint="eastAsia"/>
          <w:sz w:val="20"/>
          <w:szCs w:val="28"/>
          <w:lang w:eastAsia="zh-TW"/>
        </w:rPr>
        <w:t>萬名員工，在強大的企業文化、</w:t>
      </w:r>
      <w:proofErr w:type="gramStart"/>
      <w:r w:rsidRPr="007B24F3">
        <w:rPr>
          <w:rStyle w:val="AboutandContactBody"/>
          <w:rFonts w:asciiTheme="majorHAnsi" w:hAnsiTheme="majorHAnsi" w:cstheme="majorHAnsi" w:hint="eastAsia"/>
          <w:sz w:val="20"/>
          <w:szCs w:val="28"/>
          <w:lang w:eastAsia="zh-TW"/>
        </w:rPr>
        <w:t>共同的價值觀與企業目標</w:t>
      </w:r>
      <w:r w:rsidRPr="007B24F3">
        <w:rPr>
          <w:rStyle w:val="AboutandContactBody"/>
          <w:rFonts w:asciiTheme="majorHAnsi" w:hAnsiTheme="majorHAnsi" w:cstheme="majorHAnsi"/>
          <w:sz w:val="20"/>
          <w:szCs w:val="28"/>
          <w:lang w:eastAsia="zh-TW"/>
        </w:rPr>
        <w:t>“</w:t>
      </w:r>
      <w:proofErr w:type="gramEnd"/>
      <w:r w:rsidRPr="007B24F3">
        <w:rPr>
          <w:rStyle w:val="AboutandContactBody"/>
          <w:rFonts w:asciiTheme="majorHAnsi" w:hAnsiTheme="majorHAnsi" w:cstheme="majorHAnsi"/>
          <w:sz w:val="20"/>
          <w:szCs w:val="28"/>
          <w:lang w:eastAsia="zh-TW"/>
        </w:rPr>
        <w:t xml:space="preserve">Pioneers at heart for the good of </w:t>
      </w:r>
      <w:proofErr w:type="gramStart"/>
      <w:r w:rsidRPr="007B24F3">
        <w:rPr>
          <w:rStyle w:val="AboutandContactBody"/>
          <w:rFonts w:asciiTheme="majorHAnsi" w:hAnsiTheme="majorHAnsi" w:cstheme="majorHAnsi"/>
          <w:sz w:val="20"/>
          <w:szCs w:val="28"/>
          <w:lang w:eastAsia="zh-TW"/>
        </w:rPr>
        <w:t>generations”</w:t>
      </w:r>
      <w:r w:rsidRPr="007B24F3">
        <w:rPr>
          <w:rStyle w:val="AboutandContactBody"/>
          <w:rFonts w:asciiTheme="majorHAnsi" w:hAnsiTheme="majorHAnsi" w:cstheme="majorHAnsi" w:hint="eastAsia"/>
          <w:sz w:val="20"/>
          <w:szCs w:val="28"/>
          <w:lang w:eastAsia="zh-TW"/>
        </w:rPr>
        <w:t>的引領下</w:t>
      </w:r>
      <w:proofErr w:type="gramEnd"/>
      <w:r w:rsidRPr="007B24F3">
        <w:rPr>
          <w:rStyle w:val="AboutandContactBody"/>
          <w:rFonts w:asciiTheme="majorHAnsi" w:hAnsiTheme="majorHAnsi" w:cstheme="majorHAnsi" w:hint="eastAsia"/>
          <w:sz w:val="20"/>
          <w:szCs w:val="28"/>
          <w:lang w:eastAsia="zh-TW"/>
        </w:rPr>
        <w:t>，融合為一支多元化的團隊。更多資訊，敬請訪問</w:t>
      </w:r>
      <w:r w:rsidRPr="007B24F3">
        <w:rPr>
          <w:rStyle w:val="AboutandContactBody"/>
          <w:rFonts w:asciiTheme="majorHAnsi" w:hAnsiTheme="majorHAnsi" w:cstheme="majorHAnsi"/>
          <w:sz w:val="20"/>
          <w:szCs w:val="28"/>
          <w:lang w:eastAsia="zh-TW"/>
        </w:rPr>
        <w:t xml:space="preserve"> </w:t>
      </w:r>
      <w:hyperlink r:id="rId13" w:history="1">
        <w:r w:rsidRPr="00865C64">
          <w:rPr>
            <w:rStyle w:val="Hyperlink"/>
            <w:rFonts w:asciiTheme="majorHAnsi" w:hAnsiTheme="majorHAnsi" w:cstheme="majorHAnsi"/>
            <w:sz w:val="20"/>
            <w:szCs w:val="20"/>
            <w:lang w:eastAsia="zh-TW"/>
          </w:rPr>
          <w:t>www.henkel.cn</w:t>
        </w:r>
      </w:hyperlink>
      <w:r>
        <w:rPr>
          <w:rFonts w:asciiTheme="majorHAnsi" w:hAnsiTheme="majorHAnsi" w:cstheme="majorHAnsi" w:hint="eastAsia"/>
          <w:sz w:val="20"/>
          <w:szCs w:val="20"/>
          <w:lang w:eastAsia="zh-CN"/>
        </w:rPr>
        <w:t xml:space="preserve"> </w:t>
      </w:r>
      <w:r w:rsidRPr="007B24F3">
        <w:rPr>
          <w:rStyle w:val="AboutandContactBody"/>
          <w:rFonts w:asciiTheme="majorHAnsi" w:hAnsiTheme="majorHAnsi" w:cstheme="majorHAnsi"/>
          <w:sz w:val="20"/>
          <w:szCs w:val="28"/>
          <w:lang w:eastAsia="zh-CN"/>
        </w:rPr>
        <w:t xml:space="preserve"> </w:t>
      </w:r>
    </w:p>
    <w:p w14:paraId="59F0350D" w14:textId="77777777" w:rsidR="008A40F1" w:rsidRPr="00DC3878" w:rsidRDefault="008A40F1" w:rsidP="008A40F1">
      <w:pPr>
        <w:pStyle w:val="He01Flietext"/>
        <w:rPr>
          <w:rStyle w:val="AboutandContactBody"/>
          <w:rFonts w:eastAsiaTheme="minorEastAsia" w:cs="Times New Roman"/>
          <w:sz w:val="14"/>
          <w:szCs w:val="14"/>
          <w:lang w:val="en-US" w:eastAsia="zh-CN"/>
        </w:rPr>
      </w:pPr>
    </w:p>
    <w:p w14:paraId="6F3009BD" w14:textId="77777777" w:rsidR="008A40F1" w:rsidRPr="006E00F4" w:rsidRDefault="008A40F1" w:rsidP="008A40F1">
      <w:pPr>
        <w:spacing w:line="240" w:lineRule="auto"/>
        <w:jc w:val="left"/>
        <w:rPr>
          <w:rStyle w:val="AboutandContactBody"/>
          <w:sz w:val="14"/>
          <w:szCs w:val="14"/>
          <w:lang w:eastAsia="zh-CN"/>
        </w:rPr>
      </w:pPr>
    </w:p>
    <w:p w14:paraId="20F28595" w14:textId="77777777" w:rsidR="008A40F1" w:rsidRPr="006E00F4" w:rsidRDefault="008A40F1" w:rsidP="008A40F1">
      <w:pPr>
        <w:tabs>
          <w:tab w:val="left" w:pos="1080"/>
          <w:tab w:val="left" w:pos="4500"/>
        </w:tabs>
        <w:spacing w:line="264" w:lineRule="auto"/>
        <w:rPr>
          <w:rFonts w:asciiTheme="majorHAnsi" w:eastAsia="PMingLiU" w:hAnsiTheme="majorHAnsi" w:cs="Calibri Light"/>
          <w:b/>
          <w:sz w:val="18"/>
          <w:szCs w:val="18"/>
          <w:lang w:eastAsia="zh-CN"/>
        </w:rPr>
      </w:pPr>
    </w:p>
    <w:p w14:paraId="12FB6A97" w14:textId="30821CB5" w:rsidR="008A40F1" w:rsidRPr="00306F21" w:rsidRDefault="008A40F1" w:rsidP="008A40F1">
      <w:pPr>
        <w:pStyle w:val="He01Flietext"/>
        <w:rPr>
          <w:rFonts w:ascii="微软雅黑" w:eastAsia="微软雅黑" w:hAnsi="微软雅黑" w:cs="微软雅黑"/>
          <w:sz w:val="14"/>
          <w:lang w:eastAsia="zh-CN"/>
        </w:rPr>
      </w:pPr>
      <w:r w:rsidRPr="00620AC6">
        <w:rPr>
          <w:rFonts w:ascii="微软雅黑" w:eastAsia="微软雅黑" w:hAnsi="微软雅黑" w:cs="微软雅黑" w:hint="eastAsia"/>
          <w:sz w:val="14"/>
          <w:lang w:eastAsia="zh-TW"/>
        </w:rPr>
        <w:t>本檔所含提及未來業務發展、財務業績及其他與漢高未來相關的事件或發展的聲明，由此構成前瞻性聲明。前瞻性表述的特點是使用諸如期望、打算、計畫、預測、假設、相信、預計、預期、預見和類似的表述。這些表述乃漢高股份及兩合公司管理層基於現有的預測和假設。該等表述在任何情況下都不應該被理解成保證該等預期的準確無誤。漢高股份及兩合公司及其關聯公司實際實現的未來業績和結果取決於一系列的風險和不確定性，因此可能與前瞻性表述有明顯差別。很多因素，例如未來的經濟環境和競爭者行為以及市場上其他參與者的行為，均在漢高的控制之外，無法準確預計。漢高不計畫也不承諾更新前瞻性表述。</w:t>
      </w:r>
    </w:p>
    <w:p w14:paraId="5234E4F1" w14:textId="323E6A61" w:rsidR="008A40F1" w:rsidRPr="00306F21" w:rsidRDefault="008A40F1" w:rsidP="008A40F1">
      <w:pPr>
        <w:pStyle w:val="He01Flietext"/>
        <w:rPr>
          <w:rFonts w:ascii="微软雅黑" w:eastAsia="微软雅黑" w:hAnsi="微软雅黑" w:cs="微软雅黑"/>
          <w:sz w:val="14"/>
          <w:lang w:eastAsia="zh-CN"/>
        </w:rPr>
      </w:pPr>
      <w:r w:rsidRPr="00620AC6">
        <w:rPr>
          <w:rFonts w:ascii="微软雅黑" w:eastAsia="微软雅黑" w:hAnsi="微软雅黑" w:cs="微软雅黑" w:hint="eastAsia"/>
          <w:sz w:val="14"/>
          <w:lang w:eastAsia="zh-TW"/>
        </w:rPr>
        <w:t>本檔在適用的財務報告框架中未明確界定的補充性財務計量指標，這些指標是或可能是替代性財務表現計量（非公認會計原則）。這些補充財務計量指標是根據綜合財務報表中適用的財務報告框架提出的，不應被孤立看待，也不應被視為漢高淨資產、財務狀況或運營結果的替代計量指標。其他公司對於報告或描述類似專案的替代性財務計量指標，可能使用不同的計算方法。</w:t>
      </w:r>
    </w:p>
    <w:p w14:paraId="523FD355" w14:textId="20C46FC7" w:rsidR="008A40F1" w:rsidRPr="00306F21" w:rsidRDefault="008A40F1" w:rsidP="008A40F1">
      <w:pPr>
        <w:pStyle w:val="He01Flietext"/>
        <w:rPr>
          <w:rFonts w:ascii="微软雅黑" w:eastAsia="微软雅黑" w:hAnsi="微软雅黑" w:cs="微软雅黑"/>
          <w:sz w:val="14"/>
          <w:lang w:eastAsia="zh-CN"/>
        </w:rPr>
      </w:pPr>
      <w:r w:rsidRPr="00306F21">
        <w:rPr>
          <w:rFonts w:ascii="微软雅黑" w:eastAsia="微软雅黑" w:hAnsi="微软雅黑" w:cs="微软雅黑" w:hint="eastAsia"/>
          <w:sz w:val="14"/>
          <w:lang w:eastAsia="zh-TW"/>
        </w:rPr>
        <w:t>本檔僅供參考，並不構成任何對證券的投資建議、出售要約或購買要約。</w:t>
      </w:r>
    </w:p>
    <w:p w14:paraId="759B3F4A" w14:textId="77777777" w:rsidR="008A40F1" w:rsidRDefault="008A40F1" w:rsidP="008A40F1">
      <w:pPr>
        <w:spacing w:line="240" w:lineRule="auto"/>
        <w:jc w:val="left"/>
        <w:rPr>
          <w:sz w:val="14"/>
          <w:lang w:eastAsia="zh-CN"/>
        </w:rPr>
      </w:pPr>
    </w:p>
    <w:p w14:paraId="5FD7EACC" w14:textId="77777777" w:rsidR="008A40F1" w:rsidRDefault="008A40F1" w:rsidP="008A40F1">
      <w:pPr>
        <w:spacing w:line="240" w:lineRule="auto"/>
        <w:jc w:val="left"/>
        <w:rPr>
          <w:sz w:val="14"/>
          <w:lang w:eastAsia="zh-CN"/>
        </w:rPr>
      </w:pPr>
    </w:p>
    <w:p w14:paraId="79578A1E" w14:textId="5D4ECF4B" w:rsidR="008A40F1" w:rsidRPr="00596CED" w:rsidRDefault="008A40F1" w:rsidP="008A40F1">
      <w:pPr>
        <w:tabs>
          <w:tab w:val="left" w:pos="1080"/>
          <w:tab w:val="left" w:pos="4500"/>
        </w:tabs>
        <w:spacing w:line="264" w:lineRule="auto"/>
        <w:rPr>
          <w:rStyle w:val="AboutandContactBody"/>
          <w:rFonts w:cs="Segoe UI"/>
          <w:b/>
          <w:bCs/>
          <w:szCs w:val="18"/>
        </w:rPr>
      </w:pPr>
      <w:r w:rsidRPr="00596CED">
        <w:rPr>
          <w:rStyle w:val="AboutandContactBody"/>
          <w:rFonts w:cs="Segoe UI" w:hint="eastAsia"/>
          <w:b/>
          <w:bCs/>
          <w:szCs w:val="18"/>
          <w:lang w:eastAsia="zh-TW"/>
        </w:rPr>
        <w:t>媒體連絡人</w:t>
      </w:r>
    </w:p>
    <w:p w14:paraId="2E5AA453" w14:textId="77777777" w:rsidR="008A40F1" w:rsidRPr="00596CED" w:rsidRDefault="008A40F1" w:rsidP="008A40F1">
      <w:pPr>
        <w:tabs>
          <w:tab w:val="left" w:pos="1080"/>
          <w:tab w:val="left" w:pos="4500"/>
        </w:tabs>
        <w:spacing w:line="264" w:lineRule="auto"/>
        <w:rPr>
          <w:rStyle w:val="AboutandContactBody"/>
          <w:rFonts w:cs="Segoe UI"/>
          <w:b/>
          <w:szCs w:val="18"/>
        </w:rPr>
      </w:pPr>
    </w:p>
    <w:p w14:paraId="665ECEB4" w14:textId="5B7A579F" w:rsidR="008A40F1" w:rsidRPr="00596CED" w:rsidRDefault="008A40F1" w:rsidP="008A40F1">
      <w:pPr>
        <w:tabs>
          <w:tab w:val="left" w:pos="1080"/>
          <w:tab w:val="left" w:pos="4500"/>
        </w:tabs>
        <w:spacing w:line="264" w:lineRule="auto"/>
        <w:rPr>
          <w:rStyle w:val="AboutandContactBody"/>
          <w:rFonts w:cs="Segoe UI"/>
          <w:bCs/>
          <w:szCs w:val="18"/>
        </w:rPr>
      </w:pPr>
      <w:r w:rsidRPr="006A390A">
        <w:rPr>
          <w:rFonts w:cs="Arial"/>
          <w:b/>
          <w:sz w:val="20"/>
          <w:lang w:val="en-CA" w:eastAsia="zh-TW"/>
        </w:rPr>
        <w:t>Louise Cheung</w:t>
      </w:r>
      <w:r w:rsidR="00D3446F">
        <w:rPr>
          <w:rFonts w:cs="Arial" w:hint="eastAsia"/>
          <w:b/>
          <w:sz w:val="20"/>
          <w:lang w:val="en-CA" w:eastAsia="zh-CN"/>
        </w:rPr>
        <w:t xml:space="preserve"> </w:t>
      </w:r>
      <w:r w:rsidR="00D3446F">
        <w:rPr>
          <w:rFonts w:cs="Arial" w:hint="eastAsia"/>
          <w:b/>
          <w:sz w:val="20"/>
          <w:lang w:val="en-CA" w:eastAsia="zh-TW"/>
        </w:rPr>
        <w:t>張曉芸</w:t>
      </w:r>
      <w:r w:rsidRPr="00596CED">
        <w:rPr>
          <w:rStyle w:val="AboutandContactBody"/>
          <w:rFonts w:cs="Segoe UI"/>
          <w:szCs w:val="18"/>
          <w:lang w:eastAsia="zh-TW"/>
        </w:rPr>
        <w:tab/>
      </w:r>
    </w:p>
    <w:p w14:paraId="5E2CC554" w14:textId="188D473A" w:rsidR="008A40F1" w:rsidRPr="00596CED" w:rsidRDefault="008A40F1" w:rsidP="008A40F1">
      <w:pPr>
        <w:tabs>
          <w:tab w:val="left" w:pos="709"/>
          <w:tab w:val="left" w:pos="4500"/>
          <w:tab w:val="left" w:pos="5245"/>
        </w:tabs>
        <w:spacing w:line="264" w:lineRule="auto"/>
        <w:rPr>
          <w:rStyle w:val="AboutandContactBody"/>
          <w:rFonts w:cs="Segoe UI"/>
          <w:szCs w:val="18"/>
        </w:rPr>
      </w:pPr>
      <w:r w:rsidRPr="00596CED">
        <w:rPr>
          <w:rStyle w:val="AboutandContactBody"/>
          <w:rFonts w:cs="Segoe UI" w:hint="eastAsia"/>
          <w:szCs w:val="18"/>
          <w:lang w:eastAsia="zh-TW"/>
        </w:rPr>
        <w:t>電話：</w:t>
      </w:r>
      <w:r w:rsidRPr="00596CED">
        <w:rPr>
          <w:rStyle w:val="AboutandContactBody"/>
          <w:rFonts w:cs="Segoe UI"/>
          <w:szCs w:val="18"/>
          <w:lang w:eastAsia="zh-TW"/>
        </w:rPr>
        <w:t>+86</w:t>
      </w:r>
      <w:r>
        <w:rPr>
          <w:rStyle w:val="AboutandContactBody"/>
          <w:rFonts w:cs="Segoe UI"/>
          <w:szCs w:val="18"/>
          <w:lang w:eastAsia="zh-TW"/>
        </w:rPr>
        <w:t xml:space="preserve"> </w:t>
      </w:r>
      <w:r w:rsidRPr="00596CED">
        <w:rPr>
          <w:rStyle w:val="AboutandContactBody"/>
          <w:rFonts w:cs="Segoe UI"/>
          <w:szCs w:val="18"/>
          <w:lang w:eastAsia="zh-TW"/>
        </w:rPr>
        <w:t>21</w:t>
      </w:r>
      <w:r>
        <w:rPr>
          <w:rStyle w:val="AboutandContactBody"/>
          <w:rFonts w:cs="Segoe UI"/>
          <w:szCs w:val="18"/>
          <w:lang w:eastAsia="zh-TW"/>
        </w:rPr>
        <w:t xml:space="preserve"> </w:t>
      </w:r>
      <w:r w:rsidRPr="00596CED">
        <w:rPr>
          <w:rStyle w:val="AboutandContactBody"/>
          <w:rFonts w:cs="Segoe UI"/>
          <w:szCs w:val="18"/>
          <w:lang w:eastAsia="zh-TW"/>
        </w:rPr>
        <w:t>2891</w:t>
      </w:r>
      <w:r>
        <w:rPr>
          <w:rStyle w:val="AboutandContactBody"/>
          <w:rFonts w:cs="Segoe UI"/>
          <w:szCs w:val="18"/>
          <w:lang w:eastAsia="zh-TW"/>
        </w:rPr>
        <w:t xml:space="preserve"> </w:t>
      </w:r>
      <w:r w:rsidRPr="00596CED">
        <w:rPr>
          <w:rStyle w:val="AboutandContactBody"/>
          <w:rFonts w:cs="Segoe UI"/>
          <w:szCs w:val="18"/>
          <w:lang w:eastAsia="zh-TW"/>
        </w:rPr>
        <w:t>5152</w:t>
      </w:r>
      <w:r w:rsidRPr="00596CED">
        <w:rPr>
          <w:rStyle w:val="AboutandContactBody"/>
          <w:rFonts w:cs="Segoe UI"/>
          <w:szCs w:val="18"/>
          <w:lang w:eastAsia="zh-TW"/>
        </w:rPr>
        <w:tab/>
      </w:r>
    </w:p>
    <w:p w14:paraId="769AFD9B" w14:textId="61513029" w:rsidR="008A40F1" w:rsidRDefault="008A40F1" w:rsidP="008A40F1">
      <w:pPr>
        <w:spacing w:line="240" w:lineRule="auto"/>
        <w:jc w:val="left"/>
        <w:rPr>
          <w:rFonts w:cs="Segoe UI"/>
          <w:sz w:val="18"/>
          <w:szCs w:val="18"/>
        </w:rPr>
      </w:pPr>
      <w:r w:rsidRPr="00596CED">
        <w:rPr>
          <w:rStyle w:val="AboutandContactBody"/>
          <w:rFonts w:cs="Segoe UI" w:hint="eastAsia"/>
          <w:szCs w:val="18"/>
          <w:lang w:eastAsia="zh-TW"/>
        </w:rPr>
        <w:t>郵箱：</w:t>
      </w:r>
      <w:hyperlink r:id="rId14" w:history="1">
        <w:r w:rsidRPr="00E5636F">
          <w:rPr>
            <w:rStyle w:val="Hyperlink"/>
            <w:rFonts w:cs="Segoe UI"/>
            <w:lang w:eastAsia="zh-TW"/>
          </w:rPr>
          <w:t>louise.cheung@henkel.com</w:t>
        </w:r>
      </w:hyperlink>
    </w:p>
    <w:p w14:paraId="33001833" w14:textId="77777777" w:rsidR="008A40F1" w:rsidRDefault="008A40F1" w:rsidP="008A40F1">
      <w:pPr>
        <w:spacing w:line="240" w:lineRule="auto"/>
        <w:jc w:val="left"/>
        <w:rPr>
          <w:rFonts w:cs="Segoe UI"/>
          <w:sz w:val="18"/>
          <w:szCs w:val="18"/>
        </w:rPr>
      </w:pPr>
    </w:p>
    <w:p w14:paraId="25AD1DCB" w14:textId="7720711B" w:rsidR="008A40F1" w:rsidRPr="00D014F1" w:rsidRDefault="008A40F1" w:rsidP="008A40F1">
      <w:pPr>
        <w:tabs>
          <w:tab w:val="left" w:pos="851"/>
          <w:tab w:val="left" w:pos="4536"/>
          <w:tab w:val="left" w:pos="4962"/>
          <w:tab w:val="left" w:pos="5387"/>
        </w:tabs>
        <w:spacing w:line="360" w:lineRule="auto"/>
        <w:rPr>
          <w:rFonts w:cs="Arial"/>
          <w:b/>
          <w:sz w:val="20"/>
          <w:szCs w:val="18"/>
        </w:rPr>
      </w:pPr>
      <w:r w:rsidRPr="00D014F1">
        <w:rPr>
          <w:rFonts w:cs="Arial"/>
          <w:b/>
          <w:sz w:val="20"/>
          <w:szCs w:val="18"/>
          <w:lang w:val="en-CA" w:eastAsia="zh-TW"/>
        </w:rPr>
        <w:t>Liki Qin</w:t>
      </w:r>
      <w:r w:rsidR="00D3446F" w:rsidRPr="00D014F1">
        <w:rPr>
          <w:rFonts w:cs="Arial" w:hint="eastAsia"/>
          <w:b/>
          <w:sz w:val="20"/>
          <w:szCs w:val="18"/>
          <w:lang w:val="en-CA" w:eastAsia="zh-TW"/>
        </w:rPr>
        <w:t>秦莉佳</w:t>
      </w:r>
      <w:r w:rsidRPr="00D014F1">
        <w:rPr>
          <w:rFonts w:cs="Arial"/>
          <w:b/>
          <w:sz w:val="20"/>
          <w:szCs w:val="18"/>
          <w:lang w:eastAsia="zh-TW"/>
        </w:rPr>
        <w:tab/>
      </w:r>
    </w:p>
    <w:p w14:paraId="7D5CB03C" w14:textId="09801001" w:rsidR="008A40F1" w:rsidRPr="00D014F1" w:rsidRDefault="008A40F1" w:rsidP="008A40F1">
      <w:pPr>
        <w:tabs>
          <w:tab w:val="left" w:pos="709"/>
          <w:tab w:val="left" w:pos="4500"/>
          <w:tab w:val="left" w:pos="5245"/>
        </w:tabs>
        <w:spacing w:line="264" w:lineRule="auto"/>
        <w:rPr>
          <w:rFonts w:cs="Arial"/>
          <w:color w:val="000000"/>
          <w:sz w:val="20"/>
          <w:szCs w:val="18"/>
          <w:lang w:eastAsia="de-DE"/>
        </w:rPr>
      </w:pPr>
      <w:r w:rsidRPr="006A390A">
        <w:rPr>
          <w:rStyle w:val="AboutandContactBody"/>
          <w:rFonts w:cs="Segoe UI" w:hint="eastAsia"/>
          <w:lang w:eastAsia="zh-TW"/>
        </w:rPr>
        <w:t>電話</w:t>
      </w:r>
      <w:r w:rsidRPr="006A390A">
        <w:rPr>
          <w:rStyle w:val="AboutandContactBody"/>
          <w:rFonts w:cs="Segoe UI"/>
          <w:lang w:eastAsia="zh-TW"/>
        </w:rPr>
        <w:t>: +86 21 2891 4386</w:t>
      </w:r>
      <w:r w:rsidRPr="00D014F1">
        <w:rPr>
          <w:rFonts w:cs="Arial"/>
          <w:sz w:val="20"/>
          <w:szCs w:val="18"/>
          <w:lang w:eastAsia="zh-TW"/>
        </w:rPr>
        <w:tab/>
      </w:r>
    </w:p>
    <w:p w14:paraId="67E1F68A" w14:textId="075B47D8" w:rsidR="008A40F1" w:rsidRPr="00A12BF7" w:rsidRDefault="008A40F1" w:rsidP="008A40F1">
      <w:pPr>
        <w:tabs>
          <w:tab w:val="left" w:pos="1080"/>
          <w:tab w:val="left" w:pos="4500"/>
        </w:tabs>
        <w:rPr>
          <w:rFonts w:cs="Arial"/>
          <w:sz w:val="18"/>
          <w:szCs w:val="18"/>
          <w:lang w:val="en-CA"/>
        </w:rPr>
      </w:pPr>
      <w:r w:rsidRPr="00A12BF7">
        <w:rPr>
          <w:rFonts w:cs="Arial" w:hint="eastAsia"/>
          <w:sz w:val="18"/>
          <w:szCs w:val="18"/>
          <w:lang w:eastAsia="zh-TW"/>
        </w:rPr>
        <w:t>郵件</w:t>
      </w:r>
      <w:r w:rsidRPr="00A12BF7">
        <w:rPr>
          <w:rFonts w:cs="Arial"/>
          <w:sz w:val="18"/>
          <w:szCs w:val="18"/>
          <w:lang w:eastAsia="zh-TW"/>
        </w:rPr>
        <w:t xml:space="preserve">: </w:t>
      </w:r>
      <w:hyperlink r:id="rId15" w:history="1">
        <w:r w:rsidRPr="00A12BF7">
          <w:rPr>
            <w:rStyle w:val="Hyperlink"/>
            <w:rFonts w:cs="Arial"/>
            <w:lang w:val="en-CA" w:eastAsia="zh-TW"/>
          </w:rPr>
          <w:t>liki.qin@henkel.com</w:t>
        </w:r>
      </w:hyperlink>
    </w:p>
    <w:p w14:paraId="58C0663F" w14:textId="77777777" w:rsidR="00C42CF4" w:rsidRDefault="00C42CF4" w:rsidP="00447D97">
      <w:pPr>
        <w:rPr>
          <w:rStyle w:val="Hyperlink"/>
          <w:rFonts w:hint="eastAsia"/>
          <w:color w:val="auto"/>
          <w:sz w:val="14"/>
          <w:szCs w:val="14"/>
          <w:u w:val="none"/>
          <w:lang w:eastAsia="zh-CN"/>
        </w:rPr>
      </w:pPr>
    </w:p>
    <w:sectPr w:rsidR="00C42CF4">
      <w:headerReference w:type="even" r:id="rId16"/>
      <w:footerReference w:type="default" r:id="rId17"/>
      <w:headerReference w:type="first" r:id="rId18"/>
      <w:footerReference w:type="first" r:id="rId19"/>
      <w:pgSz w:w="11907" w:h="16840"/>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19FE" w14:textId="77777777" w:rsidR="00BC0F4D" w:rsidRDefault="00BC0F4D">
      <w:pPr>
        <w:spacing w:line="240" w:lineRule="auto"/>
      </w:pPr>
      <w:r>
        <w:separator/>
      </w:r>
    </w:p>
  </w:endnote>
  <w:endnote w:type="continuationSeparator" w:id="0">
    <w:p w14:paraId="3EADC3F9" w14:textId="77777777" w:rsidR="00BC0F4D" w:rsidRDefault="00BC0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E621" w14:textId="77777777" w:rsidR="00975446" w:rsidRDefault="00E62134">
    <w:pPr>
      <w:pStyle w:val="Footer"/>
      <w:tabs>
        <w:tab w:val="clear" w:pos="7083"/>
        <w:tab w:val="clear" w:pos="8640"/>
        <w:tab w:val="right" w:pos="9071"/>
      </w:tabs>
      <w:jc w:val="both"/>
    </w:pPr>
    <w:r>
      <w:t>Henkel AG &amp; Co. KGaA</w:t>
    </w:r>
    <w:r>
      <w:tab/>
      <w:t xml:space="preserve">Page </w:t>
    </w:r>
    <w:r>
      <w:fldChar w:fldCharType="begin"/>
    </w:r>
    <w:r>
      <w:instrText xml:space="preserve"> PAGE  \* Arabic  \* MERGEFORMAT </w:instrText>
    </w:r>
    <w:r>
      <w:fldChar w:fldCharType="separate"/>
    </w:r>
    <w:r>
      <w:t>2</w:t>
    </w:r>
    <w:r>
      <w:fldChar w:fldCharType="end"/>
    </w:r>
    <w:r>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C45A" w14:textId="77777777" w:rsidR="00975446" w:rsidRDefault="00E62134">
    <w:pPr>
      <w:pStyle w:val="Footer"/>
    </w:pPr>
    <w:r>
      <w:rPr>
        <w:noProof/>
      </w:rPr>
      <w:drawing>
        <wp:anchor distT="0" distB="0" distL="114300" distR="114300" simplePos="0" relativeHeight="251658752" behindDoc="0" locked="0" layoutInCell="1" allowOverlap="1" wp14:anchorId="5C51258E" wp14:editId="301AA78F">
          <wp:simplePos x="0" y="0"/>
          <wp:positionH relativeFrom="column">
            <wp:posOffset>0</wp:posOffset>
          </wp:positionH>
          <wp:positionV relativeFrom="paragraph">
            <wp:posOffset>-365760</wp:posOffset>
          </wp:positionV>
          <wp:extent cx="4967605" cy="407670"/>
          <wp:effectExtent l="0" t="0" r="5080" b="0"/>
          <wp:wrapNone/>
          <wp:docPr id="73404956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49568" name="Grafik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67544" cy="407963"/>
                  </a:xfrm>
                  <a:prstGeom prst="rect">
                    <a:avLst/>
                  </a:prstGeom>
                </pic:spPr>
              </pic:pic>
            </a:graphicData>
          </a:graphic>
        </wp:anchor>
      </w:drawing>
    </w:r>
    <w:r>
      <w:t xml:space="preserve">Page </w:t>
    </w:r>
    <w:r>
      <w:fldChar w:fldCharType="begin"/>
    </w:r>
    <w:r>
      <w:instrText xml:space="preserve"> PAGE  \* Arabic  \* MERGEFORMAT </w:instrText>
    </w:r>
    <w:r>
      <w:fldChar w:fldCharType="separate"/>
    </w:r>
    <w:r>
      <w:t>1</w:t>
    </w:r>
    <w:r>
      <w:fldChar w:fldCharType="end"/>
    </w:r>
    <w:r>
      <w:t>/</w:t>
    </w:r>
    <w:fldSimple w:instr=" NUMPAGES  \* Arabic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2C11" w14:textId="77777777" w:rsidR="00BC0F4D" w:rsidRDefault="00BC0F4D">
      <w:r>
        <w:separator/>
      </w:r>
    </w:p>
  </w:footnote>
  <w:footnote w:type="continuationSeparator" w:id="0">
    <w:p w14:paraId="755C4C9F" w14:textId="77777777" w:rsidR="00BC0F4D" w:rsidRDefault="00BC0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7C6D" w14:textId="77777777" w:rsidR="00975446" w:rsidRDefault="00975446">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B9DB" w14:textId="63E77945" w:rsidR="00975446" w:rsidRDefault="00E62134">
    <w:pPr>
      <w:pStyle w:val="Header"/>
    </w:pPr>
    <w:r w:rsidRPr="00E62134">
      <w:rPr>
        <w:noProof/>
      </w:rPr>
      <w:drawing>
        <wp:anchor distT="0" distB="0" distL="114300" distR="114300" simplePos="0" relativeHeight="251659264" behindDoc="0" locked="1" layoutInCell="1" allowOverlap="1" wp14:anchorId="1896D68D" wp14:editId="6DB1A62D">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66876" name="Grafik 165306687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a:xfrm>
                    <a:off x="0" y="0"/>
                    <a:ext cx="1051560" cy="603250"/>
                  </a:xfrm>
                  <a:prstGeom prst="rect">
                    <a:avLst/>
                  </a:prstGeom>
                  <a:noFill/>
                </pic:spPr>
              </pic:pic>
            </a:graphicData>
          </a:graphic>
        </wp:anchor>
      </w:drawing>
    </w:r>
    <w:r w:rsidRPr="00E62134">
      <w:rPr>
        <w:noProof/>
      </w:rPr>
      <mc:AlternateContent>
        <mc:Choice Requires="wpg">
          <w:drawing>
            <wp:anchor distT="0" distB="0" distL="114300" distR="114300" simplePos="0" relativeHeight="251657216" behindDoc="0" locked="0" layoutInCell="1" allowOverlap="1" wp14:anchorId="53410D13" wp14:editId="019F6E25">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 xmlns:a="http://schemas.openxmlformats.org/drawingml/2006/main">
                <a:graphicData uri="http://schemas.microsoft.com/office/word/2010/wordprocessingGroup">
                  <wpg:wgp>
                    <wpg:cNvGrpSpPr/>
                    <wpg:grpSpPr>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wps:spPr>
                      <wps:bodyPr/>
                    </wps:wsp>
                    <wps:wsp>
                      <wps:cNvPr id="4" name="Line 18"/>
                      <wps:cNvCnPr>
                        <a:cxnSpLocks noChangeShapeType="1"/>
                      </wps:cNvCnPr>
                      <wps:spPr bwMode="auto">
                        <a:xfrm>
                          <a:off x="0" y="8420"/>
                          <a:ext cx="283" cy="0"/>
                        </a:xfrm>
                        <a:prstGeom prst="line">
                          <a:avLst/>
                        </a:prstGeom>
                        <a:noFill/>
                        <a:ln>
                          <a:noFill/>
                        </a:ln>
                      </wps:spPr>
                      <wps:bodyPr/>
                    </wps:wsp>
                    <wps:wsp>
                      <wps:cNvPr id="5" name="Line 19"/>
                      <wps:cNvCnPr>
                        <a:cxnSpLocks noChangeShapeType="1"/>
                      </wps:cNvCnPr>
                      <wps:spPr bwMode="auto">
                        <a:xfrm>
                          <a:off x="0" y="11907"/>
                          <a:ext cx="283" cy="0"/>
                        </a:xfrm>
                        <a:prstGeom prst="line">
                          <a:avLst/>
                        </a:prstGeom>
                        <a:noFill/>
                        <a:ln>
                          <a:noFill/>
                        </a:ln>
                      </wps:spPr>
                      <wps:bodyPr/>
                    </wps:wsp>
                  </wpg:wgp>
                </a:graphicData>
              </a:graphic>
            </wp:anchor>
          </w:drawing>
        </mc:Choice>
        <mc:Fallback>
          <w:pict>
            <v:group w14:anchorId="1D198C47" id="Group 16" o:spid="_x0000_s1026" style="position:absolute;margin-left:14.2pt;margin-top:297.7pt;width:14.15pt;height:297.65pt;z-index:251657216;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uA0wAAAANoAAAAPAAAAZHJzL2Rvd25yZXYueG1sRI/BasMw&#10;EETvhf6D2EJvjdwU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hNbgNMAAAADaAAAADwAAAAAA&#10;AAAAAAAAAAAHAgAAZHJzL2Rvd25yZXYueG1sUEsFBgAAAAADAAMAtwAAAPQCAAAAAA==&#10;" stroked="f"/>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3hAwAAAANoAAAAPAAAAZHJzL2Rvd25yZXYueG1sRI/BasMw&#10;EETvhf6D2EJvjdxQQu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Cz94QMAAAADaAAAADwAAAAAA&#10;AAAAAAAAAAAHAgAAZHJzL2Rvd25yZXYueG1sUEsFBgAAAAADAAMAtwAAAPQCAAAAAA==&#10;" stroked="f"/>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w10:wrap anchorx="page" anchory="page"/>
            </v:group>
          </w:pict>
        </mc:Fallback>
      </mc:AlternateContent>
    </w:r>
    <w:r w:rsidRPr="00E62134">
      <w:br/>
    </w:r>
    <w:r w:rsidRPr="00E62134">
      <w:rPr>
        <w:rFonts w:hint="eastAsia"/>
        <w:lang w:eastAsia="zh-CN"/>
      </w:rPr>
      <w:t>新闻稿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270"/>
    <w:multiLevelType w:val="multilevel"/>
    <w:tmpl w:val="07CF4270"/>
    <w:lvl w:ilvl="0">
      <w:start w:val="1"/>
      <w:numFmt w:val="bullet"/>
      <w:pStyle w:val="NumBullet"/>
      <w:lvlText w:val="•"/>
      <w:lvlJc w:val="left"/>
      <w:pPr>
        <w:tabs>
          <w:tab w:val="left" w:pos="567"/>
        </w:tabs>
        <w:ind w:left="567" w:hanging="567"/>
      </w:pPr>
      <w:rPr>
        <w:rFonts w:ascii="Times New Roman" w:hAnsi="Times New Roman" w:cs="Times New Roman" w:hint="default"/>
        <w:color w:val="E1000F"/>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F4B6752"/>
    <w:multiLevelType w:val="multilevel"/>
    <w:tmpl w:val="3F4B6752"/>
    <w:lvl w:ilvl="0">
      <w:start w:val="1"/>
      <w:numFmt w:val="bullet"/>
      <w:lvlText w:val=""/>
      <w:lvlJc w:val="left"/>
      <w:pPr>
        <w:ind w:left="360" w:hanging="360"/>
      </w:pPr>
      <w:rPr>
        <w:rFonts w:ascii="Wingdings" w:hAnsi="Wingdings" w:hint="default"/>
        <w:color w:val="E1000F"/>
        <w:sz w:val="24"/>
        <w:szCs w:val="24"/>
      </w:rPr>
    </w:lvl>
    <w:lvl w:ilvl="1">
      <w:numFmt w:val="bullet"/>
      <w:lvlText w:val="-"/>
      <w:lvlJc w:val="left"/>
      <w:pPr>
        <w:ind w:left="1080" w:hanging="360"/>
      </w:pPr>
      <w:rPr>
        <w:rFonts w:ascii="Arial" w:hAnsi="Arial" w:hint="default"/>
        <w:color w:val="FF000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674840958">
    <w:abstractNumId w:val="0"/>
  </w:num>
  <w:num w:numId="2" w16cid:durableId="164720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33451C"/>
    <w:rsid w:val="00000839"/>
    <w:rsid w:val="00002AA4"/>
    <w:rsid w:val="00005267"/>
    <w:rsid w:val="00005415"/>
    <w:rsid w:val="00006346"/>
    <w:rsid w:val="000069EB"/>
    <w:rsid w:val="00006A45"/>
    <w:rsid w:val="00007410"/>
    <w:rsid w:val="00011DDB"/>
    <w:rsid w:val="00013644"/>
    <w:rsid w:val="00014FC1"/>
    <w:rsid w:val="00016137"/>
    <w:rsid w:val="00017389"/>
    <w:rsid w:val="00020DC3"/>
    <w:rsid w:val="00021C67"/>
    <w:rsid w:val="00024147"/>
    <w:rsid w:val="00024483"/>
    <w:rsid w:val="000256A9"/>
    <w:rsid w:val="00026EEE"/>
    <w:rsid w:val="000301F0"/>
    <w:rsid w:val="00030557"/>
    <w:rsid w:val="00030701"/>
    <w:rsid w:val="00030F51"/>
    <w:rsid w:val="000343EB"/>
    <w:rsid w:val="00035A84"/>
    <w:rsid w:val="0003650E"/>
    <w:rsid w:val="00037396"/>
    <w:rsid w:val="000378F9"/>
    <w:rsid w:val="00037D04"/>
    <w:rsid w:val="00040816"/>
    <w:rsid w:val="00040CC9"/>
    <w:rsid w:val="00041F81"/>
    <w:rsid w:val="000425ED"/>
    <w:rsid w:val="00045CCB"/>
    <w:rsid w:val="000471D0"/>
    <w:rsid w:val="000510FC"/>
    <w:rsid w:val="00051555"/>
    <w:rsid w:val="000517E2"/>
    <w:rsid w:val="00051E86"/>
    <w:rsid w:val="00054AFE"/>
    <w:rsid w:val="0005544E"/>
    <w:rsid w:val="00055CE4"/>
    <w:rsid w:val="000575F9"/>
    <w:rsid w:val="000618FC"/>
    <w:rsid w:val="00062741"/>
    <w:rsid w:val="0006442E"/>
    <w:rsid w:val="00065466"/>
    <w:rsid w:val="000665F3"/>
    <w:rsid w:val="00066A9C"/>
    <w:rsid w:val="00067071"/>
    <w:rsid w:val="00067F67"/>
    <w:rsid w:val="00070652"/>
    <w:rsid w:val="00070757"/>
    <w:rsid w:val="00071284"/>
    <w:rsid w:val="0007275A"/>
    <w:rsid w:val="00073AED"/>
    <w:rsid w:val="000751A7"/>
    <w:rsid w:val="0007746E"/>
    <w:rsid w:val="00077AF9"/>
    <w:rsid w:val="00080D10"/>
    <w:rsid w:val="00081241"/>
    <w:rsid w:val="00081692"/>
    <w:rsid w:val="000818B6"/>
    <w:rsid w:val="00081EF8"/>
    <w:rsid w:val="00082417"/>
    <w:rsid w:val="0008357F"/>
    <w:rsid w:val="00083A35"/>
    <w:rsid w:val="00083A61"/>
    <w:rsid w:val="00083DAB"/>
    <w:rsid w:val="0008406B"/>
    <w:rsid w:val="00084918"/>
    <w:rsid w:val="00090DB6"/>
    <w:rsid w:val="00090E73"/>
    <w:rsid w:val="00091F11"/>
    <w:rsid w:val="00092511"/>
    <w:rsid w:val="00093255"/>
    <w:rsid w:val="00094235"/>
    <w:rsid w:val="00095E75"/>
    <w:rsid w:val="00096AD4"/>
    <w:rsid w:val="000979FE"/>
    <w:rsid w:val="000A0598"/>
    <w:rsid w:val="000A05E0"/>
    <w:rsid w:val="000A06FB"/>
    <w:rsid w:val="000A0B80"/>
    <w:rsid w:val="000A31D3"/>
    <w:rsid w:val="000A50CF"/>
    <w:rsid w:val="000A511E"/>
    <w:rsid w:val="000A64B3"/>
    <w:rsid w:val="000A6C25"/>
    <w:rsid w:val="000B005C"/>
    <w:rsid w:val="000B10DE"/>
    <w:rsid w:val="000B2E86"/>
    <w:rsid w:val="000B44C8"/>
    <w:rsid w:val="000B576C"/>
    <w:rsid w:val="000B5D2F"/>
    <w:rsid w:val="000B5E32"/>
    <w:rsid w:val="000B6244"/>
    <w:rsid w:val="000B695A"/>
    <w:rsid w:val="000B6EF1"/>
    <w:rsid w:val="000B72A8"/>
    <w:rsid w:val="000C0715"/>
    <w:rsid w:val="000C1254"/>
    <w:rsid w:val="000C210A"/>
    <w:rsid w:val="000C27E5"/>
    <w:rsid w:val="000C30D6"/>
    <w:rsid w:val="000C47D1"/>
    <w:rsid w:val="000C50A1"/>
    <w:rsid w:val="000C56DD"/>
    <w:rsid w:val="000C63F4"/>
    <w:rsid w:val="000D11CB"/>
    <w:rsid w:val="000D14C4"/>
    <w:rsid w:val="000D1672"/>
    <w:rsid w:val="000D178A"/>
    <w:rsid w:val="000D18CE"/>
    <w:rsid w:val="000D40C6"/>
    <w:rsid w:val="000D6C67"/>
    <w:rsid w:val="000E0CAB"/>
    <w:rsid w:val="000E1B84"/>
    <w:rsid w:val="000E21E4"/>
    <w:rsid w:val="000E2F62"/>
    <w:rsid w:val="000E38ED"/>
    <w:rsid w:val="000E45C7"/>
    <w:rsid w:val="000E67D5"/>
    <w:rsid w:val="000E755E"/>
    <w:rsid w:val="000E7619"/>
    <w:rsid w:val="000E7F24"/>
    <w:rsid w:val="000F03BE"/>
    <w:rsid w:val="000F10AC"/>
    <w:rsid w:val="000F1757"/>
    <w:rsid w:val="000F225B"/>
    <w:rsid w:val="000F333E"/>
    <w:rsid w:val="000F3949"/>
    <w:rsid w:val="000F41BC"/>
    <w:rsid w:val="000F48E9"/>
    <w:rsid w:val="000F4B7F"/>
    <w:rsid w:val="000F4DAE"/>
    <w:rsid w:val="000F7ADB"/>
    <w:rsid w:val="000F7FAF"/>
    <w:rsid w:val="00100D8B"/>
    <w:rsid w:val="00102045"/>
    <w:rsid w:val="00102264"/>
    <w:rsid w:val="00103537"/>
    <w:rsid w:val="0010421C"/>
    <w:rsid w:val="0010465B"/>
    <w:rsid w:val="001050D7"/>
    <w:rsid w:val="0010570F"/>
    <w:rsid w:val="00105975"/>
    <w:rsid w:val="00110090"/>
    <w:rsid w:val="00110407"/>
    <w:rsid w:val="0011116D"/>
    <w:rsid w:val="00111386"/>
    <w:rsid w:val="001118DF"/>
    <w:rsid w:val="00111F4D"/>
    <w:rsid w:val="001125B2"/>
    <w:rsid w:val="00112A28"/>
    <w:rsid w:val="00113127"/>
    <w:rsid w:val="00113571"/>
    <w:rsid w:val="00114DDF"/>
    <w:rsid w:val="00114FAA"/>
    <w:rsid w:val="00115230"/>
    <w:rsid w:val="00115AE1"/>
    <w:rsid w:val="00115B5F"/>
    <w:rsid w:val="001162B4"/>
    <w:rsid w:val="00116DF3"/>
    <w:rsid w:val="00122B90"/>
    <w:rsid w:val="00122CBC"/>
    <w:rsid w:val="0012414B"/>
    <w:rsid w:val="001244F8"/>
    <w:rsid w:val="00124FA3"/>
    <w:rsid w:val="001255F8"/>
    <w:rsid w:val="00126AF1"/>
    <w:rsid w:val="00126C65"/>
    <w:rsid w:val="00126D4A"/>
    <w:rsid w:val="0012714C"/>
    <w:rsid w:val="001274FA"/>
    <w:rsid w:val="00131762"/>
    <w:rsid w:val="001318EB"/>
    <w:rsid w:val="00132DA9"/>
    <w:rsid w:val="0013305B"/>
    <w:rsid w:val="00133B99"/>
    <w:rsid w:val="0013531B"/>
    <w:rsid w:val="0013569C"/>
    <w:rsid w:val="00135939"/>
    <w:rsid w:val="001369E3"/>
    <w:rsid w:val="001375DD"/>
    <w:rsid w:val="00142EFB"/>
    <w:rsid w:val="001438BF"/>
    <w:rsid w:val="001443BD"/>
    <w:rsid w:val="00144A87"/>
    <w:rsid w:val="00145B62"/>
    <w:rsid w:val="001460CE"/>
    <w:rsid w:val="00146193"/>
    <w:rsid w:val="00147E09"/>
    <w:rsid w:val="00152022"/>
    <w:rsid w:val="00152026"/>
    <w:rsid w:val="00152356"/>
    <w:rsid w:val="00152392"/>
    <w:rsid w:val="00152A41"/>
    <w:rsid w:val="001544C3"/>
    <w:rsid w:val="00154D75"/>
    <w:rsid w:val="001577E9"/>
    <w:rsid w:val="00157A59"/>
    <w:rsid w:val="00157F37"/>
    <w:rsid w:val="0016138C"/>
    <w:rsid w:val="00162D60"/>
    <w:rsid w:val="001640D5"/>
    <w:rsid w:val="001653D7"/>
    <w:rsid w:val="001659FB"/>
    <w:rsid w:val="00171763"/>
    <w:rsid w:val="00171D3F"/>
    <w:rsid w:val="00172151"/>
    <w:rsid w:val="00172C99"/>
    <w:rsid w:val="001731CE"/>
    <w:rsid w:val="001742EE"/>
    <w:rsid w:val="00175C72"/>
    <w:rsid w:val="00177D1E"/>
    <w:rsid w:val="00180F93"/>
    <w:rsid w:val="00181B06"/>
    <w:rsid w:val="0018672E"/>
    <w:rsid w:val="00186DFC"/>
    <w:rsid w:val="00190F16"/>
    <w:rsid w:val="001928FC"/>
    <w:rsid w:val="00193BD5"/>
    <w:rsid w:val="00194571"/>
    <w:rsid w:val="00194819"/>
    <w:rsid w:val="00196308"/>
    <w:rsid w:val="0019782F"/>
    <w:rsid w:val="00197E9B"/>
    <w:rsid w:val="001A1185"/>
    <w:rsid w:val="001A35A1"/>
    <w:rsid w:val="001A35FB"/>
    <w:rsid w:val="001A3D77"/>
    <w:rsid w:val="001A4A02"/>
    <w:rsid w:val="001B30F7"/>
    <w:rsid w:val="001B31F0"/>
    <w:rsid w:val="001B4862"/>
    <w:rsid w:val="001B5147"/>
    <w:rsid w:val="001B65FF"/>
    <w:rsid w:val="001B710A"/>
    <w:rsid w:val="001B771D"/>
    <w:rsid w:val="001B7C20"/>
    <w:rsid w:val="001C0B32"/>
    <w:rsid w:val="001C2D66"/>
    <w:rsid w:val="001C36F7"/>
    <w:rsid w:val="001C43A5"/>
    <w:rsid w:val="001C4BE1"/>
    <w:rsid w:val="001C5338"/>
    <w:rsid w:val="001C5847"/>
    <w:rsid w:val="001C7F21"/>
    <w:rsid w:val="001D0D9D"/>
    <w:rsid w:val="001D1497"/>
    <w:rsid w:val="001D5534"/>
    <w:rsid w:val="001D63D9"/>
    <w:rsid w:val="001D6F0E"/>
    <w:rsid w:val="001D7ADF"/>
    <w:rsid w:val="001E0F71"/>
    <w:rsid w:val="001E160D"/>
    <w:rsid w:val="001E17FB"/>
    <w:rsid w:val="001E255E"/>
    <w:rsid w:val="001E2B9B"/>
    <w:rsid w:val="001E2C06"/>
    <w:rsid w:val="001E35BA"/>
    <w:rsid w:val="001E3A31"/>
    <w:rsid w:val="001E4690"/>
    <w:rsid w:val="001E49D3"/>
    <w:rsid w:val="001E4CCB"/>
    <w:rsid w:val="001E51A6"/>
    <w:rsid w:val="001E6D05"/>
    <w:rsid w:val="001E73E8"/>
    <w:rsid w:val="001E7C28"/>
    <w:rsid w:val="001F0C14"/>
    <w:rsid w:val="001F0F3B"/>
    <w:rsid w:val="001F11A1"/>
    <w:rsid w:val="001F1AB5"/>
    <w:rsid w:val="001F1BDF"/>
    <w:rsid w:val="001F1D6D"/>
    <w:rsid w:val="001F35F8"/>
    <w:rsid w:val="001F39FC"/>
    <w:rsid w:val="001F4AC3"/>
    <w:rsid w:val="001F4CAC"/>
    <w:rsid w:val="001F52E0"/>
    <w:rsid w:val="001F590C"/>
    <w:rsid w:val="001F7110"/>
    <w:rsid w:val="001F7185"/>
    <w:rsid w:val="001F773D"/>
    <w:rsid w:val="001F7E96"/>
    <w:rsid w:val="002005F5"/>
    <w:rsid w:val="0020202E"/>
    <w:rsid w:val="00202284"/>
    <w:rsid w:val="0020528D"/>
    <w:rsid w:val="0020543B"/>
    <w:rsid w:val="00205A66"/>
    <w:rsid w:val="002063CF"/>
    <w:rsid w:val="00206613"/>
    <w:rsid w:val="0020756B"/>
    <w:rsid w:val="00207E75"/>
    <w:rsid w:val="00210D86"/>
    <w:rsid w:val="0021158F"/>
    <w:rsid w:val="00212488"/>
    <w:rsid w:val="002129A6"/>
    <w:rsid w:val="00214707"/>
    <w:rsid w:val="002151DB"/>
    <w:rsid w:val="00216A52"/>
    <w:rsid w:val="00220628"/>
    <w:rsid w:val="00221A45"/>
    <w:rsid w:val="00221BA0"/>
    <w:rsid w:val="00224CB4"/>
    <w:rsid w:val="002260C7"/>
    <w:rsid w:val="002304D2"/>
    <w:rsid w:val="002310E3"/>
    <w:rsid w:val="00232594"/>
    <w:rsid w:val="002338C1"/>
    <w:rsid w:val="00233D04"/>
    <w:rsid w:val="00234ABD"/>
    <w:rsid w:val="00236491"/>
    <w:rsid w:val="00236C3B"/>
    <w:rsid w:val="00236E2A"/>
    <w:rsid w:val="00237F62"/>
    <w:rsid w:val="00241E10"/>
    <w:rsid w:val="00242C71"/>
    <w:rsid w:val="0024586A"/>
    <w:rsid w:val="0024601F"/>
    <w:rsid w:val="002464E3"/>
    <w:rsid w:val="0024732C"/>
    <w:rsid w:val="002502E1"/>
    <w:rsid w:val="00250C98"/>
    <w:rsid w:val="00250F80"/>
    <w:rsid w:val="0025124F"/>
    <w:rsid w:val="002518A2"/>
    <w:rsid w:val="002528B3"/>
    <w:rsid w:val="00253854"/>
    <w:rsid w:val="0025551F"/>
    <w:rsid w:val="00255F8C"/>
    <w:rsid w:val="00256174"/>
    <w:rsid w:val="00256F0C"/>
    <w:rsid w:val="00257231"/>
    <w:rsid w:val="00260318"/>
    <w:rsid w:val="00261345"/>
    <w:rsid w:val="00261C23"/>
    <w:rsid w:val="00262157"/>
    <w:rsid w:val="00262C05"/>
    <w:rsid w:val="002715AF"/>
    <w:rsid w:val="002717F0"/>
    <w:rsid w:val="0027214F"/>
    <w:rsid w:val="0027301C"/>
    <w:rsid w:val="00273099"/>
    <w:rsid w:val="00281082"/>
    <w:rsid w:val="00281D14"/>
    <w:rsid w:val="00282585"/>
    <w:rsid w:val="00282C13"/>
    <w:rsid w:val="002833D8"/>
    <w:rsid w:val="002836D7"/>
    <w:rsid w:val="00284538"/>
    <w:rsid w:val="00285669"/>
    <w:rsid w:val="002858F6"/>
    <w:rsid w:val="00286BF6"/>
    <w:rsid w:val="002903B7"/>
    <w:rsid w:val="00290E15"/>
    <w:rsid w:val="002919AD"/>
    <w:rsid w:val="00292C23"/>
    <w:rsid w:val="00295E54"/>
    <w:rsid w:val="002962D7"/>
    <w:rsid w:val="00296C33"/>
    <w:rsid w:val="002A0D7B"/>
    <w:rsid w:val="002A0DF7"/>
    <w:rsid w:val="002A268C"/>
    <w:rsid w:val="002A2975"/>
    <w:rsid w:val="002A4056"/>
    <w:rsid w:val="002A460D"/>
    <w:rsid w:val="002A505B"/>
    <w:rsid w:val="002A5EE9"/>
    <w:rsid w:val="002A60E0"/>
    <w:rsid w:val="002A69D0"/>
    <w:rsid w:val="002A72F8"/>
    <w:rsid w:val="002B1AA8"/>
    <w:rsid w:val="002B1E87"/>
    <w:rsid w:val="002B4583"/>
    <w:rsid w:val="002B4683"/>
    <w:rsid w:val="002B687A"/>
    <w:rsid w:val="002C1344"/>
    <w:rsid w:val="002C252E"/>
    <w:rsid w:val="002C3A2A"/>
    <w:rsid w:val="002C458A"/>
    <w:rsid w:val="002C5A41"/>
    <w:rsid w:val="002C6093"/>
    <w:rsid w:val="002C6552"/>
    <w:rsid w:val="002C6773"/>
    <w:rsid w:val="002C6F51"/>
    <w:rsid w:val="002C73EC"/>
    <w:rsid w:val="002D0FE0"/>
    <w:rsid w:val="002D269A"/>
    <w:rsid w:val="002D2A3D"/>
    <w:rsid w:val="002D3E72"/>
    <w:rsid w:val="002D3EAC"/>
    <w:rsid w:val="002D46A9"/>
    <w:rsid w:val="002D5D1D"/>
    <w:rsid w:val="002D6EFD"/>
    <w:rsid w:val="002D74CF"/>
    <w:rsid w:val="002D7B8C"/>
    <w:rsid w:val="002E0A45"/>
    <w:rsid w:val="002E0B17"/>
    <w:rsid w:val="002E26B4"/>
    <w:rsid w:val="002E31C0"/>
    <w:rsid w:val="002E3A73"/>
    <w:rsid w:val="002E3AED"/>
    <w:rsid w:val="002E4FFB"/>
    <w:rsid w:val="002E63A7"/>
    <w:rsid w:val="002E650E"/>
    <w:rsid w:val="002E6E2F"/>
    <w:rsid w:val="002E7DED"/>
    <w:rsid w:val="002F0334"/>
    <w:rsid w:val="002F2A7B"/>
    <w:rsid w:val="002F4AB2"/>
    <w:rsid w:val="002F4F67"/>
    <w:rsid w:val="002F5944"/>
    <w:rsid w:val="002F7BC2"/>
    <w:rsid w:val="002F7E11"/>
    <w:rsid w:val="003002BA"/>
    <w:rsid w:val="0030037C"/>
    <w:rsid w:val="003008B9"/>
    <w:rsid w:val="00304087"/>
    <w:rsid w:val="003053DC"/>
    <w:rsid w:val="003054B0"/>
    <w:rsid w:val="003057B1"/>
    <w:rsid w:val="003062AD"/>
    <w:rsid w:val="00310ACD"/>
    <w:rsid w:val="00312C23"/>
    <w:rsid w:val="0031379F"/>
    <w:rsid w:val="00313A9C"/>
    <w:rsid w:val="0031621E"/>
    <w:rsid w:val="00316A16"/>
    <w:rsid w:val="00316B30"/>
    <w:rsid w:val="00320228"/>
    <w:rsid w:val="00320372"/>
    <w:rsid w:val="00320A26"/>
    <w:rsid w:val="003212F3"/>
    <w:rsid w:val="00321344"/>
    <w:rsid w:val="00321622"/>
    <w:rsid w:val="00321788"/>
    <w:rsid w:val="00321820"/>
    <w:rsid w:val="00323FA3"/>
    <w:rsid w:val="00325064"/>
    <w:rsid w:val="00325EC9"/>
    <w:rsid w:val="00326735"/>
    <w:rsid w:val="003279C6"/>
    <w:rsid w:val="0032B295"/>
    <w:rsid w:val="00331A3E"/>
    <w:rsid w:val="0033451C"/>
    <w:rsid w:val="00335660"/>
    <w:rsid w:val="00335FBD"/>
    <w:rsid w:val="0033649A"/>
    <w:rsid w:val="00336854"/>
    <w:rsid w:val="0033769B"/>
    <w:rsid w:val="00337A89"/>
    <w:rsid w:val="0034015C"/>
    <w:rsid w:val="00341409"/>
    <w:rsid w:val="00341CAE"/>
    <w:rsid w:val="003442F4"/>
    <w:rsid w:val="00344546"/>
    <w:rsid w:val="003455CF"/>
    <w:rsid w:val="0034716E"/>
    <w:rsid w:val="00350CB4"/>
    <w:rsid w:val="00353705"/>
    <w:rsid w:val="00355536"/>
    <w:rsid w:val="003562E8"/>
    <w:rsid w:val="00357F94"/>
    <w:rsid w:val="003614D7"/>
    <w:rsid w:val="0036357D"/>
    <w:rsid w:val="00363637"/>
    <w:rsid w:val="003649BC"/>
    <w:rsid w:val="00364F7E"/>
    <w:rsid w:val="00365BE1"/>
    <w:rsid w:val="00365E44"/>
    <w:rsid w:val="003662B1"/>
    <w:rsid w:val="003663FD"/>
    <w:rsid w:val="003667AD"/>
    <w:rsid w:val="00367AA1"/>
    <w:rsid w:val="00370A5B"/>
    <w:rsid w:val="00372497"/>
    <w:rsid w:val="00372E36"/>
    <w:rsid w:val="00373C15"/>
    <w:rsid w:val="00373D53"/>
    <w:rsid w:val="00375653"/>
    <w:rsid w:val="00375DFA"/>
    <w:rsid w:val="00375F7D"/>
    <w:rsid w:val="003767D3"/>
    <w:rsid w:val="00376EE9"/>
    <w:rsid w:val="00376FFC"/>
    <w:rsid w:val="00377CBB"/>
    <w:rsid w:val="00382CCB"/>
    <w:rsid w:val="00382DA3"/>
    <w:rsid w:val="00384F62"/>
    <w:rsid w:val="00385438"/>
    <w:rsid w:val="003858E5"/>
    <w:rsid w:val="003877B6"/>
    <w:rsid w:val="00391539"/>
    <w:rsid w:val="003921B7"/>
    <w:rsid w:val="00392D73"/>
    <w:rsid w:val="00393887"/>
    <w:rsid w:val="00393F1B"/>
    <w:rsid w:val="00394C6B"/>
    <w:rsid w:val="0039610B"/>
    <w:rsid w:val="00396442"/>
    <w:rsid w:val="00397C2B"/>
    <w:rsid w:val="003A11DF"/>
    <w:rsid w:val="003A290F"/>
    <w:rsid w:val="003A3618"/>
    <w:rsid w:val="003A4AAA"/>
    <w:rsid w:val="003A4B10"/>
    <w:rsid w:val="003A4E2E"/>
    <w:rsid w:val="003A4E62"/>
    <w:rsid w:val="003A5A6A"/>
    <w:rsid w:val="003A775E"/>
    <w:rsid w:val="003B02F2"/>
    <w:rsid w:val="003B0BD0"/>
    <w:rsid w:val="003B0CDD"/>
    <w:rsid w:val="003B1069"/>
    <w:rsid w:val="003B1F2E"/>
    <w:rsid w:val="003B38CC"/>
    <w:rsid w:val="003B390A"/>
    <w:rsid w:val="003B3D53"/>
    <w:rsid w:val="003B4E3A"/>
    <w:rsid w:val="003B60C3"/>
    <w:rsid w:val="003B6373"/>
    <w:rsid w:val="003B79E1"/>
    <w:rsid w:val="003C0E8C"/>
    <w:rsid w:val="003C15DE"/>
    <w:rsid w:val="003C2096"/>
    <w:rsid w:val="003C2889"/>
    <w:rsid w:val="003C2AB0"/>
    <w:rsid w:val="003C34C9"/>
    <w:rsid w:val="003C4EB2"/>
    <w:rsid w:val="003C5801"/>
    <w:rsid w:val="003C5E05"/>
    <w:rsid w:val="003C63D0"/>
    <w:rsid w:val="003C7959"/>
    <w:rsid w:val="003D3968"/>
    <w:rsid w:val="003D42AF"/>
    <w:rsid w:val="003D4899"/>
    <w:rsid w:val="003D4AD2"/>
    <w:rsid w:val="003D5E11"/>
    <w:rsid w:val="003D73C0"/>
    <w:rsid w:val="003E031D"/>
    <w:rsid w:val="003E1833"/>
    <w:rsid w:val="003E2AEA"/>
    <w:rsid w:val="003E6DA3"/>
    <w:rsid w:val="003E7305"/>
    <w:rsid w:val="003F0C1C"/>
    <w:rsid w:val="003F1AF3"/>
    <w:rsid w:val="003F25E4"/>
    <w:rsid w:val="003F4804"/>
    <w:rsid w:val="003F4AAA"/>
    <w:rsid w:val="003F4D8D"/>
    <w:rsid w:val="003F4E93"/>
    <w:rsid w:val="003F5708"/>
    <w:rsid w:val="003F66A4"/>
    <w:rsid w:val="00401508"/>
    <w:rsid w:val="00401688"/>
    <w:rsid w:val="004024D9"/>
    <w:rsid w:val="0040257E"/>
    <w:rsid w:val="0040386D"/>
    <w:rsid w:val="00404188"/>
    <w:rsid w:val="00406435"/>
    <w:rsid w:val="004066F9"/>
    <w:rsid w:val="00406CBE"/>
    <w:rsid w:val="004073DC"/>
    <w:rsid w:val="004137C0"/>
    <w:rsid w:val="004138F3"/>
    <w:rsid w:val="00420F5B"/>
    <w:rsid w:val="00421F20"/>
    <w:rsid w:val="0042238F"/>
    <w:rsid w:val="00423B63"/>
    <w:rsid w:val="00427BEA"/>
    <w:rsid w:val="00430120"/>
    <w:rsid w:val="00430BE5"/>
    <w:rsid w:val="004313E7"/>
    <w:rsid w:val="00432542"/>
    <w:rsid w:val="004339B2"/>
    <w:rsid w:val="0044344E"/>
    <w:rsid w:val="00444A70"/>
    <w:rsid w:val="0044763B"/>
    <w:rsid w:val="00447D97"/>
    <w:rsid w:val="00452696"/>
    <w:rsid w:val="00452726"/>
    <w:rsid w:val="00453F32"/>
    <w:rsid w:val="00454DAA"/>
    <w:rsid w:val="00456765"/>
    <w:rsid w:val="00456A53"/>
    <w:rsid w:val="00456F1E"/>
    <w:rsid w:val="0046213C"/>
    <w:rsid w:val="00462518"/>
    <w:rsid w:val="0046266D"/>
    <w:rsid w:val="004629B3"/>
    <w:rsid w:val="0046376E"/>
    <w:rsid w:val="00463B50"/>
    <w:rsid w:val="00464251"/>
    <w:rsid w:val="00464860"/>
    <w:rsid w:val="0046587C"/>
    <w:rsid w:val="0046690F"/>
    <w:rsid w:val="00467CC0"/>
    <w:rsid w:val="00471116"/>
    <w:rsid w:val="00471FC2"/>
    <w:rsid w:val="00472FEC"/>
    <w:rsid w:val="00473A2A"/>
    <w:rsid w:val="00473B89"/>
    <w:rsid w:val="004747D0"/>
    <w:rsid w:val="00476830"/>
    <w:rsid w:val="004770F6"/>
    <w:rsid w:val="004812D2"/>
    <w:rsid w:val="00483B28"/>
    <w:rsid w:val="00484218"/>
    <w:rsid w:val="004858E1"/>
    <w:rsid w:val="00485EF2"/>
    <w:rsid w:val="004864A1"/>
    <w:rsid w:val="0048769E"/>
    <w:rsid w:val="00487A1F"/>
    <w:rsid w:val="00490A03"/>
    <w:rsid w:val="00490B0D"/>
    <w:rsid w:val="00490E5D"/>
    <w:rsid w:val="00492B0A"/>
    <w:rsid w:val="00492D88"/>
    <w:rsid w:val="00493327"/>
    <w:rsid w:val="0049382E"/>
    <w:rsid w:val="0049391A"/>
    <w:rsid w:val="00494DBE"/>
    <w:rsid w:val="00495CE6"/>
    <w:rsid w:val="00497D5E"/>
    <w:rsid w:val="00497EB9"/>
    <w:rsid w:val="004A144D"/>
    <w:rsid w:val="004A1D27"/>
    <w:rsid w:val="004A2176"/>
    <w:rsid w:val="004A2703"/>
    <w:rsid w:val="004A323C"/>
    <w:rsid w:val="004A4D16"/>
    <w:rsid w:val="004B0801"/>
    <w:rsid w:val="004B1117"/>
    <w:rsid w:val="004B1A6B"/>
    <w:rsid w:val="004B1FC8"/>
    <w:rsid w:val="004B339A"/>
    <w:rsid w:val="004B39DA"/>
    <w:rsid w:val="004B54E8"/>
    <w:rsid w:val="004B7595"/>
    <w:rsid w:val="004B773C"/>
    <w:rsid w:val="004C0138"/>
    <w:rsid w:val="004C0686"/>
    <w:rsid w:val="004C12E8"/>
    <w:rsid w:val="004C130C"/>
    <w:rsid w:val="004C1389"/>
    <w:rsid w:val="004C1578"/>
    <w:rsid w:val="004C174B"/>
    <w:rsid w:val="004C33BA"/>
    <w:rsid w:val="004C47EA"/>
    <w:rsid w:val="004C4FEB"/>
    <w:rsid w:val="004C6570"/>
    <w:rsid w:val="004C678C"/>
    <w:rsid w:val="004C6B79"/>
    <w:rsid w:val="004C7345"/>
    <w:rsid w:val="004C7F9C"/>
    <w:rsid w:val="004D059B"/>
    <w:rsid w:val="004D09F9"/>
    <w:rsid w:val="004D0E64"/>
    <w:rsid w:val="004D144F"/>
    <w:rsid w:val="004D1DBD"/>
    <w:rsid w:val="004D304E"/>
    <w:rsid w:val="004D4543"/>
    <w:rsid w:val="004D48A8"/>
    <w:rsid w:val="004D4CB6"/>
    <w:rsid w:val="004D4DCB"/>
    <w:rsid w:val="004E0907"/>
    <w:rsid w:val="004E20CF"/>
    <w:rsid w:val="004E2324"/>
    <w:rsid w:val="004E28C9"/>
    <w:rsid w:val="004E3341"/>
    <w:rsid w:val="004E3406"/>
    <w:rsid w:val="004E5124"/>
    <w:rsid w:val="004E7BE2"/>
    <w:rsid w:val="004E7E3A"/>
    <w:rsid w:val="004F10C1"/>
    <w:rsid w:val="004F1C5E"/>
    <w:rsid w:val="004F3032"/>
    <w:rsid w:val="004F3E47"/>
    <w:rsid w:val="004F4CC8"/>
    <w:rsid w:val="004F4F5A"/>
    <w:rsid w:val="004F51FF"/>
    <w:rsid w:val="004F5AD9"/>
    <w:rsid w:val="0050159C"/>
    <w:rsid w:val="005022B7"/>
    <w:rsid w:val="005029CE"/>
    <w:rsid w:val="00502E62"/>
    <w:rsid w:val="005044C2"/>
    <w:rsid w:val="00506B8A"/>
    <w:rsid w:val="005110D3"/>
    <w:rsid w:val="00511161"/>
    <w:rsid w:val="0051413C"/>
    <w:rsid w:val="00515F4A"/>
    <w:rsid w:val="0051693C"/>
    <w:rsid w:val="00520A65"/>
    <w:rsid w:val="00520E61"/>
    <w:rsid w:val="005218B8"/>
    <w:rsid w:val="00521B13"/>
    <w:rsid w:val="0052212B"/>
    <w:rsid w:val="005221A8"/>
    <w:rsid w:val="005230C7"/>
    <w:rsid w:val="0052474F"/>
    <w:rsid w:val="0052625A"/>
    <w:rsid w:val="005266EA"/>
    <w:rsid w:val="00527072"/>
    <w:rsid w:val="005272FE"/>
    <w:rsid w:val="0053001D"/>
    <w:rsid w:val="00533B0D"/>
    <w:rsid w:val="00534B46"/>
    <w:rsid w:val="00535018"/>
    <w:rsid w:val="005355DB"/>
    <w:rsid w:val="00535866"/>
    <w:rsid w:val="00536CBD"/>
    <w:rsid w:val="00540358"/>
    <w:rsid w:val="00540A05"/>
    <w:rsid w:val="00540D47"/>
    <w:rsid w:val="00540E25"/>
    <w:rsid w:val="005428D7"/>
    <w:rsid w:val="00542D43"/>
    <w:rsid w:val="00545516"/>
    <w:rsid w:val="005463C3"/>
    <w:rsid w:val="005465A3"/>
    <w:rsid w:val="00547C7C"/>
    <w:rsid w:val="005506D5"/>
    <w:rsid w:val="00550864"/>
    <w:rsid w:val="00551D6C"/>
    <w:rsid w:val="00553580"/>
    <w:rsid w:val="005550A8"/>
    <w:rsid w:val="0055571E"/>
    <w:rsid w:val="00556F67"/>
    <w:rsid w:val="00557849"/>
    <w:rsid w:val="00561841"/>
    <w:rsid w:val="00563009"/>
    <w:rsid w:val="005635B7"/>
    <w:rsid w:val="005652E8"/>
    <w:rsid w:val="0056772E"/>
    <w:rsid w:val="00567A17"/>
    <w:rsid w:val="005735E2"/>
    <w:rsid w:val="0057384B"/>
    <w:rsid w:val="0057392C"/>
    <w:rsid w:val="0057446D"/>
    <w:rsid w:val="0057667C"/>
    <w:rsid w:val="00576BDA"/>
    <w:rsid w:val="00577DB4"/>
    <w:rsid w:val="005826DA"/>
    <w:rsid w:val="00582943"/>
    <w:rsid w:val="00582D0E"/>
    <w:rsid w:val="00582E09"/>
    <w:rsid w:val="005833F0"/>
    <w:rsid w:val="005835F4"/>
    <w:rsid w:val="005848BC"/>
    <w:rsid w:val="00585A6D"/>
    <w:rsid w:val="00586280"/>
    <w:rsid w:val="00586584"/>
    <w:rsid w:val="005865FC"/>
    <w:rsid w:val="00586913"/>
    <w:rsid w:val="005869CE"/>
    <w:rsid w:val="00586CAF"/>
    <w:rsid w:val="005873E9"/>
    <w:rsid w:val="00587A90"/>
    <w:rsid w:val="00591180"/>
    <w:rsid w:val="00592E9F"/>
    <w:rsid w:val="00595286"/>
    <w:rsid w:val="0059722C"/>
    <w:rsid w:val="005977A6"/>
    <w:rsid w:val="00597D07"/>
    <w:rsid w:val="00597DD6"/>
    <w:rsid w:val="005A16E6"/>
    <w:rsid w:val="005A1746"/>
    <w:rsid w:val="005A30D7"/>
    <w:rsid w:val="005A3846"/>
    <w:rsid w:val="005A678F"/>
    <w:rsid w:val="005A7DE8"/>
    <w:rsid w:val="005A7E97"/>
    <w:rsid w:val="005B2CD2"/>
    <w:rsid w:val="005B632A"/>
    <w:rsid w:val="005B6788"/>
    <w:rsid w:val="005B6A58"/>
    <w:rsid w:val="005C4C2F"/>
    <w:rsid w:val="005C5A83"/>
    <w:rsid w:val="005C7112"/>
    <w:rsid w:val="005D0155"/>
    <w:rsid w:val="005D0561"/>
    <w:rsid w:val="005D0AD9"/>
    <w:rsid w:val="005D1A67"/>
    <w:rsid w:val="005D1F10"/>
    <w:rsid w:val="005D22F6"/>
    <w:rsid w:val="005D4647"/>
    <w:rsid w:val="005D5EDE"/>
    <w:rsid w:val="005D6774"/>
    <w:rsid w:val="005D68AA"/>
    <w:rsid w:val="005D6BD1"/>
    <w:rsid w:val="005E060E"/>
    <w:rsid w:val="005E0C30"/>
    <w:rsid w:val="005E1DCB"/>
    <w:rsid w:val="005E2A31"/>
    <w:rsid w:val="005E33E0"/>
    <w:rsid w:val="005E3FBB"/>
    <w:rsid w:val="005E4059"/>
    <w:rsid w:val="005E66B4"/>
    <w:rsid w:val="005E69D9"/>
    <w:rsid w:val="005E6CB1"/>
    <w:rsid w:val="005E7116"/>
    <w:rsid w:val="005E7971"/>
    <w:rsid w:val="005F04AD"/>
    <w:rsid w:val="005F17D1"/>
    <w:rsid w:val="005F23BC"/>
    <w:rsid w:val="005F2643"/>
    <w:rsid w:val="005F27F4"/>
    <w:rsid w:val="005F297C"/>
    <w:rsid w:val="005F3239"/>
    <w:rsid w:val="005F39BF"/>
    <w:rsid w:val="005F566C"/>
    <w:rsid w:val="005F5D54"/>
    <w:rsid w:val="005F5F4D"/>
    <w:rsid w:val="005F6567"/>
    <w:rsid w:val="005F676D"/>
    <w:rsid w:val="005F6A21"/>
    <w:rsid w:val="005F750F"/>
    <w:rsid w:val="005F7A8A"/>
    <w:rsid w:val="00600998"/>
    <w:rsid w:val="00600ACF"/>
    <w:rsid w:val="006019EB"/>
    <w:rsid w:val="00601CC1"/>
    <w:rsid w:val="006022D0"/>
    <w:rsid w:val="00605DFE"/>
    <w:rsid w:val="00607094"/>
    <w:rsid w:val="00607256"/>
    <w:rsid w:val="00607621"/>
    <w:rsid w:val="0060790C"/>
    <w:rsid w:val="0060791E"/>
    <w:rsid w:val="00611B7B"/>
    <w:rsid w:val="00611F08"/>
    <w:rsid w:val="00611FB2"/>
    <w:rsid w:val="00613BF1"/>
    <w:rsid w:val="006144B1"/>
    <w:rsid w:val="00615A5C"/>
    <w:rsid w:val="00616C7F"/>
    <w:rsid w:val="006177FF"/>
    <w:rsid w:val="0062077F"/>
    <w:rsid w:val="00621BC7"/>
    <w:rsid w:val="00622033"/>
    <w:rsid w:val="0062460B"/>
    <w:rsid w:val="00630644"/>
    <w:rsid w:val="006335F1"/>
    <w:rsid w:val="006336FD"/>
    <w:rsid w:val="00633B49"/>
    <w:rsid w:val="006345B6"/>
    <w:rsid w:val="006345CD"/>
    <w:rsid w:val="00635616"/>
    <w:rsid w:val="00635712"/>
    <w:rsid w:val="00635984"/>
    <w:rsid w:val="00635F41"/>
    <w:rsid w:val="006368FF"/>
    <w:rsid w:val="00636D95"/>
    <w:rsid w:val="006377D4"/>
    <w:rsid w:val="00640135"/>
    <w:rsid w:val="006402FF"/>
    <w:rsid w:val="0064107F"/>
    <w:rsid w:val="00643D8A"/>
    <w:rsid w:val="00645A5C"/>
    <w:rsid w:val="006460E5"/>
    <w:rsid w:val="00647A78"/>
    <w:rsid w:val="00647AB9"/>
    <w:rsid w:val="00647C4B"/>
    <w:rsid w:val="00650894"/>
    <w:rsid w:val="0065112B"/>
    <w:rsid w:val="00652091"/>
    <w:rsid w:val="00652229"/>
    <w:rsid w:val="00652793"/>
    <w:rsid w:val="006528DE"/>
    <w:rsid w:val="006541A1"/>
    <w:rsid w:val="00657789"/>
    <w:rsid w:val="00660320"/>
    <w:rsid w:val="0066187E"/>
    <w:rsid w:val="00662375"/>
    <w:rsid w:val="006626CA"/>
    <w:rsid w:val="00663487"/>
    <w:rsid w:val="006639F7"/>
    <w:rsid w:val="00672382"/>
    <w:rsid w:val="006733BB"/>
    <w:rsid w:val="0067607A"/>
    <w:rsid w:val="006763B5"/>
    <w:rsid w:val="00676E80"/>
    <w:rsid w:val="006775C2"/>
    <w:rsid w:val="00681257"/>
    <w:rsid w:val="00681C3E"/>
    <w:rsid w:val="00682191"/>
    <w:rsid w:val="006822E9"/>
    <w:rsid w:val="00682643"/>
    <w:rsid w:val="00682EB9"/>
    <w:rsid w:val="00682F1E"/>
    <w:rsid w:val="0068378C"/>
    <w:rsid w:val="006839D3"/>
    <w:rsid w:val="0068441A"/>
    <w:rsid w:val="0068699A"/>
    <w:rsid w:val="00690B19"/>
    <w:rsid w:val="006938EE"/>
    <w:rsid w:val="00694195"/>
    <w:rsid w:val="0069650C"/>
    <w:rsid w:val="006A0A3C"/>
    <w:rsid w:val="006A1ED8"/>
    <w:rsid w:val="006A3D5B"/>
    <w:rsid w:val="006A442A"/>
    <w:rsid w:val="006A59E9"/>
    <w:rsid w:val="006A5AB1"/>
    <w:rsid w:val="006A6C5F"/>
    <w:rsid w:val="006A6F2B"/>
    <w:rsid w:val="006A75B8"/>
    <w:rsid w:val="006A79F0"/>
    <w:rsid w:val="006B048F"/>
    <w:rsid w:val="006B359D"/>
    <w:rsid w:val="006B47EE"/>
    <w:rsid w:val="006B499F"/>
    <w:rsid w:val="006B54C6"/>
    <w:rsid w:val="006B617F"/>
    <w:rsid w:val="006B78E0"/>
    <w:rsid w:val="006C187E"/>
    <w:rsid w:val="006C1FB8"/>
    <w:rsid w:val="006C2BB0"/>
    <w:rsid w:val="006C33BE"/>
    <w:rsid w:val="006C4B3D"/>
    <w:rsid w:val="006C53D0"/>
    <w:rsid w:val="006C5B53"/>
    <w:rsid w:val="006C7E78"/>
    <w:rsid w:val="006D006A"/>
    <w:rsid w:val="006D064D"/>
    <w:rsid w:val="006D098F"/>
    <w:rsid w:val="006D127F"/>
    <w:rsid w:val="006D20E3"/>
    <w:rsid w:val="006D2218"/>
    <w:rsid w:val="006D33E1"/>
    <w:rsid w:val="006D4996"/>
    <w:rsid w:val="006D4D0C"/>
    <w:rsid w:val="006D510B"/>
    <w:rsid w:val="006D535B"/>
    <w:rsid w:val="006D54AB"/>
    <w:rsid w:val="006D58E5"/>
    <w:rsid w:val="006E1084"/>
    <w:rsid w:val="006E1097"/>
    <w:rsid w:val="006E10B2"/>
    <w:rsid w:val="006E1A70"/>
    <w:rsid w:val="006E1FA9"/>
    <w:rsid w:val="006E2D24"/>
    <w:rsid w:val="006E3006"/>
    <w:rsid w:val="006E3AFC"/>
    <w:rsid w:val="006E4458"/>
    <w:rsid w:val="006E4F02"/>
    <w:rsid w:val="006E5032"/>
    <w:rsid w:val="006E5BDA"/>
    <w:rsid w:val="006E7AC9"/>
    <w:rsid w:val="006F0FC7"/>
    <w:rsid w:val="006F39A9"/>
    <w:rsid w:val="006F3D9D"/>
    <w:rsid w:val="006F524E"/>
    <w:rsid w:val="006F5D57"/>
    <w:rsid w:val="006F643F"/>
    <w:rsid w:val="006F670F"/>
    <w:rsid w:val="006F77F3"/>
    <w:rsid w:val="0070063C"/>
    <w:rsid w:val="00700D69"/>
    <w:rsid w:val="0070243F"/>
    <w:rsid w:val="00702921"/>
    <w:rsid w:val="00703272"/>
    <w:rsid w:val="0070362C"/>
    <w:rsid w:val="00703652"/>
    <w:rsid w:val="00704020"/>
    <w:rsid w:val="00704044"/>
    <w:rsid w:val="00705B35"/>
    <w:rsid w:val="00705BBE"/>
    <w:rsid w:val="0070733C"/>
    <w:rsid w:val="007102D5"/>
    <w:rsid w:val="00710C5D"/>
    <w:rsid w:val="0071348C"/>
    <w:rsid w:val="00717273"/>
    <w:rsid w:val="00720FD4"/>
    <w:rsid w:val="00721EEF"/>
    <w:rsid w:val="00722A02"/>
    <w:rsid w:val="00723A21"/>
    <w:rsid w:val="00723B91"/>
    <w:rsid w:val="00723C6D"/>
    <w:rsid w:val="00724550"/>
    <w:rsid w:val="00724AF2"/>
    <w:rsid w:val="00724E51"/>
    <w:rsid w:val="00730624"/>
    <w:rsid w:val="0073096C"/>
    <w:rsid w:val="0073100D"/>
    <w:rsid w:val="00731368"/>
    <w:rsid w:val="00733429"/>
    <w:rsid w:val="00733A46"/>
    <w:rsid w:val="00733BB0"/>
    <w:rsid w:val="00735E2D"/>
    <w:rsid w:val="00736F2C"/>
    <w:rsid w:val="007371B2"/>
    <w:rsid w:val="00740F23"/>
    <w:rsid w:val="007419C8"/>
    <w:rsid w:val="00741CA1"/>
    <w:rsid w:val="00742398"/>
    <w:rsid w:val="007432A9"/>
    <w:rsid w:val="00745C0B"/>
    <w:rsid w:val="00746050"/>
    <w:rsid w:val="00746118"/>
    <w:rsid w:val="00746C7F"/>
    <w:rsid w:val="007507B5"/>
    <w:rsid w:val="0075091D"/>
    <w:rsid w:val="00750EC4"/>
    <w:rsid w:val="00751831"/>
    <w:rsid w:val="0075201B"/>
    <w:rsid w:val="00753A24"/>
    <w:rsid w:val="00754294"/>
    <w:rsid w:val="0075430D"/>
    <w:rsid w:val="0075779F"/>
    <w:rsid w:val="0076106F"/>
    <w:rsid w:val="0076354B"/>
    <w:rsid w:val="00764668"/>
    <w:rsid w:val="007658F3"/>
    <w:rsid w:val="00765D0E"/>
    <w:rsid w:val="00765E3B"/>
    <w:rsid w:val="00766EA2"/>
    <w:rsid w:val="00767034"/>
    <w:rsid w:val="00772188"/>
    <w:rsid w:val="0077222A"/>
    <w:rsid w:val="00773909"/>
    <w:rsid w:val="0077433B"/>
    <w:rsid w:val="00774E1E"/>
    <w:rsid w:val="0077544E"/>
    <w:rsid w:val="00776743"/>
    <w:rsid w:val="00776D7F"/>
    <w:rsid w:val="007813D0"/>
    <w:rsid w:val="007845AC"/>
    <w:rsid w:val="00785993"/>
    <w:rsid w:val="00785A0D"/>
    <w:rsid w:val="007863BF"/>
    <w:rsid w:val="007866E2"/>
    <w:rsid w:val="00786BA3"/>
    <w:rsid w:val="00790993"/>
    <w:rsid w:val="0079202F"/>
    <w:rsid w:val="0079203E"/>
    <w:rsid w:val="007934C3"/>
    <w:rsid w:val="00793FDA"/>
    <w:rsid w:val="00794903"/>
    <w:rsid w:val="00795486"/>
    <w:rsid w:val="00795AF2"/>
    <w:rsid w:val="00795CA6"/>
    <w:rsid w:val="00795E4F"/>
    <w:rsid w:val="007A0287"/>
    <w:rsid w:val="007A09FC"/>
    <w:rsid w:val="007A2AAD"/>
    <w:rsid w:val="007A3017"/>
    <w:rsid w:val="007A4432"/>
    <w:rsid w:val="007A59E9"/>
    <w:rsid w:val="007A784E"/>
    <w:rsid w:val="007A7E31"/>
    <w:rsid w:val="007B02A0"/>
    <w:rsid w:val="007B278C"/>
    <w:rsid w:val="007B2C2C"/>
    <w:rsid w:val="007B2DAD"/>
    <w:rsid w:val="007B3774"/>
    <w:rsid w:val="007B4939"/>
    <w:rsid w:val="007B499C"/>
    <w:rsid w:val="007B4D4B"/>
    <w:rsid w:val="007B58C6"/>
    <w:rsid w:val="007B76D8"/>
    <w:rsid w:val="007C0646"/>
    <w:rsid w:val="007C1ACD"/>
    <w:rsid w:val="007C1E5E"/>
    <w:rsid w:val="007C1E9D"/>
    <w:rsid w:val="007C3AE3"/>
    <w:rsid w:val="007C6C51"/>
    <w:rsid w:val="007D0000"/>
    <w:rsid w:val="007D2A02"/>
    <w:rsid w:val="007D5EA2"/>
    <w:rsid w:val="007D6144"/>
    <w:rsid w:val="007D62A4"/>
    <w:rsid w:val="007D6CE5"/>
    <w:rsid w:val="007E0917"/>
    <w:rsid w:val="007E136B"/>
    <w:rsid w:val="007E1736"/>
    <w:rsid w:val="007E25DD"/>
    <w:rsid w:val="007E2887"/>
    <w:rsid w:val="007E3318"/>
    <w:rsid w:val="007E693B"/>
    <w:rsid w:val="007E6EA1"/>
    <w:rsid w:val="007E71EC"/>
    <w:rsid w:val="007F0F16"/>
    <w:rsid w:val="007F0F63"/>
    <w:rsid w:val="007F2B1E"/>
    <w:rsid w:val="007F4590"/>
    <w:rsid w:val="007F62B4"/>
    <w:rsid w:val="007F7C05"/>
    <w:rsid w:val="007F7DF9"/>
    <w:rsid w:val="00800FD6"/>
    <w:rsid w:val="00801517"/>
    <w:rsid w:val="008019C0"/>
    <w:rsid w:val="00804966"/>
    <w:rsid w:val="0080510A"/>
    <w:rsid w:val="0080596A"/>
    <w:rsid w:val="00805CBF"/>
    <w:rsid w:val="00807195"/>
    <w:rsid w:val="00810AC4"/>
    <w:rsid w:val="00810F8F"/>
    <w:rsid w:val="0081218E"/>
    <w:rsid w:val="0081228B"/>
    <w:rsid w:val="00813492"/>
    <w:rsid w:val="00814DE2"/>
    <w:rsid w:val="00815599"/>
    <w:rsid w:val="00815D34"/>
    <w:rsid w:val="008177EE"/>
    <w:rsid w:val="00817895"/>
    <w:rsid w:val="00817AE8"/>
    <w:rsid w:val="00817DE8"/>
    <w:rsid w:val="008207F3"/>
    <w:rsid w:val="008229F5"/>
    <w:rsid w:val="00824293"/>
    <w:rsid w:val="008259DE"/>
    <w:rsid w:val="0082699A"/>
    <w:rsid w:val="00827F2A"/>
    <w:rsid w:val="00832633"/>
    <w:rsid w:val="0083342C"/>
    <w:rsid w:val="00833869"/>
    <w:rsid w:val="00833CEB"/>
    <w:rsid w:val="0083662B"/>
    <w:rsid w:val="008372D2"/>
    <w:rsid w:val="008377BC"/>
    <w:rsid w:val="00841179"/>
    <w:rsid w:val="00841353"/>
    <w:rsid w:val="00844C17"/>
    <w:rsid w:val="008450BB"/>
    <w:rsid w:val="00846017"/>
    <w:rsid w:val="008464F2"/>
    <w:rsid w:val="00847726"/>
    <w:rsid w:val="00851033"/>
    <w:rsid w:val="00851A55"/>
    <w:rsid w:val="00851CB1"/>
    <w:rsid w:val="00852511"/>
    <w:rsid w:val="0085252F"/>
    <w:rsid w:val="00853FD6"/>
    <w:rsid w:val="00855F22"/>
    <w:rsid w:val="00855FD0"/>
    <w:rsid w:val="0085658E"/>
    <w:rsid w:val="008568E6"/>
    <w:rsid w:val="00857408"/>
    <w:rsid w:val="008578A9"/>
    <w:rsid w:val="00860338"/>
    <w:rsid w:val="0086072A"/>
    <w:rsid w:val="0086088F"/>
    <w:rsid w:val="008614F1"/>
    <w:rsid w:val="008639B3"/>
    <w:rsid w:val="00863C1A"/>
    <w:rsid w:val="00863F9D"/>
    <w:rsid w:val="0086470F"/>
    <w:rsid w:val="008650A8"/>
    <w:rsid w:val="00865882"/>
    <w:rsid w:val="00865FE1"/>
    <w:rsid w:val="00866CDD"/>
    <w:rsid w:val="0087082E"/>
    <w:rsid w:val="008712FE"/>
    <w:rsid w:val="0087142D"/>
    <w:rsid w:val="00872928"/>
    <w:rsid w:val="00872DA6"/>
    <w:rsid w:val="00873416"/>
    <w:rsid w:val="00873956"/>
    <w:rsid w:val="0087538C"/>
    <w:rsid w:val="00875495"/>
    <w:rsid w:val="00875A71"/>
    <w:rsid w:val="00875CB0"/>
    <w:rsid w:val="008762E7"/>
    <w:rsid w:val="008770CC"/>
    <w:rsid w:val="00877800"/>
    <w:rsid w:val="00877C32"/>
    <w:rsid w:val="00880580"/>
    <w:rsid w:val="0088094B"/>
    <w:rsid w:val="00880E72"/>
    <w:rsid w:val="0088176E"/>
    <w:rsid w:val="008825EE"/>
    <w:rsid w:val="00882DE4"/>
    <w:rsid w:val="0088313E"/>
    <w:rsid w:val="008849B2"/>
    <w:rsid w:val="0088596E"/>
    <w:rsid w:val="00885D26"/>
    <w:rsid w:val="00886C54"/>
    <w:rsid w:val="008870ED"/>
    <w:rsid w:val="008877FC"/>
    <w:rsid w:val="00892132"/>
    <w:rsid w:val="008947FF"/>
    <w:rsid w:val="00894B0A"/>
    <w:rsid w:val="0089796A"/>
    <w:rsid w:val="0089799B"/>
    <w:rsid w:val="008979FA"/>
    <w:rsid w:val="008A2375"/>
    <w:rsid w:val="008A40F1"/>
    <w:rsid w:val="008A54B6"/>
    <w:rsid w:val="008A72FD"/>
    <w:rsid w:val="008A7DEB"/>
    <w:rsid w:val="008B1B65"/>
    <w:rsid w:val="008B2185"/>
    <w:rsid w:val="008B3182"/>
    <w:rsid w:val="008B3557"/>
    <w:rsid w:val="008B39E0"/>
    <w:rsid w:val="008B4302"/>
    <w:rsid w:val="008B605A"/>
    <w:rsid w:val="008B6086"/>
    <w:rsid w:val="008B760D"/>
    <w:rsid w:val="008C093B"/>
    <w:rsid w:val="008C0E76"/>
    <w:rsid w:val="008C2665"/>
    <w:rsid w:val="008C6041"/>
    <w:rsid w:val="008C74E3"/>
    <w:rsid w:val="008D0936"/>
    <w:rsid w:val="008D1B6A"/>
    <w:rsid w:val="008D403B"/>
    <w:rsid w:val="008D4707"/>
    <w:rsid w:val="008D62A7"/>
    <w:rsid w:val="008D764F"/>
    <w:rsid w:val="008D76C5"/>
    <w:rsid w:val="008E0A04"/>
    <w:rsid w:val="008E0AFA"/>
    <w:rsid w:val="008E1C3F"/>
    <w:rsid w:val="008E28BD"/>
    <w:rsid w:val="008E2BDF"/>
    <w:rsid w:val="008E2C6D"/>
    <w:rsid w:val="008E4F56"/>
    <w:rsid w:val="008E6661"/>
    <w:rsid w:val="008E75D3"/>
    <w:rsid w:val="008F02E9"/>
    <w:rsid w:val="008F076A"/>
    <w:rsid w:val="008F0CE4"/>
    <w:rsid w:val="008F125E"/>
    <w:rsid w:val="008F1CC5"/>
    <w:rsid w:val="008F2444"/>
    <w:rsid w:val="008F2B54"/>
    <w:rsid w:val="008F2CC5"/>
    <w:rsid w:val="008F4C1E"/>
    <w:rsid w:val="008F4D2F"/>
    <w:rsid w:val="008F510A"/>
    <w:rsid w:val="008F55A2"/>
    <w:rsid w:val="00900235"/>
    <w:rsid w:val="00900D3C"/>
    <w:rsid w:val="00906292"/>
    <w:rsid w:val="0091352F"/>
    <w:rsid w:val="00914B5B"/>
    <w:rsid w:val="009152B8"/>
    <w:rsid w:val="00917162"/>
    <w:rsid w:val="009172B9"/>
    <w:rsid w:val="009178AA"/>
    <w:rsid w:val="00920430"/>
    <w:rsid w:val="00920C75"/>
    <w:rsid w:val="00921C0C"/>
    <w:rsid w:val="00923001"/>
    <w:rsid w:val="0092358D"/>
    <w:rsid w:val="009238BF"/>
    <w:rsid w:val="009251CC"/>
    <w:rsid w:val="0092680D"/>
    <w:rsid w:val="0092714E"/>
    <w:rsid w:val="00927661"/>
    <w:rsid w:val="00931E24"/>
    <w:rsid w:val="009324F0"/>
    <w:rsid w:val="00933130"/>
    <w:rsid w:val="0093478F"/>
    <w:rsid w:val="00935304"/>
    <w:rsid w:val="00936826"/>
    <w:rsid w:val="00940B3D"/>
    <w:rsid w:val="00942002"/>
    <w:rsid w:val="00942359"/>
    <w:rsid w:val="00944EBD"/>
    <w:rsid w:val="0094623A"/>
    <w:rsid w:val="00946FC5"/>
    <w:rsid w:val="00947885"/>
    <w:rsid w:val="009504AB"/>
    <w:rsid w:val="00951212"/>
    <w:rsid w:val="00951818"/>
    <w:rsid w:val="00952168"/>
    <w:rsid w:val="009527FE"/>
    <w:rsid w:val="009529B2"/>
    <w:rsid w:val="009535A6"/>
    <w:rsid w:val="009538D0"/>
    <w:rsid w:val="0095421F"/>
    <w:rsid w:val="009555CA"/>
    <w:rsid w:val="00955D69"/>
    <w:rsid w:val="00957D2C"/>
    <w:rsid w:val="00960319"/>
    <w:rsid w:val="00960539"/>
    <w:rsid w:val="009605B1"/>
    <w:rsid w:val="00960CBC"/>
    <w:rsid w:val="00962591"/>
    <w:rsid w:val="00962AD4"/>
    <w:rsid w:val="00963A06"/>
    <w:rsid w:val="009647E1"/>
    <w:rsid w:val="00965192"/>
    <w:rsid w:val="00967DD4"/>
    <w:rsid w:val="009700B1"/>
    <w:rsid w:val="00970ECF"/>
    <w:rsid w:val="00971261"/>
    <w:rsid w:val="00971FD4"/>
    <w:rsid w:val="009722CB"/>
    <w:rsid w:val="009739A0"/>
    <w:rsid w:val="00974EE4"/>
    <w:rsid w:val="00974F84"/>
    <w:rsid w:val="00975446"/>
    <w:rsid w:val="00975D5B"/>
    <w:rsid w:val="00976216"/>
    <w:rsid w:val="009767C7"/>
    <w:rsid w:val="00976AC7"/>
    <w:rsid w:val="00977D30"/>
    <w:rsid w:val="00980E69"/>
    <w:rsid w:val="0098334C"/>
    <w:rsid w:val="00984643"/>
    <w:rsid w:val="0098576C"/>
    <w:rsid w:val="0098579A"/>
    <w:rsid w:val="00991475"/>
    <w:rsid w:val="009918DD"/>
    <w:rsid w:val="0099195A"/>
    <w:rsid w:val="00991BD2"/>
    <w:rsid w:val="00992407"/>
    <w:rsid w:val="00992A11"/>
    <w:rsid w:val="00994681"/>
    <w:rsid w:val="0099486A"/>
    <w:rsid w:val="00994EFB"/>
    <w:rsid w:val="009954D8"/>
    <w:rsid w:val="00997239"/>
    <w:rsid w:val="009A0B33"/>
    <w:rsid w:val="009A0E26"/>
    <w:rsid w:val="009A16EC"/>
    <w:rsid w:val="009A22C2"/>
    <w:rsid w:val="009A4332"/>
    <w:rsid w:val="009A4BF8"/>
    <w:rsid w:val="009A743E"/>
    <w:rsid w:val="009A7CF6"/>
    <w:rsid w:val="009B10F6"/>
    <w:rsid w:val="009B1B55"/>
    <w:rsid w:val="009B2279"/>
    <w:rsid w:val="009B29B7"/>
    <w:rsid w:val="009B3199"/>
    <w:rsid w:val="009B3B37"/>
    <w:rsid w:val="009B638A"/>
    <w:rsid w:val="009B63F4"/>
    <w:rsid w:val="009B7D1F"/>
    <w:rsid w:val="009C088E"/>
    <w:rsid w:val="009C17DC"/>
    <w:rsid w:val="009C37AB"/>
    <w:rsid w:val="009C4C7A"/>
    <w:rsid w:val="009C4D35"/>
    <w:rsid w:val="009C5E51"/>
    <w:rsid w:val="009C6158"/>
    <w:rsid w:val="009C75A2"/>
    <w:rsid w:val="009C7B68"/>
    <w:rsid w:val="009D1522"/>
    <w:rsid w:val="009D51F0"/>
    <w:rsid w:val="009D61DC"/>
    <w:rsid w:val="009D7252"/>
    <w:rsid w:val="009D7652"/>
    <w:rsid w:val="009E1FF6"/>
    <w:rsid w:val="009E3CAF"/>
    <w:rsid w:val="009E3E5E"/>
    <w:rsid w:val="009E3F48"/>
    <w:rsid w:val="009E53A5"/>
    <w:rsid w:val="009E5EB4"/>
    <w:rsid w:val="009E6CDB"/>
    <w:rsid w:val="009E7B37"/>
    <w:rsid w:val="009F4451"/>
    <w:rsid w:val="009F563C"/>
    <w:rsid w:val="009F610E"/>
    <w:rsid w:val="00A00DA9"/>
    <w:rsid w:val="00A00F7E"/>
    <w:rsid w:val="00A044D6"/>
    <w:rsid w:val="00A04ADB"/>
    <w:rsid w:val="00A04D8F"/>
    <w:rsid w:val="00A04F89"/>
    <w:rsid w:val="00A05F11"/>
    <w:rsid w:val="00A11E0F"/>
    <w:rsid w:val="00A12378"/>
    <w:rsid w:val="00A141E9"/>
    <w:rsid w:val="00A15B6B"/>
    <w:rsid w:val="00A15D78"/>
    <w:rsid w:val="00A15EBE"/>
    <w:rsid w:val="00A17F5B"/>
    <w:rsid w:val="00A216E5"/>
    <w:rsid w:val="00A221C7"/>
    <w:rsid w:val="00A25165"/>
    <w:rsid w:val="00A25F5B"/>
    <w:rsid w:val="00A26744"/>
    <w:rsid w:val="00A26CB6"/>
    <w:rsid w:val="00A2751B"/>
    <w:rsid w:val="00A30A00"/>
    <w:rsid w:val="00A316D9"/>
    <w:rsid w:val="00A32F82"/>
    <w:rsid w:val="00A32F8B"/>
    <w:rsid w:val="00A34F9F"/>
    <w:rsid w:val="00A36481"/>
    <w:rsid w:val="00A36675"/>
    <w:rsid w:val="00A3756F"/>
    <w:rsid w:val="00A41514"/>
    <w:rsid w:val="00A42D6F"/>
    <w:rsid w:val="00A43870"/>
    <w:rsid w:val="00A4474B"/>
    <w:rsid w:val="00A45A62"/>
    <w:rsid w:val="00A462DC"/>
    <w:rsid w:val="00A4657C"/>
    <w:rsid w:val="00A51DB8"/>
    <w:rsid w:val="00A52969"/>
    <w:rsid w:val="00A52E0B"/>
    <w:rsid w:val="00A52FA1"/>
    <w:rsid w:val="00A540B0"/>
    <w:rsid w:val="00A54AC5"/>
    <w:rsid w:val="00A54C2A"/>
    <w:rsid w:val="00A54D12"/>
    <w:rsid w:val="00A55DC3"/>
    <w:rsid w:val="00A56D41"/>
    <w:rsid w:val="00A56DEC"/>
    <w:rsid w:val="00A60529"/>
    <w:rsid w:val="00A60899"/>
    <w:rsid w:val="00A608D3"/>
    <w:rsid w:val="00A60F91"/>
    <w:rsid w:val="00A61353"/>
    <w:rsid w:val="00A61481"/>
    <w:rsid w:val="00A616F1"/>
    <w:rsid w:val="00A61A48"/>
    <w:rsid w:val="00A629D6"/>
    <w:rsid w:val="00A63035"/>
    <w:rsid w:val="00A637C9"/>
    <w:rsid w:val="00A66DB1"/>
    <w:rsid w:val="00A67A92"/>
    <w:rsid w:val="00A70DC6"/>
    <w:rsid w:val="00A7315C"/>
    <w:rsid w:val="00A7420B"/>
    <w:rsid w:val="00A74221"/>
    <w:rsid w:val="00A74FDC"/>
    <w:rsid w:val="00A77192"/>
    <w:rsid w:val="00A8089F"/>
    <w:rsid w:val="00A81C0A"/>
    <w:rsid w:val="00A820BE"/>
    <w:rsid w:val="00A842D5"/>
    <w:rsid w:val="00A87870"/>
    <w:rsid w:val="00A903F3"/>
    <w:rsid w:val="00A90F18"/>
    <w:rsid w:val="00A90FFB"/>
    <w:rsid w:val="00A9149D"/>
    <w:rsid w:val="00A91A70"/>
    <w:rsid w:val="00A92FCD"/>
    <w:rsid w:val="00A9302F"/>
    <w:rsid w:val="00A957F6"/>
    <w:rsid w:val="00A959CF"/>
    <w:rsid w:val="00A9635E"/>
    <w:rsid w:val="00A97316"/>
    <w:rsid w:val="00A97B3C"/>
    <w:rsid w:val="00A97BD8"/>
    <w:rsid w:val="00AA010B"/>
    <w:rsid w:val="00AA0D54"/>
    <w:rsid w:val="00AA1B85"/>
    <w:rsid w:val="00AA3290"/>
    <w:rsid w:val="00AA46F0"/>
    <w:rsid w:val="00AA6481"/>
    <w:rsid w:val="00AA7270"/>
    <w:rsid w:val="00AB08B8"/>
    <w:rsid w:val="00AB0C08"/>
    <w:rsid w:val="00AB12AC"/>
    <w:rsid w:val="00AB1CB6"/>
    <w:rsid w:val="00AB1D9A"/>
    <w:rsid w:val="00AB4A1F"/>
    <w:rsid w:val="00AB5C61"/>
    <w:rsid w:val="00AB7EAC"/>
    <w:rsid w:val="00AC304D"/>
    <w:rsid w:val="00AC3540"/>
    <w:rsid w:val="00AC3D15"/>
    <w:rsid w:val="00AC5055"/>
    <w:rsid w:val="00AC5315"/>
    <w:rsid w:val="00AC7D60"/>
    <w:rsid w:val="00AD0A8D"/>
    <w:rsid w:val="00AD0C22"/>
    <w:rsid w:val="00AD1AD7"/>
    <w:rsid w:val="00AD1AE2"/>
    <w:rsid w:val="00AD3290"/>
    <w:rsid w:val="00AD442C"/>
    <w:rsid w:val="00AD44FE"/>
    <w:rsid w:val="00AD5A37"/>
    <w:rsid w:val="00AD6B50"/>
    <w:rsid w:val="00AD7BB5"/>
    <w:rsid w:val="00AE05A4"/>
    <w:rsid w:val="00AE177E"/>
    <w:rsid w:val="00AE25FC"/>
    <w:rsid w:val="00AE353B"/>
    <w:rsid w:val="00AE400C"/>
    <w:rsid w:val="00AE49F1"/>
    <w:rsid w:val="00AE4A1C"/>
    <w:rsid w:val="00AE4B7A"/>
    <w:rsid w:val="00AE5532"/>
    <w:rsid w:val="00AE74D8"/>
    <w:rsid w:val="00AF0B6F"/>
    <w:rsid w:val="00AF0F75"/>
    <w:rsid w:val="00AF1D69"/>
    <w:rsid w:val="00AF23A8"/>
    <w:rsid w:val="00AF30D0"/>
    <w:rsid w:val="00AF41FA"/>
    <w:rsid w:val="00AF4796"/>
    <w:rsid w:val="00AF71EB"/>
    <w:rsid w:val="00B00988"/>
    <w:rsid w:val="00B01405"/>
    <w:rsid w:val="00B027BA"/>
    <w:rsid w:val="00B052E8"/>
    <w:rsid w:val="00B05CCA"/>
    <w:rsid w:val="00B05ECC"/>
    <w:rsid w:val="00B06DC3"/>
    <w:rsid w:val="00B073C1"/>
    <w:rsid w:val="00B100C9"/>
    <w:rsid w:val="00B11099"/>
    <w:rsid w:val="00B116B7"/>
    <w:rsid w:val="00B14271"/>
    <w:rsid w:val="00B16270"/>
    <w:rsid w:val="00B20182"/>
    <w:rsid w:val="00B22578"/>
    <w:rsid w:val="00B2292F"/>
    <w:rsid w:val="00B23C16"/>
    <w:rsid w:val="00B23C52"/>
    <w:rsid w:val="00B24E86"/>
    <w:rsid w:val="00B259E1"/>
    <w:rsid w:val="00B2685D"/>
    <w:rsid w:val="00B26D1E"/>
    <w:rsid w:val="00B26EE8"/>
    <w:rsid w:val="00B30351"/>
    <w:rsid w:val="00B312F1"/>
    <w:rsid w:val="00B33837"/>
    <w:rsid w:val="00B33C2A"/>
    <w:rsid w:val="00B349F7"/>
    <w:rsid w:val="00B34A14"/>
    <w:rsid w:val="00B35967"/>
    <w:rsid w:val="00B35CBA"/>
    <w:rsid w:val="00B363D9"/>
    <w:rsid w:val="00B416D1"/>
    <w:rsid w:val="00B422EC"/>
    <w:rsid w:val="00B44875"/>
    <w:rsid w:val="00B44C07"/>
    <w:rsid w:val="00B46320"/>
    <w:rsid w:val="00B4657A"/>
    <w:rsid w:val="00B47F0A"/>
    <w:rsid w:val="00B50B6B"/>
    <w:rsid w:val="00B51D75"/>
    <w:rsid w:val="00B54329"/>
    <w:rsid w:val="00B54885"/>
    <w:rsid w:val="00B54BFF"/>
    <w:rsid w:val="00B554C9"/>
    <w:rsid w:val="00B56AD9"/>
    <w:rsid w:val="00B5714F"/>
    <w:rsid w:val="00B57158"/>
    <w:rsid w:val="00B5778D"/>
    <w:rsid w:val="00B60827"/>
    <w:rsid w:val="00B61117"/>
    <w:rsid w:val="00B614C0"/>
    <w:rsid w:val="00B61EBB"/>
    <w:rsid w:val="00B634AB"/>
    <w:rsid w:val="00B63624"/>
    <w:rsid w:val="00B671E3"/>
    <w:rsid w:val="00B7037B"/>
    <w:rsid w:val="00B719F6"/>
    <w:rsid w:val="00B726D4"/>
    <w:rsid w:val="00B72969"/>
    <w:rsid w:val="00B73A2D"/>
    <w:rsid w:val="00B758FD"/>
    <w:rsid w:val="00B76807"/>
    <w:rsid w:val="00B769E6"/>
    <w:rsid w:val="00B77D24"/>
    <w:rsid w:val="00B8214F"/>
    <w:rsid w:val="00B82B43"/>
    <w:rsid w:val="00B82B48"/>
    <w:rsid w:val="00B84956"/>
    <w:rsid w:val="00B84F2C"/>
    <w:rsid w:val="00B85133"/>
    <w:rsid w:val="00B8643A"/>
    <w:rsid w:val="00B86A4F"/>
    <w:rsid w:val="00B91786"/>
    <w:rsid w:val="00B93035"/>
    <w:rsid w:val="00B93D17"/>
    <w:rsid w:val="00B940EB"/>
    <w:rsid w:val="00B9431C"/>
    <w:rsid w:val="00B95798"/>
    <w:rsid w:val="00B958E8"/>
    <w:rsid w:val="00B97E4A"/>
    <w:rsid w:val="00BA09B2"/>
    <w:rsid w:val="00BA0F35"/>
    <w:rsid w:val="00BA397D"/>
    <w:rsid w:val="00BA465D"/>
    <w:rsid w:val="00BA52C0"/>
    <w:rsid w:val="00BA5B46"/>
    <w:rsid w:val="00BA621C"/>
    <w:rsid w:val="00BA63D4"/>
    <w:rsid w:val="00BB2D73"/>
    <w:rsid w:val="00BB31C3"/>
    <w:rsid w:val="00BB400D"/>
    <w:rsid w:val="00BB45BA"/>
    <w:rsid w:val="00BB48B2"/>
    <w:rsid w:val="00BB4A3A"/>
    <w:rsid w:val="00BB5D0B"/>
    <w:rsid w:val="00BB629C"/>
    <w:rsid w:val="00BC0995"/>
    <w:rsid w:val="00BC0F4D"/>
    <w:rsid w:val="00BC1761"/>
    <w:rsid w:val="00BC19ED"/>
    <w:rsid w:val="00BC513A"/>
    <w:rsid w:val="00BC6C56"/>
    <w:rsid w:val="00BC6DE2"/>
    <w:rsid w:val="00BC6E62"/>
    <w:rsid w:val="00BD013A"/>
    <w:rsid w:val="00BD2510"/>
    <w:rsid w:val="00BD3A53"/>
    <w:rsid w:val="00BD4ECD"/>
    <w:rsid w:val="00BD5A19"/>
    <w:rsid w:val="00BD6539"/>
    <w:rsid w:val="00BD656A"/>
    <w:rsid w:val="00BD6D1B"/>
    <w:rsid w:val="00BE03F9"/>
    <w:rsid w:val="00BE2403"/>
    <w:rsid w:val="00BE2D0A"/>
    <w:rsid w:val="00BE47D4"/>
    <w:rsid w:val="00BE66DB"/>
    <w:rsid w:val="00BE793A"/>
    <w:rsid w:val="00BE7A0B"/>
    <w:rsid w:val="00BF114D"/>
    <w:rsid w:val="00BF1B93"/>
    <w:rsid w:val="00BF2B82"/>
    <w:rsid w:val="00BF2CEB"/>
    <w:rsid w:val="00BF33A1"/>
    <w:rsid w:val="00BF432A"/>
    <w:rsid w:val="00BF66DA"/>
    <w:rsid w:val="00BF6E82"/>
    <w:rsid w:val="00C0361D"/>
    <w:rsid w:val="00C041A4"/>
    <w:rsid w:val="00C060C7"/>
    <w:rsid w:val="00C06DCC"/>
    <w:rsid w:val="00C07F92"/>
    <w:rsid w:val="00C10EA4"/>
    <w:rsid w:val="00C11D25"/>
    <w:rsid w:val="00C13217"/>
    <w:rsid w:val="00C15BEC"/>
    <w:rsid w:val="00C15DB5"/>
    <w:rsid w:val="00C208E2"/>
    <w:rsid w:val="00C21874"/>
    <w:rsid w:val="00C21897"/>
    <w:rsid w:val="00C2288E"/>
    <w:rsid w:val="00C22B54"/>
    <w:rsid w:val="00C22CEA"/>
    <w:rsid w:val="00C22F1F"/>
    <w:rsid w:val="00C24279"/>
    <w:rsid w:val="00C249E3"/>
    <w:rsid w:val="00C24C17"/>
    <w:rsid w:val="00C27C4A"/>
    <w:rsid w:val="00C31595"/>
    <w:rsid w:val="00C31B25"/>
    <w:rsid w:val="00C3309D"/>
    <w:rsid w:val="00C3411D"/>
    <w:rsid w:val="00C34357"/>
    <w:rsid w:val="00C34829"/>
    <w:rsid w:val="00C363B8"/>
    <w:rsid w:val="00C3758F"/>
    <w:rsid w:val="00C40B88"/>
    <w:rsid w:val="00C42CF4"/>
    <w:rsid w:val="00C43DDD"/>
    <w:rsid w:val="00C44489"/>
    <w:rsid w:val="00C44FC2"/>
    <w:rsid w:val="00C47D87"/>
    <w:rsid w:val="00C47FCD"/>
    <w:rsid w:val="00C50FA6"/>
    <w:rsid w:val="00C53430"/>
    <w:rsid w:val="00C5376E"/>
    <w:rsid w:val="00C549AA"/>
    <w:rsid w:val="00C554C1"/>
    <w:rsid w:val="00C558F2"/>
    <w:rsid w:val="00C55AEE"/>
    <w:rsid w:val="00C5701B"/>
    <w:rsid w:val="00C6069A"/>
    <w:rsid w:val="00C61501"/>
    <w:rsid w:val="00C61BDC"/>
    <w:rsid w:val="00C64D40"/>
    <w:rsid w:val="00C65957"/>
    <w:rsid w:val="00C66218"/>
    <w:rsid w:val="00C677C9"/>
    <w:rsid w:val="00C70584"/>
    <w:rsid w:val="00C70B76"/>
    <w:rsid w:val="00C70DBC"/>
    <w:rsid w:val="00C70FB7"/>
    <w:rsid w:val="00C71E80"/>
    <w:rsid w:val="00C75DCE"/>
    <w:rsid w:val="00C7750A"/>
    <w:rsid w:val="00C808A6"/>
    <w:rsid w:val="00C83BA4"/>
    <w:rsid w:val="00C84AC6"/>
    <w:rsid w:val="00C855DB"/>
    <w:rsid w:val="00C855F3"/>
    <w:rsid w:val="00C86270"/>
    <w:rsid w:val="00C90C20"/>
    <w:rsid w:val="00C9109C"/>
    <w:rsid w:val="00C948CF"/>
    <w:rsid w:val="00C95798"/>
    <w:rsid w:val="00C95A74"/>
    <w:rsid w:val="00C97091"/>
    <w:rsid w:val="00C97260"/>
    <w:rsid w:val="00C97391"/>
    <w:rsid w:val="00CA14A5"/>
    <w:rsid w:val="00CA14DA"/>
    <w:rsid w:val="00CA1AB8"/>
    <w:rsid w:val="00CA2001"/>
    <w:rsid w:val="00CA2B10"/>
    <w:rsid w:val="00CA3344"/>
    <w:rsid w:val="00CA3F11"/>
    <w:rsid w:val="00CA5256"/>
    <w:rsid w:val="00CA5564"/>
    <w:rsid w:val="00CB078E"/>
    <w:rsid w:val="00CB3782"/>
    <w:rsid w:val="00CB46BC"/>
    <w:rsid w:val="00CB4D20"/>
    <w:rsid w:val="00CB5B6C"/>
    <w:rsid w:val="00CB60EF"/>
    <w:rsid w:val="00CB74E3"/>
    <w:rsid w:val="00CC052E"/>
    <w:rsid w:val="00CC06E5"/>
    <w:rsid w:val="00CC0B14"/>
    <w:rsid w:val="00CC5B9C"/>
    <w:rsid w:val="00CD02DF"/>
    <w:rsid w:val="00CD10A5"/>
    <w:rsid w:val="00CD16BE"/>
    <w:rsid w:val="00CD179F"/>
    <w:rsid w:val="00CD1F32"/>
    <w:rsid w:val="00CD2268"/>
    <w:rsid w:val="00CD4616"/>
    <w:rsid w:val="00CD50DC"/>
    <w:rsid w:val="00CD56AF"/>
    <w:rsid w:val="00CD5FFA"/>
    <w:rsid w:val="00CD608B"/>
    <w:rsid w:val="00CD61BB"/>
    <w:rsid w:val="00CE32F0"/>
    <w:rsid w:val="00CE33D5"/>
    <w:rsid w:val="00CE4712"/>
    <w:rsid w:val="00CE6073"/>
    <w:rsid w:val="00CE761C"/>
    <w:rsid w:val="00CF3290"/>
    <w:rsid w:val="00CF5D37"/>
    <w:rsid w:val="00CF6353"/>
    <w:rsid w:val="00CF6F33"/>
    <w:rsid w:val="00D02248"/>
    <w:rsid w:val="00D04429"/>
    <w:rsid w:val="00D04B47"/>
    <w:rsid w:val="00D04E37"/>
    <w:rsid w:val="00D063B8"/>
    <w:rsid w:val="00D06825"/>
    <w:rsid w:val="00D0702E"/>
    <w:rsid w:val="00D07467"/>
    <w:rsid w:val="00D076E6"/>
    <w:rsid w:val="00D1044F"/>
    <w:rsid w:val="00D106BD"/>
    <w:rsid w:val="00D14E64"/>
    <w:rsid w:val="00D17185"/>
    <w:rsid w:val="00D17D02"/>
    <w:rsid w:val="00D17E3B"/>
    <w:rsid w:val="00D22A9A"/>
    <w:rsid w:val="00D2306F"/>
    <w:rsid w:val="00D23B77"/>
    <w:rsid w:val="00D23C09"/>
    <w:rsid w:val="00D23CED"/>
    <w:rsid w:val="00D241D1"/>
    <w:rsid w:val="00D24BD2"/>
    <w:rsid w:val="00D24F2C"/>
    <w:rsid w:val="00D254F7"/>
    <w:rsid w:val="00D2573D"/>
    <w:rsid w:val="00D260A2"/>
    <w:rsid w:val="00D30CC6"/>
    <w:rsid w:val="00D30DA4"/>
    <w:rsid w:val="00D31722"/>
    <w:rsid w:val="00D3260C"/>
    <w:rsid w:val="00D3391A"/>
    <w:rsid w:val="00D33DB5"/>
    <w:rsid w:val="00D3446F"/>
    <w:rsid w:val="00D35790"/>
    <w:rsid w:val="00D41276"/>
    <w:rsid w:val="00D41971"/>
    <w:rsid w:val="00D442D5"/>
    <w:rsid w:val="00D45043"/>
    <w:rsid w:val="00D51576"/>
    <w:rsid w:val="00D519AF"/>
    <w:rsid w:val="00D532A9"/>
    <w:rsid w:val="00D5437A"/>
    <w:rsid w:val="00D5611E"/>
    <w:rsid w:val="00D5653B"/>
    <w:rsid w:val="00D56C30"/>
    <w:rsid w:val="00D5726D"/>
    <w:rsid w:val="00D572AC"/>
    <w:rsid w:val="00D6071F"/>
    <w:rsid w:val="00D61D6E"/>
    <w:rsid w:val="00D62580"/>
    <w:rsid w:val="00D62EF1"/>
    <w:rsid w:val="00D6309D"/>
    <w:rsid w:val="00D644CA"/>
    <w:rsid w:val="00D64961"/>
    <w:rsid w:val="00D64EA0"/>
    <w:rsid w:val="00D66FC2"/>
    <w:rsid w:val="00D7044E"/>
    <w:rsid w:val="00D704A8"/>
    <w:rsid w:val="00D76C7E"/>
    <w:rsid w:val="00D771DE"/>
    <w:rsid w:val="00D7776D"/>
    <w:rsid w:val="00D77ADC"/>
    <w:rsid w:val="00D81AEF"/>
    <w:rsid w:val="00D82A42"/>
    <w:rsid w:val="00D834F1"/>
    <w:rsid w:val="00D83609"/>
    <w:rsid w:val="00D83AA6"/>
    <w:rsid w:val="00D85C0D"/>
    <w:rsid w:val="00D866CB"/>
    <w:rsid w:val="00D86909"/>
    <w:rsid w:val="00D87A9A"/>
    <w:rsid w:val="00D87E39"/>
    <w:rsid w:val="00D90625"/>
    <w:rsid w:val="00D909F8"/>
    <w:rsid w:val="00D9152C"/>
    <w:rsid w:val="00D92179"/>
    <w:rsid w:val="00D922C6"/>
    <w:rsid w:val="00D9293F"/>
    <w:rsid w:val="00D92C6A"/>
    <w:rsid w:val="00D92DE7"/>
    <w:rsid w:val="00D93598"/>
    <w:rsid w:val="00D93B82"/>
    <w:rsid w:val="00D93FDD"/>
    <w:rsid w:val="00D94253"/>
    <w:rsid w:val="00D942F8"/>
    <w:rsid w:val="00D96FA9"/>
    <w:rsid w:val="00D97A5B"/>
    <w:rsid w:val="00D97D9B"/>
    <w:rsid w:val="00DA1E18"/>
    <w:rsid w:val="00DA2009"/>
    <w:rsid w:val="00DA3F5E"/>
    <w:rsid w:val="00DA585A"/>
    <w:rsid w:val="00DA6DF7"/>
    <w:rsid w:val="00DA7741"/>
    <w:rsid w:val="00DA7769"/>
    <w:rsid w:val="00DB01C3"/>
    <w:rsid w:val="00DB05B1"/>
    <w:rsid w:val="00DB09D9"/>
    <w:rsid w:val="00DB2823"/>
    <w:rsid w:val="00DB2D74"/>
    <w:rsid w:val="00DB3786"/>
    <w:rsid w:val="00DB39EB"/>
    <w:rsid w:val="00DB59E8"/>
    <w:rsid w:val="00DB5A79"/>
    <w:rsid w:val="00DB638B"/>
    <w:rsid w:val="00DB6E90"/>
    <w:rsid w:val="00DC2465"/>
    <w:rsid w:val="00DC4BCA"/>
    <w:rsid w:val="00DC5665"/>
    <w:rsid w:val="00DC5E2C"/>
    <w:rsid w:val="00DC7D48"/>
    <w:rsid w:val="00DD0253"/>
    <w:rsid w:val="00DD145A"/>
    <w:rsid w:val="00DD512E"/>
    <w:rsid w:val="00DD5EC8"/>
    <w:rsid w:val="00DD5FF5"/>
    <w:rsid w:val="00DD61D4"/>
    <w:rsid w:val="00DD7BEC"/>
    <w:rsid w:val="00DE083E"/>
    <w:rsid w:val="00DE0C22"/>
    <w:rsid w:val="00DE1177"/>
    <w:rsid w:val="00DE2CEA"/>
    <w:rsid w:val="00DE3CFE"/>
    <w:rsid w:val="00DE4DB3"/>
    <w:rsid w:val="00DE4F86"/>
    <w:rsid w:val="00DE567C"/>
    <w:rsid w:val="00DE6154"/>
    <w:rsid w:val="00DE634D"/>
    <w:rsid w:val="00DE6A3C"/>
    <w:rsid w:val="00DE74F4"/>
    <w:rsid w:val="00DE7C8B"/>
    <w:rsid w:val="00DE7F97"/>
    <w:rsid w:val="00DF0AAF"/>
    <w:rsid w:val="00DF1010"/>
    <w:rsid w:val="00DF2244"/>
    <w:rsid w:val="00DF334D"/>
    <w:rsid w:val="00DF53D9"/>
    <w:rsid w:val="00DF5AEA"/>
    <w:rsid w:val="00DF5D49"/>
    <w:rsid w:val="00DF63F6"/>
    <w:rsid w:val="00DF663C"/>
    <w:rsid w:val="00DF7992"/>
    <w:rsid w:val="00DF7BD0"/>
    <w:rsid w:val="00E00B6B"/>
    <w:rsid w:val="00E00C8E"/>
    <w:rsid w:val="00E0219D"/>
    <w:rsid w:val="00E0276A"/>
    <w:rsid w:val="00E0374B"/>
    <w:rsid w:val="00E0392F"/>
    <w:rsid w:val="00E0632F"/>
    <w:rsid w:val="00E066CE"/>
    <w:rsid w:val="00E06C36"/>
    <w:rsid w:val="00E071A9"/>
    <w:rsid w:val="00E07D26"/>
    <w:rsid w:val="00E10047"/>
    <w:rsid w:val="00E10B28"/>
    <w:rsid w:val="00E117FD"/>
    <w:rsid w:val="00E13747"/>
    <w:rsid w:val="00E14758"/>
    <w:rsid w:val="00E16BDE"/>
    <w:rsid w:val="00E21088"/>
    <w:rsid w:val="00E21C4F"/>
    <w:rsid w:val="00E21F5D"/>
    <w:rsid w:val="00E22B1C"/>
    <w:rsid w:val="00E23C5E"/>
    <w:rsid w:val="00E23E29"/>
    <w:rsid w:val="00E24504"/>
    <w:rsid w:val="00E24632"/>
    <w:rsid w:val="00E25155"/>
    <w:rsid w:val="00E25AEA"/>
    <w:rsid w:val="00E27C2C"/>
    <w:rsid w:val="00E30D26"/>
    <w:rsid w:val="00E30DEF"/>
    <w:rsid w:val="00E30ED2"/>
    <w:rsid w:val="00E31276"/>
    <w:rsid w:val="00E3155D"/>
    <w:rsid w:val="00E32102"/>
    <w:rsid w:val="00E34666"/>
    <w:rsid w:val="00E349A2"/>
    <w:rsid w:val="00E36A66"/>
    <w:rsid w:val="00E37F70"/>
    <w:rsid w:val="00E41377"/>
    <w:rsid w:val="00E41985"/>
    <w:rsid w:val="00E42B89"/>
    <w:rsid w:val="00E430B8"/>
    <w:rsid w:val="00E4449E"/>
    <w:rsid w:val="00E446C1"/>
    <w:rsid w:val="00E46BCD"/>
    <w:rsid w:val="00E51CCC"/>
    <w:rsid w:val="00E52079"/>
    <w:rsid w:val="00E52FC7"/>
    <w:rsid w:val="00E545D7"/>
    <w:rsid w:val="00E547FE"/>
    <w:rsid w:val="00E54960"/>
    <w:rsid w:val="00E55447"/>
    <w:rsid w:val="00E55927"/>
    <w:rsid w:val="00E5669C"/>
    <w:rsid w:val="00E570D4"/>
    <w:rsid w:val="00E60ECA"/>
    <w:rsid w:val="00E613AB"/>
    <w:rsid w:val="00E62134"/>
    <w:rsid w:val="00E637B6"/>
    <w:rsid w:val="00E6487C"/>
    <w:rsid w:val="00E654A9"/>
    <w:rsid w:val="00E658DC"/>
    <w:rsid w:val="00E663B6"/>
    <w:rsid w:val="00E66B13"/>
    <w:rsid w:val="00E66BBE"/>
    <w:rsid w:val="00E6780D"/>
    <w:rsid w:val="00E71DFE"/>
    <w:rsid w:val="00E728D3"/>
    <w:rsid w:val="00E72BDE"/>
    <w:rsid w:val="00E73083"/>
    <w:rsid w:val="00E73BC5"/>
    <w:rsid w:val="00E758B9"/>
    <w:rsid w:val="00E76025"/>
    <w:rsid w:val="00E76B45"/>
    <w:rsid w:val="00E77C00"/>
    <w:rsid w:val="00E810D3"/>
    <w:rsid w:val="00E82FE5"/>
    <w:rsid w:val="00E83724"/>
    <w:rsid w:val="00E84236"/>
    <w:rsid w:val="00E84C02"/>
    <w:rsid w:val="00E85569"/>
    <w:rsid w:val="00E856AF"/>
    <w:rsid w:val="00E859D9"/>
    <w:rsid w:val="00E8607C"/>
    <w:rsid w:val="00E86B83"/>
    <w:rsid w:val="00E86D6E"/>
    <w:rsid w:val="00E878FB"/>
    <w:rsid w:val="00E87976"/>
    <w:rsid w:val="00E87C64"/>
    <w:rsid w:val="00E912E1"/>
    <w:rsid w:val="00E919C3"/>
    <w:rsid w:val="00E92278"/>
    <w:rsid w:val="00E93A01"/>
    <w:rsid w:val="00E93FF8"/>
    <w:rsid w:val="00E948D8"/>
    <w:rsid w:val="00E94EB6"/>
    <w:rsid w:val="00E94F16"/>
    <w:rsid w:val="00E950CA"/>
    <w:rsid w:val="00E95CA8"/>
    <w:rsid w:val="00E96643"/>
    <w:rsid w:val="00E96CE0"/>
    <w:rsid w:val="00E96EAF"/>
    <w:rsid w:val="00E97448"/>
    <w:rsid w:val="00EA044C"/>
    <w:rsid w:val="00EA1752"/>
    <w:rsid w:val="00EA1911"/>
    <w:rsid w:val="00EA1D90"/>
    <w:rsid w:val="00EA371E"/>
    <w:rsid w:val="00EA539B"/>
    <w:rsid w:val="00EA5996"/>
    <w:rsid w:val="00EA5A89"/>
    <w:rsid w:val="00EA5BDB"/>
    <w:rsid w:val="00EA63FA"/>
    <w:rsid w:val="00EA7720"/>
    <w:rsid w:val="00EB0A73"/>
    <w:rsid w:val="00EB0B55"/>
    <w:rsid w:val="00EB254F"/>
    <w:rsid w:val="00EB3A98"/>
    <w:rsid w:val="00EB46D9"/>
    <w:rsid w:val="00EB6EF6"/>
    <w:rsid w:val="00EC0199"/>
    <w:rsid w:val="00EC0E64"/>
    <w:rsid w:val="00EC142D"/>
    <w:rsid w:val="00EC1E16"/>
    <w:rsid w:val="00EC2DD1"/>
    <w:rsid w:val="00EC4A19"/>
    <w:rsid w:val="00EC4BA5"/>
    <w:rsid w:val="00EC52DA"/>
    <w:rsid w:val="00EC6F28"/>
    <w:rsid w:val="00EC7220"/>
    <w:rsid w:val="00ED0024"/>
    <w:rsid w:val="00ED0EA0"/>
    <w:rsid w:val="00ED0F85"/>
    <w:rsid w:val="00ED1B01"/>
    <w:rsid w:val="00ED2B5C"/>
    <w:rsid w:val="00ED3269"/>
    <w:rsid w:val="00ED3A18"/>
    <w:rsid w:val="00ED3AB7"/>
    <w:rsid w:val="00ED3C57"/>
    <w:rsid w:val="00EE1A8C"/>
    <w:rsid w:val="00EE3FED"/>
    <w:rsid w:val="00EE4643"/>
    <w:rsid w:val="00EE529F"/>
    <w:rsid w:val="00EE65B6"/>
    <w:rsid w:val="00EE7C86"/>
    <w:rsid w:val="00EF1330"/>
    <w:rsid w:val="00EF15FF"/>
    <w:rsid w:val="00EF2D80"/>
    <w:rsid w:val="00EF31D8"/>
    <w:rsid w:val="00EF55E6"/>
    <w:rsid w:val="00EF5707"/>
    <w:rsid w:val="00EF588D"/>
    <w:rsid w:val="00EF66B1"/>
    <w:rsid w:val="00EF67D3"/>
    <w:rsid w:val="00EF6F1F"/>
    <w:rsid w:val="00EF70EC"/>
    <w:rsid w:val="00EF7111"/>
    <w:rsid w:val="00EF7D1A"/>
    <w:rsid w:val="00F02350"/>
    <w:rsid w:val="00F02759"/>
    <w:rsid w:val="00F03B49"/>
    <w:rsid w:val="00F0448F"/>
    <w:rsid w:val="00F0716C"/>
    <w:rsid w:val="00F105AE"/>
    <w:rsid w:val="00F108A8"/>
    <w:rsid w:val="00F13319"/>
    <w:rsid w:val="00F14353"/>
    <w:rsid w:val="00F1628B"/>
    <w:rsid w:val="00F16990"/>
    <w:rsid w:val="00F211EC"/>
    <w:rsid w:val="00F22E81"/>
    <w:rsid w:val="00F250ED"/>
    <w:rsid w:val="00F26F26"/>
    <w:rsid w:val="00F270E9"/>
    <w:rsid w:val="00F27440"/>
    <w:rsid w:val="00F275C0"/>
    <w:rsid w:val="00F3011D"/>
    <w:rsid w:val="00F30443"/>
    <w:rsid w:val="00F3048B"/>
    <w:rsid w:val="00F317B5"/>
    <w:rsid w:val="00F33348"/>
    <w:rsid w:val="00F346B6"/>
    <w:rsid w:val="00F34AB1"/>
    <w:rsid w:val="00F36145"/>
    <w:rsid w:val="00F36227"/>
    <w:rsid w:val="00F37BDD"/>
    <w:rsid w:val="00F40716"/>
    <w:rsid w:val="00F4126E"/>
    <w:rsid w:val="00F41503"/>
    <w:rsid w:val="00F417D4"/>
    <w:rsid w:val="00F41D5C"/>
    <w:rsid w:val="00F432CF"/>
    <w:rsid w:val="00F437FD"/>
    <w:rsid w:val="00F43B69"/>
    <w:rsid w:val="00F43FDB"/>
    <w:rsid w:val="00F4479A"/>
    <w:rsid w:val="00F44D82"/>
    <w:rsid w:val="00F45589"/>
    <w:rsid w:val="00F460F3"/>
    <w:rsid w:val="00F46207"/>
    <w:rsid w:val="00F466C8"/>
    <w:rsid w:val="00F46706"/>
    <w:rsid w:val="00F469A9"/>
    <w:rsid w:val="00F46B50"/>
    <w:rsid w:val="00F47C20"/>
    <w:rsid w:val="00F50B46"/>
    <w:rsid w:val="00F50D1F"/>
    <w:rsid w:val="00F51545"/>
    <w:rsid w:val="00F51D58"/>
    <w:rsid w:val="00F521DE"/>
    <w:rsid w:val="00F52654"/>
    <w:rsid w:val="00F541D4"/>
    <w:rsid w:val="00F553CE"/>
    <w:rsid w:val="00F56043"/>
    <w:rsid w:val="00F5664E"/>
    <w:rsid w:val="00F56BD8"/>
    <w:rsid w:val="00F56E86"/>
    <w:rsid w:val="00F56FA9"/>
    <w:rsid w:val="00F6171A"/>
    <w:rsid w:val="00F619BA"/>
    <w:rsid w:val="00F62306"/>
    <w:rsid w:val="00F635FC"/>
    <w:rsid w:val="00F63D03"/>
    <w:rsid w:val="00F65E2F"/>
    <w:rsid w:val="00F67385"/>
    <w:rsid w:val="00F67DF1"/>
    <w:rsid w:val="00F7054E"/>
    <w:rsid w:val="00F7137C"/>
    <w:rsid w:val="00F72A09"/>
    <w:rsid w:val="00F74E67"/>
    <w:rsid w:val="00F76734"/>
    <w:rsid w:val="00F76814"/>
    <w:rsid w:val="00F77A5F"/>
    <w:rsid w:val="00F8309B"/>
    <w:rsid w:val="00F833C9"/>
    <w:rsid w:val="00F836C8"/>
    <w:rsid w:val="00F85198"/>
    <w:rsid w:val="00F90064"/>
    <w:rsid w:val="00F90BF7"/>
    <w:rsid w:val="00F94217"/>
    <w:rsid w:val="00F9586C"/>
    <w:rsid w:val="00F96AFD"/>
    <w:rsid w:val="00F96F4C"/>
    <w:rsid w:val="00FA07F4"/>
    <w:rsid w:val="00FA11B5"/>
    <w:rsid w:val="00FA1398"/>
    <w:rsid w:val="00FA1515"/>
    <w:rsid w:val="00FA2053"/>
    <w:rsid w:val="00FA2E19"/>
    <w:rsid w:val="00FA397B"/>
    <w:rsid w:val="00FA3BE7"/>
    <w:rsid w:val="00FA4373"/>
    <w:rsid w:val="00FA4BA0"/>
    <w:rsid w:val="00FA697F"/>
    <w:rsid w:val="00FA6F4C"/>
    <w:rsid w:val="00FA7354"/>
    <w:rsid w:val="00FB0147"/>
    <w:rsid w:val="00FB0F92"/>
    <w:rsid w:val="00FB2FB3"/>
    <w:rsid w:val="00FB3846"/>
    <w:rsid w:val="00FB398A"/>
    <w:rsid w:val="00FB4BF5"/>
    <w:rsid w:val="00FB5059"/>
    <w:rsid w:val="00FB5521"/>
    <w:rsid w:val="00FB610D"/>
    <w:rsid w:val="00FB626E"/>
    <w:rsid w:val="00FB6CA8"/>
    <w:rsid w:val="00FC1E4C"/>
    <w:rsid w:val="00FC4477"/>
    <w:rsid w:val="00FC46FB"/>
    <w:rsid w:val="00FC4DD1"/>
    <w:rsid w:val="00FC7B66"/>
    <w:rsid w:val="00FD0D94"/>
    <w:rsid w:val="00FD106C"/>
    <w:rsid w:val="00FD2BD3"/>
    <w:rsid w:val="00FD2DE3"/>
    <w:rsid w:val="00FD2EB6"/>
    <w:rsid w:val="00FD3DEF"/>
    <w:rsid w:val="00FD4CCA"/>
    <w:rsid w:val="00FD58B1"/>
    <w:rsid w:val="00FE00EA"/>
    <w:rsid w:val="00FE04BA"/>
    <w:rsid w:val="00FE234B"/>
    <w:rsid w:val="00FE2A9E"/>
    <w:rsid w:val="00FE34B3"/>
    <w:rsid w:val="00FE46B7"/>
    <w:rsid w:val="00FE4CEC"/>
    <w:rsid w:val="00FE683A"/>
    <w:rsid w:val="00FF0420"/>
    <w:rsid w:val="00FF41B8"/>
    <w:rsid w:val="00FF47C1"/>
    <w:rsid w:val="00FF4F5A"/>
    <w:rsid w:val="00FF5237"/>
    <w:rsid w:val="00FF5629"/>
    <w:rsid w:val="00FF5866"/>
    <w:rsid w:val="00FF5B79"/>
    <w:rsid w:val="00FF689D"/>
    <w:rsid w:val="04AC2DD6"/>
    <w:rsid w:val="06763376"/>
    <w:rsid w:val="06D79157"/>
    <w:rsid w:val="0CEC7E59"/>
    <w:rsid w:val="0DD79F36"/>
    <w:rsid w:val="11E43BAB"/>
    <w:rsid w:val="121534C5"/>
    <w:rsid w:val="161E678D"/>
    <w:rsid w:val="19090967"/>
    <w:rsid w:val="1B3C24C5"/>
    <w:rsid w:val="210B7837"/>
    <w:rsid w:val="21472397"/>
    <w:rsid w:val="23B4E6BE"/>
    <w:rsid w:val="24E902AD"/>
    <w:rsid w:val="24F18C83"/>
    <w:rsid w:val="25653D02"/>
    <w:rsid w:val="27AA7305"/>
    <w:rsid w:val="2D8203A5"/>
    <w:rsid w:val="2EE03404"/>
    <w:rsid w:val="3310C0BE"/>
    <w:rsid w:val="38EF0D05"/>
    <w:rsid w:val="39A07357"/>
    <w:rsid w:val="39E150E0"/>
    <w:rsid w:val="3A7B7E8E"/>
    <w:rsid w:val="3D9B6294"/>
    <w:rsid w:val="42088138"/>
    <w:rsid w:val="4DA42050"/>
    <w:rsid w:val="4DA66BB7"/>
    <w:rsid w:val="511D528A"/>
    <w:rsid w:val="51C3243B"/>
    <w:rsid w:val="588ADAF6"/>
    <w:rsid w:val="5C53117A"/>
    <w:rsid w:val="5CE173DD"/>
    <w:rsid w:val="66EB6E8A"/>
    <w:rsid w:val="69981A89"/>
    <w:rsid w:val="6A05011C"/>
    <w:rsid w:val="6B9E54FF"/>
    <w:rsid w:val="7629CDD5"/>
    <w:rsid w:val="772E53B0"/>
    <w:rsid w:val="78F36363"/>
    <w:rsid w:val="7C9020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76ED7"/>
  <w15:docId w15:val="{7E98497C-3665-4F30-BF51-D221BF5E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footnote reference" w:uiPriority="99"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76" w:lineRule="auto"/>
      <w:jc w:val="both"/>
    </w:pPr>
    <w:rPr>
      <w:rFonts w:ascii="Segoe UI" w:hAnsi="Segoe UI"/>
      <w:sz w:val="22"/>
      <w:szCs w:val="24"/>
      <w:lang w:eastAsia="en-US"/>
    </w:rPr>
  </w:style>
  <w:style w:type="paragraph" w:styleId="Heading1">
    <w:name w:val="heading 1"/>
    <w:basedOn w:val="Normal"/>
    <w:next w:val="Normal"/>
    <w:link w:val="Heading1Char"/>
    <w:uiPriority w:val="99"/>
    <w:qFormat/>
    <w:pPr>
      <w:keepNext/>
      <w:spacing w:line="420" w:lineRule="atLeast"/>
      <w:outlineLvl w:val="0"/>
    </w:pPr>
    <w:rPr>
      <w:rFonts w:cs="Arial"/>
      <w:b/>
      <w:bCs/>
      <w:kern w:val="32"/>
      <w:sz w:val="36"/>
      <w:szCs w:val="32"/>
    </w:rPr>
  </w:style>
  <w:style w:type="paragraph" w:styleId="Heading2">
    <w:name w:val="heading 2"/>
    <w:basedOn w:val="Normal"/>
    <w:next w:val="Normal"/>
    <w:qFormat/>
    <w:pPr>
      <w:keepNext/>
      <w:outlineLvl w:val="1"/>
    </w:pPr>
    <w:rPr>
      <w:rFonts w:cs="Arial"/>
      <w:bCs/>
      <w:iCs/>
      <w:color w:val="E1000F"/>
      <w:szCs w:val="28"/>
    </w:rPr>
  </w:style>
  <w:style w:type="paragraph" w:styleId="Heading3">
    <w:name w:val="heading 3"/>
    <w:basedOn w:val="Heading2"/>
    <w:next w:val="Normal"/>
    <w:qFormat/>
    <w:pPr>
      <w:outlineLvl w:val="2"/>
    </w:pPr>
    <w:rPr>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spacing w:line="260" w:lineRule="atLeast"/>
      <w:jc w:val="left"/>
    </w:pPr>
    <w:rPr>
      <w:rFonts w:ascii="Arial" w:hAnsi="Arial"/>
      <w:sz w:val="20"/>
      <w:szCs w:val="20"/>
      <w:lang w:val="de-DE"/>
    </w:rPr>
  </w:style>
  <w:style w:type="paragraph" w:styleId="Date">
    <w:name w:val="Date"/>
    <w:basedOn w:val="Normal"/>
    <w:next w:val="Normal"/>
    <w:link w:val="DateChar"/>
    <w:qFormat/>
    <w:pPr>
      <w:ind w:leftChars="2500" w:left="100"/>
    </w:pPr>
  </w:style>
  <w:style w:type="paragraph" w:styleId="BalloonText">
    <w:name w:val="Balloon Text"/>
    <w:basedOn w:val="Normal"/>
    <w:link w:val="BalloonTextChar"/>
    <w:qFormat/>
    <w:pPr>
      <w:spacing w:line="240" w:lineRule="auto"/>
    </w:pPr>
    <w:rPr>
      <w:sz w:val="18"/>
      <w:szCs w:val="18"/>
    </w:rPr>
  </w:style>
  <w:style w:type="paragraph" w:styleId="Footer">
    <w:name w:val="footer"/>
    <w:basedOn w:val="Normal"/>
    <w:link w:val="FooterChar"/>
    <w:uiPriority w:val="99"/>
    <w:qFormat/>
    <w:pPr>
      <w:tabs>
        <w:tab w:val="right" w:pos="7083"/>
        <w:tab w:val="right" w:pos="8640"/>
      </w:tabs>
      <w:spacing w:line="180" w:lineRule="atLeast"/>
      <w:jc w:val="right"/>
    </w:pPr>
    <w:rPr>
      <w:bCs/>
      <w:sz w:val="12"/>
    </w:rPr>
  </w:style>
  <w:style w:type="paragraph" w:styleId="Header">
    <w:name w:val="header"/>
    <w:basedOn w:val="Normal"/>
    <w:qFormat/>
    <w:pPr>
      <w:tabs>
        <w:tab w:val="left" w:pos="2607"/>
        <w:tab w:val="center" w:pos="4320"/>
        <w:tab w:val="right" w:pos="9356"/>
      </w:tabs>
      <w:spacing w:before="1440" w:line="100" w:lineRule="atLeast"/>
      <w:jc w:val="right"/>
    </w:pPr>
    <w:rPr>
      <w:rFonts w:cs="Segoe UI"/>
      <w:b/>
      <w:bCs/>
      <w:color w:val="3E3C3C"/>
      <w:sz w:val="40"/>
      <w:szCs w:val="40"/>
    </w:rPr>
  </w:style>
  <w:style w:type="paragraph" w:styleId="CommentSubject">
    <w:name w:val="annotation subject"/>
    <w:basedOn w:val="CommentText"/>
    <w:next w:val="CommentText"/>
    <w:link w:val="CommentSubjectChar"/>
    <w:qFormat/>
    <w:pPr>
      <w:spacing w:line="240" w:lineRule="auto"/>
      <w:jc w:val="both"/>
    </w:pPr>
    <w:rPr>
      <w:rFonts w:ascii="Segoe UI" w:hAnsi="Segoe UI"/>
      <w:b/>
      <w:bCs/>
      <w:lang w:val="en-US"/>
    </w:rPr>
  </w:style>
  <w:style w:type="table" w:styleId="TableGrid">
    <w:name w:val="Table Grid"/>
    <w:basedOn w:val="TableNormal"/>
    <w:qFormat/>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qFormat/>
    <w:rPr>
      <w:rFonts w:ascii="Segoe UI" w:hAnsi="Segoe UI"/>
      <w:color w:val="0000FF"/>
      <w:sz w:val="18"/>
      <w:szCs w:val="18"/>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paragraph" w:customStyle="1" w:styleId="Intro">
    <w:name w:val="Intro"/>
    <w:basedOn w:val="Normal"/>
    <w:qFormat/>
    <w:pPr>
      <w:spacing w:after="300"/>
    </w:pPr>
    <w:rPr>
      <w:color w:val="415055"/>
      <w:sz w:val="24"/>
    </w:rPr>
  </w:style>
  <w:style w:type="paragraph" w:customStyle="1" w:styleId="NumBullet">
    <w:name w:val="Num_Bullet"/>
    <w:basedOn w:val="Normal"/>
    <w:qFormat/>
    <w:pPr>
      <w:numPr>
        <w:numId w:val="1"/>
      </w:numPr>
      <w:tabs>
        <w:tab w:val="clear" w:pos="567"/>
        <w:tab w:val="left" w:pos="357"/>
      </w:tabs>
      <w:ind w:left="357" w:hanging="357"/>
    </w:pPr>
  </w:style>
  <w:style w:type="paragraph" w:customStyle="1" w:styleId="Page1Name">
    <w:name w:val="Page1_Name"/>
    <w:basedOn w:val="Normal"/>
    <w:qFormat/>
    <w:pPr>
      <w:spacing w:after="420" w:line="360" w:lineRule="atLeast"/>
    </w:pPr>
    <w:rPr>
      <w:b/>
      <w:sz w:val="30"/>
    </w:rPr>
  </w:style>
  <w:style w:type="paragraph" w:customStyle="1" w:styleId="Page1Title">
    <w:name w:val="Page1_Title"/>
    <w:basedOn w:val="Normal"/>
    <w:qFormat/>
    <w:pPr>
      <w:spacing w:line="228" w:lineRule="auto"/>
    </w:pPr>
    <w:rPr>
      <w:color w:val="E1000F"/>
      <w:sz w:val="90"/>
    </w:rPr>
  </w:style>
  <w:style w:type="paragraph" w:customStyle="1" w:styleId="Page1Author">
    <w:name w:val="Page1_Author"/>
    <w:basedOn w:val="Page1Name"/>
    <w:qFormat/>
    <w:pPr>
      <w:spacing w:before="240" w:after="0"/>
    </w:pPr>
    <w:rPr>
      <w:b w:val="0"/>
      <w:bCs/>
    </w:rPr>
  </w:style>
  <w:style w:type="paragraph" w:customStyle="1" w:styleId="Info">
    <w:name w:val="Info"/>
    <w:basedOn w:val="Normal"/>
    <w:link w:val="InfoZchn"/>
    <w:qFormat/>
    <w:pPr>
      <w:spacing w:line="240" w:lineRule="atLeast"/>
    </w:pPr>
    <w:rPr>
      <w:sz w:val="13"/>
    </w:rPr>
  </w:style>
  <w:style w:type="character" w:customStyle="1" w:styleId="InfoZchn">
    <w:name w:val="Info Zchn"/>
    <w:link w:val="Info"/>
    <w:qFormat/>
    <w:rPr>
      <w:rFonts w:ascii="Arial" w:hAnsi="Arial"/>
      <w:sz w:val="13"/>
      <w:szCs w:val="24"/>
      <w:lang w:val="de-DE" w:eastAsia="en-US" w:bidi="ar-SA"/>
    </w:rPr>
  </w:style>
  <w:style w:type="paragraph" w:customStyle="1" w:styleId="Standard12pt">
    <w:name w:val="Standard_12pt"/>
    <w:basedOn w:val="Normal"/>
    <w:qFormat/>
    <w:pPr>
      <w:spacing w:line="300" w:lineRule="atLeast"/>
    </w:pPr>
    <w:rPr>
      <w:sz w:val="24"/>
    </w:rPr>
  </w:style>
  <w:style w:type="character" w:customStyle="1" w:styleId="Heading1Char">
    <w:name w:val="Heading 1 Char"/>
    <w:link w:val="Heading1"/>
    <w:uiPriority w:val="99"/>
    <w:qFormat/>
    <w:locked/>
    <w:rPr>
      <w:rFonts w:ascii="Arial" w:hAnsi="Arial" w:cs="Arial"/>
      <w:b/>
      <w:bCs/>
      <w:kern w:val="32"/>
      <w:sz w:val="36"/>
      <w:szCs w:val="32"/>
      <w:lang w:val="de-DE"/>
    </w:rPr>
  </w:style>
  <w:style w:type="paragraph" w:customStyle="1" w:styleId="MittleresRaster1-Akzent21">
    <w:name w:val="Mittleres Raster 1 - Akzent 21"/>
    <w:basedOn w:val="Normal"/>
    <w:uiPriority w:val="34"/>
    <w:qFormat/>
    <w:pPr>
      <w:ind w:left="720"/>
    </w:pPr>
  </w:style>
  <w:style w:type="character" w:customStyle="1" w:styleId="BalloonTextChar">
    <w:name w:val="Balloon Text Char"/>
    <w:link w:val="BalloonText"/>
    <w:qFormat/>
    <w:rPr>
      <w:rFonts w:ascii="Segoe UI" w:hAnsi="Segoe UI"/>
      <w:sz w:val="18"/>
      <w:szCs w:val="18"/>
      <w:lang w:val="de-DE"/>
    </w:rPr>
  </w:style>
  <w:style w:type="paragraph" w:customStyle="1" w:styleId="MittlereListe2-Akzent21">
    <w:name w:val="Mittlere Liste 2 - Akzent 21"/>
    <w:hidden/>
    <w:uiPriority w:val="99"/>
    <w:semiHidden/>
    <w:qFormat/>
    <w:rPr>
      <w:rFonts w:ascii="Arial" w:hAnsi="Arial"/>
      <w:sz w:val="18"/>
      <w:szCs w:val="24"/>
      <w:lang w:val="de-DE" w:eastAsia="en-US"/>
    </w:rPr>
  </w:style>
  <w:style w:type="character" w:customStyle="1" w:styleId="FooterChar">
    <w:name w:val="Footer Char"/>
    <w:link w:val="Footer"/>
    <w:uiPriority w:val="99"/>
    <w:qFormat/>
    <w:rPr>
      <w:rFonts w:ascii="Segoe UI" w:hAnsi="Segoe UI"/>
      <w:bCs/>
      <w:sz w:val="12"/>
      <w:szCs w:val="24"/>
      <w:lang w:val="de-DE"/>
    </w:rPr>
  </w:style>
  <w:style w:type="character" w:customStyle="1" w:styleId="1">
    <w:name w:val="未处理的提及1"/>
    <w:uiPriority w:val="99"/>
    <w:semiHidden/>
    <w:unhideWhenUsed/>
    <w:qFormat/>
    <w:rPr>
      <w:color w:val="605E5C"/>
      <w:shd w:val="clear" w:color="auto" w:fill="E1DFDD"/>
    </w:rPr>
  </w:style>
  <w:style w:type="paragraph" w:customStyle="1" w:styleId="Style12ptJustifiedLinespacing15lines">
    <w:name w:val="Style 12 pt Justified Line spacing:  1.5 lines"/>
    <w:basedOn w:val="Normal"/>
    <w:qFormat/>
    <w:rPr>
      <w:szCs w:val="20"/>
    </w:rPr>
  </w:style>
  <w:style w:type="paragraph" w:customStyle="1" w:styleId="Style12ptJustifiedLinespacing15lines1">
    <w:name w:val="Style 12 pt Justified Line spacing:  1.5 lines1"/>
    <w:basedOn w:val="Normal"/>
    <w:qFormat/>
    <w:pPr>
      <w:spacing w:before="120"/>
    </w:pPr>
    <w:rPr>
      <w:szCs w:val="20"/>
    </w:rPr>
  </w:style>
  <w:style w:type="character" w:customStyle="1" w:styleId="Headline">
    <w:name w:val="Headline"/>
    <w:basedOn w:val="DefaultParagraphFont"/>
    <w:qFormat/>
    <w:rPr>
      <w:b/>
      <w:bCs/>
      <w:sz w:val="32"/>
    </w:rPr>
  </w:style>
  <w:style w:type="paragraph" w:customStyle="1" w:styleId="MonthDayYear">
    <w:name w:val="Month Day Year"/>
    <w:basedOn w:val="Normal"/>
    <w:qFormat/>
    <w:pPr>
      <w:spacing w:before="120"/>
      <w:ind w:right="-1"/>
      <w:jc w:val="right"/>
    </w:pPr>
    <w:rPr>
      <w:szCs w:val="20"/>
    </w:rPr>
  </w:style>
  <w:style w:type="paragraph" w:customStyle="1" w:styleId="Topline">
    <w:name w:val="Topline"/>
    <w:basedOn w:val="Normal"/>
    <w:qFormat/>
    <w:pPr>
      <w:spacing w:before="560" w:after="560"/>
    </w:pPr>
    <w:rPr>
      <w:rFonts w:cs="Segoe UI"/>
      <w:szCs w:val="22"/>
    </w:rPr>
  </w:style>
  <w:style w:type="character" w:customStyle="1" w:styleId="AboutandContactBody">
    <w:name w:val="About and Contact Body"/>
    <w:basedOn w:val="DefaultParagraphFont"/>
    <w:qFormat/>
    <w:rPr>
      <w:rFonts w:ascii="Segoe UI" w:hAnsi="Segoe UI"/>
      <w:sz w:val="18"/>
    </w:rPr>
  </w:style>
  <w:style w:type="character" w:customStyle="1" w:styleId="AboutandContactHeadline">
    <w:name w:val="About and Contact Headline"/>
    <w:basedOn w:val="DefaultParagraphFont"/>
    <w:qFormat/>
    <w:rPr>
      <w:rFonts w:ascii="Segoe UI" w:hAnsi="Segoe UI"/>
      <w:b/>
      <w:bCs/>
      <w:sz w:val="18"/>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rFonts w:ascii="Arial" w:hAnsi="Arial"/>
      <w:sz w:val="20"/>
      <w:szCs w:val="20"/>
      <w:lang w:val="de-DE"/>
    </w:rPr>
  </w:style>
  <w:style w:type="character" w:customStyle="1" w:styleId="CommentSubjectChar">
    <w:name w:val="Comment Subject Char"/>
    <w:basedOn w:val="CommentTextChar"/>
    <w:link w:val="CommentSubject"/>
    <w:qFormat/>
    <w:rPr>
      <w:rFonts w:ascii="Arial" w:hAnsi="Arial"/>
      <w:b/>
      <w:bCs/>
      <w:sz w:val="20"/>
      <w:szCs w:val="20"/>
      <w:lang w:val="de-DE"/>
    </w:rPr>
  </w:style>
  <w:style w:type="paragraph" w:customStyle="1" w:styleId="10">
    <w:name w:val="修订1"/>
    <w:hidden/>
    <w:uiPriority w:val="62"/>
    <w:unhideWhenUsed/>
    <w:qFormat/>
    <w:rPr>
      <w:rFonts w:ascii="Segoe UI" w:hAnsi="Segoe UI"/>
      <w:sz w:val="22"/>
      <w:szCs w:val="24"/>
      <w:lang w:eastAsia="en-US"/>
    </w:rPr>
  </w:style>
  <w:style w:type="paragraph" w:customStyle="1" w:styleId="He04Funote">
    <w:name w:val="_He_04_Fußnote"/>
    <w:next w:val="Normal"/>
    <w:qFormat/>
    <w:pPr>
      <w:tabs>
        <w:tab w:val="left" w:pos="85"/>
      </w:tabs>
      <w:spacing w:line="256" w:lineRule="auto"/>
      <w:ind w:left="85" w:hanging="85"/>
    </w:pPr>
    <w:rPr>
      <w:rFonts w:ascii="Segoe UI" w:eastAsiaTheme="minorHAnsi" w:hAnsi="Segoe UI" w:cstheme="minorBidi"/>
      <w:sz w:val="15"/>
      <w:szCs w:val="22"/>
      <w:lang w:val="de-DE" w:eastAsia="en-US"/>
      <w14:numForm w14:val="lining"/>
    </w:rPr>
  </w:style>
  <w:style w:type="paragraph" w:customStyle="1" w:styleId="He05Fett">
    <w:name w:val="_He_05_Fett"/>
    <w:next w:val="Normal"/>
    <w:link w:val="He05FettZchn"/>
    <w:qFormat/>
    <w:pPr>
      <w:spacing w:after="160" w:line="259" w:lineRule="auto"/>
    </w:pPr>
    <w:rPr>
      <w:rFonts w:ascii="Segoe UI" w:eastAsiaTheme="minorHAnsi" w:hAnsi="Segoe UI" w:cstheme="minorBidi"/>
      <w:b/>
      <w:sz w:val="18"/>
      <w:szCs w:val="22"/>
      <w:lang w:val="de-DE" w:eastAsia="en-US"/>
    </w:rPr>
  </w:style>
  <w:style w:type="character" w:customStyle="1" w:styleId="He05FettZchn">
    <w:name w:val="_He_05_Fett Zchn"/>
    <w:basedOn w:val="DefaultParagraphFont"/>
    <w:link w:val="He05Fett"/>
    <w:qFormat/>
    <w:rPr>
      <w:rFonts w:eastAsiaTheme="minorHAnsi" w:cstheme="minorBidi"/>
      <w:b/>
      <w:szCs w:val="22"/>
      <w:lang w:val="de-DE"/>
    </w:rPr>
  </w:style>
  <w:style w:type="paragraph" w:customStyle="1" w:styleId="He01Flietext">
    <w:name w:val="_He_01_Fließtext"/>
    <w:qFormat/>
    <w:pPr>
      <w:tabs>
        <w:tab w:val="left" w:pos="284"/>
      </w:tabs>
      <w:spacing w:after="160" w:line="259" w:lineRule="auto"/>
      <w:jc w:val="both"/>
    </w:pPr>
    <w:rPr>
      <w:rFonts w:ascii="Segoe UI" w:eastAsiaTheme="minorHAnsi" w:hAnsi="Segoe UI" w:cstheme="minorBidi"/>
      <w:sz w:val="18"/>
      <w:szCs w:val="22"/>
      <w:lang w:val="de-DE" w:eastAsia="en-US"/>
    </w:rPr>
  </w:style>
  <w:style w:type="character" w:customStyle="1" w:styleId="DateChar">
    <w:name w:val="Date Char"/>
    <w:basedOn w:val="DefaultParagraphFont"/>
    <w:link w:val="Date"/>
    <w:qFormat/>
    <w:rPr>
      <w:sz w:val="22"/>
    </w:rPr>
  </w:style>
  <w:style w:type="paragraph" w:styleId="Revision">
    <w:name w:val="Revision"/>
    <w:hidden/>
    <w:uiPriority w:val="99"/>
    <w:unhideWhenUsed/>
    <w:rsid w:val="00A52969"/>
    <w:rPr>
      <w:rFonts w:ascii="Segoe UI" w:hAnsi="Segoe U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enkel.c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liki.qin@henkel.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ouise.cheung@henkel.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spPr>
      <a:bodyPr vert="horz" wrap="none" lIns="90000" tIns="46800" rIns="90000" bIns="46800" numCol="1" anchor="ctr" anchorCtr="0" compatLnSpc="1"/>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21" ma:contentTypeDescription="Create a new document." ma:contentTypeScope="" ma:versionID="5c82d6a91480ea3a633158506e52c116">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c2c19249a9c10464532c27e8f459ab4"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2f792e8-4dad-42c1-ad63-44982727bf4d" ContentTypeId="0x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3.xml><?xml version="1.0" encoding="utf-8"?>
<ds:datastoreItem xmlns:ds="http://schemas.openxmlformats.org/officeDocument/2006/customXml" ds:itemID="{0FCCBF54-28EE-4544-922A-14A41FE4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5.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7</Pages>
  <Words>3346</Words>
  <Characters>3748</Characters>
  <Application>Microsoft Office Word</Application>
  <DocSecurity>0</DocSecurity>
  <Lines>133</Lines>
  <Paragraphs>75</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Henkel</dc:creator>
  <cp:lastModifiedBy>Liki Qin</cp:lastModifiedBy>
  <cp:revision>7</cp:revision>
  <cp:lastPrinted>2026-02-11T08:17:00Z</cp:lastPrinted>
  <dcterms:created xsi:type="dcterms:W3CDTF">2026-03-13T09:32:00Z</dcterms:created>
  <dcterms:modified xsi:type="dcterms:W3CDTF">2026-03-13T09:42:00Z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y fmtid="{D5CDD505-2E9C-101B-9397-08002B2CF9AE}" pid="4" name="KSOTemplateDocerSaveRecord">
    <vt:lpwstr>eyJoZGlkIjoiOTc3M2Y5NzIzMDFlZjAyY2Q4Njk5ODkyYjFjNzBiNTQiLCJ1c2VySWQiOiIxMzM3MjcwOTMwIn0=</vt:lpwstr>
  </property>
  <property fmtid="{D5CDD505-2E9C-101B-9397-08002B2CF9AE}" pid="5" name="KSOProductBuildVer">
    <vt:lpwstr>2052-12.1.0.25225</vt:lpwstr>
  </property>
  <property fmtid="{D5CDD505-2E9C-101B-9397-08002B2CF9AE}" pid="6" name="ICV">
    <vt:lpwstr>54BA0F79318B4872BC524C0D9829057E_12</vt:lpwstr>
  </property>
</Properties>
</file>