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03178CFF" w:rsidR="005742B4" w:rsidRPr="0073001F" w:rsidRDefault="00EF7818">
      <w:pPr>
        <w:pStyle w:val="MonthDayYear"/>
        <w:rPr>
          <w:lang w:val="cs-CZ"/>
        </w:rPr>
      </w:pPr>
      <w:r w:rsidRPr="0073001F">
        <w:rPr>
          <w:lang w:val="cs-CZ"/>
        </w:rPr>
        <w:t>26</w:t>
      </w:r>
      <w:r w:rsidR="004D74B9" w:rsidRPr="0073001F">
        <w:rPr>
          <w:lang w:val="cs-CZ"/>
        </w:rPr>
        <w:t xml:space="preserve">. </w:t>
      </w:r>
      <w:r w:rsidRPr="0073001F">
        <w:rPr>
          <w:lang w:val="cs-CZ"/>
        </w:rPr>
        <w:t>únor</w:t>
      </w:r>
      <w:r w:rsidR="007D354B" w:rsidRPr="0073001F">
        <w:rPr>
          <w:lang w:val="cs-CZ"/>
        </w:rPr>
        <w:t xml:space="preserve"> 202</w:t>
      </w:r>
      <w:r w:rsidR="00044A9B">
        <w:rPr>
          <w:lang w:val="cs-CZ"/>
        </w:rPr>
        <w:t>6</w:t>
      </w:r>
    </w:p>
    <w:p w14:paraId="67BD1E4A" w14:textId="77777777" w:rsidR="0065690F" w:rsidRPr="0073001F" w:rsidRDefault="0065690F" w:rsidP="0003352D">
      <w:pPr>
        <w:rPr>
          <w:lang w:val="cs-CZ"/>
        </w:rPr>
      </w:pPr>
    </w:p>
    <w:p w14:paraId="530F772E" w14:textId="70C59A4B" w:rsidR="002D70F8" w:rsidRPr="0073001F" w:rsidRDefault="002D70F8" w:rsidP="0003352D">
      <w:pPr>
        <w:rPr>
          <w:lang w:val="cs-CZ"/>
        </w:rPr>
      </w:pPr>
      <w:r w:rsidRPr="0073001F">
        <w:rPr>
          <w:lang w:val="cs-CZ"/>
        </w:rPr>
        <w:t>Snacky, zmrzlina a čokoláda balené v recyklovatelném papíru místo plastu</w:t>
      </w:r>
    </w:p>
    <w:p w14:paraId="4E38DD16" w14:textId="77777777" w:rsidR="002D70F8" w:rsidRPr="0073001F" w:rsidRDefault="002D70F8" w:rsidP="0003352D">
      <w:pPr>
        <w:rPr>
          <w:lang w:val="cs-CZ"/>
        </w:rPr>
      </w:pPr>
    </w:p>
    <w:p w14:paraId="25914181" w14:textId="21151747" w:rsidR="0003352D" w:rsidRPr="0073001F" w:rsidRDefault="00BA51A9" w:rsidP="0003352D">
      <w:pPr>
        <w:rPr>
          <w:rStyle w:val="Headline"/>
          <w:lang w:val="cs-CZ"/>
        </w:rPr>
      </w:pPr>
      <w:r w:rsidRPr="0073001F">
        <w:rPr>
          <w:rStyle w:val="Headline"/>
          <w:lang w:val="cs-CZ"/>
        </w:rPr>
        <w:t>Těsnění pro cirkularitu: Henkel uvádí své první řešení Cold Seal pro funkční bariérový papír</w:t>
      </w:r>
    </w:p>
    <w:p w14:paraId="287CA1DD" w14:textId="77777777" w:rsidR="0065690F" w:rsidRPr="0073001F" w:rsidRDefault="0065690F" w:rsidP="0065690F">
      <w:pPr>
        <w:pStyle w:val="Predvolen"/>
        <w:spacing w:before="0" w:line="276" w:lineRule="auto"/>
        <w:ind w:right="553"/>
        <w:rPr>
          <w:rFonts w:ascii="Helvetica" w:eastAsia="Helvetica" w:hAnsi="Helvetica" w:cs="Helvetica"/>
          <w:sz w:val="22"/>
          <w:szCs w:val="22"/>
          <w:lang w:val="cs-CZ"/>
        </w:rPr>
      </w:pPr>
    </w:p>
    <w:p w14:paraId="505A6623" w14:textId="77777777" w:rsidR="0065690F" w:rsidRPr="0073001F" w:rsidRDefault="0065690F" w:rsidP="0065690F">
      <w:pPr>
        <w:pStyle w:val="Predvolen"/>
        <w:spacing w:before="0" w:line="276" w:lineRule="auto"/>
        <w:ind w:right="553"/>
        <w:rPr>
          <w:rFonts w:ascii="Segoe UI" w:eastAsia="Helvetica" w:hAnsi="Segoe UI" w:cs="Segoe UI"/>
          <w:sz w:val="22"/>
          <w:szCs w:val="22"/>
          <w:lang w:val="cs-CZ"/>
        </w:rPr>
      </w:pPr>
      <w:r w:rsidRPr="0073001F">
        <w:rPr>
          <w:rFonts w:ascii="Segoe UI" w:hAnsi="Segoe UI" w:cs="Segoe UI"/>
          <w:sz w:val="22"/>
          <w:szCs w:val="22"/>
          <w:lang w:val="cs-CZ"/>
        </w:rPr>
        <w:t>Düsseldorf – Svým inovativním produktem Loctite Liofol CS 7106 RE společnost Henkel zaplňuje technologickou mezeru: jde o první řešení studeného svaru (Cold Seal) speciálně vyvinuté pro obaly z bariérově upraveného papíru, označovaného také jako funkční bariérový papír. Vývoj takových řešení podporuje rostoucí trend tzv. „papírizace</w:t>
      </w:r>
      <w:r w:rsidRPr="0073001F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73001F">
        <w:rPr>
          <w:rFonts w:ascii="Segoe UI" w:hAnsi="Segoe UI" w:cs="Segoe UI"/>
          <w:sz w:val="22"/>
          <w:szCs w:val="22"/>
          <w:lang w:val="cs-CZ"/>
        </w:rPr>
        <w:t>, kdy jsou papírové obaly stále více vyhledávanou a používanou alternativou k plastovým obalům. Hlavními faktory jsou přísné regulační požadavky na recyklovatelnost obalů, jako například nařízení EU o obalech a obalových odpadech (PPWR), a rostoucí zájem zákazníků o udržitelná obalová řešení. Podle nedávné zprávy společnosti GlobalData považuje přes 70 % spotřebitelů na celém světě recyklovatelné obaly za nezbytné nebo žádoucí.</w:t>
      </w:r>
    </w:p>
    <w:p w14:paraId="370D382A" w14:textId="77777777" w:rsidR="0065690F" w:rsidRPr="0073001F" w:rsidRDefault="0065690F" w:rsidP="0065690F">
      <w:pPr>
        <w:pStyle w:val="Predvolen"/>
        <w:spacing w:before="100" w:after="10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  <w:r w:rsidRPr="0073001F">
        <w:rPr>
          <w:rFonts w:ascii="Segoe UI" w:hAnsi="Segoe UI" w:cs="Segoe UI"/>
          <w:sz w:val="22"/>
          <w:szCs w:val="22"/>
          <w:lang w:val="cs-CZ"/>
        </w:rPr>
        <w:t>Loctite Liofol CS 7106 RE, jakožto první produkt v portfoliu společnosti Henkel speciálně určený pro zatavování obalů z bariérového papíru za studena, umožňuje spolehlivou výrobu recyklovatelných obalů a tvoří bezpečný spoj bez použití tepla. Podporuje tak výrobce při přechodu k udržitelným obalovým řešením. Produkt je vhodný nejen pro potravinářský průmysl, ale i pro výrobu obalů na sběratelské kartičky a jiné sekundární obaly, u kterých se dosud používaly plastové materiály. Produkt je součástí řady Henkel RE – portfolia lepicích a povlakových řešení vyvinutých speciálně pro recyklovatelné obaly, která prokazatelně podporují opětovné využití materiálů.</w:t>
      </w:r>
    </w:p>
    <w:p w14:paraId="113068DF" w14:textId="77777777" w:rsidR="0065690F" w:rsidRPr="0073001F" w:rsidRDefault="0065690F" w:rsidP="0065690F">
      <w:pPr>
        <w:pStyle w:val="Predvolen"/>
        <w:spacing w:before="100" w:after="10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0933DCAD" w14:textId="77777777" w:rsidR="0065690F" w:rsidRPr="0073001F" w:rsidRDefault="0065690F" w:rsidP="0065690F">
      <w:pPr>
        <w:pStyle w:val="Predvolen"/>
        <w:spacing w:before="100" w:after="100" w:line="276" w:lineRule="auto"/>
        <w:ind w:right="553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73001F">
        <w:rPr>
          <w:rFonts w:ascii="Segoe UI" w:hAnsi="Segoe UI" w:cs="Segoe UI"/>
          <w:b/>
          <w:bCs/>
          <w:sz w:val="22"/>
          <w:szCs w:val="22"/>
          <w:lang w:val="cs-CZ"/>
        </w:rPr>
        <w:t>Odolné těsnění kompatibilní s recyklací</w:t>
      </w:r>
    </w:p>
    <w:p w14:paraId="25A58C07" w14:textId="1E468F12" w:rsidR="0065690F" w:rsidRPr="0073001F" w:rsidRDefault="0065690F" w:rsidP="0065690F">
      <w:pPr>
        <w:pStyle w:val="Predvolen"/>
        <w:spacing w:before="100" w:after="10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  <w:r w:rsidRPr="0073001F">
        <w:rPr>
          <w:rFonts w:ascii="Segoe UI" w:hAnsi="Segoe UI" w:cs="Segoe UI"/>
          <w:sz w:val="22"/>
          <w:szCs w:val="22"/>
          <w:lang w:val="cs-CZ"/>
        </w:rPr>
        <w:t xml:space="preserve">Loctite Liofol CS 7106 RE poskytuje pevný, trvalý spoj s výjimečnými adhezními vlastnostmi a konzistentní kvalitou aplikace i při vysokých výrobních rychlostech. Technologie Cold Seal je vhodná pro použití při lisování za studena, zajišťuje stabilní aplikaci na širokém spektru papírových gramáží a vyznačuje se vynikající odolností vůči stárnutí. Zároveň toleruje typické migrace látek z papírových substrátů, čímž zabraňuje </w:t>
      </w:r>
      <w:r w:rsidRPr="0073001F">
        <w:rPr>
          <w:rFonts w:ascii="Segoe UI" w:hAnsi="Segoe UI" w:cs="Segoe UI"/>
          <w:sz w:val="22"/>
          <w:szCs w:val="22"/>
          <w:lang w:val="cs-CZ"/>
        </w:rPr>
        <w:lastRenderedPageBreak/>
        <w:t>výkyvům výkonu během zpracování. Jeho kompatibilitu s recyklací potvrdil akreditovaný certifikační institut: produkt je vhodný pro mechanickou recyklaci papíru – což je zásadní výhoda vzhledem k současným i budoucím regulačním požadavkům.</w:t>
      </w:r>
    </w:p>
    <w:p w14:paraId="5AF99E57" w14:textId="77777777" w:rsidR="0065690F" w:rsidRPr="0073001F" w:rsidRDefault="0065690F" w:rsidP="0065690F">
      <w:pPr>
        <w:pStyle w:val="Predvolen"/>
        <w:spacing w:before="100" w:after="10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353C597B" w14:textId="77777777" w:rsidR="0065690F" w:rsidRPr="0073001F" w:rsidRDefault="0065690F" w:rsidP="0065690F">
      <w:pPr>
        <w:pStyle w:val="Predvolen"/>
        <w:spacing w:before="0" w:line="276" w:lineRule="auto"/>
        <w:ind w:right="553"/>
        <w:jc w:val="both"/>
        <w:rPr>
          <w:rFonts w:ascii="Segoe UI" w:hAnsi="Segoe UI" w:cs="Segoe UI"/>
          <w:b/>
          <w:bCs/>
          <w:sz w:val="22"/>
          <w:szCs w:val="22"/>
          <w:lang w:val="cs-CZ"/>
        </w:rPr>
      </w:pPr>
      <w:r w:rsidRPr="0073001F">
        <w:rPr>
          <w:rFonts w:ascii="Segoe UI" w:hAnsi="Segoe UI" w:cs="Segoe UI"/>
          <w:b/>
          <w:bCs/>
          <w:sz w:val="22"/>
          <w:szCs w:val="22"/>
          <w:lang w:val="cs-CZ"/>
        </w:rPr>
        <w:t>Procesní spolehlivost a produkty citlivé na teplo</w:t>
      </w:r>
    </w:p>
    <w:p w14:paraId="67419068" w14:textId="13EB77AA" w:rsidR="0065690F" w:rsidRPr="0073001F" w:rsidRDefault="0065690F" w:rsidP="0065690F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73001F">
        <w:rPr>
          <w:rFonts w:ascii="Segoe UI" w:hAnsi="Segoe UI" w:cs="Segoe UI"/>
          <w:sz w:val="22"/>
          <w:szCs w:val="22"/>
          <w:lang w:val="cs-CZ"/>
        </w:rPr>
        <w:t>Nové řešení poskytuje výrobcům konzistentní těsnicí výkon na bariérově upravených papírových strukturách s bezproblémovým zpracováním na stávajících vysokorychlostních linkách. To je obzvlášť důležité při balení produktů jako čokoládové tyčinky, zmrzlina nebo cukrovinky, které jsou citlivé na teplo a při jejich balení je nezbytné použít technologii studeného svaru Cold Seal. Jelikož se při svaru nepoužívá teplo, kvalita produktu a aroma se zachovají a mechanické namáhání obalového materiálu je minimální. V kombinaci s moderními bariérovými systémy tak vznikají funkční, recyklovatelné papírové obaly.</w:t>
      </w:r>
    </w:p>
    <w:p w14:paraId="594DE5FB" w14:textId="77777777" w:rsidR="0065690F" w:rsidRPr="0073001F" w:rsidRDefault="0065690F" w:rsidP="0065690F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1C7CC639" w14:textId="77777777" w:rsidR="0065690F" w:rsidRPr="0073001F" w:rsidRDefault="0065690F" w:rsidP="0065690F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73001F">
        <w:rPr>
          <w:rFonts w:ascii="Segoe UI" w:hAnsi="Segoe UI" w:cs="Segoe UI"/>
          <w:sz w:val="22"/>
          <w:szCs w:val="22"/>
          <w:lang w:val="cs-CZ"/>
        </w:rPr>
        <w:t>„S produktem Loctite Liofol CS 7106 RE přináší Henkel ověřený výkon technologie Cold Seal pro aplikaci na bariérový papír, a tím i obalová řešení, která splňují požadavky oběhové ekonomiky i vysoké nároky na bezpečnost produktů a stabilitu procesů,“ vysvětluje Cagri Turkmen, Market Strategy Manager Flexible Packaging ve společnosti Henkel.</w:t>
      </w:r>
    </w:p>
    <w:p w14:paraId="79CD2BBB" w14:textId="77777777" w:rsidR="0065690F" w:rsidRPr="0073001F" w:rsidRDefault="0065690F" w:rsidP="0065690F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4C7E2E7" w14:textId="4F139985" w:rsidR="00613F5D" w:rsidRPr="0073001F" w:rsidRDefault="0065690F" w:rsidP="0065690F">
      <w:pPr>
        <w:jc w:val="left"/>
        <w:rPr>
          <w:rStyle w:val="Headline"/>
          <w:sz w:val="40"/>
          <w:szCs w:val="40"/>
          <w:lang w:val="cs-CZ"/>
        </w:rPr>
      </w:pPr>
      <w:r w:rsidRPr="0073001F">
        <w:rPr>
          <w:lang w:val="cs-CZ"/>
        </w:rPr>
        <w:t>V kontextu uplatňování nařízení PPWR nabývají recyklovatelné papírové obaly stále většího strategického významu. Loctite Liofol CS 7106 RE k tomu přímo přispívá, poněvadž se prokázalo, že technologie Cold Seal nenarušuje recyklovatelnost funkčního bariérového papíru. Pro značky a výrobce obalů představuje úplná recyklace takových materiálů pevný základ pro splnění budoucích regulačních požadavků a pro realizaci vysoce výkonných obalových řešení s možností okamžitého zavedení na trh</w:t>
      </w:r>
      <w:r w:rsidRPr="0073001F">
        <w:rPr>
          <w:rFonts w:ascii="Helvetica" w:hAnsi="Helvetica"/>
          <w:lang w:val="cs-CZ"/>
        </w:rPr>
        <w:t>.</w:t>
      </w:r>
    </w:p>
    <w:p w14:paraId="7178C33E" w14:textId="77777777" w:rsidR="00F75919" w:rsidRPr="0073001F" w:rsidRDefault="00F75919" w:rsidP="002F7A23">
      <w:pPr>
        <w:rPr>
          <w:rStyle w:val="Headline"/>
          <w:lang w:val="cs-CZ"/>
        </w:rPr>
      </w:pPr>
    </w:p>
    <w:p w14:paraId="7DD4D096" w14:textId="77777777" w:rsidR="00F75919" w:rsidRPr="0073001F" w:rsidRDefault="00F75919" w:rsidP="002F7A23">
      <w:pPr>
        <w:rPr>
          <w:rStyle w:val="Headline"/>
          <w:lang w:val="cs-CZ"/>
        </w:rPr>
      </w:pPr>
    </w:p>
    <w:p w14:paraId="76CCC920" w14:textId="40E72074" w:rsidR="005D6168" w:rsidRPr="0073001F" w:rsidRDefault="005D6168" w:rsidP="002F7A23">
      <w:pPr>
        <w:rPr>
          <w:b/>
          <w:bCs/>
          <w:sz w:val="18"/>
          <w:szCs w:val="18"/>
          <w:lang w:val="cs-CZ" w:bidi="bo-CN"/>
        </w:rPr>
      </w:pPr>
      <w:r w:rsidRPr="0073001F">
        <w:rPr>
          <w:b/>
          <w:bCs/>
          <w:sz w:val="18"/>
          <w:szCs w:val="18"/>
          <w:lang w:val="cs-CZ" w:bidi="bo-CN"/>
        </w:rPr>
        <w:t>O společnosti Henkel</w:t>
      </w:r>
    </w:p>
    <w:p w14:paraId="294CC13E" w14:textId="427BE0B0" w:rsidR="005D6168" w:rsidRPr="0073001F" w:rsidRDefault="005D6168" w:rsidP="002F7A23">
      <w:pPr>
        <w:rPr>
          <w:sz w:val="18"/>
          <w:szCs w:val="18"/>
          <w:lang w:val="cs-CZ" w:bidi="bo-CN"/>
        </w:rPr>
      </w:pPr>
      <w:r w:rsidRPr="0073001F">
        <w:rPr>
          <w:sz w:val="18"/>
          <w:szCs w:val="18"/>
          <w:lang w:val="cs-CZ" w:bidi="bo-CN"/>
        </w:rPr>
        <w:t>Díky svým značkám, inovacím a technologiím je společnost Henkel světovým lídrem na trzích s průmyslovým a spotřebním zbožím. Obchodní divize Adhesive Technologies je globálním lídrem na trhu se spojovacími a lepícími materiály</w:t>
      </w:r>
      <w:r w:rsidR="0081285E" w:rsidRPr="0073001F">
        <w:rPr>
          <w:sz w:val="18"/>
          <w:szCs w:val="18"/>
          <w:lang w:val="cs-CZ" w:bidi="bo-CN"/>
        </w:rPr>
        <w:t>, tmely</w:t>
      </w:r>
      <w:r w:rsidRPr="0073001F">
        <w:rPr>
          <w:sz w:val="18"/>
          <w:szCs w:val="18"/>
          <w:lang w:val="cs-CZ" w:bidi="bo-CN"/>
        </w:rPr>
        <w:t xml:space="preserve"> a funkčními nátěry. Obchodní divize Consumer Brands se drží na předních místech na mnoha světových trzích především v segmentech vlasové kosmetiky a pracích a čistících prostředků pro domácnost. Mezi tři nejsilnější značky společnosti patří Loctite, Persil a Schwarzkopf. Ve finančním roce 202</w:t>
      </w:r>
      <w:r w:rsidR="00EA588A" w:rsidRPr="0073001F">
        <w:rPr>
          <w:sz w:val="18"/>
          <w:szCs w:val="18"/>
          <w:lang w:val="cs-CZ" w:bidi="bo-CN"/>
        </w:rPr>
        <w:t>4</w:t>
      </w:r>
      <w:r w:rsidRPr="0073001F">
        <w:rPr>
          <w:sz w:val="18"/>
          <w:szCs w:val="18"/>
          <w:lang w:val="cs-CZ" w:bidi="bo-CN"/>
        </w:rPr>
        <w:t xml:space="preserve"> vykázala společnost Henkel obrat ve výši přes 2</w:t>
      </w:r>
      <w:r w:rsidR="00A07BEE" w:rsidRPr="0073001F">
        <w:rPr>
          <w:sz w:val="18"/>
          <w:szCs w:val="18"/>
          <w:lang w:val="cs-CZ" w:bidi="bo-CN"/>
        </w:rPr>
        <w:t>1,</w:t>
      </w:r>
      <w:r w:rsidR="00C23AAF" w:rsidRPr="0073001F">
        <w:rPr>
          <w:sz w:val="18"/>
          <w:szCs w:val="18"/>
          <w:lang w:val="cs-CZ" w:bidi="bo-CN"/>
        </w:rPr>
        <w:t>6</w:t>
      </w:r>
      <w:r w:rsidRPr="0073001F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73001F">
        <w:rPr>
          <w:sz w:val="18"/>
          <w:szCs w:val="18"/>
          <w:lang w:val="cs-CZ" w:bidi="bo-CN"/>
        </w:rPr>
        <w:t>3</w:t>
      </w:r>
      <w:r w:rsidRPr="0073001F">
        <w:rPr>
          <w:sz w:val="18"/>
          <w:szCs w:val="18"/>
          <w:lang w:val="cs-CZ" w:bidi="bo-CN"/>
        </w:rPr>
        <w:t>,</w:t>
      </w:r>
      <w:r w:rsidR="005D14CA" w:rsidRPr="0073001F">
        <w:rPr>
          <w:sz w:val="18"/>
          <w:szCs w:val="18"/>
          <w:lang w:val="cs-CZ" w:bidi="bo-CN"/>
        </w:rPr>
        <w:t>1</w:t>
      </w:r>
      <w:r w:rsidRPr="0073001F">
        <w:rPr>
          <w:sz w:val="18"/>
          <w:szCs w:val="18"/>
          <w:lang w:val="cs-CZ" w:bidi="bo-CN"/>
        </w:rPr>
        <w:t xml:space="preserve"> mld. eur. Prioritní akcie společnosti Henkel jsou kótovány na německém akciovém indexu DAX. Udržitelnost patří již dlouho k tradičním prioritám společnosti Henkel, přičemž k plnění konkrétních cílů má společnost vypracovanou jasnou strategii dlouhodobé udržitelnosti. Společnost Henkel byla založena v roce 1876 a dnes celosvětově zaměstnává přes </w:t>
      </w:r>
      <w:r w:rsidR="00A07BEE" w:rsidRPr="0073001F">
        <w:rPr>
          <w:sz w:val="18"/>
          <w:szCs w:val="18"/>
          <w:lang w:val="cs-CZ" w:bidi="bo-CN"/>
        </w:rPr>
        <w:t>4</w:t>
      </w:r>
      <w:r w:rsidR="007B5526" w:rsidRPr="0073001F">
        <w:rPr>
          <w:sz w:val="18"/>
          <w:szCs w:val="18"/>
          <w:lang w:val="cs-CZ" w:bidi="bo-CN"/>
        </w:rPr>
        <w:t>7</w:t>
      </w:r>
      <w:r w:rsidRPr="0073001F">
        <w:rPr>
          <w:sz w:val="18"/>
          <w:szCs w:val="18"/>
          <w:lang w:val="cs-CZ" w:bidi="bo-CN"/>
        </w:rPr>
        <w:t xml:space="preserve"> 000 </w:t>
      </w:r>
      <w:r w:rsidRPr="0073001F">
        <w:rPr>
          <w:sz w:val="18"/>
          <w:szCs w:val="18"/>
          <w:lang w:val="cs-CZ" w:bidi="bo-CN"/>
        </w:rPr>
        <w:lastRenderedPageBreak/>
        <w:t xml:space="preserve">zaměstnanců, již spojuje silná firemní kultura, společné hodnoty a společné poslání: „Pioneers at heart for the good of generations“. Více informací najdete na stránkách </w:t>
      </w:r>
      <w:hyperlink r:id="rId10" w:history="1">
        <w:r w:rsidR="00A070EE" w:rsidRPr="0073001F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73001F">
        <w:rPr>
          <w:sz w:val="18"/>
          <w:szCs w:val="18"/>
          <w:lang w:val="cs-CZ" w:bidi="bo-CN"/>
        </w:rPr>
        <w:t>.</w:t>
      </w:r>
      <w:r w:rsidRPr="0073001F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73001F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73001F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73001F" w:rsidRDefault="00A110E3" w:rsidP="00A110E3">
      <w:pPr>
        <w:rPr>
          <w:rStyle w:val="AboutandContactHeadline"/>
          <w:lang w:val="cs-CZ"/>
        </w:rPr>
      </w:pPr>
      <w:r w:rsidRPr="0073001F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73001F" w:rsidRDefault="00A110E3" w:rsidP="00A110E3">
      <w:pPr>
        <w:rPr>
          <w:rStyle w:val="AboutandContactHeadline"/>
          <w:b w:val="0"/>
          <w:bCs w:val="0"/>
          <w:lang w:val="cs-CZ"/>
        </w:rPr>
      </w:pPr>
      <w:r w:rsidRPr="0073001F">
        <w:rPr>
          <w:rStyle w:val="AboutandContactHeadline"/>
          <w:b w:val="0"/>
          <w:bCs w:val="0"/>
          <w:lang w:val="cs-CZ"/>
        </w:rPr>
        <w:t>Zuzana Kaňuchová</w:t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73001F" w:rsidRDefault="00A110E3" w:rsidP="00A110E3">
      <w:pPr>
        <w:rPr>
          <w:rStyle w:val="AboutandContactHeadline"/>
          <w:b w:val="0"/>
          <w:bCs w:val="0"/>
          <w:lang w:val="cs-CZ"/>
        </w:rPr>
      </w:pPr>
      <w:r w:rsidRPr="0073001F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73001F">
        <w:rPr>
          <w:rStyle w:val="AboutandContactHeadline"/>
          <w:b w:val="0"/>
          <w:bCs w:val="0"/>
          <w:lang w:val="cs-CZ"/>
        </w:rPr>
        <w:t xml:space="preserve"> CEE</w:t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73001F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73001F" w:rsidRDefault="00A110E3" w:rsidP="00A110E3">
      <w:pPr>
        <w:rPr>
          <w:rStyle w:val="AboutandContactHeadline"/>
          <w:b w:val="0"/>
          <w:bCs w:val="0"/>
          <w:lang w:val="cs-CZ"/>
        </w:rPr>
      </w:pPr>
      <w:r w:rsidRPr="0073001F">
        <w:rPr>
          <w:rStyle w:val="AboutandContactHeadline"/>
          <w:b w:val="0"/>
          <w:bCs w:val="0"/>
          <w:lang w:val="cs-CZ"/>
        </w:rPr>
        <w:t>Telef</w:t>
      </w:r>
      <w:r w:rsidR="00A070EE" w:rsidRPr="0073001F">
        <w:rPr>
          <w:rStyle w:val="AboutandContactHeadline"/>
          <w:b w:val="0"/>
          <w:bCs w:val="0"/>
          <w:lang w:val="cs-CZ"/>
        </w:rPr>
        <w:t>o</w:t>
      </w:r>
      <w:r w:rsidRPr="0073001F">
        <w:rPr>
          <w:rStyle w:val="AboutandContactHeadline"/>
          <w:b w:val="0"/>
          <w:bCs w:val="0"/>
          <w:lang w:val="cs-CZ"/>
        </w:rPr>
        <w:t>n: +421 917 160 597</w:t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  <w:r w:rsidRPr="0073001F">
        <w:rPr>
          <w:rStyle w:val="AboutandContactHeadline"/>
          <w:b w:val="0"/>
          <w:bCs w:val="0"/>
          <w:lang w:val="cs-CZ"/>
        </w:rPr>
        <w:tab/>
      </w:r>
    </w:p>
    <w:p w14:paraId="628BCDA9" w14:textId="5AB0A94D" w:rsidR="00A110E3" w:rsidRPr="0073001F" w:rsidRDefault="00A110E3" w:rsidP="00A110E3">
      <w:pPr>
        <w:rPr>
          <w:rStyle w:val="AboutandContactHeadline"/>
          <w:b w:val="0"/>
          <w:bCs w:val="0"/>
          <w:lang w:val="cs-CZ"/>
        </w:rPr>
      </w:pPr>
      <w:r w:rsidRPr="0073001F">
        <w:rPr>
          <w:rStyle w:val="AboutandContactHeadline"/>
          <w:b w:val="0"/>
          <w:bCs w:val="0"/>
          <w:lang w:val="cs-CZ"/>
        </w:rPr>
        <w:t xml:space="preserve">E-mail: </w:t>
      </w:r>
      <w:hyperlink r:id="rId11" w:history="1">
        <w:r w:rsidRPr="0073001F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73001F" w:rsidRDefault="005742B4" w:rsidP="00A110E3">
      <w:pPr>
        <w:rPr>
          <w:lang w:val="cs-CZ"/>
        </w:rPr>
      </w:pPr>
    </w:p>
    <w:sectPr w:rsidR="005742B4" w:rsidRPr="0073001F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5E40" w14:textId="77777777" w:rsidR="00283955" w:rsidRDefault="00283955">
      <w:pPr>
        <w:spacing w:line="240" w:lineRule="auto"/>
      </w:pPr>
      <w:r>
        <w:separator/>
      </w:r>
    </w:p>
  </w:endnote>
  <w:endnote w:type="continuationSeparator" w:id="0">
    <w:p w14:paraId="4BE4FF29" w14:textId="77777777" w:rsidR="00283955" w:rsidRDefault="00283955">
      <w:pPr>
        <w:spacing w:line="240" w:lineRule="auto"/>
      </w:pPr>
      <w:r>
        <w:continuationSeparator/>
      </w:r>
    </w:p>
  </w:endnote>
  <w:endnote w:type="continuationNotice" w:id="1">
    <w:p w14:paraId="2BD80F34" w14:textId="77777777" w:rsidR="00283955" w:rsidRDefault="002839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791B" w14:textId="77777777" w:rsidR="00283955" w:rsidRDefault="00283955">
      <w:pPr>
        <w:spacing w:line="240" w:lineRule="auto"/>
      </w:pPr>
      <w:r>
        <w:separator/>
      </w:r>
    </w:p>
  </w:footnote>
  <w:footnote w:type="continuationSeparator" w:id="0">
    <w:p w14:paraId="67EAFED1" w14:textId="77777777" w:rsidR="00283955" w:rsidRDefault="00283955">
      <w:pPr>
        <w:spacing w:line="240" w:lineRule="auto"/>
      </w:pPr>
      <w:r>
        <w:continuationSeparator/>
      </w:r>
    </w:p>
  </w:footnote>
  <w:footnote w:type="continuationNotice" w:id="1">
    <w:p w14:paraId="2498A496" w14:textId="77777777" w:rsidR="00283955" w:rsidRDefault="002839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44A9B"/>
    <w:rsid w:val="00057BCB"/>
    <w:rsid w:val="000824CC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3955"/>
    <w:rsid w:val="00284F28"/>
    <w:rsid w:val="00292775"/>
    <w:rsid w:val="002971C7"/>
    <w:rsid w:val="002B374E"/>
    <w:rsid w:val="002C7B7A"/>
    <w:rsid w:val="002D16D1"/>
    <w:rsid w:val="002D2EB4"/>
    <w:rsid w:val="002D70F8"/>
    <w:rsid w:val="002E2580"/>
    <w:rsid w:val="002E6F4F"/>
    <w:rsid w:val="002F40A5"/>
    <w:rsid w:val="002F7A23"/>
    <w:rsid w:val="00302C24"/>
    <w:rsid w:val="0031251D"/>
    <w:rsid w:val="00380FD9"/>
    <w:rsid w:val="00395217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7AEC"/>
    <w:rsid w:val="005548CC"/>
    <w:rsid w:val="00562E09"/>
    <w:rsid w:val="005742B4"/>
    <w:rsid w:val="00576D32"/>
    <w:rsid w:val="005805AE"/>
    <w:rsid w:val="005B2D59"/>
    <w:rsid w:val="005B6D31"/>
    <w:rsid w:val="005D14CA"/>
    <w:rsid w:val="005D6168"/>
    <w:rsid w:val="005D7314"/>
    <w:rsid w:val="00613F5D"/>
    <w:rsid w:val="006325A8"/>
    <w:rsid w:val="0065690F"/>
    <w:rsid w:val="006628C7"/>
    <w:rsid w:val="00671D41"/>
    <w:rsid w:val="00685597"/>
    <w:rsid w:val="0069283E"/>
    <w:rsid w:val="006B2F83"/>
    <w:rsid w:val="00703800"/>
    <w:rsid w:val="007120A4"/>
    <w:rsid w:val="0073001F"/>
    <w:rsid w:val="007374D9"/>
    <w:rsid w:val="007377E8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E58B1"/>
    <w:rsid w:val="00904D60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41924"/>
    <w:rsid w:val="00A61100"/>
    <w:rsid w:val="00A823E6"/>
    <w:rsid w:val="00A8423C"/>
    <w:rsid w:val="00AA2CF2"/>
    <w:rsid w:val="00AB4F3A"/>
    <w:rsid w:val="00AD21A6"/>
    <w:rsid w:val="00AF0067"/>
    <w:rsid w:val="00B01C48"/>
    <w:rsid w:val="00B215A2"/>
    <w:rsid w:val="00B32931"/>
    <w:rsid w:val="00B36A15"/>
    <w:rsid w:val="00B92287"/>
    <w:rsid w:val="00BA51A9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707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24F5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EF7818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65690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esamecom-my.sharepoint.com/personal/allitadmin_seesame_com/Documents/shares/clients/Henkel%20-%20Corporate/2026/Media%20Relations/TS%20preklady/03%20marec/2025%20annual%20results/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Dominika Gurová</cp:lastModifiedBy>
  <cp:revision>11</cp:revision>
  <dcterms:created xsi:type="dcterms:W3CDTF">2026-03-12T08:58:00Z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