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06241F5C" w:rsidR="005742B4" w:rsidRPr="00A110E3" w:rsidRDefault="00774F23">
      <w:pPr>
        <w:pStyle w:val="MonthDayYear"/>
        <w:rPr>
          <w:lang w:val="cs-CZ"/>
        </w:rPr>
      </w:pPr>
      <w:r>
        <w:rPr>
          <w:lang w:val="cs-CZ"/>
        </w:rPr>
        <w:t>5</w:t>
      </w:r>
      <w:r w:rsidR="004D74B9" w:rsidRPr="00A110E3">
        <w:rPr>
          <w:lang w:val="cs-CZ"/>
        </w:rPr>
        <w:t xml:space="preserve">. </w:t>
      </w:r>
      <w:r>
        <w:rPr>
          <w:lang w:val="cs-CZ"/>
        </w:rPr>
        <w:t>březen</w:t>
      </w:r>
      <w:r w:rsidR="007D354B" w:rsidRPr="00A110E3">
        <w:rPr>
          <w:lang w:val="cs-CZ"/>
        </w:rPr>
        <w:t xml:space="preserve"> 202</w:t>
      </w:r>
      <w:r>
        <w:rPr>
          <w:lang w:val="cs-CZ"/>
        </w:rPr>
        <w:t>6</w:t>
      </w:r>
    </w:p>
    <w:p w14:paraId="2467CCB9" w14:textId="77777777" w:rsidR="000310EC" w:rsidRDefault="000310EC" w:rsidP="0003352D">
      <w:pPr>
        <w:rPr>
          <w:lang w:val="sk-SK"/>
        </w:rPr>
      </w:pPr>
    </w:p>
    <w:p w14:paraId="26F270D5" w14:textId="35449DD5" w:rsidR="00A76791" w:rsidRDefault="00A76791" w:rsidP="0003352D">
      <w:pPr>
        <w:rPr>
          <w:lang w:val="sk-SK"/>
        </w:rPr>
      </w:pPr>
      <w:proofErr w:type="spellStart"/>
      <w:r w:rsidRPr="00A76791">
        <w:rPr>
          <w:lang w:val="sk-SK"/>
        </w:rPr>
        <w:t>Složení</w:t>
      </w:r>
      <w:proofErr w:type="spellEnd"/>
      <w:r w:rsidRPr="00A76791">
        <w:rPr>
          <w:lang w:val="sk-SK"/>
        </w:rPr>
        <w:t xml:space="preserve"> bez obsahu cínu, </w:t>
      </w:r>
      <w:proofErr w:type="spellStart"/>
      <w:r w:rsidRPr="00A76791">
        <w:rPr>
          <w:lang w:val="sk-SK"/>
        </w:rPr>
        <w:t>které</w:t>
      </w:r>
      <w:proofErr w:type="spellEnd"/>
      <w:r w:rsidRPr="00A76791">
        <w:rPr>
          <w:lang w:val="sk-SK"/>
        </w:rPr>
        <w:t xml:space="preserve"> nevyžaduje podkladový </w:t>
      </w:r>
      <w:proofErr w:type="spellStart"/>
      <w:r w:rsidRPr="00A76791">
        <w:rPr>
          <w:lang w:val="sk-SK"/>
        </w:rPr>
        <w:t>nátěr</w:t>
      </w:r>
      <w:proofErr w:type="spellEnd"/>
      <w:r w:rsidRPr="00A76791">
        <w:rPr>
          <w:lang w:val="sk-SK"/>
        </w:rPr>
        <w:t xml:space="preserve">, </w:t>
      </w:r>
      <w:proofErr w:type="spellStart"/>
      <w:r w:rsidRPr="00A76791">
        <w:rPr>
          <w:lang w:val="sk-SK"/>
        </w:rPr>
        <w:t>přináší</w:t>
      </w:r>
      <w:proofErr w:type="spellEnd"/>
      <w:r w:rsidRPr="00A76791">
        <w:rPr>
          <w:lang w:val="sk-SK"/>
        </w:rPr>
        <w:t xml:space="preserve"> vyšší výkon i </w:t>
      </w:r>
      <w:proofErr w:type="spellStart"/>
      <w:r w:rsidRPr="00A76791">
        <w:rPr>
          <w:lang w:val="sk-SK"/>
        </w:rPr>
        <w:t>bezpečnost</w:t>
      </w:r>
      <w:proofErr w:type="spellEnd"/>
      <w:r w:rsidRPr="00A76791">
        <w:rPr>
          <w:lang w:val="sk-SK"/>
        </w:rPr>
        <w:t xml:space="preserve"> a </w:t>
      </w:r>
      <w:proofErr w:type="spellStart"/>
      <w:r w:rsidRPr="00A76791">
        <w:rPr>
          <w:lang w:val="sk-SK"/>
        </w:rPr>
        <w:t>odpovídá</w:t>
      </w:r>
      <w:proofErr w:type="spellEnd"/>
      <w:r w:rsidRPr="00A76791">
        <w:rPr>
          <w:lang w:val="sk-SK"/>
        </w:rPr>
        <w:t xml:space="preserve"> </w:t>
      </w:r>
      <w:proofErr w:type="spellStart"/>
      <w:r w:rsidRPr="00A76791">
        <w:rPr>
          <w:lang w:val="sk-SK"/>
        </w:rPr>
        <w:t>regulačním</w:t>
      </w:r>
      <w:proofErr w:type="spellEnd"/>
      <w:r w:rsidRPr="00A76791">
        <w:rPr>
          <w:lang w:val="sk-SK"/>
        </w:rPr>
        <w:t xml:space="preserve"> </w:t>
      </w:r>
      <w:proofErr w:type="spellStart"/>
      <w:r w:rsidRPr="00A76791">
        <w:rPr>
          <w:lang w:val="sk-SK"/>
        </w:rPr>
        <w:t>požadavkům</w:t>
      </w:r>
      <w:proofErr w:type="spellEnd"/>
    </w:p>
    <w:p w14:paraId="3D8FFA52" w14:textId="77777777" w:rsidR="00A76791" w:rsidRDefault="00A76791" w:rsidP="0003352D">
      <w:pPr>
        <w:rPr>
          <w:lang w:val="sk-SK"/>
        </w:rPr>
      </w:pPr>
    </w:p>
    <w:p w14:paraId="6BC95365" w14:textId="1C999B5D" w:rsidR="0003352D" w:rsidRPr="00B71239" w:rsidRDefault="00B04D66" w:rsidP="0003352D">
      <w:pPr>
        <w:rPr>
          <w:rStyle w:val="Headline"/>
          <w:lang w:val="sk-SK"/>
        </w:rPr>
      </w:pPr>
      <w:proofErr w:type="spellStart"/>
      <w:r w:rsidRPr="00B04D66">
        <w:rPr>
          <w:rStyle w:val="Headline"/>
          <w:lang w:val="sk-SK"/>
        </w:rPr>
        <w:t>Společnost</w:t>
      </w:r>
      <w:proofErr w:type="spellEnd"/>
      <w:r w:rsidRPr="00B04D66">
        <w:rPr>
          <w:rStyle w:val="Headline"/>
          <w:lang w:val="sk-SK"/>
        </w:rPr>
        <w:t xml:space="preserve"> Henkel vyvinula nový </w:t>
      </w:r>
      <w:proofErr w:type="spellStart"/>
      <w:r w:rsidRPr="00B04D66">
        <w:rPr>
          <w:rStyle w:val="Headline"/>
          <w:lang w:val="sk-SK"/>
        </w:rPr>
        <w:t>protipožární</w:t>
      </w:r>
      <w:proofErr w:type="spellEnd"/>
      <w:r w:rsidRPr="00B04D66">
        <w:rPr>
          <w:rStyle w:val="Headline"/>
          <w:lang w:val="sk-SK"/>
        </w:rPr>
        <w:t xml:space="preserve"> a </w:t>
      </w:r>
      <w:proofErr w:type="spellStart"/>
      <w:r w:rsidRPr="00B04D66">
        <w:rPr>
          <w:rStyle w:val="Headline"/>
          <w:lang w:val="sk-SK"/>
        </w:rPr>
        <w:t>udržitelný</w:t>
      </w:r>
      <w:proofErr w:type="spellEnd"/>
      <w:r w:rsidRPr="00B04D66">
        <w:rPr>
          <w:rStyle w:val="Headline"/>
          <w:lang w:val="sk-SK"/>
        </w:rPr>
        <w:t xml:space="preserve"> </w:t>
      </w:r>
      <w:proofErr w:type="spellStart"/>
      <w:r w:rsidRPr="00B04D66">
        <w:rPr>
          <w:rStyle w:val="Headline"/>
          <w:lang w:val="sk-SK"/>
        </w:rPr>
        <w:t>těsnicí</w:t>
      </w:r>
      <w:proofErr w:type="spellEnd"/>
      <w:r w:rsidRPr="00B04D66">
        <w:rPr>
          <w:rStyle w:val="Headline"/>
          <w:lang w:val="sk-SK"/>
        </w:rPr>
        <w:t xml:space="preserve"> </w:t>
      </w:r>
      <w:proofErr w:type="spellStart"/>
      <w:r w:rsidRPr="00B04D66">
        <w:rPr>
          <w:rStyle w:val="Headline"/>
          <w:lang w:val="sk-SK"/>
        </w:rPr>
        <w:t>lepicí</w:t>
      </w:r>
      <w:proofErr w:type="spellEnd"/>
      <w:r w:rsidRPr="00B04D66">
        <w:rPr>
          <w:rStyle w:val="Headline"/>
          <w:lang w:val="sk-SK"/>
        </w:rPr>
        <w:t xml:space="preserve"> tmel pro interiérové a exteriérové </w:t>
      </w:r>
      <w:proofErr w:type="spellStart"/>
      <w:r w:rsidRPr="00B04D66">
        <w:rPr>
          <w:rStyle w:val="Headline"/>
          <w:lang w:val="sk-SK"/>
        </w:rPr>
        <w:t>aplikace</w:t>
      </w:r>
      <w:proofErr w:type="spellEnd"/>
      <w:r w:rsidRPr="00B04D66">
        <w:rPr>
          <w:rStyle w:val="Headline"/>
          <w:lang w:val="sk-SK"/>
        </w:rPr>
        <w:t xml:space="preserve"> v </w:t>
      </w:r>
      <w:proofErr w:type="spellStart"/>
      <w:r w:rsidRPr="00B04D66">
        <w:rPr>
          <w:rStyle w:val="Headline"/>
          <w:lang w:val="sk-SK"/>
        </w:rPr>
        <w:t>železničním</w:t>
      </w:r>
      <w:proofErr w:type="spellEnd"/>
      <w:r w:rsidRPr="00B04D66">
        <w:rPr>
          <w:rStyle w:val="Headline"/>
          <w:lang w:val="sk-SK"/>
        </w:rPr>
        <w:t xml:space="preserve"> sektoru</w:t>
      </w:r>
    </w:p>
    <w:p w14:paraId="25914181" w14:textId="77777777" w:rsidR="0003352D" w:rsidRPr="00B71239" w:rsidRDefault="0003352D" w:rsidP="0003352D">
      <w:pPr>
        <w:rPr>
          <w:lang w:val="sk-SK"/>
        </w:rPr>
      </w:pPr>
    </w:p>
    <w:p w14:paraId="1D209743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Düsseldorf – Společnost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dnes oznámila rozšíření svého portfolia udržitelných lepicích tmelů o produkt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FR. Nový materiál umožňuje trvanlivé, protipožární těsnění pro všechny interiérové a exteriérové aplikace v železničních vagonech včetně oken, dveří, podlahových panelů, bočních panelů, stropů, osvětlení, vzduchotechniky a prostoru mezi kabinou strojvedoucího a částí pro cestující. Díky vynikajícímu adheznímu rozsahu a unikátnímu složení nabízí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robustní výkon, klade důraz na zdraví a bezpečnost obsluhy a umožňuje efektivnější zpracování.</w:t>
      </w:r>
    </w:p>
    <w:p w14:paraId="0657A88E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6BEA0070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Produkt splňuje přísnou normu požární odolnosti EN 45545‑2.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prokázal vysokou odolnost vůči ohni s nízkou tvorbou kouře, čímž dosáhl výsledků v souladu s regulačními požadavky železničního trhu na bezpečnost cestujících. Tmel nezačne hořet ani při 28procentní koncentraci kyslíku. Zároveň se těchto parametrů podařilo dosáhnout při výrazném zlepšení adheze a tvorby povrchové ochranné vrstvy ve srovnání s konkurenčními a staršími produkty. Materiál tvoří povrchovou vrstvu již po 30 minutách i při vysoké vlhkosti a vykazuje nadstandardní adhezi, čímž překonává jiné komerční tmely i po ponoření do vody. Díky silné adhezi k různým substrátům a odolnosti vůči UV záření, vlhkosti a agresivním čisticím prostředkům patří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k nejodolnějším a nejspolehlivějším lepicím tmelům v železničním odvětví.</w:t>
      </w:r>
    </w:p>
    <w:p w14:paraId="0B1FB304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5A234A56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Podle hlavního aplikačního inženýra společnosti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,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Guillauma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Sandoza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, je železniční sektor pod rostoucím tlakem plnit bezpečnostní požadavky ve všech oblastech. „Kromě trvalých nároků na bezpečnost, spolehlivost a nákladovou efektivnost čelí výrobci železničních vagonů dynamickému regulačnímu prostředí v oblasti zdraví a životního </w:t>
      </w:r>
      <w:r w:rsidRPr="000310EC">
        <w:rPr>
          <w:rFonts w:ascii="Segoe UI" w:hAnsi="Segoe UI" w:cs="Segoe UI"/>
          <w:sz w:val="22"/>
          <w:szCs w:val="22"/>
          <w:lang w:val="cs-CZ"/>
        </w:rPr>
        <w:lastRenderedPageBreak/>
        <w:t xml:space="preserve">prostředí,“ uvádí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Sandoz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. „S produktem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pomáhá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překlenout tuto zdánlivě nepřekonatelnou propast složením, které řeší všechny tyto výzvy. Náš nový tmel je odolný, udržitelný, optimalizovaný pro zdraví a bezpečnost a snadno aplikovatelný. Splňuje všechny požadavky, a dokonce nabízí i něco navíc. Přestože byl primárně navržen k použití v železničním odvětví, je vhodný také pro další oblasti, které vyžadují spolehlivou ochranu před ohněm, jako jsou tunely, výtahy nebo protipožární dveře.</w:t>
      </w:r>
      <w:r w:rsidRPr="000310EC">
        <w:rPr>
          <w:rFonts w:ascii="Segoe UI" w:hAnsi="Segoe UI" w:cs="Segoe UI"/>
          <w:sz w:val="22"/>
          <w:szCs w:val="22"/>
          <w:rtl/>
          <w:lang w:val="cs-CZ"/>
        </w:rPr>
        <w:t>“</w:t>
      </w:r>
    </w:p>
    <w:p w14:paraId="16E7B3B0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51E536BC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V souladu se snahou železničního trhu eliminovat používání látek vzbuzujících velmi velké obavy (tzv. SVHC) a s důrazem společnosti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na udržitelnost je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založený na nové technologii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silánem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modifikovaných polymerů (SMP). Díky této technologii neobsahuje cín, ftaláty, izokyanáty, rozpouštědla, BPA ani PFAS, čímž lépe chrání zdraví a bezpečnost při práci a snižuje emise CO₂. Jelikož se jedná o jednosložkový tmel s vysokou adhezí k různým substrátům – včetně skla, skleněných vláken, kovů, vyztužených plastů a lakovaných povrchů –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eliminuje potřebu použít podkladový nátěr, což zjednodušuje jeho aplikaci, údržbu a opravy a zároveň snižuje celkové provozní náklady.</w:t>
      </w:r>
    </w:p>
    <w:p w14:paraId="6171B54B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6244E6C5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„Designéři, výrobci a servisní specialisté v železničním sektoru požadují odolné materiály, které fungují spolehlivě a bez zdravotních rizik,“ zdůrazňuje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Sandoz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>. „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tuto hodnotu vkládá do každého produktu určeného pro železniční odvětví a 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 je toho důkazem.</w:t>
      </w:r>
      <w:r w:rsidRPr="000310EC">
        <w:rPr>
          <w:rFonts w:ascii="Segoe UI" w:hAnsi="Segoe UI" w:cs="Segoe UI"/>
          <w:sz w:val="22"/>
          <w:szCs w:val="22"/>
          <w:rtl/>
          <w:lang w:val="cs-CZ"/>
        </w:rPr>
        <w:t>“</w:t>
      </w:r>
    </w:p>
    <w:p w14:paraId="0855FC52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65BD86B7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Celou nabídku společnosti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v oblasti materiálových řešení pro železniční sektor najdete </w:t>
      </w:r>
      <w:hyperlink r:id="rId10" w:history="1">
        <w:r w:rsidRPr="000310EC">
          <w:rPr>
            <w:rStyle w:val="Hyperlink0"/>
            <w:sz w:val="22"/>
            <w:szCs w:val="22"/>
            <w:lang w:val="cs-CZ"/>
          </w:rPr>
          <w:t>zde</w:t>
        </w:r>
      </w:hyperlink>
      <w:r w:rsidRPr="000310EC">
        <w:rPr>
          <w:rFonts w:ascii="Segoe UI" w:hAnsi="Segoe UI" w:cs="Segoe UI"/>
          <w:sz w:val="22"/>
          <w:szCs w:val="22"/>
          <w:lang w:val="cs-CZ"/>
        </w:rPr>
        <w:t xml:space="preserve">. Potřebujete-li informace o specifickém použití produktu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Teroson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MS 949 FR, </w:t>
      </w:r>
      <w:hyperlink r:id="rId11" w:history="1">
        <w:r w:rsidRPr="000310EC">
          <w:rPr>
            <w:rStyle w:val="Hyperlink0"/>
            <w:sz w:val="22"/>
            <w:szCs w:val="22"/>
            <w:lang w:val="cs-CZ"/>
          </w:rPr>
          <w:t>požádejte o konzultaci.</w:t>
        </w:r>
      </w:hyperlink>
    </w:p>
    <w:p w14:paraId="32E60BC6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18"/>
          <w:szCs w:val="18"/>
          <w:lang w:val="cs-CZ"/>
        </w:rPr>
      </w:pPr>
    </w:p>
    <w:p w14:paraId="3E5E76FB" w14:textId="77777777" w:rsidR="000310EC" w:rsidRPr="000310EC" w:rsidRDefault="000310EC" w:rsidP="000310EC">
      <w:pPr>
        <w:pStyle w:val="Predvolen"/>
        <w:spacing w:before="0" w:line="276" w:lineRule="auto"/>
        <w:ind w:right="553"/>
        <w:jc w:val="both"/>
        <w:rPr>
          <w:rFonts w:ascii="Segoe UI" w:hAnsi="Segoe UI" w:cs="Segoe UI"/>
          <w:lang w:val="cs-CZ"/>
        </w:rPr>
      </w:pPr>
      <w:r w:rsidRPr="000310EC">
        <w:rPr>
          <w:rFonts w:ascii="Segoe UI" w:hAnsi="Segoe UI" w:cs="Segoe UI"/>
          <w:sz w:val="22"/>
          <w:szCs w:val="22"/>
          <w:lang w:val="cs-CZ"/>
        </w:rPr>
        <w:t xml:space="preserve">TEROSON® je registrovaná ochranná známka společnosti </w:t>
      </w:r>
      <w:proofErr w:type="spellStart"/>
      <w:r w:rsidRPr="000310EC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0310EC">
        <w:rPr>
          <w:rFonts w:ascii="Segoe UI" w:hAnsi="Segoe UI" w:cs="Segoe UI"/>
          <w:sz w:val="22"/>
          <w:szCs w:val="22"/>
          <w:lang w:val="cs-CZ"/>
        </w:rPr>
        <w:t xml:space="preserve"> a/nebo jejích přidružených společností v USA, Německu a dalších zemích.</w:t>
      </w:r>
    </w:p>
    <w:p w14:paraId="54C7E2E7" w14:textId="77777777" w:rsidR="00613F5D" w:rsidRPr="000310EC" w:rsidRDefault="00613F5D" w:rsidP="006325A8">
      <w:pPr>
        <w:jc w:val="left"/>
        <w:rPr>
          <w:rStyle w:val="Headline"/>
          <w:sz w:val="40"/>
          <w:szCs w:val="40"/>
          <w:lang w:val="cs-CZ"/>
        </w:rPr>
      </w:pPr>
    </w:p>
    <w:p w14:paraId="7178C33E" w14:textId="77777777" w:rsidR="00F75919" w:rsidRDefault="00F75919" w:rsidP="002F7A23">
      <w:pPr>
        <w:rPr>
          <w:rStyle w:val="Headline"/>
          <w:lang w:val="sk-SK"/>
        </w:rPr>
      </w:pPr>
    </w:p>
    <w:p w14:paraId="7DD4D096" w14:textId="77777777" w:rsidR="00F75919" w:rsidRDefault="00F75919" w:rsidP="002F7A23">
      <w:pPr>
        <w:rPr>
          <w:rStyle w:val="Headline"/>
          <w:lang w:val="sk-SK"/>
        </w:rPr>
      </w:pPr>
    </w:p>
    <w:p w14:paraId="76CCC920" w14:textId="40E72074" w:rsidR="005D6168" w:rsidRPr="005D6168" w:rsidRDefault="005D6168" w:rsidP="002F7A23">
      <w:pPr>
        <w:rPr>
          <w:b/>
          <w:bCs/>
          <w:sz w:val="18"/>
          <w:szCs w:val="18"/>
          <w:lang w:val="cs-CZ" w:bidi="bo-CN"/>
        </w:rPr>
      </w:pPr>
      <w:r w:rsidRPr="005D6168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5D6168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8E58B1" w:rsidRDefault="005D6168" w:rsidP="002F7A23">
      <w:pPr>
        <w:rPr>
          <w:sz w:val="18"/>
          <w:szCs w:val="18"/>
          <w:lang w:val="pl-PL" w:bidi="bo-CN"/>
        </w:rPr>
      </w:pPr>
      <w:r w:rsidRPr="005D6168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5D6168">
        <w:rPr>
          <w:sz w:val="18"/>
          <w:szCs w:val="18"/>
          <w:lang w:val="cs-CZ" w:bidi="bo-CN"/>
        </w:rPr>
        <w:t>Adhesive</w:t>
      </w:r>
      <w:proofErr w:type="spellEnd"/>
      <w:r w:rsidRPr="005D6168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>
        <w:rPr>
          <w:sz w:val="18"/>
          <w:szCs w:val="18"/>
          <w:lang w:val="cs-CZ" w:bidi="bo-CN"/>
        </w:rPr>
        <w:t>, tmely</w:t>
      </w:r>
      <w:r w:rsidRPr="005D6168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5D6168">
        <w:rPr>
          <w:sz w:val="18"/>
          <w:szCs w:val="18"/>
          <w:lang w:val="cs-CZ" w:bidi="bo-CN"/>
        </w:rPr>
        <w:t>Consumer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Brands</w:t>
      </w:r>
      <w:proofErr w:type="spellEnd"/>
      <w:r w:rsidRPr="005D6168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5D6168">
        <w:rPr>
          <w:sz w:val="18"/>
          <w:szCs w:val="18"/>
          <w:lang w:val="cs-CZ" w:bidi="bo-CN"/>
        </w:rPr>
        <w:t>Loctite</w:t>
      </w:r>
      <w:proofErr w:type="spellEnd"/>
      <w:r w:rsidRPr="005D6168">
        <w:rPr>
          <w:sz w:val="18"/>
          <w:szCs w:val="18"/>
          <w:lang w:val="cs-CZ" w:bidi="bo-CN"/>
        </w:rPr>
        <w:t xml:space="preserve">, </w:t>
      </w:r>
      <w:proofErr w:type="spellStart"/>
      <w:r w:rsidRPr="005D6168">
        <w:rPr>
          <w:sz w:val="18"/>
          <w:szCs w:val="18"/>
          <w:lang w:val="cs-CZ" w:bidi="bo-CN"/>
        </w:rPr>
        <w:t>Persil</w:t>
      </w:r>
      <w:proofErr w:type="spellEnd"/>
      <w:r w:rsidRPr="005D6168">
        <w:rPr>
          <w:sz w:val="18"/>
          <w:szCs w:val="18"/>
          <w:lang w:val="cs-CZ" w:bidi="bo-CN"/>
        </w:rPr>
        <w:t xml:space="preserve"> a </w:t>
      </w:r>
      <w:proofErr w:type="spellStart"/>
      <w:r w:rsidRPr="005D6168">
        <w:rPr>
          <w:sz w:val="18"/>
          <w:szCs w:val="18"/>
          <w:lang w:val="cs-CZ" w:bidi="bo-CN"/>
        </w:rPr>
        <w:t>Schwarzkopf</w:t>
      </w:r>
      <w:proofErr w:type="spellEnd"/>
      <w:r w:rsidRPr="005D6168">
        <w:rPr>
          <w:sz w:val="18"/>
          <w:szCs w:val="18"/>
          <w:lang w:val="cs-CZ" w:bidi="bo-CN"/>
        </w:rPr>
        <w:t>. Ve finančním roce 202</w:t>
      </w:r>
      <w:r w:rsidR="00EA588A">
        <w:rPr>
          <w:sz w:val="18"/>
          <w:szCs w:val="18"/>
          <w:lang w:val="cs-CZ" w:bidi="bo-CN"/>
        </w:rPr>
        <w:t>4</w:t>
      </w:r>
      <w:r w:rsidRPr="005D6168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5D6168">
        <w:rPr>
          <w:sz w:val="18"/>
          <w:szCs w:val="18"/>
          <w:lang w:val="cs-CZ" w:bidi="bo-CN"/>
        </w:rPr>
        <w:lastRenderedPageBreak/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obrat ve výši přes 2</w:t>
      </w:r>
      <w:r w:rsidR="00A07BEE">
        <w:rPr>
          <w:sz w:val="18"/>
          <w:szCs w:val="18"/>
          <w:lang w:val="cs-CZ" w:bidi="bo-CN"/>
        </w:rPr>
        <w:t>1,</w:t>
      </w:r>
      <w:r w:rsidR="00C23AAF">
        <w:rPr>
          <w:sz w:val="18"/>
          <w:szCs w:val="18"/>
          <w:lang w:val="cs-CZ" w:bidi="bo-CN"/>
        </w:rPr>
        <w:t>6</w:t>
      </w:r>
      <w:r w:rsidRPr="005D6168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>
        <w:rPr>
          <w:sz w:val="18"/>
          <w:szCs w:val="18"/>
          <w:lang w:val="cs-CZ" w:bidi="bo-CN"/>
        </w:rPr>
        <w:t>3</w:t>
      </w:r>
      <w:r w:rsidRPr="005D6168">
        <w:rPr>
          <w:sz w:val="18"/>
          <w:szCs w:val="18"/>
          <w:lang w:val="cs-CZ" w:bidi="bo-CN"/>
        </w:rPr>
        <w:t>,</w:t>
      </w:r>
      <w:r w:rsidR="005D14CA">
        <w:rPr>
          <w:sz w:val="18"/>
          <w:szCs w:val="18"/>
          <w:lang w:val="cs-CZ" w:bidi="bo-CN"/>
        </w:rPr>
        <w:t>1</w:t>
      </w:r>
      <w:r w:rsidRPr="005D6168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>
        <w:rPr>
          <w:sz w:val="18"/>
          <w:szCs w:val="18"/>
          <w:lang w:val="cs-CZ" w:bidi="bo-CN"/>
        </w:rPr>
        <w:t>4</w:t>
      </w:r>
      <w:r w:rsidR="007B5526">
        <w:rPr>
          <w:sz w:val="18"/>
          <w:szCs w:val="18"/>
          <w:lang w:val="cs-CZ" w:bidi="bo-CN"/>
        </w:rPr>
        <w:t>7</w:t>
      </w:r>
      <w:r w:rsidRPr="005D6168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5D6168">
        <w:rPr>
          <w:sz w:val="18"/>
          <w:szCs w:val="18"/>
          <w:lang w:val="cs-CZ" w:bidi="bo-CN"/>
        </w:rPr>
        <w:t>Pioneers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at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heart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for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the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good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of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generations</w:t>
      </w:r>
      <w:proofErr w:type="spellEnd"/>
      <w:r w:rsidRPr="005D6168">
        <w:rPr>
          <w:sz w:val="18"/>
          <w:szCs w:val="18"/>
          <w:lang w:val="cs-CZ" w:bidi="bo-CN"/>
        </w:rPr>
        <w:t>“. Více informací najdete na stránkách</w:t>
      </w:r>
      <w:r w:rsidRPr="008E58B1">
        <w:rPr>
          <w:sz w:val="18"/>
          <w:szCs w:val="18"/>
          <w:lang w:val="pl-PL" w:bidi="bo-CN"/>
        </w:rPr>
        <w:t xml:space="preserve"> </w:t>
      </w:r>
      <w:hyperlink r:id="rId12" w:history="1">
        <w:r w:rsidR="00A070EE" w:rsidRPr="008E58B1">
          <w:rPr>
            <w:rStyle w:val="Hypertextovprepojenie"/>
            <w:sz w:val="18"/>
            <w:szCs w:val="18"/>
            <w:lang w:val="pl-PL" w:bidi="bo-CN"/>
          </w:rPr>
          <w:t>www.henkel.com</w:t>
        </w:r>
      </w:hyperlink>
      <w:r w:rsidR="00A070EE" w:rsidRPr="008E58B1">
        <w:rPr>
          <w:sz w:val="18"/>
          <w:szCs w:val="18"/>
          <w:lang w:val="pl-PL" w:bidi="bo-CN"/>
        </w:rPr>
        <w:t>.</w:t>
      </w:r>
      <w:r w:rsidRPr="008E58B1">
        <w:rPr>
          <w:sz w:val="18"/>
          <w:szCs w:val="18"/>
          <w:lang w:val="pl-PL" w:bidi="bo-CN"/>
        </w:rPr>
        <w:t xml:space="preserve"> </w:t>
      </w:r>
    </w:p>
    <w:p w14:paraId="4F4668BC" w14:textId="77777777" w:rsidR="005D6168" w:rsidRPr="00B71239" w:rsidRDefault="005D6168" w:rsidP="002F7A23">
      <w:pPr>
        <w:rPr>
          <w:rFonts w:asciiTheme="majorHAnsi" w:hAnsiTheme="majorHAnsi" w:cstheme="majorHAnsi"/>
          <w:sz w:val="18"/>
          <w:szCs w:val="18"/>
          <w:lang w:val="sk-SK"/>
        </w:rPr>
      </w:pPr>
    </w:p>
    <w:p w14:paraId="5010685E" w14:textId="77777777" w:rsidR="003B16A3" w:rsidRPr="00A110E3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A110E3" w:rsidRDefault="00A110E3" w:rsidP="00A110E3">
      <w:pPr>
        <w:rPr>
          <w:rStyle w:val="AboutandContactHeadline"/>
          <w:lang w:val="cs-CZ"/>
        </w:rPr>
      </w:pPr>
      <w:r w:rsidRPr="00A110E3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A110E3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Ředitelka korporátní komunikace</w:t>
      </w:r>
      <w:r w:rsidR="00AF0067">
        <w:rPr>
          <w:rStyle w:val="AboutandContactHeadline"/>
          <w:b w:val="0"/>
          <w:bCs w:val="0"/>
          <w:lang w:val="cs-CZ"/>
        </w:rPr>
        <w:t xml:space="preserve"> CEE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Telef</w:t>
      </w:r>
      <w:r w:rsidR="00A070EE">
        <w:rPr>
          <w:rStyle w:val="AboutandContactHeadline"/>
          <w:b w:val="0"/>
          <w:bCs w:val="0"/>
          <w:lang w:val="cs-CZ"/>
        </w:rPr>
        <w:t>o</w:t>
      </w:r>
      <w:r w:rsidRPr="00A110E3">
        <w:rPr>
          <w:rStyle w:val="AboutandContactHeadline"/>
          <w:b w:val="0"/>
          <w:bCs w:val="0"/>
          <w:lang w:val="cs-CZ"/>
        </w:rPr>
        <w:t>n: +421 917 160 597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628BCDA9" w14:textId="704AE02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E-mail:</w:t>
      </w:r>
      <w:r>
        <w:rPr>
          <w:rStyle w:val="AboutandContactHeadline"/>
          <w:b w:val="0"/>
          <w:bCs w:val="0"/>
          <w:lang w:val="cs-CZ"/>
        </w:rPr>
        <w:t xml:space="preserve"> </w:t>
      </w:r>
      <w:hyperlink r:id="rId13" w:history="1">
        <w:r w:rsidRPr="005B6D31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A110E3" w:rsidRDefault="005742B4" w:rsidP="00A110E3">
      <w:pPr>
        <w:rPr>
          <w:lang w:val="cs-CZ"/>
        </w:rPr>
      </w:pPr>
    </w:p>
    <w:sectPr w:rsidR="005742B4" w:rsidRPr="00A110E3">
      <w:footerReference w:type="default" r:id="rId14"/>
      <w:headerReference w:type="first" r:id="rId15"/>
      <w:footerReference w:type="first" r:id="rId16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D326" w14:textId="77777777" w:rsidR="007130E7" w:rsidRDefault="007130E7">
      <w:pPr>
        <w:spacing w:line="240" w:lineRule="auto"/>
      </w:pPr>
      <w:r>
        <w:separator/>
      </w:r>
    </w:p>
  </w:endnote>
  <w:endnote w:type="continuationSeparator" w:id="0">
    <w:p w14:paraId="3908D0B4" w14:textId="77777777" w:rsidR="007130E7" w:rsidRDefault="007130E7">
      <w:pPr>
        <w:spacing w:line="240" w:lineRule="auto"/>
      </w:pPr>
      <w:r>
        <w:continuationSeparator/>
      </w:r>
    </w:p>
  </w:endnote>
  <w:endnote w:type="continuationNotice" w:id="1">
    <w:p w14:paraId="58300493" w14:textId="77777777" w:rsidR="007130E7" w:rsidRDefault="007130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?????????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2</w:t>
    </w:r>
    <w:r w:rsidR="000312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1</w:t>
    </w:r>
    <w:r w:rsidR="000312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6EB9" w14:textId="77777777" w:rsidR="007130E7" w:rsidRDefault="007130E7">
      <w:pPr>
        <w:spacing w:line="240" w:lineRule="auto"/>
      </w:pPr>
      <w:r>
        <w:separator/>
      </w:r>
    </w:p>
  </w:footnote>
  <w:footnote w:type="continuationSeparator" w:id="0">
    <w:p w14:paraId="4CE74A33" w14:textId="77777777" w:rsidR="007130E7" w:rsidRDefault="007130E7">
      <w:pPr>
        <w:spacing w:line="240" w:lineRule="auto"/>
      </w:pPr>
      <w:r>
        <w:continuationSeparator/>
      </w:r>
    </w:p>
  </w:footnote>
  <w:footnote w:type="continuationNotice" w:id="1">
    <w:p w14:paraId="57926FC4" w14:textId="77777777" w:rsidR="007130E7" w:rsidRDefault="007130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0EC"/>
    <w:rsid w:val="00031201"/>
    <w:rsid w:val="0003352D"/>
    <w:rsid w:val="000424BC"/>
    <w:rsid w:val="0004528B"/>
    <w:rsid w:val="00057BCB"/>
    <w:rsid w:val="000824CC"/>
    <w:rsid w:val="000C27F2"/>
    <w:rsid w:val="000C2EDF"/>
    <w:rsid w:val="000C68C2"/>
    <w:rsid w:val="000C708A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7AEC"/>
    <w:rsid w:val="005548CC"/>
    <w:rsid w:val="00562E09"/>
    <w:rsid w:val="005742B4"/>
    <w:rsid w:val="00576D32"/>
    <w:rsid w:val="005805AE"/>
    <w:rsid w:val="005B2D59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130E7"/>
    <w:rsid w:val="007374D9"/>
    <w:rsid w:val="00751DC7"/>
    <w:rsid w:val="00752E89"/>
    <w:rsid w:val="00756362"/>
    <w:rsid w:val="00766B15"/>
    <w:rsid w:val="00774F23"/>
    <w:rsid w:val="0078184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929BA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76791"/>
    <w:rsid w:val="00A823E6"/>
    <w:rsid w:val="00A8423C"/>
    <w:rsid w:val="00AB4F3A"/>
    <w:rsid w:val="00AD21A6"/>
    <w:rsid w:val="00AF0067"/>
    <w:rsid w:val="00B01C48"/>
    <w:rsid w:val="00B04D66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123D"/>
    <w:rsid w:val="00CA5EA5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0310EC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esamecom-my.sharepoint.com/personal/allitadmin_seesame_com/Documents/shares/clients/Henkel%20-%20Corporate/2026/Media%20Relations/TS%20preklady/03%20marec/Interpack%20SK%20CZ/zuzana.kanuchova@henk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nk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xt.henkel-adhesives.com/de/en/support/request-a-consultation.html?utm_source=Google.NA&amp;utm_medium=paid-search&amp;utm_campaign=NA.NA&amp;utm_term=SM.BC.PCO&amp;utm_content=APC.NA.NA.HMT.NA.IND&amp;gad_source=1&amp;gad_campaignid=23047114554&amp;gclid=EAIaIQobChMI9cur2ZqfkQMVhw8GAB2IVTfJEAAYASABEgICu_D_Bw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next.henkel-adhesives.com/us/en/industries/transportation/mass-transi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Dominika Gurová</cp:lastModifiedBy>
  <cp:revision>6</cp:revision>
  <dcterms:created xsi:type="dcterms:W3CDTF">2026-03-12T08:58:00Z</dcterms:created>
  <dcterms:modified xsi:type="dcterms:W3CDTF">2026-03-12T09:11:00Z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