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A67E" w14:textId="43774632" w:rsidR="000C16C0" w:rsidRPr="00B13232" w:rsidRDefault="007C10F0" w:rsidP="007C10F0">
      <w:pPr>
        <w:pStyle w:val="He01Flietext"/>
        <w:jc w:val="right"/>
        <w:rPr>
          <w:lang w:val="sl-SI"/>
        </w:rPr>
      </w:pPr>
      <w:r w:rsidRPr="00221244">
        <w:t xml:space="preserve">11. </w:t>
      </w:r>
      <w:proofErr w:type="spellStart"/>
      <w:r w:rsidRPr="00221244">
        <w:t>marec</w:t>
      </w:r>
      <w:proofErr w:type="spellEnd"/>
      <w:r w:rsidRPr="00221244">
        <w:t xml:space="preserve"> 2026</w:t>
      </w:r>
    </w:p>
    <w:p w14:paraId="7B57C9AF" w14:textId="77777777" w:rsidR="00FC7E76" w:rsidRPr="00221244" w:rsidRDefault="00FC7E76" w:rsidP="00FC7E76">
      <w:pPr>
        <w:pStyle w:val="Topline"/>
        <w:spacing w:after="240"/>
        <w:rPr>
          <w:rFonts w:asciiTheme="majorHAnsi" w:hAnsiTheme="majorHAnsi" w:cstheme="majorHAnsi"/>
        </w:rPr>
      </w:pPr>
      <w:bookmarkStart w:id="0" w:name="_Hlk190695874"/>
      <w:r w:rsidRPr="00221244">
        <w:rPr>
          <w:rFonts w:asciiTheme="majorHAnsi" w:hAnsiTheme="majorHAnsi" w:cstheme="majorHAnsi"/>
        </w:rPr>
        <w:t>Henkel predstavlja rezultate za leto 2025: Dividenda se bo še povečala</w:t>
      </w:r>
    </w:p>
    <w:bookmarkEnd w:id="0"/>
    <w:p w14:paraId="71E14046" w14:textId="77777777" w:rsidR="00FC7E76" w:rsidRPr="00221244" w:rsidRDefault="00FC7E76" w:rsidP="00FC7E76">
      <w:pPr>
        <w:jc w:val="left"/>
        <w:rPr>
          <w:rStyle w:val="Headline"/>
          <w:rFonts w:asciiTheme="majorHAnsi" w:hAnsiTheme="majorHAnsi" w:cstheme="majorHAnsi"/>
        </w:rPr>
      </w:pPr>
      <w:r w:rsidRPr="00221244">
        <w:rPr>
          <w:rStyle w:val="Headline"/>
          <w:rFonts w:asciiTheme="majorHAnsi" w:hAnsiTheme="majorHAnsi" w:cstheme="majorHAnsi"/>
        </w:rPr>
        <w:t>Henkel je v letu 2025 dosegel organsko rast ter z inovacijami in večjo učinkovitostjo</w:t>
      </w:r>
      <w:r w:rsidRPr="006F351D">
        <w:rPr>
          <w:rStyle w:val="Headline"/>
          <w:rFonts w:asciiTheme="majorHAnsi" w:hAnsiTheme="majorHAnsi" w:cstheme="majorHAnsi"/>
        </w:rPr>
        <w:t xml:space="preserve"> </w:t>
      </w:r>
      <w:r w:rsidRPr="00221244">
        <w:rPr>
          <w:rStyle w:val="Headline"/>
          <w:rFonts w:asciiTheme="majorHAnsi" w:hAnsiTheme="majorHAnsi" w:cstheme="majorHAnsi"/>
        </w:rPr>
        <w:t>povečal dobičkonosnost</w:t>
      </w:r>
    </w:p>
    <w:p w14:paraId="696BA773" w14:textId="77777777" w:rsidR="00FC7E76" w:rsidRPr="00221244" w:rsidRDefault="00FC7E76" w:rsidP="00FC7E76">
      <w:pPr>
        <w:spacing w:line="240" w:lineRule="auto"/>
        <w:jc w:val="left"/>
        <w:rPr>
          <w:sz w:val="16"/>
          <w:szCs w:val="16"/>
        </w:rPr>
      </w:pPr>
    </w:p>
    <w:p w14:paraId="6203E7E1" w14:textId="77777777" w:rsidR="00FC7E76" w:rsidRPr="00221244" w:rsidRDefault="00FC7E76" w:rsidP="00FC7E76">
      <w:pPr>
        <w:pStyle w:val="ListParagraph"/>
        <w:numPr>
          <w:ilvl w:val="0"/>
          <w:numId w:val="10"/>
        </w:numPr>
        <w:spacing w:after="80"/>
        <w:ind w:left="357" w:right="-108" w:hanging="357"/>
        <w:contextualSpacing w:val="0"/>
        <w:rPr>
          <w:rFonts w:asciiTheme="majorHAnsi" w:hAnsiTheme="majorHAnsi" w:cstheme="majorHAnsi"/>
          <w:b/>
          <w:szCs w:val="22"/>
        </w:rPr>
      </w:pPr>
      <w:bookmarkStart w:id="1" w:name="_Hlk64363173"/>
      <w:bookmarkStart w:id="2" w:name="_Hlk43712519"/>
      <w:r w:rsidRPr="00221244">
        <w:rPr>
          <w:rFonts w:asciiTheme="majorHAnsi" w:hAnsiTheme="majorHAnsi" w:cstheme="majorHAnsi"/>
          <w:b/>
          <w:szCs w:val="22"/>
        </w:rPr>
        <w:t>Dobra poslovna uspešnost v poslovnem letu 2025</w:t>
      </w:r>
    </w:p>
    <w:bookmarkEnd w:id="1"/>
    <w:p w14:paraId="4AE37B4E" w14:textId="77777777" w:rsidR="00FC7E76" w:rsidRPr="00221244" w:rsidRDefault="00FC7E76" w:rsidP="00FC7E76">
      <w:pPr>
        <w:pStyle w:val="ListParagraph"/>
        <w:numPr>
          <w:ilvl w:val="1"/>
          <w:numId w:val="10"/>
        </w:numPr>
        <w:spacing w:after="80" w:line="266" w:lineRule="auto"/>
        <w:ind w:left="709" w:right="-108" w:hanging="283"/>
        <w:contextualSpacing w:val="0"/>
        <w:rPr>
          <w:rFonts w:asciiTheme="majorHAnsi" w:hAnsiTheme="majorHAnsi" w:cstheme="majorHAnsi"/>
          <w:b/>
          <w:szCs w:val="22"/>
        </w:rPr>
      </w:pPr>
      <w:r w:rsidRPr="00221244">
        <w:rPr>
          <w:rFonts w:asciiTheme="majorHAnsi" w:hAnsiTheme="majorHAnsi" w:cstheme="majorHAnsi"/>
          <w:b/>
          <w:szCs w:val="22"/>
        </w:rPr>
        <w:t>Prodaja: 20,5 milijarde evrov, organska rast 0,9 odstotka</w:t>
      </w:r>
      <w:bookmarkEnd w:id="2"/>
    </w:p>
    <w:p w14:paraId="13FE2DA4" w14:textId="77777777" w:rsidR="00FC7E76" w:rsidRPr="00221244" w:rsidRDefault="00FC7E76" w:rsidP="00FC7E76">
      <w:pPr>
        <w:pStyle w:val="ListParagraph"/>
        <w:numPr>
          <w:ilvl w:val="1"/>
          <w:numId w:val="10"/>
        </w:numPr>
        <w:spacing w:after="80" w:line="266" w:lineRule="auto"/>
        <w:ind w:left="709" w:right="-108" w:hanging="283"/>
        <w:contextualSpacing w:val="0"/>
        <w:rPr>
          <w:rFonts w:asciiTheme="majorHAnsi" w:hAnsiTheme="majorHAnsi" w:cstheme="majorHAnsi"/>
          <w:b/>
          <w:szCs w:val="22"/>
        </w:rPr>
      </w:pPr>
      <w:r w:rsidRPr="00221244">
        <w:rPr>
          <w:rFonts w:asciiTheme="majorHAnsi" w:hAnsiTheme="majorHAnsi" w:cstheme="majorHAnsi"/>
          <w:b/>
          <w:szCs w:val="22"/>
        </w:rPr>
        <w:t>Dobiček iz poslovanja (EBIT)*: 3,0 milijarde evrov, kar je nekoliko manj kot v predhodnem letu zaradi izrazito negativnih učinkov deviznih tečajev</w:t>
      </w:r>
    </w:p>
    <w:p w14:paraId="192998F0" w14:textId="77777777" w:rsidR="00FC7E76" w:rsidRPr="00221244" w:rsidRDefault="00FC7E76" w:rsidP="00FC7E76">
      <w:pPr>
        <w:pStyle w:val="ListParagraph"/>
        <w:numPr>
          <w:ilvl w:val="1"/>
          <w:numId w:val="10"/>
        </w:numPr>
        <w:spacing w:after="80" w:line="266" w:lineRule="auto"/>
        <w:ind w:left="709" w:right="-108" w:hanging="283"/>
        <w:contextualSpacing w:val="0"/>
        <w:rPr>
          <w:rFonts w:asciiTheme="majorHAnsi" w:hAnsiTheme="majorHAnsi" w:cstheme="majorHAnsi"/>
          <w:b/>
          <w:szCs w:val="22"/>
        </w:rPr>
      </w:pPr>
      <w:r w:rsidRPr="00221244">
        <w:rPr>
          <w:rFonts w:asciiTheme="majorHAnsi" w:hAnsiTheme="majorHAnsi" w:cstheme="majorHAnsi"/>
          <w:b/>
          <w:szCs w:val="22"/>
        </w:rPr>
        <w:t>Marža EBIT*: 14,8 odstotka, izboljšanje za 50 bazičnih točk</w:t>
      </w:r>
    </w:p>
    <w:p w14:paraId="6BDCF70B" w14:textId="77777777" w:rsidR="00FC7E76" w:rsidRPr="00221244" w:rsidRDefault="00FC7E76" w:rsidP="00FC7E76">
      <w:pPr>
        <w:pStyle w:val="ListParagraph"/>
        <w:numPr>
          <w:ilvl w:val="1"/>
          <w:numId w:val="10"/>
        </w:numPr>
        <w:spacing w:after="80" w:line="266" w:lineRule="auto"/>
        <w:ind w:left="709" w:right="-108" w:hanging="283"/>
        <w:contextualSpacing w:val="0"/>
        <w:rPr>
          <w:rFonts w:asciiTheme="majorHAnsi" w:hAnsiTheme="majorHAnsi" w:cstheme="majorHAnsi"/>
          <w:b/>
          <w:szCs w:val="22"/>
        </w:rPr>
      </w:pPr>
      <w:r w:rsidRPr="00221244">
        <w:rPr>
          <w:rFonts w:asciiTheme="majorHAnsi" w:hAnsiTheme="majorHAnsi" w:cstheme="majorHAnsi"/>
          <w:b/>
          <w:szCs w:val="22"/>
        </w:rPr>
        <w:t>Dobiček na prednostno delnico (EPS)*: 5,33 evra, +4,7 odstotka (po stalnih menjalnih tečajih)</w:t>
      </w:r>
    </w:p>
    <w:p w14:paraId="16FE4242" w14:textId="77777777" w:rsidR="00FC7E76" w:rsidRPr="00221244" w:rsidRDefault="00FC7E76" w:rsidP="00FC7E76">
      <w:pPr>
        <w:pStyle w:val="ListParagraph"/>
        <w:numPr>
          <w:ilvl w:val="1"/>
          <w:numId w:val="10"/>
        </w:numPr>
        <w:spacing w:after="80" w:line="266" w:lineRule="auto"/>
        <w:ind w:left="709" w:right="-108" w:hanging="283"/>
        <w:contextualSpacing w:val="0"/>
        <w:rPr>
          <w:rFonts w:asciiTheme="majorHAnsi" w:hAnsiTheme="majorHAnsi" w:cstheme="majorHAnsi"/>
          <w:b/>
          <w:szCs w:val="22"/>
        </w:rPr>
      </w:pPr>
      <w:r w:rsidRPr="00221244">
        <w:rPr>
          <w:rFonts w:asciiTheme="majorHAnsi" w:hAnsiTheme="majorHAnsi" w:cstheme="majorHAnsi"/>
          <w:b/>
          <w:szCs w:val="22"/>
        </w:rPr>
        <w:t>Močan prosti denarni tok v višini približno 1,9 milijarde evrov</w:t>
      </w:r>
    </w:p>
    <w:p w14:paraId="334088C3" w14:textId="77777777" w:rsidR="00FC7E76" w:rsidRPr="00221244" w:rsidRDefault="00FC7E76" w:rsidP="00FC7E76">
      <w:pPr>
        <w:numPr>
          <w:ilvl w:val="0"/>
          <w:numId w:val="10"/>
        </w:numPr>
        <w:spacing w:after="80"/>
        <w:ind w:left="357" w:right="-108" w:hanging="357"/>
        <w:jc w:val="left"/>
        <w:rPr>
          <w:rFonts w:asciiTheme="majorHAnsi" w:hAnsiTheme="majorHAnsi" w:cstheme="majorHAnsi"/>
          <w:b/>
          <w:szCs w:val="22"/>
        </w:rPr>
      </w:pPr>
      <w:r w:rsidRPr="00221244">
        <w:rPr>
          <w:rFonts w:asciiTheme="majorHAnsi" w:hAnsiTheme="majorHAnsi" w:cstheme="majorHAnsi"/>
          <w:b/>
          <w:szCs w:val="22"/>
        </w:rPr>
        <w:t>Predlagano povečanje dividende za 1,5 odstotka na 2,07 evra na prednostno delnico</w:t>
      </w:r>
    </w:p>
    <w:p w14:paraId="4DCB6FD0" w14:textId="77777777" w:rsidR="00FC7E76" w:rsidRPr="00221244" w:rsidRDefault="00FC7E76" w:rsidP="00FC7E76">
      <w:pPr>
        <w:numPr>
          <w:ilvl w:val="0"/>
          <w:numId w:val="10"/>
        </w:numPr>
        <w:spacing w:after="80"/>
        <w:ind w:left="357" w:right="-108" w:hanging="357"/>
        <w:jc w:val="left"/>
        <w:rPr>
          <w:rFonts w:asciiTheme="majorHAnsi" w:hAnsiTheme="majorHAnsi" w:cstheme="majorHAnsi"/>
          <w:b/>
          <w:szCs w:val="22"/>
        </w:rPr>
      </w:pPr>
      <w:r w:rsidRPr="00221244">
        <w:rPr>
          <w:rFonts w:asciiTheme="majorHAnsi" w:hAnsiTheme="majorHAnsi" w:cstheme="majorHAnsi"/>
          <w:b/>
          <w:szCs w:val="22"/>
        </w:rPr>
        <w:t>Nadaljnji napredek pri izvajanju načrta za namensko rast</w:t>
      </w:r>
    </w:p>
    <w:p w14:paraId="108D69A3" w14:textId="77777777" w:rsidR="00FC7E76" w:rsidRPr="00221244" w:rsidRDefault="00FC7E76" w:rsidP="00FC7E76">
      <w:pPr>
        <w:pStyle w:val="ListParagraph"/>
        <w:numPr>
          <w:ilvl w:val="1"/>
          <w:numId w:val="10"/>
        </w:numPr>
        <w:spacing w:after="80" w:line="266" w:lineRule="auto"/>
        <w:ind w:left="709" w:right="-108" w:hanging="283"/>
        <w:contextualSpacing w:val="0"/>
        <w:rPr>
          <w:rFonts w:asciiTheme="majorHAnsi" w:hAnsiTheme="majorHAnsi" w:cstheme="majorHAnsi"/>
          <w:b/>
          <w:szCs w:val="22"/>
        </w:rPr>
      </w:pPr>
      <w:bookmarkStart w:id="3" w:name="_Hlk157433806"/>
      <w:r w:rsidRPr="00221244">
        <w:rPr>
          <w:rFonts w:asciiTheme="majorHAnsi" w:hAnsiTheme="majorHAnsi" w:cstheme="majorHAnsi"/>
          <w:b/>
          <w:szCs w:val="22"/>
        </w:rPr>
        <w:t>Predčasno zaključena združitev potrošniških segmentov</w:t>
      </w:r>
    </w:p>
    <w:p w14:paraId="1C1A5B59" w14:textId="77777777" w:rsidR="00FC7E76" w:rsidRPr="00221244" w:rsidRDefault="00FC7E76" w:rsidP="00FC7E76">
      <w:pPr>
        <w:pStyle w:val="ListParagraph"/>
        <w:numPr>
          <w:ilvl w:val="1"/>
          <w:numId w:val="10"/>
        </w:numPr>
        <w:spacing w:after="80" w:line="266" w:lineRule="auto"/>
        <w:ind w:left="709" w:right="-108" w:hanging="283"/>
        <w:contextualSpacing w:val="0"/>
        <w:rPr>
          <w:rFonts w:asciiTheme="majorHAnsi" w:hAnsiTheme="majorHAnsi" w:cstheme="majorHAnsi"/>
          <w:b/>
          <w:szCs w:val="22"/>
        </w:rPr>
      </w:pPr>
      <w:r w:rsidRPr="00221244">
        <w:rPr>
          <w:rFonts w:asciiTheme="majorHAnsi" w:hAnsiTheme="majorHAnsi" w:cstheme="majorHAnsi"/>
          <w:b/>
          <w:szCs w:val="22"/>
        </w:rPr>
        <w:t>Nedavni prevzemi v obeh poslovnih enotah krepijo potencial rasti</w:t>
      </w:r>
      <w:bookmarkEnd w:id="3"/>
    </w:p>
    <w:p w14:paraId="3A2F2399" w14:textId="77777777" w:rsidR="00FC7E76" w:rsidRPr="00221244" w:rsidRDefault="00FC7E76" w:rsidP="00FC7E76">
      <w:pPr>
        <w:numPr>
          <w:ilvl w:val="0"/>
          <w:numId w:val="10"/>
        </w:numPr>
        <w:spacing w:after="80"/>
        <w:ind w:left="357" w:right="-108" w:hanging="357"/>
        <w:jc w:val="left"/>
        <w:rPr>
          <w:rFonts w:asciiTheme="majorHAnsi" w:hAnsiTheme="majorHAnsi" w:cstheme="majorHAnsi"/>
          <w:b/>
          <w:szCs w:val="22"/>
        </w:rPr>
      </w:pPr>
      <w:r w:rsidRPr="00221244">
        <w:rPr>
          <w:rFonts w:asciiTheme="majorHAnsi" w:hAnsiTheme="majorHAnsi" w:cstheme="majorHAnsi"/>
          <w:b/>
          <w:szCs w:val="22"/>
        </w:rPr>
        <w:t>Napoved za poslovno leto 2026: Pričakovana nadaljnja rast prihodkov in dobička</w:t>
      </w:r>
    </w:p>
    <w:p w14:paraId="3D757C40" w14:textId="77777777" w:rsidR="00FC7E76" w:rsidRPr="00221244" w:rsidRDefault="00FC7E76" w:rsidP="00FC7E76">
      <w:pPr>
        <w:pStyle w:val="ListParagraph"/>
        <w:numPr>
          <w:ilvl w:val="1"/>
          <w:numId w:val="10"/>
        </w:numPr>
        <w:spacing w:after="80" w:line="266" w:lineRule="auto"/>
        <w:ind w:left="567" w:right="-108" w:hanging="283"/>
        <w:contextualSpacing w:val="0"/>
        <w:rPr>
          <w:rFonts w:asciiTheme="majorHAnsi" w:hAnsiTheme="majorHAnsi" w:cstheme="majorHAnsi"/>
          <w:b/>
          <w:szCs w:val="22"/>
        </w:rPr>
      </w:pPr>
      <w:r w:rsidRPr="00221244">
        <w:rPr>
          <w:rFonts w:asciiTheme="majorHAnsi" w:hAnsiTheme="majorHAnsi" w:cstheme="majorHAnsi"/>
          <w:b/>
          <w:szCs w:val="22"/>
        </w:rPr>
        <w:t>Organska rast prodaje: 1,0 do 3,0 odstotka</w:t>
      </w:r>
    </w:p>
    <w:p w14:paraId="5F2C6AA8" w14:textId="77777777" w:rsidR="00FC7E76" w:rsidRPr="00221244" w:rsidRDefault="00FC7E76" w:rsidP="00FC7E76">
      <w:pPr>
        <w:pStyle w:val="ListParagraph"/>
        <w:numPr>
          <w:ilvl w:val="1"/>
          <w:numId w:val="10"/>
        </w:numPr>
        <w:spacing w:after="80" w:line="266" w:lineRule="auto"/>
        <w:ind w:left="567" w:right="-108" w:hanging="283"/>
        <w:contextualSpacing w:val="0"/>
        <w:rPr>
          <w:rFonts w:asciiTheme="majorHAnsi" w:hAnsiTheme="majorHAnsi" w:cstheme="majorHAnsi"/>
          <w:b/>
          <w:szCs w:val="22"/>
        </w:rPr>
      </w:pPr>
      <w:r w:rsidRPr="00221244">
        <w:rPr>
          <w:rFonts w:asciiTheme="majorHAnsi" w:hAnsiTheme="majorHAnsi" w:cstheme="majorHAnsi"/>
          <w:b/>
          <w:szCs w:val="22"/>
        </w:rPr>
        <w:t>Marža EBIT*: 14,5 do 16,0 odstotka</w:t>
      </w:r>
    </w:p>
    <w:p w14:paraId="46048CD7" w14:textId="77777777" w:rsidR="00FC7E76" w:rsidRPr="00221244" w:rsidRDefault="00FC7E76" w:rsidP="00FC7E76">
      <w:pPr>
        <w:pStyle w:val="ListParagraph"/>
        <w:numPr>
          <w:ilvl w:val="1"/>
          <w:numId w:val="10"/>
        </w:numPr>
        <w:spacing w:after="80" w:line="266" w:lineRule="auto"/>
        <w:ind w:left="567" w:right="-108" w:hanging="283"/>
        <w:contextualSpacing w:val="0"/>
        <w:rPr>
          <w:rFonts w:asciiTheme="majorHAnsi" w:hAnsiTheme="majorHAnsi" w:cstheme="majorHAnsi"/>
          <w:b/>
          <w:szCs w:val="22"/>
        </w:rPr>
      </w:pPr>
      <w:r w:rsidRPr="00221244">
        <w:rPr>
          <w:rFonts w:asciiTheme="majorHAnsi" w:hAnsiTheme="majorHAnsi" w:cstheme="majorHAnsi"/>
          <w:b/>
          <w:szCs w:val="22"/>
        </w:rPr>
        <w:t>Dobiček na prednostno delnico (EPS)*: Povečanje</w:t>
      </w:r>
      <w:bookmarkStart w:id="4" w:name="_Hlk191544887"/>
      <w:r w:rsidRPr="00221244">
        <w:rPr>
          <w:rFonts w:asciiTheme="majorHAnsi" w:hAnsiTheme="majorHAnsi" w:cstheme="majorHAnsi"/>
          <w:b/>
          <w:szCs w:val="22"/>
        </w:rPr>
        <w:t xml:space="preserve"> v nizkem do visokem enomestnem odstotnem razponu (po stalnih menjalnih tečajih)</w:t>
      </w:r>
      <w:bookmarkEnd w:id="4"/>
    </w:p>
    <w:p w14:paraId="379BFDD5" w14:textId="77777777" w:rsidR="00FC7E76" w:rsidRPr="00221244" w:rsidRDefault="00FC7E76" w:rsidP="00FC7E76">
      <w:pPr>
        <w:rPr>
          <w:rFonts w:cs="Segoe UI"/>
          <w:b/>
          <w:bCs/>
          <w:szCs w:val="22"/>
        </w:rPr>
      </w:pPr>
    </w:p>
    <w:p w14:paraId="7665932A" w14:textId="77777777" w:rsidR="00FC7E76" w:rsidRPr="00221244" w:rsidRDefault="00FC7E76" w:rsidP="00FC7E76">
      <w:pPr>
        <w:rPr>
          <w:rFonts w:cs="Segoe UI"/>
          <w:b/>
          <w:bCs/>
          <w:szCs w:val="22"/>
        </w:rPr>
      </w:pPr>
      <w:r w:rsidRPr="00221244">
        <w:rPr>
          <w:b/>
          <w:bCs/>
          <w:noProof/>
          <w:sz w:val="24"/>
        </w:rPr>
        <mc:AlternateContent>
          <mc:Choice Requires="wps">
            <w:drawing>
              <wp:anchor distT="45720" distB="45720" distL="114300" distR="114300" simplePos="0" relativeHeight="251659264" behindDoc="0" locked="0" layoutInCell="1" allowOverlap="1" wp14:anchorId="6D25B1C2" wp14:editId="5A215A5C">
                <wp:simplePos x="0" y="0"/>
                <wp:positionH relativeFrom="margin">
                  <wp:posOffset>-40005</wp:posOffset>
                </wp:positionH>
                <wp:positionV relativeFrom="paragraph">
                  <wp:posOffset>1682321</wp:posOffset>
                </wp:positionV>
                <wp:extent cx="5413973" cy="232834"/>
                <wp:effectExtent l="0" t="0" r="0" b="0"/>
                <wp:wrapNone/>
                <wp:docPr id="214901967" name="Textfeld 21490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973" cy="232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53223" w14:textId="77777777" w:rsidR="00FC7E76" w:rsidRPr="00221244" w:rsidRDefault="00FC7E76" w:rsidP="00FC7E76">
                            <w:pPr>
                              <w:pStyle w:val="He04Funote"/>
                              <w:rPr>
                                <w:sz w:val="12"/>
                                <w:szCs w:val="12"/>
                                <w:lang w:val="sl-SI"/>
                              </w:rPr>
                            </w:pPr>
                            <w:r w:rsidRPr="00221244">
                              <w:rPr>
                                <w:sz w:val="12"/>
                                <w:szCs w:val="12"/>
                                <w:lang w:val="sl-SI"/>
                              </w:rPr>
                              <w:t>* Prilagojeno za enkratne stroške in prihodke ter stroške prestrukturiranja.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5B1C2" id="_x0000_t202" coordsize="21600,21600" o:spt="202" path="m,l,21600r21600,l21600,xe">
                <v:stroke joinstyle="miter"/>
                <v:path gradientshapeok="t" o:connecttype="rect"/>
              </v:shapetype>
              <v:shape id="Textfeld 214901967" o:spid="_x0000_s1026" type="#_x0000_t202" style="position:absolute;left:0;text-align:left;margin-left:-3.15pt;margin-top:132.45pt;width:426.3pt;height:1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" stroked="f">
                <v:textbox>
                  <w:txbxContent>
                    <w:p w14:paraId="40453223" w14:textId="77777777" w:rsidR="00FC7E76" w:rsidRPr="00221244" w:rsidRDefault="00FC7E76" w:rsidP="00FC7E76">
                      <w:pPr>
                        <w:pStyle w:val="He04Funote"/>
                        <w:rPr>
                          <w:sz w:val="12"/>
                          <w:szCs w:val="12"/>
                          <w:lang w:val="sl-SI"/>
                        </w:rPr>
                      </w:pPr>
                      <w:r w:rsidRPr="00221244">
                        <w:rPr>
                          <w:sz w:val="12"/>
                          <w:szCs w:val="12"/>
                          <w:lang w:val="sl-SI"/>
                        </w:rPr>
                        <w:t>* Prilagojeno za enkratne stroške in prihodke ter stroške prestrukturiranja.</w:t>
                      </w:r>
                    </w:p>
                  </w:txbxContent>
                </v:textbox>
                <w10:wrap anchorx="margin"/>
              </v:shape>
            </w:pict>
          </mc:Fallback>
        </mc:AlternateContent>
      </w:r>
      <w:r w:rsidRPr="00221244">
        <w:rPr>
          <w:rFonts w:cs="Segoe UI"/>
          <w:b/>
          <w:bCs/>
          <w:szCs w:val="22"/>
        </w:rPr>
        <w:t xml:space="preserve">Düsseldorf: Henkel je v zahtevnem poslovnem letu 2025, ki ga je zaznamovala zmerna svetovna gospodarska rast v zapletenem geopolitičnem okolju, na splošno dosegel dobre rezultate. Prodaja na ravni skupine je v poslovnem letu 2025 znašala približno 20,5 </w:t>
      </w:r>
      <w:r w:rsidRPr="00221244">
        <w:rPr>
          <w:rFonts w:cs="Segoe UI"/>
          <w:b/>
          <w:bCs/>
          <w:szCs w:val="22"/>
        </w:rPr>
        <w:lastRenderedPageBreak/>
        <w:t>milijarde evrov, prilagojena marža EBIT pa se je povečala za 50 bazičnih točk na 14,8 odstotka. Prilagojeni dobiček na prednostno delnico po stalnih menjalnih tečajih se je povečal za 4,7 odstotka.</w:t>
      </w:r>
    </w:p>
    <w:p w14:paraId="31CBBAB4" w14:textId="77777777" w:rsidR="00FC7E76" w:rsidRPr="00221244" w:rsidRDefault="00FC7E76" w:rsidP="00FC7E76">
      <w:pPr>
        <w:rPr>
          <w:rFonts w:cs="Segoe UI"/>
          <w:b/>
          <w:bCs/>
          <w:szCs w:val="22"/>
        </w:rPr>
      </w:pPr>
      <w:bookmarkStart w:id="5" w:name="_Hlk190074952"/>
      <w:r w:rsidRPr="00221244">
        <w:rPr>
          <w:rFonts w:cs="Segoe UI"/>
          <w:b/>
          <w:bCs/>
          <w:szCs w:val="22"/>
        </w:rPr>
        <w:t xml:space="preserve">»Naše poslovno okolje so zaznamovali in ga še vedno zaznamujejo veliki izzivi, vključno z vojaškimi konflikti, geopolitičnimi napetostmi v številnih delih sveta ter daljnosežnimi trgovinskimi in tarifnimi spori. Negotovosti, ki so posledica tega, so oslabile razpoloženje potrošnikov in industrijsko povpraševanje. Z vojno na Bližnjem vzhodu, ki se je začela konec februarja, se je negotovost ponovno močno povečala,« je dejal Carsten Knobel, izvršni direktor družbe Henkel. </w:t>
      </w:r>
    </w:p>
    <w:p w14:paraId="6FC65C63" w14:textId="77777777" w:rsidR="00FC7E76" w:rsidRPr="00221244" w:rsidRDefault="00FC7E76" w:rsidP="00FC7E76">
      <w:pPr>
        <w:rPr>
          <w:rFonts w:cs="Segoe UI"/>
          <w:b/>
          <w:bCs/>
          <w:szCs w:val="22"/>
        </w:rPr>
      </w:pPr>
      <w:r w:rsidRPr="00221244">
        <w:rPr>
          <w:rFonts w:cs="Segoe UI"/>
          <w:b/>
          <w:bCs/>
          <w:szCs w:val="22"/>
        </w:rPr>
        <w:t>»Kljub še vedno težkim gospodarskim razmeram smo Henkel v letu 2025 uspešno premaknili naprej. Dosegli ali celo presegli smo ključne cilje in še naprej spodbujali preoblikovanje našega podjetja. Organsko smo povečali prodajo in znatno izboljšali dobičkonosnost našega podjetja. Želimo si, da bi naši delničarji sodelovali pri uspešnem razvoju podjetja</w:t>
      </w:r>
      <w:r>
        <w:rPr>
          <w:rFonts w:cs="Segoe UI"/>
          <w:b/>
          <w:bCs/>
          <w:szCs w:val="22"/>
        </w:rPr>
        <w:t>, z</w:t>
      </w:r>
      <w:r w:rsidRPr="00221244">
        <w:rPr>
          <w:rFonts w:cs="Segoe UI"/>
          <w:b/>
          <w:bCs/>
          <w:szCs w:val="22"/>
        </w:rPr>
        <w:t>ato bomo predlagali 1,5-odstotno povečanje dividend.«</w:t>
      </w:r>
    </w:p>
    <w:p w14:paraId="27D3295E" w14:textId="77777777" w:rsidR="00FC7E76" w:rsidRPr="00221244" w:rsidRDefault="00FC7E76" w:rsidP="00FC7E76">
      <w:pPr>
        <w:rPr>
          <w:rFonts w:cs="Segoe UI"/>
          <w:b/>
          <w:bCs/>
          <w:szCs w:val="22"/>
        </w:rPr>
      </w:pPr>
      <w:bookmarkStart w:id="6" w:name="_Hlk190777016"/>
      <w:bookmarkEnd w:id="5"/>
      <w:r w:rsidRPr="00221244">
        <w:rPr>
          <w:rFonts w:cs="Segoe UI"/>
          <w:b/>
          <w:bCs/>
          <w:szCs w:val="22"/>
        </w:rPr>
        <w:t xml:space="preserve">»Organsko smo povečali prodajo in dodatno izboljšali dobičkonosnost v obeh poslovnih enotah – Lepila in tehnologije ter Consumer Brands – predvsem z nadaljnjimi inovacijami, dodatnimi ukrepi za zmanjšanje stroškov in izboljšanje učinkovitosti ter močnejšo rastjo na področjih z visoko maržo. Povečanje marže v poslovni enoti Consumer Brands je bilo posledica zaključenega procesa integracije, nadaljnjih prihrankov in </w:t>
      </w:r>
      <w:r>
        <w:rPr>
          <w:rFonts w:cs="Segoe UI"/>
          <w:b/>
          <w:bCs/>
          <w:szCs w:val="22"/>
        </w:rPr>
        <w:t>dodatne</w:t>
      </w:r>
      <w:r w:rsidRPr="00221244">
        <w:rPr>
          <w:rFonts w:cs="Segoe UI"/>
          <w:b/>
          <w:bCs/>
          <w:szCs w:val="22"/>
        </w:rPr>
        <w:t xml:space="preserve"> valorizacije – tj. ciljno usmerjenega izboljšanja portfelja izdelkov. Hkrati smo še naprej vlagali v prihodnost obeh divizij: v krepitev naših blagovnih znamk, inovacije, trajnost in digitalizacijo. Poleg tega smo se v zadnjih treh mesecih dogovorili o prevzemih v obeh poslovnih enotah s skupnim obsegom prodaje približno 1,2 milijarde EUR, da bi okrepili naša podjetja in povečali njun potencial rasti. Rezultati za leto 2025 jasno kažejo, da smo s svojo strategijo trajnostne in ciljno usmerjene rasti na pravi poti, kar podjetje učinkovito pozicionira za prihodnost. </w:t>
      </w:r>
      <w:bookmarkEnd w:id="6"/>
      <w:r w:rsidRPr="00221244">
        <w:rPr>
          <w:rFonts w:cs="Segoe UI"/>
          <w:b/>
          <w:bCs/>
          <w:szCs w:val="22"/>
        </w:rPr>
        <w:t>To se odraža tudi v naših napovedih za poslovno leto 2026, v katerem pričakujemo nadaljnjo rast prodaje in dobička, čeprav bo začetek leta verjetno nekoliko blažji. Rad bi se zahvalil vsem zaposlenim za njihovo izjemno uspešnost. Zaradi njihovega timskega dela in izjemne predanosti smo naše podjetje ponovno uspešno popeljali skozi zahtevno okolje,« je povzel Carsten Knobel.</w:t>
      </w:r>
    </w:p>
    <w:p w14:paraId="6AE6C819" w14:textId="77777777" w:rsidR="00FC7E76" w:rsidRPr="00221244" w:rsidRDefault="00FC7E76" w:rsidP="00FC7E76">
      <w:pPr>
        <w:rPr>
          <w:rFonts w:cs="Segoe UI"/>
          <w:b/>
          <w:bCs/>
          <w:szCs w:val="22"/>
        </w:rPr>
      </w:pPr>
    </w:p>
    <w:p w14:paraId="329755D4" w14:textId="77777777" w:rsidR="00FC7E76" w:rsidRPr="00221244" w:rsidRDefault="00FC7E76" w:rsidP="00FC7E76">
      <w:pPr>
        <w:spacing w:after="120"/>
        <w:rPr>
          <w:rFonts w:cs="Segoe UI"/>
          <w:b/>
          <w:bCs/>
          <w:szCs w:val="22"/>
          <w:lang w:eastAsia="de-DE"/>
        </w:rPr>
      </w:pPr>
    </w:p>
    <w:p w14:paraId="72C46B79" w14:textId="77777777" w:rsidR="00FC7E76" w:rsidRPr="00221244" w:rsidRDefault="00FC7E76" w:rsidP="00FC7E76">
      <w:pPr>
        <w:spacing w:after="120"/>
        <w:rPr>
          <w:rFonts w:cs="Segoe UI"/>
          <w:b/>
          <w:bCs/>
          <w:szCs w:val="22"/>
          <w:lang w:eastAsia="de-DE"/>
        </w:rPr>
      </w:pPr>
      <w:r w:rsidRPr="00221244">
        <w:rPr>
          <w:rFonts w:cs="Segoe UI"/>
          <w:b/>
          <w:bCs/>
          <w:szCs w:val="22"/>
          <w:lang w:eastAsia="de-DE"/>
        </w:rPr>
        <w:t>Prodaja in dobiček na ravni skupine v poslovnem letu 2025</w:t>
      </w:r>
    </w:p>
    <w:p w14:paraId="745BE967" w14:textId="77777777" w:rsidR="00FC7E76" w:rsidRPr="00221244" w:rsidRDefault="00FC7E76" w:rsidP="00FC7E76">
      <w:pPr>
        <w:rPr>
          <w:rFonts w:cs="Segoe UI"/>
          <w:szCs w:val="22"/>
        </w:rPr>
      </w:pPr>
      <w:r w:rsidRPr="00221244">
        <w:rPr>
          <w:rFonts w:cs="Segoe UI"/>
          <w:b/>
          <w:bCs/>
          <w:szCs w:val="22"/>
        </w:rPr>
        <w:t xml:space="preserve">Prodaja na ravni skupine </w:t>
      </w:r>
      <w:r w:rsidRPr="00221244">
        <w:rPr>
          <w:rFonts w:cs="Segoe UI"/>
          <w:szCs w:val="22"/>
        </w:rPr>
        <w:t xml:space="preserve">Henkel je v poslovnem letu 2025 znašala 20,495 milijarde evrov, kar je nominalno –5,1 odstotka manj kot leto prej. Učinki tujih valut so negativno vplivali na prodajo v višini –4,2 odstotka. Prodaja, prilagojena za učinke tujih valut, se je zmanjšala za –0,8 odstotka. Na prodajo so negativno vplivali tudi prevzemi/odprodaje, in sicer za –1,7 odstotka, predvsem </w:t>
      </w:r>
      <w:r w:rsidRPr="00221244">
        <w:rPr>
          <w:rFonts w:cs="Segoe UI"/>
          <w:szCs w:val="22"/>
        </w:rPr>
        <w:lastRenderedPageBreak/>
        <w:t xml:space="preserve">zaradi prodaje segmenta trgovskih blagovnih znamk v Severni Ameriki v poslovni enoti Consumer Brands. </w:t>
      </w:r>
      <w:r w:rsidRPr="00221244">
        <w:rPr>
          <w:rFonts w:cs="Segoe UI"/>
          <w:b/>
          <w:bCs/>
          <w:szCs w:val="22"/>
        </w:rPr>
        <w:t>Organska rast prodaje</w:t>
      </w:r>
      <w:r w:rsidRPr="00221244">
        <w:rPr>
          <w:rFonts w:cs="Segoe UI"/>
          <w:szCs w:val="22"/>
        </w:rPr>
        <w:t>, tj. prilagojena za učinke deviznih tečajev in prevzemov/odprodaj, je bila pozitivna in je znašala 0,9 odstotka. Na to povečanje so vplivale predvsem cene, medtem ko je obseg ostal na enaki ravni kot v preteklem letu.</w:t>
      </w:r>
    </w:p>
    <w:p w14:paraId="05161CB7" w14:textId="77777777" w:rsidR="00FC7E76" w:rsidRPr="00221244" w:rsidRDefault="00FC7E76" w:rsidP="00FC7E76">
      <w:pPr>
        <w:rPr>
          <w:rFonts w:cs="Segoe UI"/>
          <w:szCs w:val="22"/>
        </w:rPr>
      </w:pPr>
      <w:r w:rsidRPr="00221244">
        <w:rPr>
          <w:rFonts w:cs="Segoe UI"/>
          <w:szCs w:val="22"/>
        </w:rPr>
        <w:t xml:space="preserve">Poslovna enota </w:t>
      </w:r>
      <w:r w:rsidRPr="00221244">
        <w:rPr>
          <w:rFonts w:cs="Segoe UI"/>
          <w:b/>
          <w:bCs/>
          <w:szCs w:val="22"/>
        </w:rPr>
        <w:t xml:space="preserve">Lepila in tehnologije </w:t>
      </w:r>
      <w:r w:rsidRPr="00221244">
        <w:rPr>
          <w:rFonts w:cs="Segoe UI"/>
          <w:szCs w:val="22"/>
        </w:rPr>
        <w:t xml:space="preserve">je dosegla dobro 1,5-odstotno organsko rast prodaje, zlasti zaradi poslovnega področja Mobilnost in elektronika. Poslovna enota </w:t>
      </w:r>
      <w:r w:rsidRPr="00221244">
        <w:rPr>
          <w:rFonts w:cs="Segoe UI"/>
          <w:b/>
          <w:bCs/>
          <w:szCs w:val="22"/>
        </w:rPr>
        <w:t xml:space="preserve">Consumer Brands </w:t>
      </w:r>
      <w:r w:rsidRPr="00221244">
        <w:rPr>
          <w:rFonts w:cs="Segoe UI"/>
          <w:szCs w:val="22"/>
        </w:rPr>
        <w:t>je dosegla pozitivno organsko rast prodaje v višini 0,3 odstotka, zlasti zaradi poslovnega področja Izdelki za lase.</w:t>
      </w:r>
    </w:p>
    <w:p w14:paraId="3C585B8B" w14:textId="77777777" w:rsidR="00FC7E76" w:rsidRPr="00221244" w:rsidRDefault="00FC7E76" w:rsidP="00FC7E76">
      <w:pPr>
        <w:rPr>
          <w:rFonts w:cs="Segoe UI"/>
          <w:szCs w:val="22"/>
        </w:rPr>
      </w:pPr>
    </w:p>
    <w:p w14:paraId="24BCACC7" w14:textId="77777777" w:rsidR="00FC7E76" w:rsidRPr="00221244" w:rsidRDefault="00FC7E76" w:rsidP="00FC7E76">
      <w:pPr>
        <w:rPr>
          <w:rFonts w:cs="Segoe UI"/>
          <w:szCs w:val="22"/>
        </w:rPr>
      </w:pPr>
      <w:r w:rsidRPr="00221244">
        <w:rPr>
          <w:rFonts w:cs="Segoe UI"/>
          <w:b/>
          <w:bCs/>
          <w:szCs w:val="22"/>
        </w:rPr>
        <w:t xml:space="preserve">Prilagojeni dobiček iz poslovanja (prilagojeni EBIT) </w:t>
      </w:r>
      <w:r w:rsidRPr="00221244">
        <w:rPr>
          <w:rFonts w:cs="Segoe UI"/>
          <w:szCs w:val="22"/>
        </w:rPr>
        <w:t>je znašal 3</w:t>
      </w:r>
      <w:r>
        <w:rPr>
          <w:rFonts w:cs="Segoe UI"/>
          <w:szCs w:val="22"/>
        </w:rPr>
        <w:t>.</w:t>
      </w:r>
      <w:r w:rsidRPr="00221244">
        <w:rPr>
          <w:rFonts w:cs="Segoe UI"/>
          <w:szCs w:val="22"/>
        </w:rPr>
        <w:t>026 milijarde evrov in je bil tako nižji od ravni iz prejšnjega leta, predvsem zaradi precej negativnih učinkov deviznih tečajev (2024: 3</w:t>
      </w:r>
      <w:r>
        <w:rPr>
          <w:rFonts w:cs="Segoe UI"/>
          <w:szCs w:val="22"/>
        </w:rPr>
        <w:t>.</w:t>
      </w:r>
      <w:r w:rsidRPr="00221244">
        <w:rPr>
          <w:rFonts w:cs="Segoe UI"/>
          <w:szCs w:val="22"/>
        </w:rPr>
        <w:t>089 milijarde evrov).</w:t>
      </w:r>
    </w:p>
    <w:p w14:paraId="753D1A7E" w14:textId="77777777" w:rsidR="00FC7E76" w:rsidRPr="00221244" w:rsidRDefault="00FC7E76" w:rsidP="00FC7E76">
      <w:pPr>
        <w:rPr>
          <w:rFonts w:cs="Segoe UI"/>
          <w:szCs w:val="22"/>
        </w:rPr>
      </w:pPr>
    </w:p>
    <w:p w14:paraId="442E4990" w14:textId="77777777" w:rsidR="00FC7E76" w:rsidRPr="00221244" w:rsidRDefault="00FC7E76" w:rsidP="00FC7E76">
      <w:pPr>
        <w:rPr>
          <w:rFonts w:cs="Segoe UI"/>
          <w:szCs w:val="22"/>
        </w:rPr>
      </w:pPr>
      <w:r w:rsidRPr="00221244">
        <w:rPr>
          <w:rFonts w:cs="Segoe UI"/>
          <w:szCs w:val="22"/>
        </w:rPr>
        <w:t xml:space="preserve">Nasprotno pa je bila </w:t>
      </w:r>
      <w:r w:rsidRPr="00221244">
        <w:rPr>
          <w:rFonts w:cs="Segoe UI"/>
          <w:b/>
          <w:bCs/>
          <w:szCs w:val="22"/>
        </w:rPr>
        <w:t xml:space="preserve">prilagojena donosnost prodaje (prilagojena marža EBIT) </w:t>
      </w:r>
      <w:r w:rsidRPr="00221244">
        <w:rPr>
          <w:rFonts w:cs="Segoe UI"/>
          <w:szCs w:val="22"/>
        </w:rPr>
        <w:t>v obravnavanem letu v primerjavi s preteklim letom višja in je znašala 14,8 odstotka (2024: 14,3 odstotka).</w:t>
      </w:r>
    </w:p>
    <w:p w14:paraId="3EC8E178" w14:textId="77777777" w:rsidR="00FC7E76" w:rsidRPr="00221244" w:rsidRDefault="00FC7E76" w:rsidP="00FC7E76">
      <w:pPr>
        <w:rPr>
          <w:rFonts w:cs="Segoe UI"/>
          <w:szCs w:val="22"/>
        </w:rPr>
      </w:pPr>
    </w:p>
    <w:p w14:paraId="3B7E8F5C" w14:textId="77777777" w:rsidR="00FC7E76" w:rsidRPr="00221244" w:rsidRDefault="00FC7E76" w:rsidP="00FC7E76">
      <w:pPr>
        <w:rPr>
          <w:rFonts w:cs="Segoe UI"/>
          <w:szCs w:val="22"/>
        </w:rPr>
      </w:pPr>
      <w:bookmarkStart w:id="7" w:name="_Hlk190081485"/>
      <w:r w:rsidRPr="00221244">
        <w:rPr>
          <w:rFonts w:cs="Segoe UI"/>
          <w:b/>
          <w:bCs/>
          <w:szCs w:val="22"/>
        </w:rPr>
        <w:t xml:space="preserve">Prilagojeni dobiček na prednostno delnico </w:t>
      </w:r>
      <w:r w:rsidRPr="00221244">
        <w:rPr>
          <w:rFonts w:cs="Segoe UI"/>
          <w:szCs w:val="22"/>
        </w:rPr>
        <w:t xml:space="preserve">se je nekoliko zmanjšal, in sicer za –0,6 odstotka na 5,33 evra (2024: 5,36 evra). Prilagojeni dobiček na prednostno delnico se je, po stalnih menjalnih tečajih, povečal za 4,7 odstotka. </w:t>
      </w:r>
    </w:p>
    <w:p w14:paraId="014EA34D" w14:textId="77777777" w:rsidR="00FC7E76" w:rsidRPr="00221244" w:rsidRDefault="00FC7E76" w:rsidP="00FC7E76">
      <w:pPr>
        <w:rPr>
          <w:rFonts w:cs="Segoe UI"/>
          <w:szCs w:val="22"/>
        </w:rPr>
      </w:pPr>
    </w:p>
    <w:bookmarkEnd w:id="7"/>
    <w:p w14:paraId="40DB8382" w14:textId="77777777" w:rsidR="00FC7E76" w:rsidRPr="00221244" w:rsidRDefault="00FC7E76" w:rsidP="00FC7E76">
      <w:pPr>
        <w:rPr>
          <w:rFonts w:cs="Segoe UI"/>
          <w:szCs w:val="22"/>
        </w:rPr>
      </w:pPr>
      <w:r w:rsidRPr="00221244">
        <w:rPr>
          <w:rFonts w:cs="Segoe UI"/>
          <w:b/>
          <w:bCs/>
          <w:szCs w:val="22"/>
        </w:rPr>
        <w:t xml:space="preserve">Neto obratni kapital </w:t>
      </w:r>
      <w:r w:rsidRPr="00221244">
        <w:rPr>
          <w:rFonts w:cs="Segoe UI"/>
          <w:szCs w:val="22"/>
        </w:rPr>
        <w:t>kot odstotek prodaje je znašal 3,8 odstotka, kar pomeni povečanje v primerjavi z letom prej (2024: 3,0 odstotka).</w:t>
      </w:r>
    </w:p>
    <w:p w14:paraId="4050F775" w14:textId="77777777" w:rsidR="00FC7E76" w:rsidRPr="00221244" w:rsidRDefault="00FC7E76" w:rsidP="00FC7E76">
      <w:pPr>
        <w:rPr>
          <w:rFonts w:cs="Segoe UI"/>
          <w:szCs w:val="22"/>
        </w:rPr>
      </w:pPr>
    </w:p>
    <w:p w14:paraId="7D3211A7" w14:textId="77777777" w:rsidR="00FC7E76" w:rsidRPr="00221244" w:rsidRDefault="00FC7E76" w:rsidP="00FC7E76">
      <w:pPr>
        <w:rPr>
          <w:rFonts w:cs="Segoe UI"/>
          <w:szCs w:val="22"/>
        </w:rPr>
      </w:pPr>
      <w:r w:rsidRPr="00221244">
        <w:rPr>
          <w:rFonts w:cs="Segoe UI"/>
          <w:b/>
          <w:bCs/>
          <w:szCs w:val="22"/>
        </w:rPr>
        <w:t xml:space="preserve">Prosti denarni tok </w:t>
      </w:r>
      <w:r w:rsidRPr="00221244">
        <w:rPr>
          <w:rFonts w:cs="Segoe UI"/>
          <w:szCs w:val="22"/>
        </w:rPr>
        <w:t>v</w:t>
      </w:r>
      <w:r w:rsidRPr="00221244">
        <w:rPr>
          <w:rFonts w:cs="Segoe UI"/>
          <w:b/>
          <w:bCs/>
          <w:szCs w:val="22"/>
        </w:rPr>
        <w:t xml:space="preserve"> </w:t>
      </w:r>
      <w:r w:rsidRPr="00221244">
        <w:rPr>
          <w:rFonts w:cs="Segoe UI"/>
          <w:szCs w:val="22"/>
        </w:rPr>
        <w:t>višini 1</w:t>
      </w:r>
      <w:r>
        <w:rPr>
          <w:rFonts w:cs="Segoe UI"/>
          <w:szCs w:val="22"/>
        </w:rPr>
        <w:t>.</w:t>
      </w:r>
      <w:r w:rsidRPr="00221244">
        <w:rPr>
          <w:rFonts w:cs="Segoe UI"/>
          <w:szCs w:val="22"/>
        </w:rPr>
        <w:t>85 milijarde evrov je bil v primerjavi s prejšnjim letom nižji (2024: 2</w:t>
      </w:r>
      <w:r>
        <w:rPr>
          <w:rFonts w:cs="Segoe UI"/>
          <w:szCs w:val="22"/>
        </w:rPr>
        <w:t>.</w:t>
      </w:r>
      <w:r w:rsidRPr="00221244">
        <w:rPr>
          <w:rFonts w:cs="Segoe UI"/>
          <w:szCs w:val="22"/>
        </w:rPr>
        <w:t>362 milijarde evrov). Tako gibanje je bilo posledica sprememb v čistem obratnem kapitalu in učinkov preračunavanja zaradi menjalnega tečaja.</w:t>
      </w:r>
      <w:bookmarkStart w:id="8" w:name="_Hlk190081658"/>
    </w:p>
    <w:p w14:paraId="04DC1ED2" w14:textId="77777777" w:rsidR="00FC7E76" w:rsidRPr="00221244" w:rsidRDefault="00FC7E76" w:rsidP="00FC7E76">
      <w:pPr>
        <w:rPr>
          <w:rFonts w:cs="Segoe UI"/>
          <w:szCs w:val="22"/>
        </w:rPr>
      </w:pPr>
    </w:p>
    <w:p w14:paraId="0B97082D" w14:textId="77777777" w:rsidR="00FC7E76" w:rsidRPr="00221244" w:rsidRDefault="00FC7E76" w:rsidP="00FC7E76">
      <w:pPr>
        <w:rPr>
          <w:rFonts w:cs="Segoe UI"/>
          <w:szCs w:val="22"/>
        </w:rPr>
      </w:pPr>
      <w:r w:rsidRPr="00221244">
        <w:rPr>
          <w:rFonts w:cs="Segoe UI"/>
          <w:szCs w:val="22"/>
        </w:rPr>
        <w:t xml:space="preserve">Kljub denarnim odlivom za dividende in program odkupa delnic je </w:t>
      </w:r>
      <w:r w:rsidRPr="00221244">
        <w:rPr>
          <w:rFonts w:cs="Segoe UI"/>
          <w:b/>
          <w:bCs/>
          <w:szCs w:val="22"/>
        </w:rPr>
        <w:t xml:space="preserve">neto finančni položaj </w:t>
      </w:r>
      <w:r w:rsidRPr="00221244">
        <w:rPr>
          <w:rFonts w:cs="Segoe UI"/>
          <w:szCs w:val="22"/>
        </w:rPr>
        <w:t>znašal 109 milijonov evrov, torej več kot leto prej (31. decembra 2024: –93 milijonov evrov).</w:t>
      </w:r>
    </w:p>
    <w:bookmarkEnd w:id="8"/>
    <w:p w14:paraId="3C216E6E" w14:textId="77777777" w:rsidR="00FC7E76" w:rsidRPr="00221244" w:rsidRDefault="00FC7E76" w:rsidP="00FC7E76">
      <w:pPr>
        <w:rPr>
          <w:rFonts w:cs="Segoe UI"/>
        </w:rPr>
      </w:pPr>
    </w:p>
    <w:p w14:paraId="699641C2" w14:textId="77777777" w:rsidR="00FC7E76" w:rsidRPr="00221244" w:rsidRDefault="00FC7E76" w:rsidP="00FC7E76">
      <w:pPr>
        <w:rPr>
          <w:rFonts w:cs="Segoe UI"/>
        </w:rPr>
      </w:pPr>
      <w:r w:rsidRPr="00221244">
        <w:rPr>
          <w:rFonts w:cs="Segoe UI"/>
        </w:rPr>
        <w:t xml:space="preserve">Upravni odbor, nadzorni odbor in odbor delničarjev bodo 27. aprila 2026 skupščini delničarjev predlagali 1,5-odstotno povečanje </w:t>
      </w:r>
      <w:r w:rsidRPr="00221244">
        <w:rPr>
          <w:rFonts w:cs="Segoe UI"/>
          <w:b/>
          <w:bCs/>
        </w:rPr>
        <w:t xml:space="preserve">dividend </w:t>
      </w:r>
      <w:r w:rsidRPr="00221244">
        <w:rPr>
          <w:rFonts w:cs="Segoe UI"/>
        </w:rPr>
        <w:t>v</w:t>
      </w:r>
      <w:r w:rsidRPr="00221244">
        <w:rPr>
          <w:rFonts w:cs="Segoe UI"/>
          <w:b/>
          <w:bCs/>
        </w:rPr>
        <w:t xml:space="preserve"> </w:t>
      </w:r>
      <w:r w:rsidRPr="00221244">
        <w:rPr>
          <w:rFonts w:cs="Segoe UI"/>
        </w:rPr>
        <w:t xml:space="preserve">primerjavi s prejšnjim letom, in sicer v višini 2,07 evra na prednostno delnico in 2,05 evra na navadno delnico. Povečanje dividend je mogoče zaradi dobrih finančnih rezultatov v preteklem poslovnem letu in močne finančne osnove skupine Henkel. Izplačilno razmerje ostaja nespremenjeno in znaša 37,9 odstotka ter je tako v ciljnem razponu od 30 do 40 odstotkov. </w:t>
      </w:r>
    </w:p>
    <w:p w14:paraId="44659A79" w14:textId="77777777" w:rsidR="00FC7E76" w:rsidRPr="00221244" w:rsidRDefault="00FC7E76" w:rsidP="00FC7E76">
      <w:pPr>
        <w:spacing w:line="240" w:lineRule="auto"/>
        <w:jc w:val="left"/>
        <w:rPr>
          <w:rFonts w:cs="Segoe UI"/>
          <w:b/>
          <w:bCs/>
          <w:szCs w:val="22"/>
          <w:lang w:eastAsia="de-DE"/>
        </w:rPr>
      </w:pPr>
    </w:p>
    <w:p w14:paraId="08E3FC7C" w14:textId="77777777" w:rsidR="00FC7E76" w:rsidRPr="00221244" w:rsidRDefault="00FC7E76" w:rsidP="00FC7E76">
      <w:pPr>
        <w:spacing w:line="240" w:lineRule="auto"/>
        <w:jc w:val="left"/>
        <w:rPr>
          <w:rFonts w:cs="Segoe UI"/>
          <w:b/>
          <w:bCs/>
          <w:szCs w:val="22"/>
          <w:lang w:eastAsia="de-DE"/>
        </w:rPr>
      </w:pPr>
    </w:p>
    <w:p w14:paraId="2D59E36F" w14:textId="77777777" w:rsidR="00FC7E76" w:rsidRPr="00221244" w:rsidRDefault="00FC7E76" w:rsidP="00FC7E76">
      <w:pPr>
        <w:spacing w:line="240" w:lineRule="auto"/>
        <w:jc w:val="left"/>
        <w:rPr>
          <w:rFonts w:cs="Segoe UI"/>
          <w:b/>
          <w:bCs/>
          <w:szCs w:val="22"/>
          <w:lang w:eastAsia="de-DE"/>
        </w:rPr>
      </w:pPr>
    </w:p>
    <w:p w14:paraId="6C76F09D" w14:textId="77777777" w:rsidR="00FC7E76" w:rsidRPr="00221244" w:rsidRDefault="00FC7E76" w:rsidP="00FC7E76">
      <w:pPr>
        <w:spacing w:line="240" w:lineRule="auto"/>
        <w:jc w:val="left"/>
        <w:rPr>
          <w:rFonts w:cs="Segoe UI"/>
          <w:b/>
          <w:bCs/>
          <w:szCs w:val="22"/>
          <w:lang w:eastAsia="de-DE"/>
        </w:rPr>
      </w:pPr>
    </w:p>
    <w:p w14:paraId="29F9A854" w14:textId="77777777" w:rsidR="00FC7E76" w:rsidRPr="00221244" w:rsidRDefault="00FC7E76" w:rsidP="00FC7E76">
      <w:pPr>
        <w:spacing w:line="240" w:lineRule="auto"/>
        <w:jc w:val="left"/>
        <w:rPr>
          <w:rFonts w:cs="Segoe UI"/>
          <w:b/>
          <w:bCs/>
          <w:szCs w:val="22"/>
          <w:lang w:eastAsia="de-DE"/>
        </w:rPr>
      </w:pPr>
      <w:r w:rsidRPr="00221244">
        <w:rPr>
          <w:rFonts w:cs="Segoe UI"/>
          <w:b/>
          <w:bCs/>
          <w:szCs w:val="22"/>
          <w:lang w:eastAsia="de-DE"/>
        </w:rPr>
        <w:t>Uspešnost poslovnih enot v poslovnem letu 2025</w:t>
      </w:r>
    </w:p>
    <w:p w14:paraId="69BB6A91" w14:textId="77777777" w:rsidR="00FC7E76" w:rsidRPr="00221244" w:rsidRDefault="00FC7E76" w:rsidP="00FC7E76">
      <w:pPr>
        <w:spacing w:line="240" w:lineRule="auto"/>
        <w:jc w:val="left"/>
        <w:rPr>
          <w:rFonts w:cs="Segoe UI"/>
          <w:b/>
          <w:bCs/>
          <w:szCs w:val="22"/>
          <w:lang w:eastAsia="de-DE"/>
        </w:rPr>
      </w:pPr>
    </w:p>
    <w:p w14:paraId="55F42486" w14:textId="77777777" w:rsidR="00FC7E76" w:rsidRPr="00221244" w:rsidRDefault="00FC7E76" w:rsidP="00FC7E76">
      <w:pPr>
        <w:rPr>
          <w:rFonts w:cs="Segoe UI"/>
          <w:szCs w:val="22"/>
        </w:rPr>
      </w:pPr>
      <w:r w:rsidRPr="00221244">
        <w:rPr>
          <w:rFonts w:cs="Segoe UI"/>
          <w:b/>
          <w:bCs/>
          <w:szCs w:val="22"/>
        </w:rPr>
        <w:t xml:space="preserve">Prodaja </w:t>
      </w:r>
      <w:r w:rsidRPr="00221244">
        <w:rPr>
          <w:rFonts w:cs="Segoe UI"/>
          <w:szCs w:val="22"/>
        </w:rPr>
        <w:t xml:space="preserve">v poslovni enoti </w:t>
      </w:r>
      <w:r w:rsidRPr="00221244">
        <w:rPr>
          <w:rFonts w:cs="Segoe UI"/>
          <w:b/>
          <w:bCs/>
          <w:szCs w:val="22"/>
        </w:rPr>
        <w:t xml:space="preserve">Lepila in tehnologije </w:t>
      </w:r>
      <w:r w:rsidRPr="00221244">
        <w:rPr>
          <w:rFonts w:cs="Segoe UI"/>
          <w:szCs w:val="22"/>
        </w:rPr>
        <w:t>je v obravnavanem letu znašala 10</w:t>
      </w:r>
      <w:r>
        <w:rPr>
          <w:rFonts w:cs="Segoe UI"/>
          <w:szCs w:val="22"/>
        </w:rPr>
        <w:t>.</w:t>
      </w:r>
      <w:r w:rsidRPr="00221244">
        <w:rPr>
          <w:rFonts w:cs="Segoe UI"/>
          <w:szCs w:val="22"/>
        </w:rPr>
        <w:t xml:space="preserve">667 milijarde evrov, kar je nominalno za –2,8 odstotka manj kot leto prej. Učinki tujih valut so prodajo zmanjšali za –4,1 odstotka. Prevzemi/odprodaje so vplivale na prodajo v višini –0,1 odstotka. </w:t>
      </w:r>
      <w:r w:rsidRPr="00221244">
        <w:rPr>
          <w:rFonts w:cs="Segoe UI"/>
          <w:b/>
          <w:bCs/>
          <w:szCs w:val="22"/>
        </w:rPr>
        <w:t xml:space="preserve">Organsko </w:t>
      </w:r>
      <w:r w:rsidRPr="00221244">
        <w:rPr>
          <w:rFonts w:cs="Segoe UI"/>
          <w:szCs w:val="22"/>
        </w:rPr>
        <w:t xml:space="preserve">se je prodaja povečala za 1,5 odstotka. Na to rast prodaje je vplivalo zlasti pozitivno gibanje obsega v drugi polovici leta v primerjavi s prejšnjim letom, ki je bilo posledica nekoliko izboljšanega povpraševanja na nekaterih ključnih končnih trgih. Tudi cene so se v primerjavi s prejšnjim letom razvijale pozitivno. </w:t>
      </w:r>
      <w:bookmarkStart w:id="9" w:name="_Hlk190097207"/>
      <w:r w:rsidRPr="00221244">
        <w:rPr>
          <w:rFonts w:cs="Segoe UI"/>
          <w:b/>
          <w:bCs/>
          <w:szCs w:val="22"/>
        </w:rPr>
        <w:t xml:space="preserve">Prilagojeni dobiček iz poslovanja </w:t>
      </w:r>
      <w:r w:rsidRPr="00221244">
        <w:rPr>
          <w:rFonts w:cs="Segoe UI"/>
          <w:szCs w:val="22"/>
        </w:rPr>
        <w:t>je bil v primerjavi s prejšnjim letom nekoliko nižji in je znašal 1</w:t>
      </w:r>
      <w:r>
        <w:rPr>
          <w:rFonts w:cs="Segoe UI"/>
          <w:szCs w:val="22"/>
        </w:rPr>
        <w:t>.</w:t>
      </w:r>
      <w:r w:rsidRPr="00221244">
        <w:rPr>
          <w:rFonts w:cs="Segoe UI"/>
          <w:szCs w:val="22"/>
        </w:rPr>
        <w:t xml:space="preserve">779 milijarde evrov. Bruto marža je v primerjavi s prejšnjim letom ostala na visoki ravni. </w:t>
      </w:r>
      <w:r w:rsidRPr="00221244">
        <w:rPr>
          <w:rFonts w:cs="Segoe UI"/>
          <w:b/>
          <w:bCs/>
          <w:szCs w:val="22"/>
        </w:rPr>
        <w:t xml:space="preserve">Prilagojena donosnost prodaje </w:t>
      </w:r>
      <w:r w:rsidRPr="00221244">
        <w:rPr>
          <w:rFonts w:cs="Segoe UI"/>
          <w:szCs w:val="22"/>
        </w:rPr>
        <w:t>se je na letni ravni nekoliko povečala in dosegla 16,7 odstotka.</w:t>
      </w:r>
      <w:bookmarkEnd w:id="9"/>
    </w:p>
    <w:p w14:paraId="122A1F72" w14:textId="77777777" w:rsidR="00FC7E76" w:rsidRPr="00221244" w:rsidRDefault="00FC7E76" w:rsidP="00FC7E76">
      <w:pPr>
        <w:rPr>
          <w:rFonts w:cs="Segoe UI"/>
          <w:szCs w:val="22"/>
        </w:rPr>
      </w:pPr>
    </w:p>
    <w:p w14:paraId="75050811" w14:textId="77777777" w:rsidR="00FC7E76" w:rsidRPr="00221244" w:rsidRDefault="00FC7E76" w:rsidP="00FC7E76">
      <w:pPr>
        <w:rPr>
          <w:rFonts w:cs="Segoe UI"/>
          <w:szCs w:val="22"/>
        </w:rPr>
      </w:pPr>
      <w:r w:rsidRPr="00221244">
        <w:rPr>
          <w:rFonts w:cs="Segoe UI"/>
          <w:b/>
          <w:bCs/>
          <w:szCs w:val="22"/>
        </w:rPr>
        <w:t xml:space="preserve">Prodaja </w:t>
      </w:r>
      <w:r w:rsidRPr="00221244">
        <w:rPr>
          <w:rFonts w:cs="Segoe UI"/>
          <w:szCs w:val="22"/>
        </w:rPr>
        <w:t xml:space="preserve">v poslovni enoti </w:t>
      </w:r>
      <w:r w:rsidRPr="00221244">
        <w:rPr>
          <w:rFonts w:cs="Segoe UI"/>
          <w:b/>
          <w:bCs/>
          <w:szCs w:val="22"/>
        </w:rPr>
        <w:t xml:space="preserve">Consumer Brands </w:t>
      </w:r>
      <w:r w:rsidRPr="00221244">
        <w:rPr>
          <w:rFonts w:cs="Segoe UI"/>
          <w:szCs w:val="22"/>
        </w:rPr>
        <w:t>je v obravnavanem letu znašala 9</w:t>
      </w:r>
      <w:r>
        <w:rPr>
          <w:rFonts w:cs="Segoe UI"/>
          <w:szCs w:val="22"/>
        </w:rPr>
        <w:t>.</w:t>
      </w:r>
      <w:r w:rsidRPr="00221244">
        <w:rPr>
          <w:rFonts w:cs="Segoe UI"/>
          <w:szCs w:val="22"/>
        </w:rPr>
        <w:t xml:space="preserve">677 milijarde evrov, kar je nominalno za –7,5 odstotka manj kot v predhodnem letu. Učinki deviznih tečajev so prodajo zmanjšali za –4,4 odstotka. Na prodajo so negativno vplivali tudi prevzemi/odprodaje, in sicer v višini –3,4 odstotka, predvsem zaradi odprodaje segmenta trgovskih blagovnih znamk v Severni Ameriki aprila 2025. </w:t>
      </w:r>
      <w:r w:rsidRPr="00221244">
        <w:rPr>
          <w:rFonts w:cs="Segoe UI"/>
          <w:b/>
          <w:bCs/>
          <w:szCs w:val="22"/>
        </w:rPr>
        <w:t xml:space="preserve">Organsko </w:t>
      </w:r>
      <w:r w:rsidRPr="00221244">
        <w:rPr>
          <w:rFonts w:cs="Segoe UI"/>
          <w:szCs w:val="22"/>
        </w:rPr>
        <w:t>se je prodaja povečala za 0,3 odstotka. Na to povečanje prodaje je vplivalo dobro gibanje cen, medtem ko se je obseg nekoliko zmanjšal.</w:t>
      </w:r>
      <w:bookmarkStart w:id="10" w:name="_Hlk190100714"/>
      <w:r w:rsidRPr="00221244">
        <w:rPr>
          <w:rFonts w:cs="Segoe UI"/>
          <w:b/>
          <w:bCs/>
          <w:szCs w:val="22"/>
        </w:rPr>
        <w:t xml:space="preserve"> Prilagojeni dobiček iz poslovanja </w:t>
      </w:r>
      <w:r w:rsidRPr="00221244">
        <w:rPr>
          <w:rFonts w:cs="Segoe UI"/>
          <w:szCs w:val="22"/>
        </w:rPr>
        <w:t>v</w:t>
      </w:r>
      <w:r w:rsidRPr="00221244">
        <w:rPr>
          <w:rFonts w:cs="Segoe UI"/>
          <w:b/>
          <w:bCs/>
          <w:szCs w:val="22"/>
        </w:rPr>
        <w:t xml:space="preserve"> </w:t>
      </w:r>
      <w:r w:rsidRPr="00221244">
        <w:rPr>
          <w:rFonts w:cs="Segoe UI"/>
          <w:szCs w:val="22"/>
        </w:rPr>
        <w:t>višini 1</w:t>
      </w:r>
      <w:r>
        <w:rPr>
          <w:rFonts w:cs="Segoe UI"/>
          <w:szCs w:val="22"/>
        </w:rPr>
        <w:t>.</w:t>
      </w:r>
      <w:r w:rsidRPr="00221244">
        <w:rPr>
          <w:rFonts w:cs="Segoe UI"/>
          <w:szCs w:val="22"/>
        </w:rPr>
        <w:t xml:space="preserve">4 milijarde evrov je bil skoraj na ravni prejšnjega leta. Nasprotno pa se je bruto marža znatno izboljšala. </w:t>
      </w:r>
      <w:r w:rsidRPr="00221244">
        <w:rPr>
          <w:rFonts w:cs="Segoe UI"/>
          <w:b/>
          <w:bCs/>
          <w:szCs w:val="22"/>
        </w:rPr>
        <w:t xml:space="preserve">Prilagojena donosnost prodaje </w:t>
      </w:r>
      <w:r w:rsidRPr="00221244">
        <w:rPr>
          <w:rFonts w:cs="Segoe UI"/>
          <w:szCs w:val="22"/>
        </w:rPr>
        <w:t xml:space="preserve">je dosegla 14,5 odstotka, kar pomeni znatno povečanje v primerjavi s prejšnjim letom. </w:t>
      </w:r>
      <w:bookmarkEnd w:id="10"/>
    </w:p>
    <w:p w14:paraId="5D136218" w14:textId="77777777" w:rsidR="00FC7E76" w:rsidRPr="00221244" w:rsidRDefault="00FC7E76" w:rsidP="00FC7E76">
      <w:pPr>
        <w:rPr>
          <w:rFonts w:cs="Segoe UI"/>
          <w:b/>
          <w:bCs/>
          <w:szCs w:val="22"/>
          <w:lang w:eastAsia="de-DE"/>
        </w:rPr>
      </w:pPr>
    </w:p>
    <w:p w14:paraId="4BA71E8A" w14:textId="77777777" w:rsidR="00FC7E76" w:rsidRPr="00221244" w:rsidRDefault="00FC7E76" w:rsidP="00FC7E76">
      <w:pPr>
        <w:rPr>
          <w:rFonts w:cs="Segoe UI"/>
          <w:b/>
          <w:bCs/>
          <w:szCs w:val="22"/>
          <w:lang w:eastAsia="de-DE"/>
        </w:rPr>
      </w:pPr>
      <w:r w:rsidRPr="00221244">
        <w:rPr>
          <w:rFonts w:cs="Segoe UI"/>
          <w:b/>
          <w:bCs/>
          <w:szCs w:val="22"/>
          <w:lang w:eastAsia="de-DE"/>
        </w:rPr>
        <w:t>Napoved za leto 2026</w:t>
      </w:r>
    </w:p>
    <w:p w14:paraId="654B7C95" w14:textId="77777777" w:rsidR="00FC7E76" w:rsidRPr="00221244" w:rsidRDefault="00FC7E76" w:rsidP="00FC7E76">
      <w:pPr>
        <w:rPr>
          <w:rFonts w:cs="Segoe UI"/>
          <w:szCs w:val="22"/>
        </w:rPr>
      </w:pPr>
    </w:p>
    <w:p w14:paraId="1BF741EA" w14:textId="77777777" w:rsidR="00FC7E76" w:rsidRPr="00221244" w:rsidRDefault="00FC7E76" w:rsidP="00FC7E76">
      <w:pPr>
        <w:rPr>
          <w:rFonts w:cs="Segoe UI"/>
          <w:szCs w:val="22"/>
        </w:rPr>
      </w:pPr>
      <w:r w:rsidRPr="00221244">
        <w:rPr>
          <w:rFonts w:cs="Segoe UI"/>
          <w:szCs w:val="22"/>
        </w:rPr>
        <w:t>Prevedba prodaje v tuje valute bo po pričakovanjih negativno vplivala v nizkem enomestnem odstotnem razponu. Cene neposrednih materialov naj bi se v primerjavi z letnim povprečjem leta 2025 zvišale v nizkem enomestnem odstotnem razponu.</w:t>
      </w:r>
    </w:p>
    <w:p w14:paraId="77A8630E" w14:textId="77777777" w:rsidR="00FC7E76" w:rsidRPr="00221244" w:rsidRDefault="00FC7E76" w:rsidP="00FC7E76">
      <w:pPr>
        <w:rPr>
          <w:rFonts w:cs="Segoe UI"/>
        </w:rPr>
      </w:pPr>
    </w:p>
    <w:p w14:paraId="11ED0102" w14:textId="77777777" w:rsidR="00FC7E76" w:rsidRPr="00221244" w:rsidRDefault="00FC7E76" w:rsidP="00FC7E76">
      <w:pPr>
        <w:rPr>
          <w:rFonts w:cs="Segoe UI"/>
          <w:szCs w:val="22"/>
        </w:rPr>
      </w:pPr>
      <w:r w:rsidRPr="00221244">
        <w:rPr>
          <w:rFonts w:cs="Segoe UI"/>
        </w:rPr>
        <w:t xml:space="preserve">Ob upoštevanju teh predpostavk družba Henkel pričakuje, da bo v poslovnem letu 2026 dosegla </w:t>
      </w:r>
      <w:r w:rsidRPr="00221244">
        <w:rPr>
          <w:rFonts w:cs="Segoe UI"/>
          <w:b/>
        </w:rPr>
        <w:t xml:space="preserve">organsko rast prodaje </w:t>
      </w:r>
      <w:r w:rsidRPr="00221244">
        <w:rPr>
          <w:rFonts w:cs="Segoe UI"/>
        </w:rPr>
        <w:t xml:space="preserve">med 1,0 in 3,0 odstotka. Organska rast v poslovni enoti Lepila in tehnologije naj bi znašala med 1,0 in 3,0 odstotka, v poslovni enoti Consumer Brands pa med 0,5 in 2,5 odstotka. </w:t>
      </w:r>
      <w:r w:rsidRPr="00221244">
        <w:rPr>
          <w:rFonts w:cs="Segoe UI"/>
          <w:b/>
        </w:rPr>
        <w:t xml:space="preserve">Prilagojena donosnost prodaje (prilagojena marža EBIT) </w:t>
      </w:r>
      <w:r w:rsidRPr="00221244">
        <w:rPr>
          <w:rFonts w:cs="Segoe UI"/>
        </w:rPr>
        <w:t xml:space="preserve">se pričakuje v razponu od 14,5 do 16,0 odstotka. Pri enoti Lepila in tehnologije naj bi prilagojena donosnost prodaje znašala med 16,5 in 18,0 odstotka, pri Consumer Brands pa med 14,0 in 15,5 odstotka. </w:t>
      </w:r>
      <w:r w:rsidRPr="00221244">
        <w:rPr>
          <w:rFonts w:cs="Segoe UI"/>
        </w:rPr>
        <w:lastRenderedPageBreak/>
        <w:t xml:space="preserve">Pri </w:t>
      </w:r>
      <w:r w:rsidRPr="00221244">
        <w:rPr>
          <w:rFonts w:cs="Segoe UI"/>
          <w:b/>
        </w:rPr>
        <w:t xml:space="preserve">prilagojenem dobičku na prednostno delnico (EPS) </w:t>
      </w:r>
      <w:r w:rsidRPr="00221244">
        <w:rPr>
          <w:rFonts w:cs="Segoe UI"/>
        </w:rPr>
        <w:t xml:space="preserve">po stalnih menjalnih tečajih </w:t>
      </w:r>
      <w:r w:rsidRPr="00221244">
        <w:rPr>
          <w:rFonts w:cs="Segoe UI"/>
          <w:szCs w:val="22"/>
        </w:rPr>
        <w:t xml:space="preserve">se pričakuje </w:t>
      </w:r>
      <w:r w:rsidRPr="00221244">
        <w:rPr>
          <w:rFonts w:cs="Segoe UI"/>
        </w:rPr>
        <w:t xml:space="preserve">povečanje v </w:t>
      </w:r>
      <w:r w:rsidRPr="00221244">
        <w:rPr>
          <w:rFonts w:cs="Segoe UI"/>
          <w:szCs w:val="22"/>
        </w:rPr>
        <w:t xml:space="preserve">razponu </w:t>
      </w:r>
      <w:r w:rsidRPr="00221244">
        <w:rPr>
          <w:rFonts w:cs="Segoe UI"/>
        </w:rPr>
        <w:t xml:space="preserve">od nizke </w:t>
      </w:r>
      <w:r w:rsidRPr="00221244">
        <w:rPr>
          <w:rFonts w:cs="Segoe UI"/>
          <w:szCs w:val="22"/>
        </w:rPr>
        <w:t>do visoke enomestne odstotne vrednosti.</w:t>
      </w:r>
    </w:p>
    <w:p w14:paraId="4C4C5303" w14:textId="77777777" w:rsidR="00FC7E76" w:rsidRPr="00221244" w:rsidRDefault="00FC7E76" w:rsidP="00FC7E76">
      <w:pPr>
        <w:rPr>
          <w:rFonts w:cs="Segoe UI"/>
          <w:b/>
          <w:bCs/>
          <w:szCs w:val="22"/>
          <w:lang w:eastAsia="de-DE"/>
        </w:rPr>
      </w:pPr>
    </w:p>
    <w:p w14:paraId="27197727" w14:textId="77777777" w:rsidR="00FC7E76" w:rsidRPr="00221244" w:rsidRDefault="00FC7E76" w:rsidP="00FC7E76">
      <w:pPr>
        <w:rPr>
          <w:rFonts w:cs="Segoe UI"/>
          <w:b/>
          <w:bCs/>
          <w:szCs w:val="22"/>
          <w:lang w:eastAsia="de-DE"/>
        </w:rPr>
      </w:pPr>
      <w:r w:rsidRPr="00221244">
        <w:rPr>
          <w:rFonts w:cs="Segoe UI"/>
          <w:b/>
          <w:bCs/>
          <w:szCs w:val="22"/>
          <w:lang w:eastAsia="de-DE"/>
        </w:rPr>
        <w:t>Velik napredek v procesu preoblikovanja</w:t>
      </w:r>
    </w:p>
    <w:p w14:paraId="16FCDD93" w14:textId="77777777" w:rsidR="00FC7E76" w:rsidRPr="00221244" w:rsidRDefault="00FC7E76" w:rsidP="00FC7E76">
      <w:pPr>
        <w:rPr>
          <w:rFonts w:cs="Segoe UI"/>
          <w:szCs w:val="22"/>
        </w:rPr>
      </w:pPr>
      <w:r w:rsidRPr="00221244">
        <w:rPr>
          <w:rFonts w:cs="Segoe UI"/>
          <w:szCs w:val="22"/>
        </w:rPr>
        <w:t xml:space="preserve">Družba Henkel se je v zadnjih letih temeljito prenovila na številnih področjih in dosledno sledila strateškemu načrtu za namensko rast. Ključni dejavnik dolgoročnega uspeha je pripravljenost na stalen razvoj in aktivno oblikovanje sprememb. </w:t>
      </w:r>
    </w:p>
    <w:p w14:paraId="7DCD1209" w14:textId="77777777" w:rsidR="00FC7E76" w:rsidRPr="00221244" w:rsidRDefault="00FC7E76" w:rsidP="00FC7E76">
      <w:pPr>
        <w:rPr>
          <w:rFonts w:cs="Segoe UI"/>
          <w:szCs w:val="22"/>
        </w:rPr>
      </w:pPr>
    </w:p>
    <w:p w14:paraId="3F39E7F8" w14:textId="77777777" w:rsidR="00FC7E76" w:rsidRPr="00221244" w:rsidRDefault="00FC7E76" w:rsidP="00FC7E76">
      <w:pPr>
        <w:spacing w:after="120"/>
        <w:jc w:val="left"/>
        <w:rPr>
          <w:rFonts w:cs="Segoe UI"/>
          <w:b/>
          <w:bCs/>
          <w:szCs w:val="22"/>
          <w:lang w:eastAsia="de-DE"/>
        </w:rPr>
      </w:pPr>
      <w:r w:rsidRPr="00221244">
        <w:rPr>
          <w:rFonts w:cs="Segoe UI"/>
          <w:b/>
          <w:bCs/>
          <w:szCs w:val="22"/>
          <w:lang w:eastAsia="de-DE"/>
        </w:rPr>
        <w:t>Consumer Brands: Uspešno zaključena združitev</w:t>
      </w:r>
    </w:p>
    <w:p w14:paraId="2B84E2F2" w14:textId="77777777" w:rsidR="00FC7E76" w:rsidRPr="00221244" w:rsidRDefault="00FC7E76" w:rsidP="00FC7E76">
      <w:pPr>
        <w:rPr>
          <w:rFonts w:cs="Segoe UI"/>
          <w:szCs w:val="22"/>
        </w:rPr>
      </w:pPr>
      <w:r w:rsidRPr="00221244">
        <w:rPr>
          <w:rFonts w:cs="Segoe UI"/>
          <w:szCs w:val="22"/>
        </w:rPr>
        <w:t xml:space="preserve">Združitev dejavnosti s področja potrošniškega blaga v poslovno enoto </w:t>
      </w:r>
      <w:r w:rsidRPr="00221244">
        <w:rPr>
          <w:rFonts w:cs="Segoe UI"/>
          <w:b/>
          <w:bCs/>
          <w:szCs w:val="22"/>
        </w:rPr>
        <w:t>Consumer Brands</w:t>
      </w:r>
      <w:r w:rsidRPr="00221244">
        <w:rPr>
          <w:rFonts w:cs="Segoe UI"/>
          <w:szCs w:val="22"/>
        </w:rPr>
        <w:t>, ki je bila napovedana v začetku leta 2022, je bila zaključena ob koncu poslovnega leta 2025. Na splošno so bili prvotno načrtovani letni prihranki v višini 525 milijonov evrov preseženi do konca poslovnega leta 2025. S tem se je uspešno zaključila integracija poslovne enote Consumer Brands – eno leto prej, kot je bilo prvotno načrtovano.</w:t>
      </w:r>
      <w:bookmarkStart w:id="11" w:name="_Hlk190100871"/>
    </w:p>
    <w:p w14:paraId="24032D31" w14:textId="77777777" w:rsidR="00FC7E76" w:rsidRPr="00221244" w:rsidRDefault="00FC7E76" w:rsidP="00FC7E76">
      <w:pPr>
        <w:rPr>
          <w:rFonts w:cs="Segoe UI"/>
          <w:szCs w:val="22"/>
          <w:lang w:eastAsia="de-DE"/>
        </w:rPr>
      </w:pPr>
    </w:p>
    <w:p w14:paraId="28E96B06" w14:textId="77777777" w:rsidR="00FC7E76" w:rsidRPr="00221244" w:rsidRDefault="00FC7E76" w:rsidP="00FC7E76">
      <w:pPr>
        <w:rPr>
          <w:rFonts w:cs="Segoe UI"/>
          <w:szCs w:val="22"/>
        </w:rPr>
      </w:pPr>
      <w:r w:rsidRPr="00221244">
        <w:rPr>
          <w:rFonts w:cs="Segoe UI"/>
          <w:szCs w:val="22"/>
          <w:lang w:eastAsia="de-DE"/>
        </w:rPr>
        <w:t xml:space="preserve">Hkrati se je poslovna enota Consumer Brands dosledno osredotočala na močne blagovne znamke in podjetja z visokimi bruto maržami ter vodilnimi položaji na trgih in v kategorijah. </w:t>
      </w:r>
      <w:r w:rsidRPr="00221244">
        <w:rPr>
          <w:rFonts w:cs="Segoe UI"/>
          <w:szCs w:val="22"/>
        </w:rPr>
        <w:t xml:space="preserve">To osredotočanje na blagovne znamke in posle z visoko rastjo in visoko maržo se obrestuje: Deset najpomembnejših blagovnih znamk v okviru Consumer Brands, ki so v letu 2025 ustvarile skoraj 60 odstotkov prihodkov, je beležilo zelo močno organsko rast, skupaj s pozitivnim povečanjem obsega. </w:t>
      </w:r>
      <w:bookmarkEnd w:id="11"/>
    </w:p>
    <w:p w14:paraId="1DBB7DD4" w14:textId="77777777" w:rsidR="00FC7E76" w:rsidRPr="00221244" w:rsidRDefault="00FC7E76" w:rsidP="00FC7E76">
      <w:pPr>
        <w:rPr>
          <w:rFonts w:cs="Segoe UI"/>
          <w:szCs w:val="22"/>
        </w:rPr>
      </w:pPr>
    </w:p>
    <w:p w14:paraId="3CD6EDC8" w14:textId="77777777" w:rsidR="00FC7E76" w:rsidRPr="00221244" w:rsidRDefault="00FC7E76" w:rsidP="00FC7E76">
      <w:pPr>
        <w:spacing w:after="120"/>
        <w:rPr>
          <w:rFonts w:cs="Segoe UI"/>
          <w:b/>
          <w:bCs/>
          <w:szCs w:val="22"/>
          <w:lang w:eastAsia="de-DE"/>
        </w:rPr>
      </w:pPr>
      <w:r w:rsidRPr="00221244">
        <w:rPr>
          <w:rFonts w:cs="Segoe UI"/>
          <w:b/>
          <w:bCs/>
          <w:szCs w:val="22"/>
          <w:lang w:eastAsia="de-DE"/>
        </w:rPr>
        <w:t>Dosledno izvajanje strateškega načrta</w:t>
      </w:r>
    </w:p>
    <w:p w14:paraId="1C6CDB3D" w14:textId="77777777" w:rsidR="00FC7E76" w:rsidRPr="00221244" w:rsidRDefault="00FC7E76" w:rsidP="00FC7E76">
      <w:pPr>
        <w:autoSpaceDE w:val="0"/>
        <w:autoSpaceDN w:val="0"/>
        <w:adjustRightInd w:val="0"/>
        <w:rPr>
          <w:rFonts w:cs="Segoe UI"/>
          <w:bCs/>
          <w:szCs w:val="22"/>
        </w:rPr>
      </w:pPr>
      <w:r w:rsidRPr="00221244">
        <w:rPr>
          <w:rFonts w:cs="Segoe UI"/>
          <w:bCs/>
          <w:szCs w:val="22"/>
        </w:rPr>
        <w:t xml:space="preserve">Družba Henkel je v </w:t>
      </w:r>
      <w:r w:rsidRPr="00221244">
        <w:rPr>
          <w:rFonts w:cs="Segoe UI"/>
          <w:b/>
          <w:szCs w:val="22"/>
        </w:rPr>
        <w:t xml:space="preserve">okviru aktivnega upravljanja portfelja </w:t>
      </w:r>
      <w:r w:rsidRPr="00221244">
        <w:rPr>
          <w:rFonts w:cs="Segoe UI"/>
          <w:bCs/>
          <w:szCs w:val="22"/>
        </w:rPr>
        <w:t xml:space="preserve">še naprej razvijala svoj portfelj z opuščanjem ali odprodajo dejavnosti in prevzemi. Z odprodajo segmenta trgovskih blagovnih znamk v Severni Ameriki, ki je bila uspešno zaključena spomladi leta 2025, je Henkel dokončal ukrepe v portfelju, napovedane ob začetku združitve svojih prej ločenih potrošniških dejavnosti. Od začetka leta 2022 je Henkel tako odprodal ali opustil blagovne znamke in dejavnosti s skupno prodajo v višini nekaj več kot 1 milijarde evrov. </w:t>
      </w:r>
    </w:p>
    <w:p w14:paraId="172374E0" w14:textId="77777777" w:rsidR="00FC7E76" w:rsidRPr="00221244" w:rsidRDefault="00FC7E76" w:rsidP="00FC7E76">
      <w:pPr>
        <w:autoSpaceDE w:val="0"/>
        <w:autoSpaceDN w:val="0"/>
        <w:adjustRightInd w:val="0"/>
        <w:rPr>
          <w:rFonts w:cs="Segoe UI"/>
          <w:bCs/>
          <w:szCs w:val="22"/>
        </w:rPr>
      </w:pPr>
    </w:p>
    <w:p w14:paraId="46477451" w14:textId="77777777" w:rsidR="00FC7E76" w:rsidRPr="00221244" w:rsidRDefault="00FC7E76" w:rsidP="00FC7E76">
      <w:pPr>
        <w:autoSpaceDE w:val="0"/>
        <w:autoSpaceDN w:val="0"/>
        <w:adjustRightInd w:val="0"/>
        <w:rPr>
          <w:rFonts w:cs="Segoe UI"/>
          <w:bCs/>
          <w:szCs w:val="22"/>
        </w:rPr>
      </w:pPr>
      <w:r w:rsidRPr="00221244">
        <w:rPr>
          <w:rFonts w:cs="Segoe UI"/>
          <w:bCs/>
          <w:szCs w:val="22"/>
        </w:rPr>
        <w:t xml:space="preserve">Širitev portfelja z usmerjenimi </w:t>
      </w:r>
      <w:r w:rsidRPr="00221244">
        <w:rPr>
          <w:rFonts w:cs="Segoe UI"/>
          <w:b/>
          <w:szCs w:val="22"/>
        </w:rPr>
        <w:t xml:space="preserve">prevzemi </w:t>
      </w:r>
      <w:r w:rsidRPr="00221244">
        <w:rPr>
          <w:rFonts w:cs="Segoe UI"/>
          <w:bCs/>
          <w:szCs w:val="22"/>
        </w:rPr>
        <w:t xml:space="preserve">je prav tako sestavni del Henklovega načrta rasti. Leta 2025 je Henkel podpisal pogodbo o prevzemu družbe ATP Adhesive Systems AG. Podjetje s sedežem v Švici je vodilni ponudnik visokozmogljivih posebnih trakov na vodni osnovi za številne končne trge, vključno z avtomobilsko industrijo, elektroniko, medicino, gradbeništvom in grafično industrijo. Podjetje ATP je močno prisotno v Severni Ameriki in Evropi, v poslovnem letu 2025 pa je ustvarilo približno 270 milijonov evrov prodaje. </w:t>
      </w:r>
    </w:p>
    <w:p w14:paraId="3E461115" w14:textId="77777777" w:rsidR="00FC7E76" w:rsidRPr="00221244" w:rsidRDefault="00FC7E76" w:rsidP="00FC7E76">
      <w:pPr>
        <w:autoSpaceDE w:val="0"/>
        <w:autoSpaceDN w:val="0"/>
        <w:adjustRightInd w:val="0"/>
        <w:rPr>
          <w:rFonts w:cs="Segoe UI"/>
          <w:bCs/>
          <w:szCs w:val="22"/>
        </w:rPr>
      </w:pPr>
    </w:p>
    <w:p w14:paraId="210A1B50" w14:textId="77777777" w:rsidR="00FC7E76" w:rsidRPr="00221244" w:rsidRDefault="00FC7E76" w:rsidP="00FC7E76">
      <w:pPr>
        <w:autoSpaceDE w:val="0"/>
        <w:autoSpaceDN w:val="0"/>
        <w:adjustRightInd w:val="0"/>
        <w:rPr>
          <w:rFonts w:cs="Segoe UI"/>
          <w:bCs/>
          <w:szCs w:val="22"/>
        </w:rPr>
      </w:pPr>
      <w:r w:rsidRPr="00221244">
        <w:rPr>
          <w:rFonts w:cs="Segoe UI"/>
          <w:bCs/>
          <w:szCs w:val="22"/>
        </w:rPr>
        <w:lastRenderedPageBreak/>
        <w:t xml:space="preserve">Februarja 2026 se je Henkel dogovoril za prevzem nizozemske skupine Stahl. Podjetje je globalni akter na področju visokozmogljivih specialnih premazov za prožne materiale, ki oskrbuje vodilna podjetja po vsem svetu na trgih avtomobilske industrije, mode in življenjskega sloga ter embalaže. V poslovnem letu 2025 je podjetje Stahl z uravnoteženim regionalnim vplivom ustvarilo prodajo v višini približno 725 milijonov evrov. </w:t>
      </w:r>
    </w:p>
    <w:p w14:paraId="1BC686E2" w14:textId="77777777" w:rsidR="00FC7E76" w:rsidRPr="00221244" w:rsidRDefault="00FC7E76" w:rsidP="00FC7E76">
      <w:pPr>
        <w:autoSpaceDE w:val="0"/>
        <w:autoSpaceDN w:val="0"/>
        <w:adjustRightInd w:val="0"/>
        <w:rPr>
          <w:rFonts w:cs="Segoe UI"/>
          <w:bCs/>
          <w:szCs w:val="22"/>
        </w:rPr>
      </w:pPr>
    </w:p>
    <w:p w14:paraId="2A315622" w14:textId="77777777" w:rsidR="00FC7E76" w:rsidRPr="00221244" w:rsidRDefault="00FC7E76" w:rsidP="00FC7E76">
      <w:pPr>
        <w:autoSpaceDE w:val="0"/>
        <w:autoSpaceDN w:val="0"/>
        <w:adjustRightInd w:val="0"/>
        <w:rPr>
          <w:rFonts w:cs="Segoe UI"/>
          <w:bCs/>
          <w:szCs w:val="22"/>
        </w:rPr>
      </w:pPr>
      <w:r w:rsidRPr="00221244">
        <w:rPr>
          <w:rFonts w:cs="Segoe UI"/>
          <w:bCs/>
          <w:szCs w:val="22"/>
        </w:rPr>
        <w:t>Poleg tega je Henkel v začetku marca podpisal pogodbo o prevzemu blagovne znamke »Not Your Mother's«, ene od vodilnih potrošniških blagovnih znamk za nego in oblikovanje las v Severni Ameriki. S tem je Henkel okrepil svoj položaj na področju nege las, ki je ena ključnih kategorij v poslovni enoti Consumer Brands. »Not Your Mother's« je uspešna, hitro rastoča blagovna znamka za lase s široko paleto šamponov, balzamov, tretmajev in izdelkov za oblikovanje. V poslovnem letu 2025 je blagovna znamka ustvarila približno 190 milijonov evrov prodaje z dvoštevilčno rastjo in visoko dobičkonosnostjo.</w:t>
      </w:r>
    </w:p>
    <w:p w14:paraId="41C21B83" w14:textId="77777777" w:rsidR="00FC7E76" w:rsidRPr="00221244" w:rsidRDefault="00FC7E76" w:rsidP="00FC7E76">
      <w:pPr>
        <w:autoSpaceDE w:val="0"/>
        <w:autoSpaceDN w:val="0"/>
        <w:adjustRightInd w:val="0"/>
        <w:rPr>
          <w:rFonts w:cs="Segoe UI"/>
          <w:bCs/>
          <w:szCs w:val="22"/>
        </w:rPr>
      </w:pPr>
    </w:p>
    <w:p w14:paraId="4EA63D2A" w14:textId="77777777" w:rsidR="00FC7E76" w:rsidRPr="00221244" w:rsidRDefault="00FC7E76" w:rsidP="00FC7E76">
      <w:pPr>
        <w:pStyle w:val="Topline"/>
        <w:spacing w:before="0" w:after="0"/>
      </w:pPr>
      <w:r w:rsidRPr="00221244">
        <w:t xml:space="preserve">Nedavne transakcije, ki so še vedno predmet običajnih zaključnih pogojev in odobritev protimonopolnih organov, predstavljajo </w:t>
      </w:r>
      <w:r w:rsidRPr="00221244">
        <w:rPr>
          <w:b/>
          <w:bCs/>
        </w:rPr>
        <w:t xml:space="preserve">skupni dodatni obseg prodaje v višini približno 1,2 milijarde evrov </w:t>
      </w:r>
      <w:r w:rsidRPr="00221244">
        <w:t xml:space="preserve">in </w:t>
      </w:r>
      <w:r w:rsidRPr="00221244">
        <w:rPr>
          <w:b/>
          <w:bCs/>
        </w:rPr>
        <w:t xml:space="preserve">pospešujejo potencial rasti </w:t>
      </w:r>
      <w:r w:rsidRPr="00221244">
        <w:t>vodilnega svetovnega segmenta Lepila in tehnologije in poslovne enote Consumer Brands.</w:t>
      </w:r>
    </w:p>
    <w:p w14:paraId="5A856686" w14:textId="77777777" w:rsidR="00FC7E76" w:rsidRPr="00221244" w:rsidRDefault="00FC7E76" w:rsidP="00FC7E76">
      <w:pPr>
        <w:pStyle w:val="Topline"/>
        <w:spacing w:before="0" w:after="0"/>
      </w:pPr>
    </w:p>
    <w:p w14:paraId="4ABAFC98" w14:textId="77777777" w:rsidR="00FC7E76" w:rsidRPr="00221244" w:rsidRDefault="00FC7E76" w:rsidP="00FC7E76">
      <w:pPr>
        <w:rPr>
          <w:rFonts w:cs="Segoe UI"/>
          <w:bCs/>
          <w:szCs w:val="22"/>
        </w:rPr>
      </w:pPr>
      <w:r w:rsidRPr="00221244">
        <w:rPr>
          <w:rFonts w:cs="Segoe UI"/>
          <w:bCs/>
          <w:szCs w:val="22"/>
        </w:rPr>
        <w:t xml:space="preserve">V letu 2025 je Henkel na trgu predstavil številne </w:t>
      </w:r>
      <w:r w:rsidRPr="00221244">
        <w:rPr>
          <w:rFonts w:cs="Segoe UI"/>
          <w:b/>
          <w:szCs w:val="22"/>
        </w:rPr>
        <w:t>inovacije</w:t>
      </w:r>
      <w:r w:rsidRPr="00221244">
        <w:rPr>
          <w:rFonts w:cs="Segoe UI"/>
          <w:bCs/>
          <w:szCs w:val="22"/>
        </w:rPr>
        <w:t>, ki</w:t>
      </w:r>
      <w:r w:rsidRPr="00221244">
        <w:rPr>
          <w:rFonts w:cs="Segoe UI"/>
          <w:b/>
          <w:szCs w:val="22"/>
        </w:rPr>
        <w:t xml:space="preserve"> </w:t>
      </w:r>
      <w:r w:rsidRPr="00221244">
        <w:rPr>
          <w:rFonts w:cs="Segoe UI"/>
          <w:bCs/>
          <w:szCs w:val="22"/>
        </w:rPr>
        <w:t xml:space="preserve">naslavljajo pomembne trende ter ustvarjajo vrednost za stranke in potrošnike. </w:t>
      </w:r>
      <w:bookmarkStart w:id="12" w:name="_Hlk190180076"/>
      <w:r w:rsidRPr="00221244">
        <w:rPr>
          <w:rFonts w:cs="Segoe UI"/>
          <w:bCs/>
          <w:szCs w:val="22"/>
        </w:rPr>
        <w:t>Na trgu potrošniškega blaga so inovacije ključni dejavnik uspeha za diferenciacijo. Primer je nova barva za lase Creme Supreme iz Schwarzkopfa. Po navdihu uporabe v profesionalnih salonih je Henkel razvil Creme Supreme, novo tehnologijo, ki z obnovo mikrovezi krepi in neguje strukturo las. Te mikrovezi učinkoviteje držijo lasna vlakna skupaj in tvorijo posebno zaščitno plast okoli las. Zaradi tega se lasje bistveno manj lomijo, kar je ena glavnih skrbi potrošnikov pri barvanju las.</w:t>
      </w:r>
    </w:p>
    <w:p w14:paraId="02792BDD" w14:textId="77777777" w:rsidR="00FC7E76" w:rsidRPr="00221244" w:rsidRDefault="00FC7E76" w:rsidP="00FC7E76">
      <w:pPr>
        <w:rPr>
          <w:rFonts w:cs="Segoe UI"/>
          <w:bCs/>
          <w:szCs w:val="22"/>
        </w:rPr>
      </w:pPr>
      <w:r w:rsidRPr="00221244">
        <w:rPr>
          <w:rFonts w:cs="Segoe UI"/>
          <w:bCs/>
          <w:szCs w:val="22"/>
        </w:rPr>
        <w:t>Koncept »House of Hair« ima pomembno vlogo tudi pri razvoju inovacij v kategoriji las. Od marca 2025 je Henkel na enem mestu v Nemčiji združil glavna področja poslovanja s kozmetiko za lase v Hamburgu: raziskave in razvoj, testne salone, trženje in Akademijo za lase. Tu več kot 300 strokovnjakov z roko v roki razvija inovativne izdelke. Poleg Hamburga so še štiri lokacije v Los Angelesu, Tokiu, Šanghaju in Guadalajari. Vsaka lokacija ima pomembno vlogo pri razvoju izdelkov lasne kozmetike, ki so usmerjeni k strankam in ki posebej zadovoljujejo regionalne potrebe strank.</w:t>
      </w:r>
    </w:p>
    <w:p w14:paraId="7D946C30" w14:textId="77777777" w:rsidR="00FC7E76" w:rsidRPr="00221244" w:rsidRDefault="00FC7E76" w:rsidP="00FC7E76">
      <w:pPr>
        <w:rPr>
          <w:rFonts w:cs="Segoe UI"/>
          <w:bCs/>
          <w:szCs w:val="22"/>
        </w:rPr>
      </w:pPr>
    </w:p>
    <w:p w14:paraId="42076267" w14:textId="77777777" w:rsidR="00FC7E76" w:rsidRPr="00221244" w:rsidRDefault="00FC7E76" w:rsidP="00FC7E76">
      <w:pPr>
        <w:rPr>
          <w:rFonts w:cs="Segoe UI"/>
          <w:bCs/>
          <w:szCs w:val="22"/>
        </w:rPr>
      </w:pPr>
      <w:r w:rsidRPr="00221244">
        <w:rPr>
          <w:rFonts w:cs="Segoe UI"/>
          <w:bCs/>
          <w:szCs w:val="22"/>
        </w:rPr>
        <w:t xml:space="preserve">Inovacije so osrednji dejavnik uspeha tudi v poslovni enoti Lepila in tehnologije. Henkel zato še naprej dosledno vlaga, da bi se uspešno znašel v konkurenčnem okolju. Ključni poudarek je na širjenju mreže najsodobnejših raziskovalnih in inovacijskih centrov. Taki »centri navdiha« že nekaj časa delujejo v Düsseldorfu, Mumbaju v Indiji in New Jerseyju v ZDA. Leta 2025 je Henkel </w:t>
      </w:r>
      <w:r w:rsidRPr="00221244">
        <w:rPr>
          <w:rFonts w:cs="Segoe UI"/>
          <w:bCs/>
          <w:szCs w:val="22"/>
        </w:rPr>
        <w:lastRenderedPageBreak/>
        <w:t xml:space="preserve">v Šanghaju odprl še en center navdiha za azijsko-pacifiško regijo, v katerega je vložil 60 milijonov evrov. V tem centru skupaj s strankami iz različnih panog dela več kot 500 raziskovalcev in razvijalcev. </w:t>
      </w:r>
    </w:p>
    <w:bookmarkEnd w:id="12"/>
    <w:p w14:paraId="3056E8A7" w14:textId="77777777" w:rsidR="00FC7E76" w:rsidRPr="00221244" w:rsidRDefault="00FC7E76" w:rsidP="00FC7E76">
      <w:pPr>
        <w:rPr>
          <w:rFonts w:cs="Segoe UI"/>
          <w:bCs/>
          <w:szCs w:val="22"/>
        </w:rPr>
      </w:pPr>
    </w:p>
    <w:p w14:paraId="11282357" w14:textId="77777777" w:rsidR="00FC7E76" w:rsidRPr="00221244" w:rsidRDefault="00FC7E76" w:rsidP="00FC7E76">
      <w:pPr>
        <w:rPr>
          <w:rFonts w:cs="Segoe UI"/>
          <w:bCs/>
          <w:szCs w:val="22"/>
        </w:rPr>
      </w:pPr>
      <w:bookmarkStart w:id="13" w:name="_Hlk190180237"/>
      <w:r w:rsidRPr="00221244">
        <w:rPr>
          <w:rFonts w:cs="Segoe UI"/>
          <w:bCs/>
          <w:szCs w:val="22"/>
        </w:rPr>
        <w:t xml:space="preserve">Ena od Henklovih </w:t>
      </w:r>
      <w:r w:rsidRPr="00221244">
        <w:rPr>
          <w:rFonts w:cs="Segoe UI"/>
          <w:b/>
          <w:szCs w:val="22"/>
        </w:rPr>
        <w:t xml:space="preserve">trajnostnih </w:t>
      </w:r>
      <w:r w:rsidRPr="00221244">
        <w:rPr>
          <w:rFonts w:cs="Segoe UI"/>
          <w:bCs/>
          <w:szCs w:val="22"/>
        </w:rPr>
        <w:t>prednostnih nalog je še naprej zmanjševanje emisij v vrednostni verigi. Do leta 2045 želi podjetje zmanjšati absolutne emisije toplogrednih plinov iz obsegov 1, 2 in 3 za 90 odstotkov (v primerjavi z izhodiščnim letom 2021) in tako doseči ničelno stopnjo neto emisij. V vseh treh kategorijah obsega je Henkel lani dosegel napredek in je svoje emisije v primerjavi z izhodiščnim letom 2021 že zmanjšal za 29 odstotkov. Družba Henkel je izboljšave dosegla tudi na področju trajnostnih dobavnih verig. Delež sestavin na osnovi palm, ki so odgovorno pridobljene in certificirane, je zdaj dosegel 98 odstotkov. Podjetje je še dodatno izboljšalo svoje rezultate na mednarodno priznanih lestvicah trajnosti. Med drugimi dosežki je Henkel prvič prejel oceno A v kategoriji Podnebje v oceni CDP za leto 2025. Henkel je še izboljšal svojo uspešnost tudi v zadnji oceni EcoVadis in ponovno prejel zlato priznanje.</w:t>
      </w:r>
    </w:p>
    <w:bookmarkEnd w:id="13"/>
    <w:p w14:paraId="4BE07DD2" w14:textId="77777777" w:rsidR="00FC7E76" w:rsidRPr="00221244" w:rsidRDefault="00FC7E76" w:rsidP="00FC7E76">
      <w:pPr>
        <w:rPr>
          <w:rFonts w:cs="Segoe UI"/>
          <w:szCs w:val="22"/>
          <w:lang w:eastAsia="de-DE"/>
        </w:rPr>
      </w:pPr>
    </w:p>
    <w:p w14:paraId="7E47CA7C" w14:textId="77777777" w:rsidR="00FC7E76" w:rsidRPr="00221244" w:rsidRDefault="00FC7E76" w:rsidP="00FC7E76">
      <w:pPr>
        <w:spacing w:after="120"/>
        <w:rPr>
          <w:rFonts w:cs="Segoe UI"/>
          <w:b/>
          <w:bCs/>
          <w:szCs w:val="22"/>
          <w:lang w:eastAsia="de-DE"/>
        </w:rPr>
      </w:pPr>
      <w:r w:rsidRPr="00221244">
        <w:rPr>
          <w:rFonts w:cs="Segoe UI"/>
          <w:b/>
          <w:bCs/>
          <w:szCs w:val="22"/>
          <w:lang w:eastAsia="de-DE"/>
        </w:rPr>
        <w:t>Henkel praznuje 150 let uspešne zgodovine</w:t>
      </w:r>
    </w:p>
    <w:p w14:paraId="232FF827" w14:textId="77777777" w:rsidR="00FC7E76" w:rsidRPr="00221244" w:rsidRDefault="00FC7E76" w:rsidP="00FC7E76">
      <w:pPr>
        <w:rPr>
          <w:rFonts w:cs="Segoe UI"/>
          <w:szCs w:val="22"/>
        </w:rPr>
      </w:pPr>
      <w:bookmarkStart w:id="14" w:name="_Hlk190182989"/>
      <w:r w:rsidRPr="00221244">
        <w:rPr>
          <w:rFonts w:cs="Segoe UI"/>
          <w:szCs w:val="22"/>
        </w:rPr>
        <w:t>»2025 je bilo uspešno leto, v katerem smo ponovno obvladali velike izzive in hkrati dosegli pomemben napredek. V veliki meri smo dosegli svoje finančne cilje. Dosledno smo izvajali svoj program za ciljno usmerjeno rast v vseh strateških razsežnostih in uspešno zaključili integracijo naših dejavnosti s področja potrošniškega blaga. Smo na pravi poti, preoblikovanje našega podjetja pa kaže vidne rezultate,« je povzel Carsten Knobel.</w:t>
      </w:r>
    </w:p>
    <w:p w14:paraId="024FA273" w14:textId="77777777" w:rsidR="00FC7E76" w:rsidRPr="00221244" w:rsidRDefault="00FC7E76" w:rsidP="00FC7E76">
      <w:pPr>
        <w:rPr>
          <w:rFonts w:cs="Segoe UI"/>
          <w:szCs w:val="22"/>
        </w:rPr>
      </w:pPr>
    </w:p>
    <w:p w14:paraId="4417C4AF" w14:textId="77777777" w:rsidR="00FC7E76" w:rsidRPr="00221244" w:rsidRDefault="00FC7E76" w:rsidP="00FC7E76">
      <w:pPr>
        <w:rPr>
          <w:rFonts w:cs="Segoe UI"/>
          <w:szCs w:val="22"/>
        </w:rPr>
      </w:pPr>
      <w:r w:rsidRPr="00221244">
        <w:rPr>
          <w:rFonts w:cs="Segoe UI"/>
          <w:szCs w:val="22"/>
        </w:rPr>
        <w:t>»Zdaj se oziramo v razburljivo leto 2026, v katerem bomo praznovali 150. obletnico. Seveda smo ponosni na svojo dediščino, vendar to za nas ni razlog, da bi mirovali. To je vir motivacije za pot, ki je pred nami. Pripravljeni smo na prihodnost. Tako takrat kot zdaj bomo na podlagi našega pionirskega duha razvijali v prihodnost usmerjene izdelke in rešitve za prihodnje generacije. To je povsem v skladu z našim smotrom: Pioneers at heart for the good of generations,« nadaljuje Carsten Knobel.</w:t>
      </w:r>
    </w:p>
    <w:bookmarkEnd w:id="14"/>
    <w:p w14:paraId="5EE13C2D" w14:textId="77777777" w:rsidR="00FC7E76" w:rsidRPr="00221244" w:rsidRDefault="00FC7E76" w:rsidP="00FC7E76">
      <w:pPr>
        <w:spacing w:line="240" w:lineRule="auto"/>
        <w:jc w:val="left"/>
        <w:rPr>
          <w:rFonts w:eastAsia="PMingLiU"/>
          <w:b/>
          <w:bCs/>
          <w:sz w:val="18"/>
        </w:rPr>
      </w:pPr>
    </w:p>
    <w:p w14:paraId="01CE6996" w14:textId="77777777" w:rsidR="00FC7E76" w:rsidRPr="00221244" w:rsidRDefault="00FC7E76" w:rsidP="00FC7E76">
      <w:pPr>
        <w:spacing w:line="240" w:lineRule="auto"/>
        <w:jc w:val="left"/>
        <w:rPr>
          <w:rFonts w:eastAsia="PMingLiU"/>
          <w:b/>
          <w:bCs/>
          <w:sz w:val="18"/>
        </w:rPr>
      </w:pPr>
    </w:p>
    <w:p w14:paraId="66B54DCC" w14:textId="77777777" w:rsidR="00FC7E76" w:rsidRPr="00221244" w:rsidRDefault="00FC7E76" w:rsidP="00FC7E76">
      <w:pPr>
        <w:spacing w:line="240" w:lineRule="auto"/>
        <w:jc w:val="left"/>
        <w:rPr>
          <w:rFonts w:eastAsia="PMingLiU"/>
          <w:b/>
          <w:bCs/>
          <w:sz w:val="18"/>
        </w:rPr>
      </w:pPr>
    </w:p>
    <w:p w14:paraId="54766EB1" w14:textId="77777777" w:rsidR="00FC7E76" w:rsidRPr="00221244" w:rsidRDefault="00FC7E76" w:rsidP="00FC7E76">
      <w:pPr>
        <w:spacing w:line="240" w:lineRule="auto"/>
        <w:jc w:val="left"/>
        <w:rPr>
          <w:b/>
          <w:bCs/>
          <w:sz w:val="18"/>
          <w:szCs w:val="18"/>
        </w:rPr>
      </w:pPr>
      <w:r w:rsidRPr="00221244">
        <w:rPr>
          <w:rStyle w:val="AboutandContactHeadline"/>
          <w:szCs w:val="18"/>
        </w:rPr>
        <w:t>Več o Henklu</w:t>
      </w:r>
    </w:p>
    <w:p w14:paraId="5E815623" w14:textId="77777777" w:rsidR="00FC7E76" w:rsidRPr="00221244" w:rsidRDefault="00FC7E76" w:rsidP="00FC7E76">
      <w:pPr>
        <w:rPr>
          <w:rStyle w:val="AboutandContactBody"/>
        </w:rPr>
      </w:pPr>
      <w:r w:rsidRPr="00221244">
        <w:rPr>
          <w:sz w:val="18"/>
          <w:szCs w:val="18"/>
        </w:rPr>
        <w:t xml:space="preserve">Henkel s svojimi blagovnimi znamkami, inovacijami in tehnologijami zavzema vodilne položaje v industriji in maloprodaji po vsem svetu. Henklova poslovna enota Lepila in tehnologije je vodilna na svetovnem trgu lepil, tesnil in funkcionalnih premazov. Poslovna enota Consumer Brands zavzema vodilni položaj na številnih trgih in v številnih kategorijah po vsem svetu, zlasti na področju Pralna sredstva in čistila ter Izdelki za lase. Henklove tri najmočnejše blagovne znamke so Loctite, Persil in Schwarzkopf. V poslovnem letu 2025 je Henkel zabeležil prodajo v višini več kot 20,5 milijarde evrov in prilagojeni dobiček iz poslovanja v višini približno 3,0 milijarde evrov. Prednostne delnice družbe Henkel kotirajo na nemškem borznem indeksu DAX. Trajnostni razvoj ima v družbi Henkel dolgo tradicijo, podjetje pa ima jasno trajnostno strategijo s konkretnimi cilji. Henkel je bil ustanovljen leta 1876 in danes po svetu </w:t>
      </w:r>
      <w:r w:rsidRPr="00221244">
        <w:rPr>
          <w:sz w:val="18"/>
          <w:szCs w:val="18"/>
        </w:rPr>
        <w:lastRenderedPageBreak/>
        <w:t xml:space="preserve">zaposluje približno 47.000 ljudi, ki jih združujejo močna korporativna kultura, skupne vrednote in enoten smoter: »Pioneers at heart for the good of generations.« Več podrobnosti je na voljo na spletni strani </w:t>
      </w:r>
      <w:hyperlink r:id="rId12" w:history="1">
        <w:r w:rsidRPr="00221244">
          <w:rPr>
            <w:rStyle w:val="Hyperlink"/>
          </w:rPr>
          <w:t>www.henkel.si</w:t>
        </w:r>
      </w:hyperlink>
    </w:p>
    <w:p w14:paraId="22D274C1" w14:textId="77777777" w:rsidR="00FC7E76" w:rsidRPr="00221244" w:rsidRDefault="00FC7E76" w:rsidP="00FC7E76">
      <w:pPr>
        <w:rPr>
          <w:sz w:val="14"/>
          <w:szCs w:val="14"/>
        </w:rPr>
      </w:pPr>
    </w:p>
    <w:p w14:paraId="7ED5C323" w14:textId="77777777" w:rsidR="00FC7E76" w:rsidRPr="00221244" w:rsidRDefault="00FC7E76" w:rsidP="00FC7E76">
      <w:pPr>
        <w:pStyle w:val="He01Flietext"/>
        <w:rPr>
          <w:spacing w:val="-1"/>
          <w:sz w:val="14"/>
          <w:lang w:val="sl-SI"/>
        </w:rPr>
      </w:pPr>
      <w:r w:rsidRPr="00221244">
        <w:rPr>
          <w:spacing w:val="-1"/>
          <w:sz w:val="14"/>
          <w:lang w:val="sl-SI"/>
        </w:rPr>
        <w:t>Ta dokument vsebuje izjave, ki se nanašajo na prihodnji poslovni razvoj, finančno uspešnost in druge dogodke ali razvoj, ki bodo v prihodnosti pomembni za družbo Henkel in lahko predstavljajo izjave, ki se nanašajo na prihodnost. Za izjave v zvezi s prihodnostjo je značilna uporaba besed, kot so pričakovati, nameravati, načrtovati, predvidevati, verjeti, ocenjevati in podobni izrazi. Take izjave temeljijo na trenutnih ocenah in predpostavkah vodstva družbe Henkel AG &amp; Co. KGaA. Teh izjav nikakor ne gre razumeti kot jamstvo, da se bodo ta pričakovanja izkazala za točna. Prihodnje poslovanje in dejansko doseženi rezultati podjetja Henkel AG &amp; Co. KGaA ter njegovih povezanih družb so odvisni od številnih tveganj in negotovosti, zato se lahko bistveno razlikujejo (tako v pozitivnem kot negativnem smislu) od izjav o prihodnosti. Na številne od teh dejavnikov družba Henkel nima vpliva in jih ni mogoče vnaprej natančno oceniti, kot so prihodnje gospodarsko okolje ter dejanja konkurentov in drugih udeležencev na trgu. Družba Henkel ne načrtuje in se ne zavezuje, da bo posodobila izjave, usmerjene v prihodnost.</w:t>
      </w:r>
    </w:p>
    <w:p w14:paraId="69AC0A4D" w14:textId="77777777" w:rsidR="00FC7E76" w:rsidRPr="00221244" w:rsidRDefault="00FC7E76" w:rsidP="00FC7E76">
      <w:pPr>
        <w:pStyle w:val="He01Flietext"/>
        <w:rPr>
          <w:spacing w:val="-1"/>
          <w:sz w:val="14"/>
          <w:lang w:val="sl-SI"/>
        </w:rPr>
      </w:pPr>
      <w:r w:rsidRPr="00221244">
        <w:rPr>
          <w:spacing w:val="-1"/>
          <w:sz w:val="14"/>
          <w:lang w:val="sl-SI"/>
        </w:rPr>
        <w:t>Ta dokument vključuje dodatne finančne kazalnike, ki niso jasno opredeljeni v veljavnem okviru finančnega poročanja in so ali bi lahko bili alternativni kazalniki uspešnosti. Teh dopolnilnih finančnih kazalnikov ni dovoljeno obravnavati ločeno ali kot alternativne ukrepe za merjenje Henklovih neto sredstev in finančnega položaja ali rezultatov poslovanja, kot so predstavljeni v skladu z veljavnim okvirom finančnega poročanja v njegovih konsolidiranih računovodskih izkazih. Druga podjetja, ki poročajo ali opisujejo podobno poimenovane alternativne kazalnike uspešnosti, jih lahko izračunavajo drugače.</w:t>
      </w:r>
    </w:p>
    <w:p w14:paraId="08141E18" w14:textId="77777777" w:rsidR="00FC7E76" w:rsidRPr="00221244" w:rsidRDefault="00FC7E76" w:rsidP="00FC7E76">
      <w:pPr>
        <w:pStyle w:val="He01Flietext"/>
        <w:rPr>
          <w:spacing w:val="-1"/>
          <w:sz w:val="14"/>
          <w:lang w:val="sl-SI"/>
        </w:rPr>
      </w:pPr>
      <w:r w:rsidRPr="00221244">
        <w:rPr>
          <w:spacing w:val="-1"/>
          <w:sz w:val="14"/>
          <w:lang w:val="sl-SI"/>
        </w:rPr>
        <w:t>Ta dokument je bil izdan zgolj v informativne namene in ni namenjen investicijskemu svetovanju ali ponudbi za prodajo ali nagovarjanju k ponudbi za nakup kakršnih koli vrednostnih papirjev.</w:t>
      </w:r>
    </w:p>
    <w:p w14:paraId="06D32456" w14:textId="77777777" w:rsidR="00FC7E76" w:rsidRPr="00221244" w:rsidRDefault="00FC7E76" w:rsidP="00FC7E76">
      <w:pPr>
        <w:tabs>
          <w:tab w:val="left" w:pos="1080"/>
          <w:tab w:val="left" w:pos="4500"/>
        </w:tabs>
        <w:spacing w:line="264" w:lineRule="auto"/>
        <w:rPr>
          <w:rFonts w:asciiTheme="majorHAnsi" w:eastAsia="PMingLiU" w:hAnsiTheme="majorHAnsi" w:cs="Calibri Light"/>
          <w:b/>
          <w:sz w:val="18"/>
          <w:szCs w:val="18"/>
        </w:rPr>
      </w:pPr>
    </w:p>
    <w:p w14:paraId="7F0BC2E1" w14:textId="77777777" w:rsidR="00280478" w:rsidRPr="00B13232" w:rsidRDefault="00280478" w:rsidP="00280478">
      <w:pPr>
        <w:tabs>
          <w:tab w:val="left" w:pos="1080"/>
          <w:tab w:val="left" w:pos="4500"/>
        </w:tabs>
        <w:spacing w:line="264" w:lineRule="auto"/>
        <w:rPr>
          <w:rFonts w:asciiTheme="majorHAnsi" w:eastAsia="PMingLiU" w:hAnsiTheme="majorHAnsi" w:cs="Calibri Light"/>
          <w:b/>
          <w:sz w:val="18"/>
          <w:szCs w:val="18"/>
        </w:rPr>
      </w:pPr>
    </w:p>
    <w:p w14:paraId="01402103" w14:textId="77777777" w:rsidR="00280478" w:rsidRPr="00B13232" w:rsidRDefault="00280478" w:rsidP="00280478">
      <w:pPr>
        <w:tabs>
          <w:tab w:val="left" w:pos="1080"/>
          <w:tab w:val="left" w:pos="4500"/>
        </w:tabs>
        <w:rPr>
          <w:rStyle w:val="AboutandContactBody"/>
        </w:rPr>
      </w:pPr>
      <w:r w:rsidRPr="00B13232">
        <w:rPr>
          <w:rStyle w:val="AboutandContactBody"/>
        </w:rPr>
        <w:t>Stik</w:t>
      </w:r>
      <w:r w:rsidRPr="00B13232">
        <w:rPr>
          <w:rStyle w:val="AboutandContactBody"/>
        </w:rPr>
        <w:tab/>
        <w:t>Jelena Gavrilović Šarenac</w:t>
      </w:r>
      <w:r w:rsidRPr="00B13232">
        <w:rPr>
          <w:rStyle w:val="AboutandContactBody"/>
        </w:rPr>
        <w:tab/>
      </w:r>
    </w:p>
    <w:p w14:paraId="143F1987" w14:textId="77777777" w:rsidR="00280478" w:rsidRPr="00B13232" w:rsidRDefault="00280478" w:rsidP="00280478">
      <w:pPr>
        <w:tabs>
          <w:tab w:val="left" w:pos="1080"/>
          <w:tab w:val="left" w:pos="4500"/>
        </w:tabs>
        <w:rPr>
          <w:rStyle w:val="AboutandContactBody"/>
        </w:rPr>
      </w:pPr>
      <w:r w:rsidRPr="00B13232">
        <w:rPr>
          <w:rStyle w:val="AboutandContactBody"/>
        </w:rPr>
        <w:t>Telefon</w:t>
      </w:r>
      <w:r w:rsidRPr="00B13232">
        <w:rPr>
          <w:rStyle w:val="AboutandContactBody"/>
        </w:rPr>
        <w:tab/>
        <w:t>+381 60 207 22 09</w:t>
      </w:r>
      <w:r w:rsidRPr="00B13232">
        <w:rPr>
          <w:rStyle w:val="AboutandContactBody"/>
        </w:rPr>
        <w:tab/>
      </w:r>
    </w:p>
    <w:p w14:paraId="53C314AD" w14:textId="77777777" w:rsidR="00280478" w:rsidRPr="00B13232" w:rsidRDefault="00280478" w:rsidP="00280478">
      <w:pPr>
        <w:tabs>
          <w:tab w:val="left" w:pos="1080"/>
          <w:tab w:val="left" w:pos="4500"/>
        </w:tabs>
        <w:rPr>
          <w:rStyle w:val="AboutandContactBody"/>
        </w:rPr>
      </w:pPr>
      <w:r w:rsidRPr="00B13232">
        <w:rPr>
          <w:rStyle w:val="AboutandContactBody"/>
        </w:rPr>
        <w:t>E-pošta</w:t>
      </w:r>
      <w:r w:rsidRPr="00B13232">
        <w:rPr>
          <w:rStyle w:val="AboutandContactBody"/>
        </w:rPr>
        <w:tab/>
        <w:t>jelena.sarenac@henkel.com</w:t>
      </w:r>
      <w:r w:rsidRPr="00B13232">
        <w:rPr>
          <w:rStyle w:val="AboutandContactBody"/>
        </w:rPr>
        <w:tab/>
      </w:r>
    </w:p>
    <w:p w14:paraId="0E4126A1" w14:textId="77777777" w:rsidR="00EA0D51" w:rsidRPr="0062206B" w:rsidRDefault="00EA0D51" w:rsidP="0062206B">
      <w:pPr>
        <w:rPr>
          <w:rStyle w:val="AboutandContactHeadline"/>
          <w:rFonts w:eastAsia="PMingLiU"/>
          <w:b w:val="0"/>
          <w:bCs w:val="0"/>
          <w:color w:val="9A141B"/>
        </w:rPr>
      </w:pPr>
    </w:p>
    <w:sectPr w:rsidR="00EA0D51" w:rsidRPr="0062206B" w:rsidSect="0017111B">
      <w:headerReference w:type="even" r:id="rId13"/>
      <w:footerReference w:type="default" r:id="rId14"/>
      <w:headerReference w:type="first" r:id="rId15"/>
      <w:footerReference w:type="first" r:id="rId16"/>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A82C" w14:textId="77777777" w:rsidR="00B860B4" w:rsidRPr="00B13232" w:rsidRDefault="00B860B4">
      <w:r w:rsidRPr="00B13232">
        <w:separator/>
      </w:r>
    </w:p>
  </w:endnote>
  <w:endnote w:type="continuationSeparator" w:id="0">
    <w:p w14:paraId="0BDB0C20" w14:textId="77777777" w:rsidR="00B860B4" w:rsidRPr="00B13232" w:rsidRDefault="00B860B4">
      <w:r w:rsidRPr="00B13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C7C2E88" w:rsidR="00CF6F33" w:rsidRPr="00B13232" w:rsidRDefault="00112A28" w:rsidP="00112A28">
    <w:pPr>
      <w:pStyle w:val="Footer"/>
      <w:tabs>
        <w:tab w:val="clear" w:pos="7083"/>
        <w:tab w:val="clear" w:pos="8640"/>
        <w:tab w:val="right" w:pos="9071"/>
      </w:tabs>
      <w:jc w:val="both"/>
      <w:rPr>
        <w:noProof w:val="0"/>
      </w:rPr>
    </w:pPr>
    <w:r w:rsidRPr="00B13232">
      <w:rPr>
        <w:noProof w:val="0"/>
      </w:rPr>
      <w:tab/>
    </w:r>
    <w:r w:rsidRPr="00B13232">
      <w:rPr>
        <w:noProof w:val="0"/>
      </w:rPr>
      <w:t xml:space="preserve">Stran </w:t>
    </w:r>
    <w:r w:rsidRPr="00B13232">
      <w:rPr>
        <w:noProof w:val="0"/>
      </w:rPr>
      <w:fldChar w:fldCharType="begin"/>
    </w:r>
    <w:r w:rsidRPr="00B13232">
      <w:rPr>
        <w:noProof w:val="0"/>
      </w:rPr>
      <w:instrText xml:space="preserve"> PAGE  \* Arabic  \* MERGEFORMAT </w:instrText>
    </w:r>
    <w:r w:rsidRPr="00B13232">
      <w:rPr>
        <w:noProof w:val="0"/>
      </w:rPr>
      <w:fldChar w:fldCharType="separate"/>
    </w:r>
    <w:r w:rsidRPr="00B13232">
      <w:rPr>
        <w:noProof w:val="0"/>
      </w:rPr>
      <w:t>2</w:t>
    </w:r>
    <w:r w:rsidRPr="00B13232">
      <w:rPr>
        <w:noProof w:val="0"/>
      </w:rPr>
      <w:fldChar w:fldCharType="end"/>
    </w:r>
    <w:r w:rsidR="006F6B6E">
      <w:rPr>
        <w:noProof w:val="0"/>
      </w:rPr>
      <w:t>/</w:t>
    </w:r>
    <w:r w:rsidRPr="00B13232">
      <w:rPr>
        <w:noProof w:val="0"/>
      </w:rPr>
      <w:fldChar w:fldCharType="begin"/>
    </w:r>
    <w:r w:rsidRPr="00B13232">
      <w:rPr>
        <w:noProof w:val="0"/>
      </w:rPr>
      <w:instrText xml:space="preserve"> NUMPAGES  \* Arabic  \* MERGEFORMAT </w:instrText>
    </w:r>
    <w:r w:rsidRPr="00B13232">
      <w:rPr>
        <w:noProof w:val="0"/>
      </w:rPr>
      <w:fldChar w:fldCharType="separate"/>
    </w:r>
    <w:r w:rsidRPr="00B13232">
      <w:rPr>
        <w:noProof w:val="0"/>
      </w:rPr>
      <w:t>2</w:t>
    </w:r>
    <w:r w:rsidRPr="00B13232">
      <w:rPr>
        <w:noProof w:val="0"/>
      </w:rPr>
      <w:fldChar w:fldCharType="end"/>
    </w:r>
  </w:p>
  <w:p w14:paraId="2F7A6502" w14:textId="77777777" w:rsidR="00F15EB8" w:rsidRPr="00B13232" w:rsidRDefault="00F15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41F11EA1" w:rsidR="00CF6F33" w:rsidRPr="00B13232" w:rsidRDefault="00AE645D" w:rsidP="00992A11">
    <w:pPr>
      <w:pStyle w:val="Footer"/>
      <w:rPr>
        <w:noProof w:val="0"/>
      </w:rPr>
    </w:pPr>
    <w:r w:rsidRPr="00B13232">
      <w:drawing>
        <wp:inline distT="0" distB="0" distL="0" distR="0" wp14:anchorId="03D47E13" wp14:editId="6A5FA19C">
          <wp:extent cx="5760720" cy="585216"/>
          <wp:effectExtent l="0" t="0" r="0" b="5715"/>
          <wp:docPr id="13539660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pic:cNvPicPr>
                    <a:picLocks noChangeAspect="1"/>
                  </pic:cNvPicPr>
                </pic:nvPicPr>
                <pic:blipFill>
                  <a:blip r:embed="rId1">
                    <a:extLst>
                      <a:ext uri="{28A0092B-C50C-407E-A947-70E740481C1C}">
                        <a14:useLocalDpi xmlns:a14="http://schemas.microsoft.com/office/drawing/2010/main" val="0"/>
                      </a:ext>
                    </a:extLst>
                  </a:blip>
                  <a:srcRect t="10366" b="10366"/>
                  <a:stretch>
                    <a:fillRect/>
                  </a:stretch>
                </pic:blipFill>
                <pic:spPr bwMode="auto">
                  <a:xfrm>
                    <a:off x="0" y="0"/>
                    <a:ext cx="5760720" cy="585216"/>
                  </a:xfrm>
                  <a:prstGeom prst="rect">
                    <a:avLst/>
                  </a:prstGeom>
                  <a:ln>
                    <a:noFill/>
                  </a:ln>
                  <a:extLst>
                    <a:ext uri="{53640926-AAD7-44D8-BBD7-CCE9431645EC}">
                      <a14:shadowObscured xmlns:a14="http://schemas.microsoft.com/office/drawing/2010/main"/>
                    </a:ext>
                  </a:extLst>
                </pic:spPr>
              </pic:pic>
            </a:graphicData>
          </a:graphic>
        </wp:inline>
      </w:drawing>
    </w:r>
    <w:r w:rsidR="00B422EC" w:rsidRPr="00B13232">
      <w:rPr>
        <w:noProof w:val="0"/>
      </w:rPr>
      <w:t xml:space="preserve">Stran </w:t>
    </w:r>
    <w:r w:rsidR="00CF6F33" w:rsidRPr="00B13232">
      <w:rPr>
        <w:noProof w:val="0"/>
      </w:rPr>
      <w:fldChar w:fldCharType="begin"/>
    </w:r>
    <w:r w:rsidR="00CF6F33" w:rsidRPr="00B13232">
      <w:rPr>
        <w:noProof w:val="0"/>
      </w:rPr>
      <w:instrText xml:space="preserve"> </w:instrText>
    </w:r>
    <w:r w:rsidR="00262C05" w:rsidRPr="00B13232">
      <w:rPr>
        <w:noProof w:val="0"/>
      </w:rPr>
      <w:instrText>PAGE</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r w:rsidR="00B13232">
      <w:rPr>
        <w:noProof w:val="0"/>
      </w:rPr>
      <w:t>/</w:t>
    </w:r>
    <w:r w:rsidR="00CF6F33" w:rsidRPr="00B13232">
      <w:rPr>
        <w:noProof w:val="0"/>
      </w:rPr>
      <w:fldChar w:fldCharType="begin"/>
    </w:r>
    <w:r w:rsidR="00CF6F33" w:rsidRPr="00B13232">
      <w:rPr>
        <w:noProof w:val="0"/>
      </w:rPr>
      <w:instrText xml:space="preserve"> </w:instrText>
    </w:r>
    <w:r w:rsidR="00262C05" w:rsidRPr="00B13232">
      <w:rPr>
        <w:noProof w:val="0"/>
      </w:rPr>
      <w:instrText>NUMPAGES</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p>
  <w:p w14:paraId="03AB4E1E" w14:textId="77777777" w:rsidR="00F15EB8" w:rsidRPr="00B13232" w:rsidRDefault="00F15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2A6D" w14:textId="77777777" w:rsidR="00B860B4" w:rsidRPr="00B13232" w:rsidRDefault="00B860B4">
      <w:r w:rsidRPr="00B13232">
        <w:separator/>
      </w:r>
    </w:p>
  </w:footnote>
  <w:footnote w:type="continuationSeparator" w:id="0">
    <w:p w14:paraId="6312D6F3" w14:textId="77777777" w:rsidR="00B860B4" w:rsidRPr="00B13232" w:rsidRDefault="00B860B4">
      <w:r w:rsidRPr="00B13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B13232" w:rsidRDefault="00112A28" w:rsidP="00112A28">
    <w:pPr>
      <w:pStyle w:val="Header"/>
      <w:jc w:val="both"/>
    </w:pPr>
  </w:p>
  <w:p w14:paraId="203AFB55" w14:textId="77777777" w:rsidR="00F15EB8" w:rsidRPr="00B13232" w:rsidRDefault="00F15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E757" w14:textId="4756C963" w:rsidR="009A4283" w:rsidRPr="00221244" w:rsidRDefault="0059722C" w:rsidP="009A4283">
    <w:pPr>
      <w:pStyle w:val="Header"/>
    </w:pPr>
    <w:r w:rsidRPr="00B13232">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B13232">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471C61C"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B13232">
      <w:t xml:space="preserve">            </w:t>
    </w:r>
    <w:r w:rsidR="009A4283">
      <w:t>Sporočilo</w:t>
    </w:r>
    <w:r w:rsidR="003677DB" w:rsidRPr="00B13232">
      <w:t xml:space="preserve"> </w:t>
    </w:r>
    <w:r w:rsidR="009A4283" w:rsidRPr="00221244">
      <w:t>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D4FBB"/>
    <w:multiLevelType w:val="hybridMultilevel"/>
    <w:tmpl w:val="FFFFFFFF"/>
    <w:lvl w:ilvl="0" w:tplc="BFD02278">
      <w:numFmt w:val="bullet"/>
      <w:lvlText w:val=""/>
      <w:lvlJc w:val="left"/>
      <w:pPr>
        <w:ind w:left="361" w:hanging="360"/>
      </w:pPr>
      <w:rPr>
        <w:rFonts w:ascii="Wingdings" w:eastAsia="Times New Roman" w:hAnsi="Wingdings" w:hint="default"/>
        <w:b w:val="0"/>
        <w:i w:val="0"/>
        <w:color w:val="E0000E"/>
        <w:spacing w:val="0"/>
        <w:w w:val="100"/>
        <w:sz w:val="22"/>
      </w:rPr>
    </w:lvl>
    <w:lvl w:ilvl="1" w:tplc="D480B16C">
      <w:numFmt w:val="bullet"/>
      <w:lvlText w:val="–"/>
      <w:lvlJc w:val="left"/>
      <w:pPr>
        <w:ind w:left="702" w:hanging="360"/>
      </w:pPr>
      <w:rPr>
        <w:rFonts w:ascii="Segoe UI" w:eastAsia="Times New Roman" w:hAnsi="Segoe UI" w:hint="default"/>
        <w:b w:val="0"/>
        <w:i w:val="0"/>
        <w:color w:val="E0000E"/>
        <w:spacing w:val="0"/>
        <w:w w:val="100"/>
        <w:sz w:val="22"/>
      </w:rPr>
    </w:lvl>
    <w:lvl w:ilvl="2" w:tplc="02D62C02">
      <w:numFmt w:val="bullet"/>
      <w:lvlText w:val="•"/>
      <w:lvlJc w:val="left"/>
      <w:pPr>
        <w:ind w:left="1724" w:hanging="360"/>
      </w:pPr>
      <w:rPr>
        <w:rFonts w:hint="default"/>
      </w:rPr>
    </w:lvl>
    <w:lvl w:ilvl="3" w:tplc="9C40D990">
      <w:numFmt w:val="bullet"/>
      <w:lvlText w:val="•"/>
      <w:lvlJc w:val="left"/>
      <w:pPr>
        <w:ind w:left="2749" w:hanging="360"/>
      </w:pPr>
      <w:rPr>
        <w:rFonts w:hint="default"/>
      </w:rPr>
    </w:lvl>
    <w:lvl w:ilvl="4" w:tplc="1406A6DA">
      <w:numFmt w:val="bullet"/>
      <w:lvlText w:val="•"/>
      <w:lvlJc w:val="left"/>
      <w:pPr>
        <w:ind w:left="3774" w:hanging="360"/>
      </w:pPr>
      <w:rPr>
        <w:rFonts w:hint="default"/>
      </w:rPr>
    </w:lvl>
    <w:lvl w:ilvl="5" w:tplc="8AE8738E">
      <w:numFmt w:val="bullet"/>
      <w:lvlText w:val="•"/>
      <w:lvlJc w:val="left"/>
      <w:pPr>
        <w:ind w:left="4799" w:hanging="360"/>
      </w:pPr>
      <w:rPr>
        <w:rFonts w:hint="default"/>
      </w:rPr>
    </w:lvl>
    <w:lvl w:ilvl="6" w:tplc="7EAABB1E">
      <w:numFmt w:val="bullet"/>
      <w:lvlText w:val="•"/>
      <w:lvlJc w:val="left"/>
      <w:pPr>
        <w:ind w:left="5824" w:hanging="360"/>
      </w:pPr>
      <w:rPr>
        <w:rFonts w:hint="default"/>
      </w:rPr>
    </w:lvl>
    <w:lvl w:ilvl="7" w:tplc="09289774">
      <w:numFmt w:val="bullet"/>
      <w:lvlText w:val="•"/>
      <w:lvlJc w:val="left"/>
      <w:pPr>
        <w:ind w:left="6848" w:hanging="360"/>
      </w:pPr>
      <w:rPr>
        <w:rFonts w:hint="default"/>
      </w:rPr>
    </w:lvl>
    <w:lvl w:ilvl="8" w:tplc="DD12C02C">
      <w:numFmt w:val="bullet"/>
      <w:lvlText w:val="•"/>
      <w:lvlJc w:val="left"/>
      <w:pPr>
        <w:ind w:left="7873" w:hanging="360"/>
      </w:pPr>
      <w:rPr>
        <w:rFonts w:hint="default"/>
      </w:rPr>
    </w:lvl>
  </w:abstractNum>
  <w:abstractNum w:abstractNumId="4" w15:restartNumberingAfterBreak="0">
    <w:nsid w:val="16740AFE"/>
    <w:multiLevelType w:val="hybridMultilevel"/>
    <w:tmpl w:val="19402942"/>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7" w15:restartNumberingAfterBreak="0">
    <w:nsid w:val="3F4B6752"/>
    <w:multiLevelType w:val="hybridMultilevel"/>
    <w:tmpl w:val="FFFFFFFF"/>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D4591"/>
    <w:multiLevelType w:val="hybridMultilevel"/>
    <w:tmpl w:val="111A9520"/>
    <w:lvl w:ilvl="0" w:tplc="D480B16C">
      <w:numFmt w:val="bullet"/>
      <w:lvlText w:val="–"/>
      <w:lvlJc w:val="left"/>
      <w:pPr>
        <w:ind w:left="720" w:hanging="360"/>
      </w:pPr>
      <w:rPr>
        <w:rFonts w:ascii="Segoe UI" w:eastAsia="Times New Roman" w:hAnsi="Segoe UI" w:hint="default"/>
        <w:b w:val="0"/>
        <w:i w:val="0"/>
        <w:color w:val="E0000E"/>
        <w:spacing w:val="0"/>
        <w:w w:val="100"/>
        <w:sz w:val="2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1"/>
  </w:num>
  <w:num w:numId="3" w16cid:durableId="1141115785">
    <w:abstractNumId w:val="11"/>
  </w:num>
  <w:num w:numId="4" w16cid:durableId="1658344630">
    <w:abstractNumId w:val="8"/>
  </w:num>
  <w:num w:numId="5" w16cid:durableId="2132553883">
    <w:abstractNumId w:val="5"/>
  </w:num>
  <w:num w:numId="6" w16cid:durableId="545726518">
    <w:abstractNumId w:val="9"/>
  </w:num>
  <w:num w:numId="7" w16cid:durableId="1506360347">
    <w:abstractNumId w:val="6"/>
  </w:num>
  <w:num w:numId="8" w16cid:durableId="2005821222">
    <w:abstractNumId w:val="0"/>
  </w:num>
  <w:num w:numId="9" w16cid:durableId="1572081013">
    <w:abstractNumId w:val="4"/>
  </w:num>
  <w:num w:numId="10" w16cid:durableId="775055439">
    <w:abstractNumId w:val="7"/>
  </w:num>
  <w:num w:numId="11" w16cid:durableId="556474277">
    <w:abstractNumId w:val="3"/>
  </w:num>
  <w:num w:numId="12" w16cid:durableId="2094860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21C67"/>
    <w:rsid w:val="00024CDD"/>
    <w:rsid w:val="00030557"/>
    <w:rsid w:val="00030F51"/>
    <w:rsid w:val="00035A84"/>
    <w:rsid w:val="00037B37"/>
    <w:rsid w:val="00040CC9"/>
    <w:rsid w:val="00051E86"/>
    <w:rsid w:val="00051EF2"/>
    <w:rsid w:val="000575F9"/>
    <w:rsid w:val="00060184"/>
    <w:rsid w:val="000618FC"/>
    <w:rsid w:val="0006344D"/>
    <w:rsid w:val="00063D42"/>
    <w:rsid w:val="00065FB7"/>
    <w:rsid w:val="00067071"/>
    <w:rsid w:val="000722E8"/>
    <w:rsid w:val="000777FC"/>
    <w:rsid w:val="00080039"/>
    <w:rsid w:val="00080D10"/>
    <w:rsid w:val="0008357F"/>
    <w:rsid w:val="00095236"/>
    <w:rsid w:val="000A33AF"/>
    <w:rsid w:val="000A5F26"/>
    <w:rsid w:val="000B3814"/>
    <w:rsid w:val="000B695A"/>
    <w:rsid w:val="000C16C0"/>
    <w:rsid w:val="000C210A"/>
    <w:rsid w:val="000C4A2F"/>
    <w:rsid w:val="000C56DD"/>
    <w:rsid w:val="000C571F"/>
    <w:rsid w:val="000D1672"/>
    <w:rsid w:val="000D4EE3"/>
    <w:rsid w:val="000E2F62"/>
    <w:rsid w:val="000E38ED"/>
    <w:rsid w:val="000E48C7"/>
    <w:rsid w:val="000E540D"/>
    <w:rsid w:val="000E5D9C"/>
    <w:rsid w:val="000E7F24"/>
    <w:rsid w:val="000F03BE"/>
    <w:rsid w:val="000F0689"/>
    <w:rsid w:val="000F1757"/>
    <w:rsid w:val="000F1E39"/>
    <w:rsid w:val="000F225B"/>
    <w:rsid w:val="000F7FAF"/>
    <w:rsid w:val="00101B7B"/>
    <w:rsid w:val="00105975"/>
    <w:rsid w:val="00110CF2"/>
    <w:rsid w:val="00111F4D"/>
    <w:rsid w:val="00112A28"/>
    <w:rsid w:val="00115230"/>
    <w:rsid w:val="00115B5F"/>
    <w:rsid w:val="001162B4"/>
    <w:rsid w:val="00117022"/>
    <w:rsid w:val="001217FC"/>
    <w:rsid w:val="00122CBC"/>
    <w:rsid w:val="001252DD"/>
    <w:rsid w:val="00126D4A"/>
    <w:rsid w:val="00132DA9"/>
    <w:rsid w:val="0013305B"/>
    <w:rsid w:val="00133B99"/>
    <w:rsid w:val="001350D6"/>
    <w:rsid w:val="00144264"/>
    <w:rsid w:val="001443BD"/>
    <w:rsid w:val="00145CE6"/>
    <w:rsid w:val="00147067"/>
    <w:rsid w:val="001577E9"/>
    <w:rsid w:val="0016138C"/>
    <w:rsid w:val="00161BFE"/>
    <w:rsid w:val="001629C8"/>
    <w:rsid w:val="0017111B"/>
    <w:rsid w:val="001731CE"/>
    <w:rsid w:val="00181B82"/>
    <w:rsid w:val="00185EFD"/>
    <w:rsid w:val="0019245D"/>
    <w:rsid w:val="00195576"/>
    <w:rsid w:val="00195DED"/>
    <w:rsid w:val="001A3B00"/>
    <w:rsid w:val="001B2435"/>
    <w:rsid w:val="001B7C20"/>
    <w:rsid w:val="001C0B32"/>
    <w:rsid w:val="001C139A"/>
    <w:rsid w:val="001C1932"/>
    <w:rsid w:val="001C25DF"/>
    <w:rsid w:val="001C4BE1"/>
    <w:rsid w:val="001D0D98"/>
    <w:rsid w:val="001D2E23"/>
    <w:rsid w:val="001D31E8"/>
    <w:rsid w:val="001D3515"/>
    <w:rsid w:val="001D7307"/>
    <w:rsid w:val="001D7ADF"/>
    <w:rsid w:val="001E0F71"/>
    <w:rsid w:val="001E5718"/>
    <w:rsid w:val="001E6D05"/>
    <w:rsid w:val="001E6D92"/>
    <w:rsid w:val="001E7C28"/>
    <w:rsid w:val="001F1BDF"/>
    <w:rsid w:val="001F6359"/>
    <w:rsid w:val="001F7110"/>
    <w:rsid w:val="001F7E96"/>
    <w:rsid w:val="00202284"/>
    <w:rsid w:val="002041DB"/>
    <w:rsid w:val="00210AB8"/>
    <w:rsid w:val="00212488"/>
    <w:rsid w:val="00220628"/>
    <w:rsid w:val="00220AA2"/>
    <w:rsid w:val="002304D2"/>
    <w:rsid w:val="00231424"/>
    <w:rsid w:val="00234ABD"/>
    <w:rsid w:val="00236E2A"/>
    <w:rsid w:val="0023769B"/>
    <w:rsid w:val="00237F62"/>
    <w:rsid w:val="00241D65"/>
    <w:rsid w:val="0024586A"/>
    <w:rsid w:val="00246D41"/>
    <w:rsid w:val="00250A37"/>
    <w:rsid w:val="00256F0C"/>
    <w:rsid w:val="00260C04"/>
    <w:rsid w:val="00262C05"/>
    <w:rsid w:val="00262C0D"/>
    <w:rsid w:val="00273803"/>
    <w:rsid w:val="00277836"/>
    <w:rsid w:val="00280366"/>
    <w:rsid w:val="00280478"/>
    <w:rsid w:val="00281D14"/>
    <w:rsid w:val="00282C13"/>
    <w:rsid w:val="00286B76"/>
    <w:rsid w:val="002949F2"/>
    <w:rsid w:val="0029579F"/>
    <w:rsid w:val="002A0DF7"/>
    <w:rsid w:val="002A1260"/>
    <w:rsid w:val="002A2975"/>
    <w:rsid w:val="002A593A"/>
    <w:rsid w:val="002A5B95"/>
    <w:rsid w:val="002A60E0"/>
    <w:rsid w:val="002C1344"/>
    <w:rsid w:val="002C252E"/>
    <w:rsid w:val="002C2B03"/>
    <w:rsid w:val="002C6773"/>
    <w:rsid w:val="002D270E"/>
    <w:rsid w:val="002D2A3D"/>
    <w:rsid w:val="002D4867"/>
    <w:rsid w:val="002D4EFF"/>
    <w:rsid w:val="002E0B17"/>
    <w:rsid w:val="002E4FFB"/>
    <w:rsid w:val="002E78BE"/>
    <w:rsid w:val="002E7DED"/>
    <w:rsid w:val="002F23B2"/>
    <w:rsid w:val="002F5C20"/>
    <w:rsid w:val="002F7E11"/>
    <w:rsid w:val="00302BC1"/>
    <w:rsid w:val="00304087"/>
    <w:rsid w:val="003075DB"/>
    <w:rsid w:val="00310ACD"/>
    <w:rsid w:val="0031379F"/>
    <w:rsid w:val="00320A26"/>
    <w:rsid w:val="00320AA7"/>
    <w:rsid w:val="00321344"/>
    <w:rsid w:val="00321C7C"/>
    <w:rsid w:val="0033451C"/>
    <w:rsid w:val="003355A8"/>
    <w:rsid w:val="00336854"/>
    <w:rsid w:val="0034015C"/>
    <w:rsid w:val="00342FB7"/>
    <w:rsid w:val="00343372"/>
    <w:rsid w:val="003442F4"/>
    <w:rsid w:val="00353705"/>
    <w:rsid w:val="003562E8"/>
    <w:rsid w:val="003603D1"/>
    <w:rsid w:val="00361D4A"/>
    <w:rsid w:val="0036357D"/>
    <w:rsid w:val="003649BC"/>
    <w:rsid w:val="00365E44"/>
    <w:rsid w:val="003661EA"/>
    <w:rsid w:val="003677DB"/>
    <w:rsid w:val="00367AA1"/>
    <w:rsid w:val="00372E36"/>
    <w:rsid w:val="00376EE9"/>
    <w:rsid w:val="00377CBB"/>
    <w:rsid w:val="00377DD9"/>
    <w:rsid w:val="00385185"/>
    <w:rsid w:val="0038555C"/>
    <w:rsid w:val="003877B6"/>
    <w:rsid w:val="00393887"/>
    <w:rsid w:val="00394ADC"/>
    <w:rsid w:val="00394C6B"/>
    <w:rsid w:val="003A4E62"/>
    <w:rsid w:val="003B0FDE"/>
    <w:rsid w:val="003B1069"/>
    <w:rsid w:val="003B390A"/>
    <w:rsid w:val="003B426A"/>
    <w:rsid w:val="003B4F93"/>
    <w:rsid w:val="003B624E"/>
    <w:rsid w:val="003B7AAF"/>
    <w:rsid w:val="003C15DE"/>
    <w:rsid w:val="003C4EB2"/>
    <w:rsid w:val="003C781B"/>
    <w:rsid w:val="003C7A22"/>
    <w:rsid w:val="003D12F7"/>
    <w:rsid w:val="003D217E"/>
    <w:rsid w:val="003E1840"/>
    <w:rsid w:val="003E1D85"/>
    <w:rsid w:val="003E27B6"/>
    <w:rsid w:val="003E50B0"/>
    <w:rsid w:val="003F116B"/>
    <w:rsid w:val="003F1AF3"/>
    <w:rsid w:val="003F4D8D"/>
    <w:rsid w:val="003F66FD"/>
    <w:rsid w:val="00406D82"/>
    <w:rsid w:val="00412186"/>
    <w:rsid w:val="00417363"/>
    <w:rsid w:val="004313E7"/>
    <w:rsid w:val="0044088F"/>
    <w:rsid w:val="00444A59"/>
    <w:rsid w:val="00446A13"/>
    <w:rsid w:val="0044763B"/>
    <w:rsid w:val="00451F34"/>
    <w:rsid w:val="0046094B"/>
    <w:rsid w:val="004615DA"/>
    <w:rsid w:val="004629B3"/>
    <w:rsid w:val="0046376E"/>
    <w:rsid w:val="004651F3"/>
    <w:rsid w:val="0046690F"/>
    <w:rsid w:val="00466C63"/>
    <w:rsid w:val="004720EE"/>
    <w:rsid w:val="00472FEC"/>
    <w:rsid w:val="004814B1"/>
    <w:rsid w:val="00484C04"/>
    <w:rsid w:val="00490A03"/>
    <w:rsid w:val="00493327"/>
    <w:rsid w:val="00494DBE"/>
    <w:rsid w:val="00495CE6"/>
    <w:rsid w:val="004A323C"/>
    <w:rsid w:val="004B54E8"/>
    <w:rsid w:val="004C4FEB"/>
    <w:rsid w:val="004C59B3"/>
    <w:rsid w:val="004C6B79"/>
    <w:rsid w:val="004D059B"/>
    <w:rsid w:val="004D4CB6"/>
    <w:rsid w:val="004E0870"/>
    <w:rsid w:val="004E3341"/>
    <w:rsid w:val="004F10C1"/>
    <w:rsid w:val="004F1EE0"/>
    <w:rsid w:val="004F2AA6"/>
    <w:rsid w:val="004F50B0"/>
    <w:rsid w:val="004F7377"/>
    <w:rsid w:val="00501F73"/>
    <w:rsid w:val="00502E62"/>
    <w:rsid w:val="00504452"/>
    <w:rsid w:val="00506B8A"/>
    <w:rsid w:val="0052212B"/>
    <w:rsid w:val="00531B98"/>
    <w:rsid w:val="00534B46"/>
    <w:rsid w:val="00540358"/>
    <w:rsid w:val="00540D47"/>
    <w:rsid w:val="00550864"/>
    <w:rsid w:val="0055110C"/>
    <w:rsid w:val="0055190B"/>
    <w:rsid w:val="00554FE2"/>
    <w:rsid w:val="0055571E"/>
    <w:rsid w:val="00556F67"/>
    <w:rsid w:val="005833F0"/>
    <w:rsid w:val="00586B0B"/>
    <w:rsid w:val="00586CAF"/>
    <w:rsid w:val="005873E9"/>
    <w:rsid w:val="00591180"/>
    <w:rsid w:val="00591705"/>
    <w:rsid w:val="00595131"/>
    <w:rsid w:val="0059722C"/>
    <w:rsid w:val="00597D07"/>
    <w:rsid w:val="005A3846"/>
    <w:rsid w:val="005A48C1"/>
    <w:rsid w:val="005B1747"/>
    <w:rsid w:val="005B1F0C"/>
    <w:rsid w:val="005B6A58"/>
    <w:rsid w:val="005C7112"/>
    <w:rsid w:val="005D0561"/>
    <w:rsid w:val="005D0AD9"/>
    <w:rsid w:val="005D2125"/>
    <w:rsid w:val="005D22F6"/>
    <w:rsid w:val="005D6746"/>
    <w:rsid w:val="005E0C30"/>
    <w:rsid w:val="005E2979"/>
    <w:rsid w:val="005E69D9"/>
    <w:rsid w:val="005F27F4"/>
    <w:rsid w:val="005F3239"/>
    <w:rsid w:val="005F6567"/>
    <w:rsid w:val="00607256"/>
    <w:rsid w:val="006144B1"/>
    <w:rsid w:val="0062206B"/>
    <w:rsid w:val="0062348B"/>
    <w:rsid w:val="0062403D"/>
    <w:rsid w:val="006335F1"/>
    <w:rsid w:val="006345B6"/>
    <w:rsid w:val="00635712"/>
    <w:rsid w:val="00643D8A"/>
    <w:rsid w:val="00644548"/>
    <w:rsid w:val="006448C4"/>
    <w:rsid w:val="006513EB"/>
    <w:rsid w:val="00652229"/>
    <w:rsid w:val="00652793"/>
    <w:rsid w:val="00652D7A"/>
    <w:rsid w:val="006626CA"/>
    <w:rsid w:val="00663487"/>
    <w:rsid w:val="00672382"/>
    <w:rsid w:val="00682643"/>
    <w:rsid w:val="00682EB9"/>
    <w:rsid w:val="0068441A"/>
    <w:rsid w:val="00685B49"/>
    <w:rsid w:val="00690B19"/>
    <w:rsid w:val="006A0A3C"/>
    <w:rsid w:val="006A1552"/>
    <w:rsid w:val="006A66C8"/>
    <w:rsid w:val="006A6809"/>
    <w:rsid w:val="006A6CA0"/>
    <w:rsid w:val="006A7536"/>
    <w:rsid w:val="006A79F0"/>
    <w:rsid w:val="006B47EE"/>
    <w:rsid w:val="006B499F"/>
    <w:rsid w:val="006B78B0"/>
    <w:rsid w:val="006C22C4"/>
    <w:rsid w:val="006D4996"/>
    <w:rsid w:val="006D54AB"/>
    <w:rsid w:val="006D6DE5"/>
    <w:rsid w:val="006E3006"/>
    <w:rsid w:val="006E5032"/>
    <w:rsid w:val="006E5BDA"/>
    <w:rsid w:val="006F0FC7"/>
    <w:rsid w:val="006F39A9"/>
    <w:rsid w:val="006F670F"/>
    <w:rsid w:val="006F6B6E"/>
    <w:rsid w:val="0070213E"/>
    <w:rsid w:val="00703272"/>
    <w:rsid w:val="00704695"/>
    <w:rsid w:val="00705F1A"/>
    <w:rsid w:val="0070733C"/>
    <w:rsid w:val="00710C5D"/>
    <w:rsid w:val="00711A68"/>
    <w:rsid w:val="0071348C"/>
    <w:rsid w:val="00717273"/>
    <w:rsid w:val="00720FD4"/>
    <w:rsid w:val="00724AF2"/>
    <w:rsid w:val="0073096C"/>
    <w:rsid w:val="00732F8B"/>
    <w:rsid w:val="00740C61"/>
    <w:rsid w:val="007420BD"/>
    <w:rsid w:val="00742398"/>
    <w:rsid w:val="00745581"/>
    <w:rsid w:val="00747A26"/>
    <w:rsid w:val="007507B5"/>
    <w:rsid w:val="0075091D"/>
    <w:rsid w:val="00753A24"/>
    <w:rsid w:val="007564AE"/>
    <w:rsid w:val="00760572"/>
    <w:rsid w:val="00762569"/>
    <w:rsid w:val="00763650"/>
    <w:rsid w:val="00765FD5"/>
    <w:rsid w:val="00771DDA"/>
    <w:rsid w:val="00772188"/>
    <w:rsid w:val="00777135"/>
    <w:rsid w:val="007813D0"/>
    <w:rsid w:val="00785993"/>
    <w:rsid w:val="007866E2"/>
    <w:rsid w:val="00786BA3"/>
    <w:rsid w:val="00787230"/>
    <w:rsid w:val="00791A35"/>
    <w:rsid w:val="0079202F"/>
    <w:rsid w:val="00792EBC"/>
    <w:rsid w:val="007941DB"/>
    <w:rsid w:val="00795AF2"/>
    <w:rsid w:val="007A1FBA"/>
    <w:rsid w:val="007A2AAD"/>
    <w:rsid w:val="007A4432"/>
    <w:rsid w:val="007A596B"/>
    <w:rsid w:val="007A784E"/>
    <w:rsid w:val="007B22AF"/>
    <w:rsid w:val="007B499C"/>
    <w:rsid w:val="007B4D4B"/>
    <w:rsid w:val="007C10F0"/>
    <w:rsid w:val="007D2A02"/>
    <w:rsid w:val="007D3984"/>
    <w:rsid w:val="007D519A"/>
    <w:rsid w:val="007D6EEC"/>
    <w:rsid w:val="007E074F"/>
    <w:rsid w:val="007E6EA1"/>
    <w:rsid w:val="007E7DB1"/>
    <w:rsid w:val="007F0F63"/>
    <w:rsid w:val="007F2B1E"/>
    <w:rsid w:val="007F62B4"/>
    <w:rsid w:val="007F6E9D"/>
    <w:rsid w:val="00800DC4"/>
    <w:rsid w:val="00801517"/>
    <w:rsid w:val="00813362"/>
    <w:rsid w:val="00815A66"/>
    <w:rsid w:val="00817AE8"/>
    <w:rsid w:val="00817DE8"/>
    <w:rsid w:val="00820AD7"/>
    <w:rsid w:val="0082259F"/>
    <w:rsid w:val="008229F5"/>
    <w:rsid w:val="00822D7A"/>
    <w:rsid w:val="00824044"/>
    <w:rsid w:val="0082503B"/>
    <w:rsid w:val="00825451"/>
    <w:rsid w:val="0082699A"/>
    <w:rsid w:val="00827CEF"/>
    <w:rsid w:val="008337CE"/>
    <w:rsid w:val="00833CEB"/>
    <w:rsid w:val="00834EF3"/>
    <w:rsid w:val="00836B50"/>
    <w:rsid w:val="008372D2"/>
    <w:rsid w:val="008377BC"/>
    <w:rsid w:val="00840C0D"/>
    <w:rsid w:val="00844C17"/>
    <w:rsid w:val="00847726"/>
    <w:rsid w:val="00852511"/>
    <w:rsid w:val="00855B23"/>
    <w:rsid w:val="008612D8"/>
    <w:rsid w:val="008614F1"/>
    <w:rsid w:val="00863531"/>
    <w:rsid w:val="008639B3"/>
    <w:rsid w:val="00863C1A"/>
    <w:rsid w:val="00870D19"/>
    <w:rsid w:val="0087142D"/>
    <w:rsid w:val="00873956"/>
    <w:rsid w:val="0087762B"/>
    <w:rsid w:val="00880E72"/>
    <w:rsid w:val="008825EE"/>
    <w:rsid w:val="00884A6F"/>
    <w:rsid w:val="0088596E"/>
    <w:rsid w:val="00886515"/>
    <w:rsid w:val="008865D8"/>
    <w:rsid w:val="00893FD9"/>
    <w:rsid w:val="0089796A"/>
    <w:rsid w:val="008A122B"/>
    <w:rsid w:val="008A2375"/>
    <w:rsid w:val="008A46E5"/>
    <w:rsid w:val="008A58C0"/>
    <w:rsid w:val="008B1457"/>
    <w:rsid w:val="008B61F1"/>
    <w:rsid w:val="008B7FF0"/>
    <w:rsid w:val="008D146C"/>
    <w:rsid w:val="008D7595"/>
    <w:rsid w:val="008D76C5"/>
    <w:rsid w:val="008E0AFA"/>
    <w:rsid w:val="008E3A0F"/>
    <w:rsid w:val="008E52A1"/>
    <w:rsid w:val="008E5DEB"/>
    <w:rsid w:val="008E75D3"/>
    <w:rsid w:val="008F125E"/>
    <w:rsid w:val="008F4D2F"/>
    <w:rsid w:val="00906292"/>
    <w:rsid w:val="009076AF"/>
    <w:rsid w:val="00916B53"/>
    <w:rsid w:val="00917162"/>
    <w:rsid w:val="009251CC"/>
    <w:rsid w:val="0092714E"/>
    <w:rsid w:val="00942002"/>
    <w:rsid w:val="00946FE9"/>
    <w:rsid w:val="00947885"/>
    <w:rsid w:val="00951AB1"/>
    <w:rsid w:val="00952168"/>
    <w:rsid w:val="009527FE"/>
    <w:rsid w:val="00953DEA"/>
    <w:rsid w:val="00955F0A"/>
    <w:rsid w:val="009561B6"/>
    <w:rsid w:val="009709AB"/>
    <w:rsid w:val="00971904"/>
    <w:rsid w:val="009739A0"/>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28D3"/>
    <w:rsid w:val="009A4283"/>
    <w:rsid w:val="009A4567"/>
    <w:rsid w:val="009A5B03"/>
    <w:rsid w:val="009B29B7"/>
    <w:rsid w:val="009B3B37"/>
    <w:rsid w:val="009B7D1F"/>
    <w:rsid w:val="009C088E"/>
    <w:rsid w:val="009C312D"/>
    <w:rsid w:val="009C4D35"/>
    <w:rsid w:val="009D1522"/>
    <w:rsid w:val="009D588B"/>
    <w:rsid w:val="009D6FFF"/>
    <w:rsid w:val="009D7252"/>
    <w:rsid w:val="009E40D8"/>
    <w:rsid w:val="009E5EB4"/>
    <w:rsid w:val="009E7413"/>
    <w:rsid w:val="009F5432"/>
    <w:rsid w:val="009F5B39"/>
    <w:rsid w:val="00A044D6"/>
    <w:rsid w:val="00A04ADB"/>
    <w:rsid w:val="00A11775"/>
    <w:rsid w:val="00A11E0F"/>
    <w:rsid w:val="00A1301E"/>
    <w:rsid w:val="00A14262"/>
    <w:rsid w:val="00A14EB1"/>
    <w:rsid w:val="00A17E4D"/>
    <w:rsid w:val="00A23264"/>
    <w:rsid w:val="00A24446"/>
    <w:rsid w:val="00A26CB6"/>
    <w:rsid w:val="00A3077B"/>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4CE"/>
    <w:rsid w:val="00A56D41"/>
    <w:rsid w:val="00A61353"/>
    <w:rsid w:val="00A664D2"/>
    <w:rsid w:val="00A66DB1"/>
    <w:rsid w:val="00A67A92"/>
    <w:rsid w:val="00A7332D"/>
    <w:rsid w:val="00A81F8E"/>
    <w:rsid w:val="00A82F2E"/>
    <w:rsid w:val="00A843DA"/>
    <w:rsid w:val="00A87870"/>
    <w:rsid w:val="00A91A70"/>
    <w:rsid w:val="00AA0FA9"/>
    <w:rsid w:val="00AA1B85"/>
    <w:rsid w:val="00AB1CB6"/>
    <w:rsid w:val="00AB1D9A"/>
    <w:rsid w:val="00AC315F"/>
    <w:rsid w:val="00AD19A1"/>
    <w:rsid w:val="00AD44FE"/>
    <w:rsid w:val="00AD66BE"/>
    <w:rsid w:val="00AE49F1"/>
    <w:rsid w:val="00AE645D"/>
    <w:rsid w:val="00AE6C65"/>
    <w:rsid w:val="00AE7E27"/>
    <w:rsid w:val="00AE7FC3"/>
    <w:rsid w:val="00AF3E33"/>
    <w:rsid w:val="00B05CCA"/>
    <w:rsid w:val="00B13232"/>
    <w:rsid w:val="00B14271"/>
    <w:rsid w:val="00B14C02"/>
    <w:rsid w:val="00B16270"/>
    <w:rsid w:val="00B2685D"/>
    <w:rsid w:val="00B277A6"/>
    <w:rsid w:val="00B30351"/>
    <w:rsid w:val="00B306C5"/>
    <w:rsid w:val="00B33C2A"/>
    <w:rsid w:val="00B34E47"/>
    <w:rsid w:val="00B372EB"/>
    <w:rsid w:val="00B41DF5"/>
    <w:rsid w:val="00B422EC"/>
    <w:rsid w:val="00B726D4"/>
    <w:rsid w:val="00B73163"/>
    <w:rsid w:val="00B818A3"/>
    <w:rsid w:val="00B8214F"/>
    <w:rsid w:val="00B860B4"/>
    <w:rsid w:val="00B86A4F"/>
    <w:rsid w:val="00B86E0E"/>
    <w:rsid w:val="00B93035"/>
    <w:rsid w:val="00B9337E"/>
    <w:rsid w:val="00B958E8"/>
    <w:rsid w:val="00B95B03"/>
    <w:rsid w:val="00B97E4A"/>
    <w:rsid w:val="00BA09B2"/>
    <w:rsid w:val="00BA5B46"/>
    <w:rsid w:val="00BA7408"/>
    <w:rsid w:val="00BB5D0B"/>
    <w:rsid w:val="00BC0995"/>
    <w:rsid w:val="00BC5882"/>
    <w:rsid w:val="00BD1E02"/>
    <w:rsid w:val="00BD749B"/>
    <w:rsid w:val="00BE793A"/>
    <w:rsid w:val="00BF2AFF"/>
    <w:rsid w:val="00BF2B82"/>
    <w:rsid w:val="00BF398D"/>
    <w:rsid w:val="00BF432A"/>
    <w:rsid w:val="00BF4709"/>
    <w:rsid w:val="00BF4CD4"/>
    <w:rsid w:val="00BF56E6"/>
    <w:rsid w:val="00BF6E82"/>
    <w:rsid w:val="00C0160B"/>
    <w:rsid w:val="00C02205"/>
    <w:rsid w:val="00C060C7"/>
    <w:rsid w:val="00C10764"/>
    <w:rsid w:val="00C24C17"/>
    <w:rsid w:val="00C258B8"/>
    <w:rsid w:val="00C3758F"/>
    <w:rsid w:val="00C40B88"/>
    <w:rsid w:val="00C41EF2"/>
    <w:rsid w:val="00C42C93"/>
    <w:rsid w:val="00C43854"/>
    <w:rsid w:val="00C47D87"/>
    <w:rsid w:val="00C5376E"/>
    <w:rsid w:val="00C53C5E"/>
    <w:rsid w:val="00C639B4"/>
    <w:rsid w:val="00C770A3"/>
    <w:rsid w:val="00C808A6"/>
    <w:rsid w:val="00C81208"/>
    <w:rsid w:val="00C85229"/>
    <w:rsid w:val="00C97091"/>
    <w:rsid w:val="00C97260"/>
    <w:rsid w:val="00CA1952"/>
    <w:rsid w:val="00CA2001"/>
    <w:rsid w:val="00CA2F84"/>
    <w:rsid w:val="00CB5B6C"/>
    <w:rsid w:val="00CC052E"/>
    <w:rsid w:val="00CD16BE"/>
    <w:rsid w:val="00CD4616"/>
    <w:rsid w:val="00CD47AC"/>
    <w:rsid w:val="00CD56AF"/>
    <w:rsid w:val="00CD5BEE"/>
    <w:rsid w:val="00CE1D02"/>
    <w:rsid w:val="00CE1E98"/>
    <w:rsid w:val="00CE33D5"/>
    <w:rsid w:val="00CF1DD6"/>
    <w:rsid w:val="00CF5D37"/>
    <w:rsid w:val="00CF6F33"/>
    <w:rsid w:val="00CF714E"/>
    <w:rsid w:val="00CF7429"/>
    <w:rsid w:val="00D01821"/>
    <w:rsid w:val="00D02248"/>
    <w:rsid w:val="00D063B8"/>
    <w:rsid w:val="00D06825"/>
    <w:rsid w:val="00D17255"/>
    <w:rsid w:val="00D17E3B"/>
    <w:rsid w:val="00D21C53"/>
    <w:rsid w:val="00D23C09"/>
    <w:rsid w:val="00D23CED"/>
    <w:rsid w:val="00D24BD2"/>
    <w:rsid w:val="00D2573D"/>
    <w:rsid w:val="00D260A2"/>
    <w:rsid w:val="00D30CC6"/>
    <w:rsid w:val="00D3260C"/>
    <w:rsid w:val="00D35790"/>
    <w:rsid w:val="00D359FD"/>
    <w:rsid w:val="00D35A5D"/>
    <w:rsid w:val="00D3714B"/>
    <w:rsid w:val="00D5653B"/>
    <w:rsid w:val="00D61AB1"/>
    <w:rsid w:val="00D62EF1"/>
    <w:rsid w:val="00D6309D"/>
    <w:rsid w:val="00D639D4"/>
    <w:rsid w:val="00D644CA"/>
    <w:rsid w:val="00D66436"/>
    <w:rsid w:val="00D66FC2"/>
    <w:rsid w:val="00D76C7E"/>
    <w:rsid w:val="00D771DE"/>
    <w:rsid w:val="00D7776D"/>
    <w:rsid w:val="00D90DD8"/>
    <w:rsid w:val="00D9293F"/>
    <w:rsid w:val="00D93598"/>
    <w:rsid w:val="00D94496"/>
    <w:rsid w:val="00D96D4C"/>
    <w:rsid w:val="00DA1E18"/>
    <w:rsid w:val="00DA2009"/>
    <w:rsid w:val="00DA3D9E"/>
    <w:rsid w:val="00DA47B4"/>
    <w:rsid w:val="00DB05B1"/>
    <w:rsid w:val="00DB5A79"/>
    <w:rsid w:val="00DC2465"/>
    <w:rsid w:val="00DC4699"/>
    <w:rsid w:val="00DC5BE6"/>
    <w:rsid w:val="00DD25BE"/>
    <w:rsid w:val="00DD512E"/>
    <w:rsid w:val="00DE1177"/>
    <w:rsid w:val="00DE2CEA"/>
    <w:rsid w:val="00DE6A3C"/>
    <w:rsid w:val="00DE74F4"/>
    <w:rsid w:val="00DE7F97"/>
    <w:rsid w:val="00DF1010"/>
    <w:rsid w:val="00DF5AEA"/>
    <w:rsid w:val="00DF63F6"/>
    <w:rsid w:val="00E0405C"/>
    <w:rsid w:val="00E04D88"/>
    <w:rsid w:val="00E05B68"/>
    <w:rsid w:val="00E0798B"/>
    <w:rsid w:val="00E1066D"/>
    <w:rsid w:val="00E13747"/>
    <w:rsid w:val="00E20023"/>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46C1"/>
    <w:rsid w:val="00E46C4C"/>
    <w:rsid w:val="00E556BD"/>
    <w:rsid w:val="00E56D23"/>
    <w:rsid w:val="00E66123"/>
    <w:rsid w:val="00E74BF6"/>
    <w:rsid w:val="00E758B9"/>
    <w:rsid w:val="00E77AF7"/>
    <w:rsid w:val="00E77D19"/>
    <w:rsid w:val="00E85569"/>
    <w:rsid w:val="00E856AF"/>
    <w:rsid w:val="00E86B83"/>
    <w:rsid w:val="00E87C64"/>
    <w:rsid w:val="00E916FA"/>
    <w:rsid w:val="00E92D7E"/>
    <w:rsid w:val="00E93A01"/>
    <w:rsid w:val="00E93B98"/>
    <w:rsid w:val="00E93FF8"/>
    <w:rsid w:val="00E962F0"/>
    <w:rsid w:val="00E96EAF"/>
    <w:rsid w:val="00E974A7"/>
    <w:rsid w:val="00EA0D51"/>
    <w:rsid w:val="00EA1752"/>
    <w:rsid w:val="00EA5A89"/>
    <w:rsid w:val="00EA5BDB"/>
    <w:rsid w:val="00EB0163"/>
    <w:rsid w:val="00EB46D9"/>
    <w:rsid w:val="00EB4CDF"/>
    <w:rsid w:val="00EC142D"/>
    <w:rsid w:val="00EC1E16"/>
    <w:rsid w:val="00EC464E"/>
    <w:rsid w:val="00ED0024"/>
    <w:rsid w:val="00ED0D8E"/>
    <w:rsid w:val="00ED0F85"/>
    <w:rsid w:val="00ED2B5C"/>
    <w:rsid w:val="00ED3269"/>
    <w:rsid w:val="00ED6300"/>
    <w:rsid w:val="00ED6E28"/>
    <w:rsid w:val="00EE1A8C"/>
    <w:rsid w:val="00EE4643"/>
    <w:rsid w:val="00EF1330"/>
    <w:rsid w:val="00EF15FF"/>
    <w:rsid w:val="00EF7111"/>
    <w:rsid w:val="00EF7D1A"/>
    <w:rsid w:val="00F0448F"/>
    <w:rsid w:val="00F0716C"/>
    <w:rsid w:val="00F10EC3"/>
    <w:rsid w:val="00F15EB8"/>
    <w:rsid w:val="00F17FD1"/>
    <w:rsid w:val="00F270E9"/>
    <w:rsid w:val="00F275C0"/>
    <w:rsid w:val="00F346B6"/>
    <w:rsid w:val="00F36145"/>
    <w:rsid w:val="00F3761F"/>
    <w:rsid w:val="00F37BDD"/>
    <w:rsid w:val="00F41503"/>
    <w:rsid w:val="00F42BCF"/>
    <w:rsid w:val="00F466C8"/>
    <w:rsid w:val="00F469A9"/>
    <w:rsid w:val="00F50B46"/>
    <w:rsid w:val="00F50D1F"/>
    <w:rsid w:val="00F5617A"/>
    <w:rsid w:val="00F6203E"/>
    <w:rsid w:val="00F635FC"/>
    <w:rsid w:val="00F63D03"/>
    <w:rsid w:val="00F65E2F"/>
    <w:rsid w:val="00F67DF1"/>
    <w:rsid w:val="00F710C1"/>
    <w:rsid w:val="00F732B5"/>
    <w:rsid w:val="00F735CB"/>
    <w:rsid w:val="00F8309B"/>
    <w:rsid w:val="00F833C9"/>
    <w:rsid w:val="00F90064"/>
    <w:rsid w:val="00F96AFD"/>
    <w:rsid w:val="00FA1398"/>
    <w:rsid w:val="00FA2E19"/>
    <w:rsid w:val="00FA697F"/>
    <w:rsid w:val="00FB3223"/>
    <w:rsid w:val="00FB3B3D"/>
    <w:rsid w:val="00FB4861"/>
    <w:rsid w:val="00FB5521"/>
    <w:rsid w:val="00FB610D"/>
    <w:rsid w:val="00FB6444"/>
    <w:rsid w:val="00FC427A"/>
    <w:rsid w:val="00FC4477"/>
    <w:rsid w:val="00FC46FB"/>
    <w:rsid w:val="00FC49B4"/>
    <w:rsid w:val="00FC51B7"/>
    <w:rsid w:val="00FC78AF"/>
    <w:rsid w:val="00FC7E76"/>
    <w:rsid w:val="00FD0734"/>
    <w:rsid w:val="00FD0A38"/>
    <w:rsid w:val="00FD2BD3"/>
    <w:rsid w:val="00FD3A69"/>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l-SI"/>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2berschriftEbene2">
    <w:name w:val="_He_02_Überschrift Ebene 2"/>
    <w:next w:val="He01Flietext"/>
    <w:qFormat/>
    <w:rsid w:val="00B818A3"/>
    <w:pPr>
      <w:spacing w:after="113"/>
    </w:pPr>
    <w:rPr>
      <w:rFonts w:eastAsiaTheme="minorHAnsi" w:cstheme="minorBidi"/>
      <w:b/>
      <w:sz w:val="32"/>
      <w:szCs w:val="22"/>
    </w:rPr>
  </w:style>
  <w:style w:type="paragraph" w:customStyle="1" w:styleId="He01FlietextAufzhlung1Ebene">
    <w:name w:val="_He_01_Fließtext Aufzählung 1. Ebene"/>
    <w:next w:val="He01Flietext"/>
    <w:qFormat/>
    <w:rsid w:val="00E04D88"/>
    <w:pPr>
      <w:numPr>
        <w:numId w:val="8"/>
      </w:numPr>
      <w:spacing w:after="113"/>
    </w:pPr>
    <w:rPr>
      <w:rFonts w:eastAsiaTheme="minorHAnsi" w:cstheme="minorBidi"/>
      <w:sz w:val="22"/>
      <w:szCs w:val="22"/>
    </w:rPr>
  </w:style>
  <w:style w:type="paragraph" w:customStyle="1" w:styleId="He01FlietextAufzhlung2Ebene">
    <w:name w:val="_He_01_Fließtext Aufzählung 2. Ebene"/>
    <w:next w:val="He01Flietext"/>
    <w:qFormat/>
    <w:rsid w:val="00E04D88"/>
    <w:pPr>
      <w:numPr>
        <w:numId w:val="9"/>
      </w:numPr>
      <w:spacing w:after="160"/>
    </w:pPr>
    <w:rPr>
      <w:rFonts w:eastAsiaTheme="minorHAnsi" w:cstheme="minorBidi"/>
      <w:sz w:val="22"/>
      <w:szCs w:val="22"/>
    </w:rPr>
  </w:style>
  <w:style w:type="character" w:styleId="FootnoteReference">
    <w:name w:val="footnote reference"/>
    <w:basedOn w:val="DefaultParagraphFont"/>
    <w:uiPriority w:val="99"/>
    <w:unhideWhenUsed/>
    <w:rsid w:val="00CF714E"/>
    <w:rPr>
      <w:vertAlign w:val="superscript"/>
    </w:rPr>
  </w:style>
  <w:style w:type="paragraph" w:customStyle="1" w:styleId="He04Funote">
    <w:name w:val="_He_04_Fußnote"/>
    <w:next w:val="Normal"/>
    <w:qFormat/>
    <w:rsid w:val="00FC7E76"/>
    <w:pPr>
      <w:tabs>
        <w:tab w:val="left" w:pos="85"/>
      </w:tabs>
      <w:spacing w:line="256" w:lineRule="auto"/>
      <w:ind w:left="85" w:hanging="85"/>
    </w:pPr>
    <w:rPr>
      <w:rFonts w:eastAsiaTheme="minorHAnsi" w:cstheme="minorBidi"/>
      <w:sz w:val="15"/>
      <w:szCs w:val="22"/>
      <w:lang w:val="de-DE"/>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487213504">
      <w:bodyDiv w:val="1"/>
      <w:marLeft w:val="0"/>
      <w:marRight w:val="0"/>
      <w:marTop w:val="0"/>
      <w:marBottom w:val="0"/>
      <w:divBdr>
        <w:top w:val="none" w:sz="0" w:space="0" w:color="auto"/>
        <w:left w:val="none" w:sz="0" w:space="0" w:color="auto"/>
        <w:bottom w:val="none" w:sz="0" w:space="0" w:color="auto"/>
        <w:right w:val="none" w:sz="0" w:space="0" w:color="auto"/>
      </w:divBdr>
    </w:div>
    <w:div w:id="727458708">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1866750846">
      <w:bodyDiv w:val="1"/>
      <w:marLeft w:val="0"/>
      <w:marRight w:val="0"/>
      <w:marTop w:val="0"/>
      <w:marBottom w:val="0"/>
      <w:divBdr>
        <w:top w:val="none" w:sz="0" w:space="0" w:color="auto"/>
        <w:left w:val="none" w:sz="0" w:space="0" w:color="auto"/>
        <w:bottom w:val="none" w:sz="0" w:space="0" w:color="auto"/>
        <w:right w:val="none" w:sz="0" w:space="0" w:color="auto"/>
      </w:divBdr>
    </w:div>
    <w:div w:id="2076508400">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enkelgroup-my.sharepoint.com/personal/tijana_antic_henkel_com/Documents/Documents/KORPORATIVNE%20KOMUNIKACIJE/Saop&#353;tenja%20za%20javnost%20Henkel%202025/Slovenija/www.henkel.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8</Pages>
  <Words>2954</Words>
  <Characters>17008</Characters>
  <Application>Microsoft Office Word</Application>
  <DocSecurity>0</DocSecurity>
  <Lines>278</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docId:CD943E372078BED86812A8B47F40E356</cp:keywords>
  <dc:description/>
  <cp:lastModifiedBy>Ana Krezic (Ext)</cp:lastModifiedBy>
  <cp:revision>8</cp:revision>
  <cp:lastPrinted>2016-11-16T01:11:00Z</cp:lastPrinted>
  <dcterms:created xsi:type="dcterms:W3CDTF">2026-02-11T10:33:00Z</dcterms:created>
  <dcterms:modified xsi:type="dcterms:W3CDTF">2026-03-18T13:55:00Z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